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Default Extension="png" ContentType="image/png"/>
  <Override PartName="/word/footer10.xml" ContentType="application/vnd.openxmlformats-officedocument.wordprocessingml.footer+xml"/>
  <Override PartName="/word/header2.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header3.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header4.xml" ContentType="application/vnd.openxmlformats-officedocument.wordprocessingml.header+xml"/>
  <Override PartName="/word/footer24.xml" ContentType="application/vnd.openxmlformats-officedocument.wordprocessingml.footer+xml"/>
  <Override PartName="/word/header5.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p>
      <w:pPr>
        <w:spacing w:line="1229" w:lineRule="exact"/>
        <w:ind w:left="3441"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4"/>
          <w:sz w:val="20"/>
          <w:szCs w:val="20"/>
        </w:rPr>
        <w:drawing>
          <wp:inline distT="0" distB="0" distL="0" distR="0">
            <wp:extent cx="1958878" cy="780478"/>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1958878" cy="780478"/>
                    </a:xfrm>
                    <a:prstGeom prst="rect">
                      <a:avLst/>
                    </a:prstGeom>
                  </pic:spPr>
                </pic:pic>
              </a:graphicData>
            </a:graphic>
          </wp:inline>
        </w:drawing>
      </w:r>
      <w:r>
        <w:rPr>
          <w:rFonts w:ascii="Times New Roman" w:hAnsi="Times New Roman" w:cs="Times New Roman" w:eastAsia="Times New Roman" w:hint="default"/>
          <w:position w:val="-24"/>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6"/>
          <w:szCs w:val="26"/>
        </w:rPr>
      </w:pPr>
    </w:p>
    <w:p>
      <w:pPr>
        <w:spacing w:line="460" w:lineRule="exact" w:before="0"/>
        <w:ind w:left="0" w:right="1012" w:firstLine="0"/>
        <w:jc w:val="center"/>
        <w:rPr>
          <w:rFonts w:ascii="宋体" w:hAnsi="宋体" w:cs="宋体" w:eastAsia="宋体" w:hint="default"/>
          <w:sz w:val="36"/>
          <w:szCs w:val="36"/>
        </w:rPr>
      </w:pPr>
      <w:r>
        <w:rPr>
          <w:rFonts w:ascii="宋体" w:hAnsi="宋体" w:cs="宋体" w:eastAsia="宋体" w:hint="default"/>
          <w:b/>
          <w:bCs/>
          <w:sz w:val="36"/>
          <w:szCs w:val="36"/>
        </w:rPr>
        <w:t>广州广电运通金融电子股份有限公司</w:t>
      </w:r>
      <w:r>
        <w:rPr>
          <w:rFonts w:ascii="宋体" w:hAnsi="宋体" w:cs="宋体" w:eastAsia="宋体" w:hint="default"/>
          <w:sz w:val="36"/>
          <w:szCs w:val="36"/>
        </w:rPr>
      </w:r>
    </w:p>
    <w:p>
      <w:pPr>
        <w:spacing w:line="240" w:lineRule="auto" w:before="10"/>
        <w:rPr>
          <w:rFonts w:ascii="宋体" w:hAnsi="宋体" w:cs="宋体" w:eastAsia="宋体" w:hint="default"/>
          <w:b/>
          <w:bCs/>
          <w:sz w:val="44"/>
          <w:szCs w:val="44"/>
        </w:rPr>
      </w:pPr>
    </w:p>
    <w:p>
      <w:pPr>
        <w:spacing w:before="0"/>
        <w:ind w:left="0" w:right="1020"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2019</w:t>
      </w:r>
      <w:r>
        <w:rPr>
          <w:rFonts w:ascii="Times New Roman" w:hAnsi="Times New Roman" w:cs="Times New Roman" w:eastAsia="Times New Roman" w:hint="default"/>
          <w:b/>
          <w:bCs/>
          <w:spacing w:val="-8"/>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before="277"/>
        <w:ind w:left="0" w:right="1020" w:firstLine="0"/>
        <w:jc w:val="center"/>
        <w:rPr>
          <w:rFonts w:ascii="宋体" w:hAnsi="宋体" w:cs="宋体" w:eastAsia="宋体" w:hint="default"/>
          <w:sz w:val="32"/>
          <w:szCs w:val="32"/>
        </w:rPr>
      </w:pPr>
      <w:r>
        <w:rPr>
          <w:rFonts w:ascii="宋体" w:hAnsi="宋体" w:cs="宋体" w:eastAsia="宋体" w:hint="default"/>
          <w:b/>
          <w:bCs/>
          <w:sz w:val="32"/>
          <w:szCs w:val="32"/>
        </w:rPr>
        <w:t>二零二零年三月</w:t>
      </w:r>
      <w:r>
        <w:rPr>
          <w:rFonts w:ascii="宋体" w:hAnsi="宋体" w:cs="宋体" w:eastAsia="宋体" w:hint="default"/>
          <w:sz w:val="32"/>
          <w:szCs w:val="32"/>
        </w:rPr>
      </w: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6"/>
        <w:rPr>
          <w:rFonts w:ascii="宋体" w:hAnsi="宋体" w:cs="宋体" w:eastAsia="宋体" w:hint="default"/>
          <w:b/>
          <w:bCs/>
          <w:sz w:val="46"/>
          <w:szCs w:val="46"/>
        </w:rPr>
      </w:pPr>
    </w:p>
    <w:p>
      <w:pPr>
        <w:tabs>
          <w:tab w:pos="7051" w:val="left" w:leader="none"/>
        </w:tabs>
        <w:spacing w:before="0"/>
        <w:ind w:left="0" w:right="1040" w:firstLine="0"/>
        <w:jc w:val="center"/>
        <w:rPr>
          <w:rFonts w:ascii="Times New Roman" w:hAnsi="Times New Roman" w:cs="Times New Roman" w:eastAsia="Times New Roman" w:hint="default"/>
          <w:sz w:val="32"/>
          <w:szCs w:val="32"/>
        </w:rPr>
      </w:pPr>
      <w:r>
        <w:rPr>
          <w:rFonts w:ascii="宋体" w:hAnsi="宋体" w:cs="宋体" w:eastAsia="宋体" w:hint="default"/>
          <w:b/>
          <w:bCs/>
          <w:w w:val="95"/>
          <w:sz w:val="32"/>
          <w:szCs w:val="32"/>
        </w:rPr>
        <w:t>证券简称：广电运通</w:t>
        <w:tab/>
      </w:r>
      <w:r>
        <w:rPr>
          <w:rFonts w:ascii="宋体" w:hAnsi="宋体" w:cs="宋体" w:eastAsia="宋体" w:hint="default"/>
          <w:b/>
          <w:bCs/>
          <w:sz w:val="32"/>
          <w:szCs w:val="32"/>
        </w:rPr>
        <w:t>证券代码：</w:t>
      </w:r>
      <w:r>
        <w:rPr>
          <w:rFonts w:ascii="Times New Roman" w:hAnsi="Times New Roman" w:cs="Times New Roman" w:eastAsia="Times New Roman" w:hint="default"/>
          <w:b/>
          <w:bCs/>
          <w:sz w:val="32"/>
          <w:szCs w:val="32"/>
        </w:rPr>
        <w:t>002152</w:t>
      </w:r>
      <w:r>
        <w:rPr>
          <w:rFonts w:ascii="Times New Roman" w:hAnsi="Times New Roman" w:cs="Times New Roman" w:eastAsia="Times New Roman" w:hint="default"/>
          <w:sz w:val="32"/>
          <w:szCs w:val="32"/>
        </w:rPr>
      </w:r>
    </w:p>
    <w:p>
      <w:pPr>
        <w:spacing w:after="0"/>
        <w:jc w:val="center"/>
        <w:rPr>
          <w:rFonts w:ascii="Times New Roman" w:hAnsi="Times New Roman" w:cs="Times New Roman" w:eastAsia="Times New Roman" w:hint="default"/>
          <w:sz w:val="32"/>
          <w:szCs w:val="32"/>
        </w:rPr>
        <w:sectPr>
          <w:headerReference w:type="default" r:id="rId5"/>
          <w:footerReference w:type="default" r:id="rId6"/>
          <w:type w:val="continuous"/>
          <w:pgSz w:w="11910" w:h="16840"/>
          <w:pgMar w:header="878" w:footer="978" w:top="1100" w:bottom="1160" w:left="1020" w:right="0"/>
          <w:pgNumType w:start="1"/>
        </w:sectPr>
      </w:pPr>
    </w:p>
    <w:p>
      <w:pPr>
        <w:spacing w:line="240" w:lineRule="auto" w:before="0"/>
        <w:rPr>
          <w:rFonts w:ascii="Times New Roman" w:hAnsi="Times New Roman" w:cs="Times New Roman" w:eastAsia="Times New Roman" w:hint="default"/>
          <w:b/>
          <w:bCs/>
          <w:sz w:val="20"/>
          <w:szCs w:val="20"/>
        </w:rPr>
      </w:pPr>
    </w:p>
    <w:p>
      <w:pPr>
        <w:spacing w:before="146"/>
        <w:ind w:left="0" w:right="1017" w:firstLine="0"/>
        <w:jc w:val="center"/>
        <w:rPr>
          <w:rFonts w:ascii="宋体" w:hAnsi="宋体" w:cs="宋体" w:eastAsia="宋体" w:hint="default"/>
          <w:sz w:val="32"/>
          <w:szCs w:val="32"/>
        </w:rPr>
      </w:pPr>
      <w:r>
        <w:rPr>
          <w:rFonts w:ascii="宋体" w:hAnsi="宋体" w:cs="宋体" w:eastAsia="宋体" w:hint="default"/>
          <w:b/>
          <w:bCs/>
          <w:sz w:val="32"/>
          <w:szCs w:val="32"/>
        </w:rPr>
        <w:t>致股东</w:t>
      </w:r>
      <w:r>
        <w:rPr>
          <w:rFonts w:ascii="宋体" w:hAnsi="宋体" w:cs="宋体" w:eastAsia="宋体" w:hint="default"/>
          <w:sz w:val="32"/>
          <w:szCs w:val="32"/>
        </w:rPr>
      </w:r>
    </w:p>
    <w:p>
      <w:pPr>
        <w:spacing w:line="240" w:lineRule="auto" w:before="4"/>
        <w:rPr>
          <w:rFonts w:ascii="宋体" w:hAnsi="宋体" w:cs="宋体" w:eastAsia="宋体" w:hint="default"/>
          <w:b/>
          <w:bCs/>
          <w:sz w:val="42"/>
          <w:szCs w:val="42"/>
        </w:rPr>
      </w:pPr>
    </w:p>
    <w:p>
      <w:pPr>
        <w:pStyle w:val="BodyText"/>
        <w:spacing w:line="240" w:lineRule="auto"/>
        <w:ind w:right="0"/>
        <w:jc w:val="both"/>
      </w:pPr>
      <w:r>
        <w:rPr/>
        <w:t>尊敬的广电运通股东：</w:t>
      </w:r>
    </w:p>
    <w:p>
      <w:pPr>
        <w:pStyle w:val="BodyText"/>
        <w:spacing w:line="312" w:lineRule="auto" w:before="117"/>
        <w:ind w:right="1485" w:firstLine="360"/>
        <w:jc w:val="both"/>
      </w:pPr>
      <w:r>
        <w:rPr>
          <w:rFonts w:ascii="Times New Roman" w:hAnsi="Times New Roman" w:cs="Times New Roman" w:eastAsia="Times New Roman" w:hint="default"/>
        </w:rPr>
        <w:t>2019</w:t>
      </w:r>
      <w:r>
        <w:rPr>
          <w:rFonts w:ascii="Times New Roman" w:hAnsi="Times New Roman" w:cs="Times New Roman" w:eastAsia="Times New Roman" w:hint="default"/>
          <w:spacing w:val="32"/>
        </w:rPr>
        <w:t> </w:t>
      </w:r>
      <w:r>
        <w:rPr/>
        <w:t>年是公司全面加速向人工智能战略转型升级的关键一年。面对复杂多变的国内外形势，公司加快核心技术研 </w:t>
      </w:r>
      <w:r>
        <w:rPr>
          <w:spacing w:val="-2"/>
        </w:rPr>
        <w:t>发与应用，贴近用户现场，把握行业需求，深刻理解金融、安防、交通及便民领域发展趋势，发挥五大事业群的自主能</w:t>
      </w:r>
      <w:r>
        <w:rPr>
          <w:spacing w:val="-63"/>
        </w:rPr>
        <w:t> </w:t>
      </w:r>
      <w:r>
        <w:rPr>
          <w:spacing w:val="-63"/>
        </w:rPr>
      </w:r>
      <w:r>
        <w:rPr>
          <w:spacing w:val="-2"/>
        </w:rPr>
        <w:t>动性与协同效应，以争做行业领先为目标，逐渐形成了金融行业的智慧网点和智慧财政、安防行业的智慧警务以及轨道</w:t>
      </w:r>
      <w:r>
        <w:rPr>
          <w:spacing w:val="-65"/>
        </w:rPr>
        <w:t> </w:t>
      </w:r>
      <w:r>
        <w:rPr>
          <w:spacing w:val="-65"/>
        </w:rPr>
      </w:r>
      <w:r>
        <w:rPr>
          <w:spacing w:val="-2"/>
        </w:rPr>
        <w:t>交通行业的智慧车站四大应用场景，同时开拓了便民领域的互联网服务平台和智能零售平台，以四大场景加两大平台为</w:t>
      </w:r>
      <w:r>
        <w:rPr>
          <w:spacing w:val="-64"/>
        </w:rPr>
        <w:t> </w:t>
      </w:r>
      <w:r>
        <w:rPr>
          <w:spacing w:val="-64"/>
        </w:rPr>
      </w:r>
      <w:r>
        <w:rPr/>
        <w:t>核心推动公司产业持续稳健发展，全年实现营业收入</w:t>
      </w:r>
      <w:r>
        <w:rPr>
          <w:spacing w:val="-40"/>
        </w:rPr>
        <w:t> </w:t>
      </w:r>
      <w:r>
        <w:rPr>
          <w:rFonts w:ascii="Times New Roman" w:hAnsi="Times New Roman" w:cs="Times New Roman" w:eastAsia="Times New Roman" w:hint="default"/>
        </w:rPr>
        <w:t>64.96</w:t>
      </w:r>
      <w:r>
        <w:rPr>
          <w:rFonts w:ascii="Times New Roman" w:hAnsi="Times New Roman" w:cs="Times New Roman" w:eastAsia="Times New Roman" w:hint="default"/>
          <w:spacing w:val="4"/>
        </w:rPr>
        <w:t> </w:t>
      </w:r>
      <w:r>
        <w:rPr/>
        <w:t>亿元，同比增长</w:t>
      </w:r>
      <w:r>
        <w:rPr>
          <w:spacing w:val="-40"/>
        </w:rPr>
        <w:t> </w:t>
      </w:r>
      <w:r>
        <w:rPr>
          <w:rFonts w:ascii="Times New Roman" w:hAnsi="Times New Roman" w:cs="Times New Roman" w:eastAsia="Times New Roman" w:hint="default"/>
        </w:rPr>
        <w:t>19.00%</w:t>
      </w:r>
      <w:r>
        <w:rPr/>
        <w:t>；实现扣非净利润</w:t>
      </w:r>
      <w:r>
        <w:rPr>
          <w:spacing w:val="-40"/>
        </w:rPr>
        <w:t> </w:t>
      </w:r>
      <w:r>
        <w:rPr>
          <w:rFonts w:ascii="Times New Roman" w:hAnsi="Times New Roman" w:cs="Times New Roman" w:eastAsia="Times New Roman" w:hint="default"/>
        </w:rPr>
        <w:t>6.40</w:t>
      </w:r>
      <w:r>
        <w:rPr>
          <w:rFonts w:ascii="Times New Roman" w:hAnsi="Times New Roman" w:cs="Times New Roman" w:eastAsia="Times New Roman" w:hint="default"/>
          <w:spacing w:val="4"/>
        </w:rPr>
        <w:t> </w:t>
      </w:r>
      <w:r>
        <w:rPr/>
        <w:t>亿元，同比</w:t>
      </w:r>
      <w:r>
        <w:rPr>
          <w:spacing w:val="-87"/>
        </w:rPr>
        <w:t> </w:t>
      </w:r>
      <w:r>
        <w:rPr>
          <w:spacing w:val="-87"/>
        </w:rPr>
      </w:r>
      <w:r>
        <w:rPr/>
        <w:t>增长</w:t>
      </w:r>
      <w:r>
        <w:rPr>
          <w:spacing w:val="-49"/>
        </w:rPr>
        <w:t> </w:t>
      </w:r>
      <w:r>
        <w:rPr>
          <w:rFonts w:ascii="Times New Roman" w:hAnsi="Times New Roman" w:cs="Times New Roman" w:eastAsia="Times New Roman" w:hint="default"/>
        </w:rPr>
        <w:t>19.14%</w:t>
      </w:r>
      <w:r>
        <w:rPr/>
        <w:t>，向一路同行的投资者、关心和支持本公司的社会各界交出了一份靓丽答卷。</w:t>
      </w:r>
    </w:p>
    <w:p>
      <w:pPr>
        <w:pStyle w:val="BodyText"/>
        <w:spacing w:line="300" w:lineRule="auto" w:before="41"/>
        <w:ind w:right="1485" w:firstLine="360"/>
        <w:jc w:val="both"/>
      </w:pPr>
      <w:r>
        <w:rPr/>
        <w:t>广电运通以</w:t>
      </w:r>
      <w:r>
        <w:rPr>
          <w:rFonts w:ascii="Times New Roman" w:hAnsi="Times New Roman" w:cs="Times New Roman" w:eastAsia="Times New Roman" w:hint="default"/>
        </w:rPr>
        <w:t>“</w:t>
      </w:r>
      <w:r>
        <w:rPr/>
        <w:t>平台</w:t>
      </w:r>
      <w:r>
        <w:rPr>
          <w:rFonts w:ascii="Times New Roman" w:hAnsi="Times New Roman" w:cs="Times New Roman" w:eastAsia="Times New Roman" w:hint="default"/>
        </w:rPr>
        <w:t>+</w:t>
      </w:r>
      <w:r>
        <w:rPr/>
        <w:t>产品</w:t>
      </w:r>
      <w:r>
        <w:rPr>
          <w:rFonts w:ascii="Times New Roman" w:hAnsi="Times New Roman" w:cs="Times New Roman" w:eastAsia="Times New Roman" w:hint="default"/>
        </w:rPr>
        <w:t>+</w:t>
      </w:r>
      <w:r>
        <w:rPr/>
        <w:t>算法</w:t>
      </w:r>
      <w:r>
        <w:rPr>
          <w:rFonts w:ascii="Times New Roman" w:hAnsi="Times New Roman" w:cs="Times New Roman" w:eastAsia="Times New Roman" w:hint="default"/>
        </w:rPr>
        <w:t>+</w:t>
      </w:r>
      <w:r>
        <w:rPr/>
        <w:t>服务</w:t>
      </w:r>
      <w:r>
        <w:rPr>
          <w:rFonts w:ascii="Times New Roman" w:hAnsi="Times New Roman" w:cs="Times New Roman" w:eastAsia="Times New Roman" w:hint="default"/>
        </w:rPr>
        <w:t>”</w:t>
      </w:r>
      <w:r>
        <w:rPr/>
        <w:t>的形式推出全场景的解决方案，助力产业价值链延伸，支撑新的产品形态与服 务模式落地。目前，广电运通已开发了面向金融、交通、便民、安防等领域的</w:t>
      </w:r>
      <w:r>
        <w:rPr>
          <w:spacing w:val="-43"/>
        </w:rPr>
        <w:t> </w:t>
      </w:r>
      <w:r>
        <w:rPr>
          <w:rFonts w:ascii="Times New Roman" w:hAnsi="Times New Roman" w:cs="Times New Roman" w:eastAsia="Times New Roman" w:hint="default"/>
        </w:rPr>
        <w:t>33 </w:t>
      </w:r>
      <w:r>
        <w:rPr/>
        <w:t>个大类</w:t>
      </w:r>
      <w:r>
        <w:rPr>
          <w:spacing w:val="-43"/>
        </w:rPr>
        <w:t> </w:t>
      </w:r>
      <w:r>
        <w:rPr>
          <w:rFonts w:ascii="Times New Roman" w:hAnsi="Times New Roman" w:cs="Times New Roman" w:eastAsia="Times New Roman" w:hint="default"/>
        </w:rPr>
        <w:t>410 </w:t>
      </w:r>
      <w:r>
        <w:rPr/>
        <w:t>余种智能终端，包括新一</w:t>
      </w:r>
    </w:p>
    <w:p>
      <w:pPr>
        <w:pStyle w:val="BodyText"/>
        <w:spacing w:line="240" w:lineRule="auto" w:before="13"/>
        <w:ind w:right="0"/>
        <w:jc w:val="both"/>
      </w:pPr>
      <w:r>
        <w:rPr>
          <w:spacing w:val="-2"/>
        </w:rPr>
        <w:t>代银行网点智能柜台、多模态身份识别终端、无感式安检票务一体机等行业领先的智能装备，全球布放量超过</w:t>
      </w:r>
      <w:r>
        <w:rPr/>
        <w:t> </w:t>
      </w:r>
      <w:r>
        <w:rPr>
          <w:rFonts w:ascii="Times New Roman" w:hAnsi="Times New Roman" w:cs="Times New Roman" w:eastAsia="Times New Roman" w:hint="default"/>
          <w:spacing w:val="-1"/>
        </w:rPr>
        <w:t>160</w:t>
      </w:r>
      <w:r>
        <w:rPr>
          <w:rFonts w:ascii="Times New Roman" w:hAnsi="Times New Roman" w:cs="Times New Roman" w:eastAsia="Times New Roman" w:hint="default"/>
          <w:spacing w:val="-26"/>
        </w:rPr>
        <w:t> </w:t>
      </w:r>
      <w:r>
        <w:rPr/>
        <w:t>万台</w:t>
      </w:r>
    </w:p>
    <w:p>
      <w:pPr>
        <w:pStyle w:val="BodyText"/>
        <w:spacing w:line="240" w:lineRule="auto" w:before="63"/>
        <w:ind w:right="0"/>
        <w:jc w:val="both"/>
      </w:pPr>
      <w:r>
        <w:rPr>
          <w:rFonts w:ascii="Times New Roman" w:hAnsi="Times New Roman" w:cs="Times New Roman" w:eastAsia="Times New Roman" w:hint="default"/>
        </w:rPr>
        <w:t>/</w:t>
      </w:r>
      <w:r>
        <w:rPr/>
        <w:t>套，在人工智能的发展道路上跑出新一轮</w:t>
      </w:r>
      <w:r>
        <w:rPr>
          <w:rFonts w:ascii="Times New Roman" w:hAnsi="Times New Roman" w:cs="Times New Roman" w:eastAsia="Times New Roman" w:hint="default"/>
        </w:rPr>
        <w:t>“</w:t>
      </w:r>
      <w:r>
        <w:rPr/>
        <w:t>加速度</w:t>
      </w:r>
      <w:r>
        <w:rPr>
          <w:rFonts w:ascii="Times New Roman" w:hAnsi="Times New Roman" w:cs="Times New Roman" w:eastAsia="Times New Roman" w:hint="default"/>
        </w:rPr>
        <w:t>”</w:t>
      </w:r>
      <w:r>
        <w:rPr/>
        <w:t>。</w:t>
      </w:r>
    </w:p>
    <w:p>
      <w:pPr>
        <w:pStyle w:val="BodyText"/>
        <w:spacing w:line="307" w:lineRule="auto" w:before="103"/>
        <w:ind w:right="1394" w:firstLine="360"/>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10"/>
        </w:rPr>
        <w:t> </w:t>
      </w:r>
      <w:r>
        <w:rPr/>
        <w:t>年，银行渠道变革的主要方向为利用金融科技，打造更加全面开放的数字化银行，构建基于</w:t>
      </w:r>
      <w:r>
        <w:rPr>
          <w:rFonts w:ascii="Times New Roman" w:hAnsi="Times New Roman" w:cs="Times New Roman" w:eastAsia="Times New Roman" w:hint="default"/>
        </w:rPr>
        <w:t>“</w:t>
      </w:r>
      <w:r>
        <w:rPr/>
        <w:t>金融</w:t>
      </w:r>
      <w:r>
        <w:rPr>
          <w:rFonts w:ascii="Times New Roman" w:hAnsi="Times New Roman" w:cs="Times New Roman" w:eastAsia="Times New Roman" w:hint="default"/>
        </w:rPr>
        <w:t>+</w:t>
      </w:r>
      <w:r>
        <w:rPr/>
        <w:t>场景</w:t>
      </w:r>
      <w:r>
        <w:rPr>
          <w:rFonts w:ascii="Times New Roman" w:hAnsi="Times New Roman" w:cs="Times New Roman" w:eastAsia="Times New Roman" w:hint="default"/>
        </w:rPr>
        <w:t>”</w:t>
      </w:r>
      <w:r>
        <w:rPr/>
        <w:t>的智 </w:t>
      </w:r>
      <w:r>
        <w:rPr>
          <w:spacing w:val="-2"/>
        </w:rPr>
        <w:t>慧金融生态圈，与广电运通拓展金融赛道的逻辑高度契合。公司定位于</w:t>
      </w:r>
      <w:r>
        <w:rPr>
          <w:rFonts w:ascii="Times New Roman" w:hAnsi="Times New Roman" w:cs="Times New Roman" w:eastAsia="Times New Roman" w:hint="default"/>
          <w:spacing w:val="-2"/>
        </w:rPr>
        <w:t>“</w:t>
      </w:r>
      <w:r>
        <w:rPr>
          <w:spacing w:val="-2"/>
        </w:rPr>
        <w:t>银行前台</w:t>
      </w:r>
      <w:r>
        <w:rPr>
          <w:rFonts w:ascii="Times New Roman" w:hAnsi="Times New Roman" w:cs="Times New Roman" w:eastAsia="Times New Roman" w:hint="default"/>
          <w:spacing w:val="-2"/>
        </w:rPr>
        <w:t>”</w:t>
      </w:r>
      <w:r>
        <w:rPr>
          <w:spacing w:val="-2"/>
        </w:rPr>
        <w:t>的金融科技领跑者，凭借二十年在金</w:t>
      </w:r>
      <w:r>
        <w:rPr>
          <w:spacing w:val="-45"/>
        </w:rPr>
        <w:t> </w:t>
      </w:r>
      <w:r>
        <w:rPr>
          <w:spacing w:val="-45"/>
        </w:rPr>
      </w:r>
      <w:r>
        <w:rPr/>
        <w:t>融领域积累的技术实力，成为新一代银行网点智能设备爆发市场最大的受益者。</w:t>
      </w:r>
      <w:r>
        <w:rPr>
          <w:rFonts w:ascii="Times New Roman" w:hAnsi="Times New Roman" w:cs="Times New Roman" w:eastAsia="Times New Roman" w:hint="default"/>
        </w:rPr>
        <w:t>2019 </w:t>
      </w:r>
      <w:r>
        <w:rPr/>
        <w:t>年，公司在银行网点的智能设备</w:t>
      </w:r>
      <w:r>
        <w:rPr>
          <w:spacing w:val="-46"/>
        </w:rPr>
        <w:t> </w:t>
      </w:r>
      <w:r>
        <w:rPr>
          <w:spacing w:val="-46"/>
        </w:rPr>
      </w:r>
      <w:r>
        <w:rPr>
          <w:spacing w:val="-2"/>
        </w:rPr>
        <w:t>市场销售份额排名第一；大额现金智能柜台获得最多大行入围资格；与平安银行联合开发了国内第一台对公一体化自助</w:t>
      </w:r>
      <w:r>
        <w:rPr>
          <w:spacing w:val="-64"/>
        </w:rPr>
        <w:t> </w:t>
      </w:r>
      <w:r>
        <w:rPr>
          <w:spacing w:val="-64"/>
        </w:rPr>
      </w:r>
      <w:r>
        <w:rPr/>
        <w:t>设备（</w:t>
      </w:r>
      <w:r>
        <w:rPr>
          <w:rFonts w:ascii="Times New Roman" w:hAnsi="Times New Roman" w:cs="Times New Roman" w:eastAsia="Times New Roman" w:hint="default"/>
        </w:rPr>
        <w:t>CTM</w:t>
      </w:r>
      <w:r>
        <w:rPr/>
        <w:t>），以智慧远程服务模式为核心，可支持</w:t>
      </w:r>
      <w:r>
        <w:rPr>
          <w:spacing w:val="-55"/>
        </w:rPr>
        <w:t> </w:t>
      </w:r>
      <w:r>
        <w:rPr>
          <w:rFonts w:ascii="Times New Roman" w:hAnsi="Times New Roman" w:cs="Times New Roman" w:eastAsia="Times New Roman" w:hint="default"/>
        </w:rPr>
        <w:t>90%</w:t>
      </w:r>
      <w:r>
        <w:rPr/>
        <w:t>以上的对公业务，备受客户好评；与建行打造了国内首个</w:t>
      </w:r>
      <w:r>
        <w:rPr>
          <w:rFonts w:ascii="Times New Roman" w:hAnsi="Times New Roman" w:cs="Times New Roman" w:eastAsia="Times New Roman" w:hint="default"/>
        </w:rPr>
        <w:t>“</w:t>
      </w:r>
      <w:r>
        <w:rPr/>
        <w:t>移 动式金融服务舱</w:t>
      </w:r>
      <w:r>
        <w:rPr>
          <w:rFonts w:ascii="Times New Roman" w:hAnsi="Times New Roman" w:cs="Times New Roman" w:eastAsia="Times New Roman" w:hint="default"/>
        </w:rPr>
        <w:t>•5G</w:t>
      </w:r>
      <w:r>
        <w:rPr>
          <w:rFonts w:ascii="Times New Roman" w:hAnsi="Times New Roman" w:cs="Times New Roman" w:eastAsia="Times New Roman" w:hint="default"/>
          <w:spacing w:val="-12"/>
        </w:rPr>
        <w:t> </w:t>
      </w:r>
      <w:r>
        <w:rPr/>
        <w:t>智慧政务小屋</w:t>
      </w:r>
      <w:r>
        <w:rPr>
          <w:rFonts w:ascii="Times New Roman" w:hAnsi="Times New Roman" w:cs="Times New Roman" w:eastAsia="Times New Roman" w:hint="default"/>
        </w:rPr>
        <w:t>”</w:t>
      </w:r>
      <w:r>
        <w:rPr/>
        <w:t>，即全国首个</w:t>
      </w:r>
      <w:r>
        <w:rPr>
          <w:rFonts w:ascii="Times New Roman" w:hAnsi="Times New Roman" w:cs="Times New Roman" w:eastAsia="Times New Roman" w:hint="default"/>
        </w:rPr>
        <w:t>“</w:t>
      </w:r>
      <w:r>
        <w:rPr/>
        <w:t>金融</w:t>
      </w:r>
      <w:r>
        <w:rPr>
          <w:rFonts w:ascii="Times New Roman" w:hAnsi="Times New Roman" w:cs="Times New Roman" w:eastAsia="Times New Roman" w:hint="default"/>
        </w:rPr>
        <w:t>+</w:t>
      </w:r>
      <w:r>
        <w:rPr/>
        <w:t>政务</w:t>
      </w:r>
      <w:r>
        <w:rPr>
          <w:rFonts w:ascii="Times New Roman" w:hAnsi="Times New Roman" w:cs="Times New Roman" w:eastAsia="Times New Roman" w:hint="default"/>
        </w:rPr>
        <w:t>”</w:t>
      </w:r>
      <w:r>
        <w:rPr/>
        <w:t>跨界网点。我们预计未来随着线上业务的不断丰富，线下 </w:t>
      </w:r>
      <w:r>
        <w:rPr>
          <w:spacing w:val="-2"/>
        </w:rPr>
        <w:t>办理业务的网点会更集中。单一业务处理的网点会逐渐减少，能办理所有业务的综合性业务处理网点会成为主流，银行</w:t>
      </w:r>
      <w:r>
        <w:rPr>
          <w:spacing w:val="-64"/>
        </w:rPr>
        <w:t> </w:t>
      </w:r>
      <w:r>
        <w:rPr>
          <w:spacing w:val="-64"/>
        </w:rPr>
      </w:r>
      <w:r>
        <w:rPr/>
        <w:t>网点最有机会成为承载金融、政务、不动产和警务多种线下业务办理的综合性服务场所，这是因为银行网点数量最多、 </w:t>
      </w:r>
      <w:r>
        <w:rPr>
          <w:spacing w:val="-2"/>
        </w:rPr>
        <w:t>分布最广、离市民的工作生活圈最近、科技投入最大。随着商业银行对金融科技领域投入的持续加大，银行网点的智能</w:t>
      </w:r>
      <w:r>
        <w:rPr>
          <w:spacing w:val="-66"/>
        </w:rPr>
        <w:t> </w:t>
      </w:r>
      <w:r>
        <w:rPr>
          <w:spacing w:val="-66"/>
        </w:rPr>
      </w:r>
      <w:r>
        <w:rPr/>
        <w:t>化改造市场空间潜力巨大，按照全国</w:t>
      </w:r>
      <w:r>
        <w:rPr>
          <w:spacing w:val="-31"/>
        </w:rPr>
        <w:t> </w:t>
      </w:r>
      <w:r>
        <w:rPr>
          <w:rFonts w:ascii="Times New Roman" w:hAnsi="Times New Roman" w:cs="Times New Roman" w:eastAsia="Times New Roman" w:hint="default"/>
        </w:rPr>
        <w:t>22.8</w:t>
      </w:r>
      <w:r>
        <w:rPr>
          <w:rFonts w:ascii="Times New Roman" w:hAnsi="Times New Roman" w:cs="Times New Roman" w:eastAsia="Times New Roman" w:hint="default"/>
          <w:spacing w:val="11"/>
        </w:rPr>
        <w:t> </w:t>
      </w:r>
      <w:r>
        <w:rPr/>
        <w:t>万个网点，每个网点改造费</w:t>
      </w:r>
      <w:r>
        <w:rPr>
          <w:spacing w:val="-38"/>
        </w:rPr>
        <w:t> </w:t>
      </w:r>
      <w:r>
        <w:rPr>
          <w:rFonts w:ascii="Times New Roman" w:hAnsi="Times New Roman" w:cs="Times New Roman" w:eastAsia="Times New Roman" w:hint="default"/>
        </w:rPr>
        <w:t>100-200</w:t>
      </w:r>
      <w:r>
        <w:rPr>
          <w:rFonts w:ascii="Times New Roman" w:hAnsi="Times New Roman" w:cs="Times New Roman" w:eastAsia="Times New Roman" w:hint="default"/>
          <w:spacing w:val="11"/>
        </w:rPr>
        <w:t> </w:t>
      </w:r>
      <w:r>
        <w:rPr/>
        <w:t>万元预算进行计算，这是一个千亿级的</w:t>
      </w:r>
      <w:r>
        <w:rPr>
          <w:spacing w:val="-67"/>
        </w:rPr>
        <w:t> </w:t>
      </w:r>
      <w:r>
        <w:rPr>
          <w:spacing w:val="-67"/>
        </w:rPr>
      </w:r>
      <w:r>
        <w:rPr/>
        <w:t>新兴市场。</w:t>
      </w:r>
    </w:p>
    <w:p>
      <w:pPr>
        <w:pStyle w:val="BodyText"/>
        <w:spacing w:line="312" w:lineRule="auto" w:before="67"/>
        <w:ind w:right="1489" w:firstLine="360"/>
        <w:jc w:val="both"/>
      </w:pPr>
      <w:r>
        <w:rPr>
          <w:spacing w:val="-2"/>
        </w:rPr>
        <w:t>公司控股子公司中科江南为政府部门、银行、企事业单位提供整套智慧财政解决方案，财政国库资金支付电子化应</w:t>
      </w:r>
      <w:r>
        <w:rPr/>
        <w:t> </w:t>
      </w:r>
      <w:r>
        <w:rPr>
          <w:spacing w:val="-2"/>
        </w:rPr>
        <w:t>用市场占有率高。其应用的国库支付电子化和非税缴库电子化的核心产品，是目前国内部署范围最广、交易频率最高的</w:t>
      </w:r>
      <w:r>
        <w:rPr>
          <w:spacing w:val="-65"/>
        </w:rPr>
        <w:t> </w:t>
      </w:r>
      <w:r>
        <w:rPr>
          <w:spacing w:val="-65"/>
        </w:rPr>
      </w:r>
      <w:r>
        <w:rPr/>
        <w:t>分布式账本之一，具有良好的发展前景，</w:t>
      </w:r>
      <w:r>
        <w:rPr>
          <w:rFonts w:ascii="Times New Roman" w:hAnsi="Times New Roman" w:cs="Times New Roman" w:eastAsia="Times New Roman" w:hint="default"/>
        </w:rPr>
        <w:t>2019</w:t>
      </w:r>
      <w:r>
        <w:rPr>
          <w:rFonts w:ascii="Times New Roman" w:hAnsi="Times New Roman" w:cs="Times New Roman" w:eastAsia="Times New Roman" w:hint="default"/>
          <w:spacing w:val="4"/>
        </w:rPr>
        <w:t> </w:t>
      </w:r>
      <w:r>
        <w:rPr/>
        <w:t>年全年新签合同超</w:t>
      </w:r>
      <w:r>
        <w:rPr>
          <w:spacing w:val="-36"/>
        </w:rPr>
        <w:t> </w:t>
      </w:r>
      <w:r>
        <w:rPr>
          <w:rFonts w:ascii="Times New Roman" w:hAnsi="Times New Roman" w:cs="Times New Roman" w:eastAsia="Times New Roman" w:hint="default"/>
        </w:rPr>
        <w:t>6.5</w:t>
      </w:r>
      <w:r>
        <w:rPr>
          <w:rFonts w:ascii="Times New Roman" w:hAnsi="Times New Roman" w:cs="Times New Roman" w:eastAsia="Times New Roman" w:hint="default"/>
          <w:spacing w:val="4"/>
        </w:rPr>
        <w:t> </w:t>
      </w:r>
      <w:r>
        <w:rPr/>
        <w:t>亿元。</w:t>
      </w:r>
      <w:r>
        <w:rPr>
          <w:rFonts w:ascii="Times New Roman" w:hAnsi="Times New Roman" w:cs="Times New Roman" w:eastAsia="Times New Roman" w:hint="default"/>
        </w:rPr>
        <w:t>2020</w:t>
      </w:r>
      <w:r>
        <w:rPr>
          <w:rFonts w:ascii="Times New Roman" w:hAnsi="Times New Roman" w:cs="Times New Roman" w:eastAsia="Times New Roman" w:hint="default"/>
          <w:spacing w:val="7"/>
        </w:rPr>
        <w:t> </w:t>
      </w:r>
      <w:r>
        <w:rPr/>
        <w:t>年</w:t>
      </w:r>
      <w:r>
        <w:rPr>
          <w:spacing w:val="-40"/>
        </w:rPr>
        <w:t> </w:t>
      </w:r>
      <w:r>
        <w:rPr>
          <w:rFonts w:ascii="Times New Roman" w:hAnsi="Times New Roman" w:cs="Times New Roman" w:eastAsia="Times New Roman" w:hint="default"/>
        </w:rPr>
        <w:t>3</w:t>
      </w:r>
      <w:r>
        <w:rPr>
          <w:rFonts w:ascii="Times New Roman" w:hAnsi="Times New Roman" w:cs="Times New Roman" w:eastAsia="Times New Roman" w:hint="default"/>
          <w:spacing w:val="7"/>
        </w:rPr>
        <w:t> </w:t>
      </w:r>
      <w:r>
        <w:rPr/>
        <w:t>月，公司发布公告计划分拆中科</w:t>
      </w:r>
      <w:r>
        <w:rPr>
          <w:spacing w:val="-88"/>
        </w:rPr>
        <w:t> </w:t>
      </w:r>
      <w:r>
        <w:rPr>
          <w:spacing w:val="-88"/>
        </w:rPr>
      </w:r>
      <w:r>
        <w:rPr/>
        <w:t>江南至深交所创业板上市。</w:t>
      </w:r>
    </w:p>
    <w:p>
      <w:pPr>
        <w:pStyle w:val="BodyText"/>
        <w:spacing w:line="314" w:lineRule="auto" w:before="61"/>
        <w:ind w:right="1489" w:firstLine="360"/>
        <w:jc w:val="both"/>
      </w:pPr>
      <w:r>
        <w:rPr>
          <w:spacing w:val="-2"/>
        </w:rPr>
        <w:t>随着我国城市轨道交通建设快速推进和网络化运营程度不断深入，城轨交通正在加快实现由高速发展向高质量发展</w:t>
      </w:r>
      <w:r>
        <w:rPr/>
        <w:t> </w:t>
      </w:r>
      <w:r>
        <w:rPr>
          <w:spacing w:val="-2"/>
        </w:rPr>
        <w:t>的转变。提升车站智慧化水平可为乘客提供更为舒适、安全、可靠、一体化和人性化的出行服务体验。公司积极推动城</w:t>
      </w:r>
      <w:r>
        <w:rPr>
          <w:spacing w:val="-65"/>
        </w:rPr>
        <w:t> </w:t>
      </w:r>
      <w:r>
        <w:rPr>
          <w:spacing w:val="-65"/>
        </w:rPr>
      </w:r>
      <w:r>
        <w:rPr>
          <w:spacing w:val="-2"/>
        </w:rPr>
        <w:t>市轨道交通智慧车站落地应用，率先与广州地铁共建智慧地铁示范车站，构建面向乘客的智能化全过程服务系统，深化</w:t>
      </w:r>
      <w:r>
        <w:rPr>
          <w:spacing w:val="-64"/>
        </w:rPr>
        <w:t> </w:t>
      </w:r>
      <w:r>
        <w:rPr>
          <w:spacing w:val="-64"/>
        </w:rPr>
      </w:r>
      <w:r>
        <w:rPr>
          <w:spacing w:val="-2"/>
        </w:rPr>
        <w:t>了安检、支付、过闸和客服四个地铁出行场景，推出了七款产品，成为城市轨道交通行业内首个完整落地应用的智慧化</w:t>
      </w:r>
      <w:r>
        <w:rPr>
          <w:spacing w:val="-66"/>
        </w:rPr>
        <w:t> </w:t>
      </w:r>
      <w:r>
        <w:rPr>
          <w:spacing w:val="-66"/>
        </w:rPr>
      </w:r>
      <w:r>
        <w:rPr/>
        <w:t>解决方案，在广州、深圳、北京引发新的探索模式。</w:t>
      </w:r>
      <w:r>
        <w:rPr>
          <w:rFonts w:ascii="Times New Roman" w:hAnsi="Times New Roman" w:cs="Times New Roman" w:eastAsia="Times New Roman" w:hint="default"/>
        </w:rPr>
        <w:t>2020 </w:t>
      </w:r>
      <w:r>
        <w:rPr/>
        <w:t>年起，国内多个城市开展智慧车站示范工程建设，个别城市</w:t>
      </w:r>
      <w:r>
        <w:rPr>
          <w:spacing w:val="-46"/>
        </w:rPr>
        <w:t> </w:t>
      </w:r>
      <w:r>
        <w:rPr>
          <w:spacing w:val="-46"/>
        </w:rPr>
      </w:r>
      <w:r>
        <w:rPr/>
        <w:t>将扩大到整条线应用，广电运通智慧车站解决方案将获得更多落地机会。</w:t>
      </w:r>
    </w:p>
    <w:p>
      <w:pPr>
        <w:pStyle w:val="BodyText"/>
        <w:spacing w:line="309" w:lineRule="auto" w:before="61"/>
        <w:ind w:right="1489" w:firstLine="360"/>
        <w:jc w:val="both"/>
      </w:pPr>
      <w:r>
        <w:rPr>
          <w:spacing w:val="-2"/>
        </w:rPr>
        <w:t>公司控股子公司信义科技积极参与智慧城市建设与服务，持续打造一系列平安城市、雪亮工程的国内标杆项目。其</w:t>
      </w:r>
      <w:r>
        <w:rPr/>
        <w:t> </w:t>
      </w:r>
      <w:r>
        <w:rPr>
          <w:spacing w:val="-2"/>
        </w:rPr>
        <w:t>核心产品</w:t>
      </w:r>
      <w:r>
        <w:rPr>
          <w:rFonts w:ascii="Times New Roman" w:hAnsi="Times New Roman" w:cs="Times New Roman" w:eastAsia="Times New Roman" w:hint="default"/>
          <w:spacing w:val="-2"/>
        </w:rPr>
        <w:t>“</w:t>
      </w:r>
      <w:r>
        <w:rPr>
          <w:spacing w:val="-2"/>
        </w:rPr>
        <w:t>智能视频大数据汇聚共享平台</w:t>
      </w:r>
      <w:r>
        <w:rPr>
          <w:rFonts w:ascii="Times New Roman" w:hAnsi="Times New Roman" w:cs="Times New Roman" w:eastAsia="Times New Roman" w:hint="default"/>
          <w:spacing w:val="-2"/>
        </w:rPr>
        <w:t>”</w:t>
      </w:r>
      <w:r>
        <w:rPr>
          <w:spacing w:val="-2"/>
        </w:rPr>
        <w:t>将推动公共安全视频监控建设集约化、联网规范化、应用智能化，让视频大数</w:t>
      </w:r>
      <w:r>
        <w:rPr>
          <w:spacing w:val="-45"/>
        </w:rPr>
        <w:t> </w:t>
      </w:r>
      <w:r>
        <w:rPr>
          <w:spacing w:val="-45"/>
        </w:rPr>
      </w:r>
      <w:r>
        <w:rPr/>
        <w:t>据应用与警务侦查职能深度融合，助力全方位提升城市管理和应急指挥智慧化水平。</w:t>
      </w:r>
    </w:p>
    <w:p>
      <w:pPr>
        <w:pStyle w:val="BodyText"/>
        <w:spacing w:line="300" w:lineRule="auto" w:before="65"/>
        <w:ind w:right="1488" w:firstLine="360"/>
        <w:jc w:val="both"/>
        <w:rPr>
          <w:rFonts w:ascii="Times New Roman" w:hAnsi="Times New Roman" w:cs="Times New Roman" w:eastAsia="Times New Roman" w:hint="default"/>
        </w:rPr>
      </w:pPr>
      <w:r>
        <w:rPr/>
        <w:t>公司在便民领域着重打造平台运营模式。公司控股子公司平云小匠为自助设备、商用显示、智能物联、</w:t>
      </w:r>
      <w:r>
        <w:rPr>
          <w:rFonts w:ascii="Times New Roman" w:hAnsi="Times New Roman" w:cs="Times New Roman" w:eastAsia="Times New Roman" w:hint="default"/>
        </w:rPr>
        <w:t>IT</w:t>
      </w:r>
      <w:r>
        <w:rPr>
          <w:rFonts w:ascii="Times New Roman" w:hAnsi="Times New Roman" w:cs="Times New Roman" w:eastAsia="Times New Roman" w:hint="default"/>
          <w:spacing w:val="40"/>
        </w:rPr>
        <w:t> </w:t>
      </w:r>
      <w:r>
        <w:rPr/>
        <w:t>网络、 </w:t>
      </w:r>
      <w:r>
        <w:rPr>
          <w:spacing w:val="2"/>
        </w:rPr>
        <w:t>安防监控、信息通信等诸多行业用户提供一站式售后市场解决方案，拥有超过 </w:t>
      </w:r>
      <w:r>
        <w:rPr>
          <w:rFonts w:ascii="Times New Roman" w:hAnsi="Times New Roman" w:cs="Times New Roman" w:eastAsia="Times New Roman" w:hint="default"/>
        </w:rPr>
        <w:t>6 </w:t>
      </w:r>
      <w:r>
        <w:rPr>
          <w:spacing w:val="2"/>
        </w:rPr>
        <w:t>万名网络认证工程师，覆盖国内</w:t>
      </w:r>
      <w:r>
        <w:rPr>
          <w:spacing w:val="-66"/>
        </w:rPr>
        <w:t> </w:t>
      </w:r>
      <w:r>
        <w:rPr>
          <w:rFonts w:ascii="Times New Roman" w:hAnsi="Times New Roman" w:cs="Times New Roman" w:eastAsia="Times New Roman" w:hint="default"/>
        </w:rPr>
        <w:t>337</w:t>
      </w:r>
    </w:p>
    <w:p>
      <w:pPr>
        <w:pStyle w:val="BodyText"/>
        <w:spacing w:line="300" w:lineRule="auto" w:before="13"/>
        <w:ind w:right="1489"/>
        <w:jc w:val="both"/>
      </w:pPr>
      <w:r>
        <w:rPr/>
        <w:t>个城市，加盟服务商近</w:t>
      </w:r>
      <w:r>
        <w:rPr>
          <w:spacing w:val="-53"/>
        </w:rPr>
        <w:t> </w:t>
      </w:r>
      <w:r>
        <w:rPr>
          <w:rFonts w:ascii="Times New Roman" w:hAnsi="Times New Roman" w:cs="Times New Roman" w:eastAsia="Times New Roman" w:hint="default"/>
        </w:rPr>
        <w:t>2,000</w:t>
      </w:r>
      <w:r>
        <w:rPr>
          <w:rFonts w:ascii="Times New Roman" w:hAnsi="Times New Roman" w:cs="Times New Roman" w:eastAsia="Times New Roman" w:hint="default"/>
          <w:spacing w:val="-8"/>
        </w:rPr>
        <w:t> </w:t>
      </w:r>
      <w:r>
        <w:rPr>
          <w:spacing w:val="-3"/>
        </w:rPr>
        <w:t>家，与</w:t>
      </w:r>
      <w:r>
        <w:rPr>
          <w:spacing w:val="-52"/>
        </w:rPr>
        <w:t> </w:t>
      </w:r>
      <w:r>
        <w:rPr>
          <w:rFonts w:ascii="Times New Roman" w:hAnsi="Times New Roman" w:cs="Times New Roman" w:eastAsia="Times New Roman" w:hint="default"/>
        </w:rPr>
        <w:t>500</w:t>
      </w:r>
      <w:r>
        <w:rPr>
          <w:rFonts w:ascii="Times New Roman" w:hAnsi="Times New Roman" w:cs="Times New Roman" w:eastAsia="Times New Roman" w:hint="default"/>
          <w:spacing w:val="-8"/>
        </w:rPr>
        <w:t> </w:t>
      </w:r>
      <w:r>
        <w:rPr/>
        <w:t>多家有服务需求的大中型企业建立合作关系，在服务覆盖范围、技术实力、响 应速度等方面均处于行业前列。</w:t>
      </w:r>
      <w:r>
        <w:rPr>
          <w:rFonts w:ascii="Times New Roman" w:hAnsi="Times New Roman" w:cs="Times New Roman" w:eastAsia="Times New Roman" w:hint="default"/>
        </w:rPr>
        <w:t>2020</w:t>
      </w:r>
      <w:r>
        <w:rPr>
          <w:rFonts w:ascii="Times New Roman" w:hAnsi="Times New Roman" w:cs="Times New Roman" w:eastAsia="Times New Roman" w:hint="default"/>
          <w:spacing w:val="11"/>
        </w:rPr>
        <w:t> </w:t>
      </w:r>
      <w:r>
        <w:rPr/>
        <w:t>年</w:t>
      </w:r>
      <w:r>
        <w:rPr>
          <w:spacing w:val="-33"/>
        </w:rPr>
        <w:t> </w:t>
      </w:r>
      <w:r>
        <w:rPr>
          <w:rFonts w:ascii="Times New Roman" w:hAnsi="Times New Roman" w:cs="Times New Roman" w:eastAsia="Times New Roman" w:hint="default"/>
        </w:rPr>
        <w:t>1</w:t>
      </w:r>
      <w:r>
        <w:rPr>
          <w:rFonts w:ascii="Times New Roman" w:hAnsi="Times New Roman" w:cs="Times New Roman" w:eastAsia="Times New Roman" w:hint="default"/>
          <w:spacing w:val="14"/>
        </w:rPr>
        <w:t> </w:t>
      </w:r>
      <w:r>
        <w:rPr/>
        <w:t>月，平云小匠启动第一轮外部融资，引入战略投资者，持续开展</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服</w:t>
      </w:r>
      <w:r>
        <w:rPr>
          <w:spacing w:val="-85"/>
        </w:rPr>
        <w:t> </w:t>
      </w:r>
      <w:r>
        <w:rPr/>
        <w:t>务</w:t>
      </w:r>
      <w:r>
        <w:rPr>
          <w:rFonts w:ascii="Times New Roman" w:hAnsi="Times New Roman" w:cs="Times New Roman" w:eastAsia="Times New Roman" w:hint="default"/>
        </w:rPr>
        <w:t>”</w:t>
      </w:r>
      <w:r>
        <w:rPr/>
        <w:t>线上平台建设。</w:t>
      </w:r>
    </w:p>
    <w:p>
      <w:pPr>
        <w:spacing w:after="0" w:line="300" w:lineRule="auto"/>
        <w:jc w:val="both"/>
        <w:sectPr>
          <w:pgSz w:w="11910" w:h="16840"/>
          <w:pgMar w:header="878" w:footer="978" w:top="1100" w:bottom="1160" w:left="1020" w:right="0"/>
        </w:sectPr>
      </w:pPr>
    </w:p>
    <w:p>
      <w:pPr>
        <w:spacing w:line="240" w:lineRule="auto" w:before="1"/>
        <w:rPr>
          <w:rFonts w:ascii="宋体" w:hAnsi="宋体" w:cs="宋体" w:eastAsia="宋体" w:hint="default"/>
          <w:sz w:val="22"/>
          <w:szCs w:val="22"/>
        </w:rPr>
      </w:pPr>
    </w:p>
    <w:p>
      <w:pPr>
        <w:pStyle w:val="BodyText"/>
        <w:spacing w:line="240" w:lineRule="auto" w:before="44"/>
        <w:ind w:left="472" w:right="1394"/>
        <w:jc w:val="left"/>
      </w:pPr>
      <w:r>
        <w:rPr/>
        <w:t>智能零售是公司在便民领域打造的另一个运营平台</w:t>
      </w:r>
      <w:r>
        <w:rPr>
          <w:spacing w:val="-82"/>
        </w:rPr>
        <w:t>。</w:t>
      </w:r>
      <w:r>
        <w:rPr/>
        <w:t>公司控股子公司运通购快在全国</w:t>
      </w:r>
      <w:r>
        <w:rPr>
          <w:spacing w:val="-45"/>
        </w:rPr>
        <w:t> </w:t>
      </w:r>
      <w:r>
        <w:rPr>
          <w:rFonts w:ascii="Times New Roman" w:hAnsi="Times New Roman" w:cs="Times New Roman" w:eastAsia="Times New Roman" w:hint="default"/>
          <w:spacing w:val="1"/>
        </w:rPr>
        <w:t>4</w:t>
      </w:r>
      <w:r>
        <w:rPr>
          <w:rFonts w:ascii="Times New Roman" w:hAnsi="Times New Roman" w:cs="Times New Roman" w:eastAsia="Times New Roman" w:hint="default"/>
          <w:spacing w:val="-2"/>
        </w:rPr>
        <w:t>0</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多个城市布局近万台智能</w:t>
      </w:r>
    </w:p>
    <w:p>
      <w:pPr>
        <w:pStyle w:val="BodyText"/>
        <w:spacing w:line="309" w:lineRule="auto" w:before="63"/>
        <w:ind w:right="1394"/>
        <w:jc w:val="left"/>
      </w:pPr>
      <w:r>
        <w:rPr/>
        <w:t>自助售货机，为医院、工厂、社区、交通枢纽等重要场所</w:t>
      </w:r>
      <w:r>
        <w:rPr>
          <w:spacing w:val="-45"/>
        </w:rPr>
        <w:t> </w:t>
      </w:r>
      <w:r>
        <w:rPr>
          <w:rFonts w:ascii="Times New Roman" w:hAnsi="Times New Roman" w:cs="Times New Roman" w:eastAsia="Times New Roman" w:hint="default"/>
        </w:rPr>
        <w:t>24</w:t>
      </w:r>
      <w:r>
        <w:rPr>
          <w:rFonts w:ascii="Times New Roman" w:hAnsi="Times New Roman" w:cs="Times New Roman" w:eastAsia="Times New Roman" w:hint="default"/>
          <w:spacing w:val="-1"/>
        </w:rPr>
        <w:t> </w:t>
      </w:r>
      <w:r>
        <w:rPr/>
        <w:t>小时提供智能零售服务。可满足消费者对食品、饮料等生 </w:t>
      </w:r>
      <w:r>
        <w:rPr>
          <w:spacing w:val="-4"/>
        </w:rPr>
        <w:t>活必需品的核心需求。未来，运通购快将深度挖掘老龄化社区、健康数据、大众消费数据等社区服务价值，搭建信息化、</w:t>
      </w:r>
      <w:r>
        <w:rPr>
          <w:spacing w:val="-50"/>
        </w:rPr>
        <w:t> </w:t>
      </w:r>
      <w:r>
        <w:rPr>
          <w:spacing w:val="-50"/>
        </w:rPr>
      </w:r>
      <w:r>
        <w:rPr/>
        <w:t>数据化的智能便民服务生态系统，致力打造中国智能便民服务生态的优秀平台。</w:t>
      </w:r>
    </w:p>
    <w:p>
      <w:pPr>
        <w:pStyle w:val="BodyText"/>
        <w:spacing w:line="312" w:lineRule="auto" w:before="62"/>
        <w:ind w:right="1394" w:firstLine="360"/>
        <w:jc w:val="left"/>
      </w:pPr>
      <w:r>
        <w:rPr>
          <w:spacing w:val="-2"/>
        </w:rPr>
        <w:t>掌握核心技术是广电运通企业文化的基因，在应用场景拓展和平台建设的过程中，公司全套掌握了人脸识别、指纹</w:t>
      </w:r>
      <w:r>
        <w:rPr/>
        <w:t> </w:t>
      </w:r>
      <w:r>
        <w:rPr>
          <w:spacing w:val="-4"/>
        </w:rPr>
        <w:t>识别、静脉识别等生物识别技术，发展了视频监控、视频浓缩、异常行为识别等计算机视觉技术，打造了对算法、算力、</w:t>
      </w:r>
      <w:r>
        <w:rPr>
          <w:spacing w:val="-51"/>
        </w:rPr>
        <w:t> </w:t>
      </w:r>
      <w:r>
        <w:rPr>
          <w:spacing w:val="-51"/>
        </w:rPr>
      </w:r>
      <w:r>
        <w:rPr/>
        <w:t>数据智能调配的人工智能大数据平台，在万物智联的世界，广电运通正围绕</w:t>
      </w:r>
      <w:r>
        <w:rPr>
          <w:rFonts w:ascii="Times New Roman" w:hAnsi="Times New Roman" w:cs="Times New Roman" w:eastAsia="Times New Roman" w:hint="default"/>
        </w:rPr>
        <w:t>“</w:t>
      </w:r>
      <w:r>
        <w:rPr/>
        <w:t>智能终端</w:t>
      </w:r>
      <w:r>
        <w:rPr>
          <w:rFonts w:ascii="Times New Roman" w:hAnsi="Times New Roman" w:cs="Times New Roman" w:eastAsia="Times New Roman" w:hint="default"/>
        </w:rPr>
        <w:t>+</w:t>
      </w:r>
      <w:r>
        <w:rPr/>
        <w:t>大数据</w:t>
      </w:r>
      <w:r>
        <w:rPr>
          <w:rFonts w:ascii="Times New Roman" w:hAnsi="Times New Roman" w:cs="Times New Roman" w:eastAsia="Times New Roman" w:hint="default"/>
        </w:rPr>
        <w:t>”</w:t>
      </w:r>
      <w:r>
        <w:rPr/>
        <w:t>的方式实现价值闭环， 持续构建</w:t>
      </w:r>
      <w:r>
        <w:rPr>
          <w:spacing w:val="-47"/>
        </w:rPr>
        <w:t> </w:t>
      </w:r>
      <w:r>
        <w:rPr>
          <w:rFonts w:ascii="Times New Roman" w:hAnsi="Times New Roman" w:cs="Times New Roman" w:eastAsia="Times New Roman" w:hint="default"/>
        </w:rPr>
        <w:t>AIOT</w:t>
      </w:r>
      <w:r>
        <w:rPr>
          <w:rFonts w:ascii="Times New Roman" w:hAnsi="Times New Roman" w:cs="Times New Roman" w:eastAsia="Times New Roman" w:hint="default"/>
          <w:spacing w:val="-1"/>
        </w:rPr>
        <w:t> </w:t>
      </w:r>
      <w:r>
        <w:rPr/>
        <w:t>生态。</w:t>
      </w:r>
    </w:p>
    <w:p>
      <w:pPr>
        <w:pStyle w:val="BodyText"/>
        <w:spacing w:line="307" w:lineRule="auto" w:before="44"/>
        <w:ind w:right="1388" w:firstLine="360"/>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9"/>
        </w:rPr>
        <w:t> </w:t>
      </w:r>
      <w:r>
        <w:rPr>
          <w:spacing w:val="-1"/>
        </w:rPr>
        <w:t>年，公司董事会坚持主动公开披露信息、积极组织投资者交流会、快速回复互动易等多种方式传播公司价值，</w:t>
      </w:r>
      <w:r>
        <w:rPr/>
        <w:t> </w:t>
      </w:r>
      <w:r>
        <w:rPr>
          <w:spacing w:val="-4"/>
        </w:rPr>
        <w:t>及时主动地向广大股民汇报公司业务的最新进展及策略，市值管理与品牌影响力交相辉映，整体软实力建设再上新台阶，</w:t>
      </w:r>
      <w:r>
        <w:rPr>
          <w:spacing w:val="-49"/>
        </w:rPr>
        <w:t> </w:t>
      </w:r>
      <w:r>
        <w:rPr>
          <w:spacing w:val="-49"/>
        </w:rPr>
      </w:r>
      <w:r>
        <w:rPr/>
        <w:t>获得知识产权、科研、制造等多个领域的重量级奖项，成功入围人工智能未来企业</w:t>
      </w:r>
      <w:r>
        <w:rPr>
          <w:spacing w:val="-46"/>
        </w:rPr>
        <w:t> </w:t>
      </w:r>
      <w:r>
        <w:rPr>
          <w:rFonts w:ascii="Times New Roman" w:hAnsi="Times New Roman" w:cs="Times New Roman" w:eastAsia="Times New Roman" w:hint="default"/>
        </w:rPr>
        <w:t>TOP100</w:t>
      </w:r>
      <w:r>
        <w:rPr>
          <w:rFonts w:ascii="Times New Roman" w:hAnsi="Times New Roman" w:cs="Times New Roman" w:eastAsia="Times New Roman" w:hint="default"/>
          <w:spacing w:val="-2"/>
        </w:rPr>
        <w:t> </w:t>
      </w:r>
      <w:r>
        <w:rPr/>
        <w:t>排行榜，以</w:t>
      </w:r>
      <w:r>
        <w:rPr>
          <w:spacing w:val="-46"/>
        </w:rPr>
        <w:t> </w:t>
      </w:r>
      <w:r>
        <w:rPr>
          <w:rFonts w:ascii="Times New Roman" w:hAnsi="Times New Roman" w:cs="Times New Roman" w:eastAsia="Times New Roman" w:hint="default"/>
        </w:rPr>
        <w:t>219.73</w:t>
      </w:r>
      <w:r>
        <w:rPr>
          <w:rFonts w:ascii="Times New Roman" w:hAnsi="Times New Roman" w:cs="Times New Roman" w:eastAsia="Times New Roman" w:hint="default"/>
          <w:spacing w:val="-2"/>
        </w:rPr>
        <w:t> </w:t>
      </w:r>
      <w:r>
        <w:rPr/>
        <w:t>亿的品 牌价值进入</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中国上市公司品牌</w:t>
      </w:r>
      <w:r>
        <w:rPr>
          <w:spacing w:val="-47"/>
        </w:rPr>
        <w:t> </w:t>
      </w:r>
      <w:r>
        <w:rPr>
          <w:rFonts w:ascii="Times New Roman" w:hAnsi="Times New Roman" w:cs="Times New Roman" w:eastAsia="Times New Roman" w:hint="default"/>
        </w:rPr>
        <w:t>500</w:t>
      </w:r>
      <w:r>
        <w:rPr>
          <w:rFonts w:ascii="Times New Roman" w:hAnsi="Times New Roman" w:cs="Times New Roman" w:eastAsia="Times New Roman" w:hint="default"/>
          <w:spacing w:val="-3"/>
        </w:rPr>
        <w:t> </w:t>
      </w:r>
      <w:r>
        <w:rPr/>
        <w:t>强</w:t>
      </w:r>
      <w:r>
        <w:rPr>
          <w:rFonts w:ascii="Times New Roman" w:hAnsi="Times New Roman" w:cs="Times New Roman" w:eastAsia="Times New Roman" w:hint="default"/>
        </w:rPr>
        <w:t>”</w:t>
      </w:r>
      <w:r>
        <w:rPr/>
        <w:t>榜单。</w:t>
      </w:r>
    </w:p>
    <w:p>
      <w:pPr>
        <w:pStyle w:val="BodyText"/>
        <w:spacing w:line="316" w:lineRule="auto" w:before="48"/>
        <w:ind w:right="1394" w:firstLine="360"/>
        <w:jc w:val="left"/>
      </w:pPr>
      <w:r>
        <w:rPr>
          <w:spacing w:val="-4"/>
        </w:rPr>
        <w:t>展望未来，新一轮科技革命正在催生大量新产业、新业态、新商业模式，人工智能产业作为新基建的主要组成部分，</w:t>
      </w:r>
      <w:r>
        <w:rPr/>
        <w:t> </w:t>
      </w:r>
      <w:r>
        <w:rPr>
          <w:spacing w:val="-2"/>
        </w:rPr>
        <w:t>将以更快的速度、更广的范围对全球价值链条进行整合和重构。广电运通已经先行一步，接下来将进一步顺应国家改革</w:t>
      </w:r>
      <w:r>
        <w:rPr>
          <w:spacing w:val="-69"/>
        </w:rPr>
        <w:t> </w:t>
      </w:r>
      <w:r>
        <w:rPr>
          <w:spacing w:val="-69"/>
        </w:rPr>
      </w:r>
      <w:r>
        <w:rPr>
          <w:spacing w:val="-4"/>
        </w:rPr>
        <w:t>与发展趋势，全面加强核心技术攻关，全面提升柔性制造的协同能力，全力推动组织变革，坚持产业与资本的双轮驱动，</w:t>
      </w:r>
      <w:r>
        <w:rPr>
          <w:spacing w:val="-51"/>
        </w:rPr>
        <w:t> </w:t>
      </w:r>
      <w:r>
        <w:rPr>
          <w:spacing w:val="-51"/>
        </w:rPr>
      </w:r>
      <w:r>
        <w:rPr/>
        <w:t>守正创新、坚定笃行，全力开创下个二十年高质量发展新局面。</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2"/>
          <w:szCs w:val="22"/>
        </w:rPr>
      </w:pPr>
    </w:p>
    <w:p>
      <w:pPr>
        <w:pStyle w:val="BodyText"/>
        <w:spacing w:line="240" w:lineRule="auto"/>
        <w:ind w:left="0" w:right="1492"/>
        <w:jc w:val="right"/>
      </w:pPr>
      <w:r>
        <w:rPr/>
        <w:t>广电运通董事会</w:t>
      </w:r>
    </w:p>
    <w:p>
      <w:pPr>
        <w:pStyle w:val="BodyText"/>
        <w:spacing w:line="240" w:lineRule="auto" w:before="115"/>
        <w:ind w:left="0" w:right="1492"/>
        <w:jc w:val="right"/>
      </w:pPr>
      <w:r>
        <w:rPr>
          <w:rFonts w:ascii="Times New Roman" w:hAnsi="Times New Roman" w:cs="Times New Roman" w:eastAsia="Times New Roman" w:hint="default"/>
        </w:rPr>
        <w:t>2020</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27</w:t>
      </w:r>
      <w:r>
        <w:rPr>
          <w:rFonts w:ascii="Times New Roman" w:hAnsi="Times New Roman" w:cs="Times New Roman" w:eastAsia="Times New Roman" w:hint="default"/>
          <w:spacing w:val="-3"/>
        </w:rPr>
        <w:t> </w:t>
      </w:r>
      <w:r>
        <w:rPr/>
        <w:t>日</w:t>
      </w:r>
    </w:p>
    <w:p>
      <w:pPr>
        <w:spacing w:after="0" w:line="240" w:lineRule="auto"/>
        <w:jc w:val="right"/>
        <w:sectPr>
          <w:pgSz w:w="11910" w:h="16840"/>
          <w:pgMar w:header="878" w:footer="978" w:top="1100" w:bottom="116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pStyle w:val="Heading1"/>
        <w:spacing w:line="240" w:lineRule="auto"/>
        <w:ind w:left="2764" w:right="1394"/>
        <w:jc w:val="left"/>
        <w:rPr>
          <w:b w:val="0"/>
          <w:bCs w:val="0"/>
        </w:rPr>
      </w:pPr>
      <w:bookmarkStart w:name="第一节 重要提示、目录和释义" w:id="1"/>
      <w:bookmarkEnd w:id="1"/>
      <w:r>
        <w:rPr>
          <w:b w:val="0"/>
          <w:bCs w:val="0"/>
        </w:rPr>
      </w:r>
      <w:bookmarkStart w:name="_bookmark0" w:id="2"/>
      <w:bookmarkEnd w:id="2"/>
      <w:r>
        <w:rPr>
          <w:b w:val="0"/>
          <w:bCs w:val="0"/>
        </w:rPr>
      </w:r>
      <w:r>
        <w:rPr/>
        <w:t>第一节</w:t>
      </w:r>
      <w:r>
        <w:rPr>
          <w:spacing w:val="-11"/>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2"/>
        <w:ind w:left="112" w:right="1128" w:firstLine="561"/>
        <w:jc w:val="both"/>
        <w:rPr>
          <w:rFonts w:ascii="宋体" w:hAnsi="宋体" w:cs="宋体" w:eastAsia="宋体" w:hint="default"/>
          <w:sz w:val="28"/>
          <w:szCs w:val="28"/>
        </w:rPr>
      </w:pPr>
      <w:r>
        <w:rPr>
          <w:rFonts w:ascii="宋体" w:hAnsi="宋体" w:cs="宋体" w:eastAsia="宋体" w:hint="default"/>
          <w:b/>
          <w:bCs/>
          <w:spacing w:val="2"/>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2"/>
          <w:sz w:val="28"/>
          <w:szCs w:val="28"/>
        </w:rPr>
        <w:t>实、准确、完整，不存在虚假记载、误导性陈述或重大遗漏，并承担个别和连</w:t>
      </w:r>
      <w:r>
        <w:rPr>
          <w:rFonts w:ascii="宋体" w:hAnsi="宋体" w:cs="宋体" w:eastAsia="宋体" w:hint="default"/>
          <w:b/>
          <w:bCs/>
          <w:spacing w:val="-135"/>
          <w:sz w:val="28"/>
          <w:szCs w:val="28"/>
        </w:rPr>
        <w:t> </w:t>
      </w:r>
      <w:r>
        <w:rPr>
          <w:rFonts w:ascii="宋体" w:hAnsi="宋体" w:cs="宋体" w:eastAsia="宋体" w:hint="default"/>
          <w:b/>
          <w:bCs/>
          <w:spacing w:val="-135"/>
          <w:sz w:val="28"/>
          <w:szCs w:val="28"/>
        </w:rPr>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408" w:lineRule="auto" w:before="160"/>
        <w:ind w:left="112" w:right="1128" w:firstLine="561"/>
        <w:jc w:val="both"/>
        <w:rPr>
          <w:rFonts w:ascii="宋体" w:hAnsi="宋体" w:cs="宋体" w:eastAsia="宋体" w:hint="default"/>
          <w:sz w:val="28"/>
          <w:szCs w:val="28"/>
        </w:rPr>
      </w:pPr>
      <w:r>
        <w:rPr>
          <w:rFonts w:ascii="宋体" w:hAnsi="宋体" w:cs="宋体" w:eastAsia="宋体" w:hint="default"/>
          <w:b/>
          <w:bCs/>
          <w:spacing w:val="2"/>
          <w:sz w:val="28"/>
          <w:szCs w:val="28"/>
        </w:rPr>
        <w:t>公司负责人黄跃珍、主管会计工作负责人陈建良及会计机构负责人（会计</w:t>
      </w:r>
      <w:r>
        <w:rPr>
          <w:rFonts w:ascii="宋体" w:hAnsi="宋体" w:cs="宋体" w:eastAsia="宋体" w:hint="default"/>
          <w:b/>
          <w:bCs/>
          <w:w w:val="99"/>
          <w:sz w:val="28"/>
          <w:szCs w:val="28"/>
        </w:rPr>
        <w:t> </w:t>
      </w:r>
      <w:r>
        <w:rPr>
          <w:rFonts w:ascii="宋体" w:hAnsi="宋体" w:cs="宋体" w:eastAsia="宋体" w:hint="default"/>
          <w:b/>
          <w:bCs/>
          <w:sz w:val="28"/>
          <w:szCs w:val="28"/>
        </w:rPr>
        <w:t>主管人员）惠小绒声明：保证年度报告中财务报告的真实、准确、完整。</w:t>
      </w:r>
      <w:r>
        <w:rPr>
          <w:rFonts w:ascii="宋体" w:hAnsi="宋体" w:cs="宋体" w:eastAsia="宋体" w:hint="default"/>
          <w:sz w:val="28"/>
          <w:szCs w:val="28"/>
        </w:rPr>
      </w:r>
    </w:p>
    <w:p>
      <w:pPr>
        <w:spacing w:line="475" w:lineRule="auto" w:before="162"/>
        <w:ind w:left="674" w:right="0"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2"/>
          <w:sz w:val="28"/>
          <w:szCs w:val="28"/>
        </w:rPr>
        <w:t>本年度报告涉及未来发展规划和经营目标的相关陈述，属于公司计划性事</w:t>
      </w:r>
      <w:r>
        <w:rPr>
          <w:rFonts w:ascii="宋体" w:hAnsi="宋体" w:cs="宋体" w:eastAsia="宋体" w:hint="default"/>
          <w:spacing w:val="2"/>
          <w:sz w:val="28"/>
          <w:szCs w:val="28"/>
        </w:rPr>
      </w:r>
    </w:p>
    <w:p>
      <w:pPr>
        <w:spacing w:line="350" w:lineRule="exact" w:before="0"/>
        <w:ind w:left="112" w:right="1394" w:firstLine="0"/>
        <w:jc w:val="left"/>
        <w:rPr>
          <w:rFonts w:ascii="宋体" w:hAnsi="宋体" w:cs="宋体" w:eastAsia="宋体" w:hint="default"/>
          <w:sz w:val="28"/>
          <w:szCs w:val="28"/>
        </w:rPr>
      </w:pPr>
      <w:r>
        <w:rPr>
          <w:rFonts w:ascii="宋体" w:hAnsi="宋体" w:cs="宋体" w:eastAsia="宋体" w:hint="default"/>
          <w:b/>
          <w:bCs/>
          <w:sz w:val="28"/>
          <w:szCs w:val="28"/>
        </w:rPr>
        <w:t>务，不构成公司对投资者的实质承诺，请投资者注意投资风险。</w:t>
      </w:r>
      <w:r>
        <w:rPr>
          <w:rFonts w:ascii="宋体" w:hAnsi="宋体" w:cs="宋体" w:eastAsia="宋体" w:hint="default"/>
          <w:sz w:val="28"/>
          <w:szCs w:val="28"/>
        </w:rPr>
      </w:r>
    </w:p>
    <w:p>
      <w:pPr>
        <w:spacing w:line="240" w:lineRule="auto" w:before="3"/>
        <w:rPr>
          <w:rFonts w:ascii="宋体" w:hAnsi="宋体" w:cs="宋体" w:eastAsia="宋体" w:hint="default"/>
          <w:b/>
          <w:bCs/>
          <w:sz w:val="27"/>
          <w:szCs w:val="27"/>
        </w:rPr>
      </w:pPr>
    </w:p>
    <w:p>
      <w:pPr>
        <w:spacing w:line="408" w:lineRule="auto" w:before="0"/>
        <w:ind w:left="112" w:right="1128" w:firstLine="561"/>
        <w:jc w:val="both"/>
        <w:rPr>
          <w:rFonts w:ascii="宋体" w:hAnsi="宋体" w:cs="宋体" w:eastAsia="宋体" w:hint="default"/>
          <w:sz w:val="28"/>
          <w:szCs w:val="28"/>
        </w:rPr>
      </w:pPr>
      <w:r>
        <w:rPr>
          <w:rFonts w:ascii="宋体" w:hAnsi="宋体" w:cs="宋体" w:eastAsia="宋体" w:hint="default"/>
          <w:b/>
          <w:bCs/>
          <w:spacing w:val="2"/>
          <w:sz w:val="28"/>
          <w:szCs w:val="28"/>
        </w:rPr>
        <w:t>公司主要存在市场风险、投资风险、经营规模迅速扩张导致的管理风险、</w:t>
      </w:r>
      <w:r>
        <w:rPr>
          <w:rFonts w:ascii="宋体" w:hAnsi="宋体" w:cs="宋体" w:eastAsia="宋体" w:hint="default"/>
          <w:b/>
          <w:bCs/>
          <w:w w:val="99"/>
          <w:sz w:val="28"/>
          <w:szCs w:val="28"/>
        </w:rPr>
        <w:t> </w:t>
      </w:r>
      <w:r>
        <w:rPr>
          <w:rFonts w:ascii="宋体" w:hAnsi="宋体" w:cs="宋体" w:eastAsia="宋体" w:hint="default"/>
          <w:b/>
          <w:bCs/>
          <w:spacing w:val="2"/>
          <w:sz w:val="28"/>
          <w:szCs w:val="28"/>
        </w:rPr>
        <w:t>商誉减值风险及汇率波动风险等，敬请广大投资者注意投资风险。详细内容见</w:t>
      </w:r>
      <w:r>
        <w:rPr>
          <w:rFonts w:ascii="宋体" w:hAnsi="宋体" w:cs="宋体" w:eastAsia="宋体" w:hint="default"/>
          <w:b/>
          <w:bCs/>
          <w:spacing w:val="-135"/>
          <w:sz w:val="28"/>
          <w:szCs w:val="28"/>
        </w:rPr>
        <w:t> </w:t>
      </w:r>
      <w:r>
        <w:rPr>
          <w:rFonts w:ascii="宋体" w:hAnsi="宋体" w:cs="宋体" w:eastAsia="宋体" w:hint="default"/>
          <w:b/>
          <w:bCs/>
          <w:spacing w:val="-135"/>
          <w:sz w:val="28"/>
          <w:szCs w:val="28"/>
        </w:rPr>
      </w:r>
      <w:r>
        <w:rPr>
          <w:rFonts w:ascii="宋体" w:hAnsi="宋体" w:cs="宋体" w:eastAsia="宋体" w:hint="default"/>
          <w:b/>
          <w:bCs/>
          <w:sz w:val="28"/>
          <w:szCs w:val="28"/>
        </w:rPr>
        <w:t>本报告</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第四节九（五）公司面临的风险及应对措施</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w:t>
      </w:r>
      <w:r>
        <w:rPr>
          <w:rFonts w:ascii="宋体" w:hAnsi="宋体" w:cs="宋体" w:eastAsia="宋体" w:hint="default"/>
          <w:sz w:val="28"/>
          <w:szCs w:val="28"/>
        </w:rPr>
      </w:r>
    </w:p>
    <w:p>
      <w:pPr>
        <w:spacing w:before="120"/>
        <w:ind w:left="674" w:right="0" w:firstLine="0"/>
        <w:jc w:val="left"/>
        <w:rPr>
          <w:rFonts w:ascii="宋体" w:hAnsi="宋体" w:cs="宋体" w:eastAsia="宋体" w:hint="default"/>
          <w:sz w:val="28"/>
          <w:szCs w:val="28"/>
        </w:rPr>
      </w:pPr>
      <w:r>
        <w:rPr>
          <w:rFonts w:ascii="宋体" w:hAnsi="宋体" w:cs="宋体" w:eastAsia="宋体" w:hint="default"/>
          <w:b/>
          <w:bCs/>
          <w:spacing w:val="-1"/>
          <w:w w:val="99"/>
          <w:sz w:val="28"/>
          <w:szCs w:val="28"/>
        </w:rPr>
        <w:t>公司</w:t>
      </w:r>
      <w:r>
        <w:rPr>
          <w:rFonts w:ascii="宋体" w:hAnsi="宋体" w:cs="宋体" w:eastAsia="宋体" w:hint="default"/>
          <w:b/>
          <w:bCs/>
          <w:spacing w:val="2"/>
          <w:w w:val="99"/>
          <w:sz w:val="28"/>
          <w:szCs w:val="28"/>
        </w:rPr>
        <w:t>经</w:t>
      </w:r>
      <w:r>
        <w:rPr>
          <w:rFonts w:ascii="宋体" w:hAnsi="宋体" w:cs="宋体" w:eastAsia="宋体" w:hint="default"/>
          <w:b/>
          <w:bCs/>
          <w:spacing w:val="-1"/>
          <w:w w:val="99"/>
          <w:sz w:val="28"/>
          <w:szCs w:val="28"/>
        </w:rPr>
        <w:t>本次董事会</w:t>
      </w:r>
      <w:r>
        <w:rPr>
          <w:rFonts w:ascii="宋体" w:hAnsi="宋体" w:cs="宋体" w:eastAsia="宋体" w:hint="default"/>
          <w:b/>
          <w:bCs/>
          <w:spacing w:val="2"/>
          <w:w w:val="99"/>
          <w:sz w:val="28"/>
          <w:szCs w:val="28"/>
        </w:rPr>
        <w:t>审</w:t>
      </w:r>
      <w:r>
        <w:rPr>
          <w:rFonts w:ascii="宋体" w:hAnsi="宋体" w:cs="宋体" w:eastAsia="宋体" w:hint="default"/>
          <w:b/>
          <w:bCs/>
          <w:spacing w:val="-1"/>
          <w:w w:val="99"/>
          <w:sz w:val="28"/>
          <w:szCs w:val="28"/>
        </w:rPr>
        <w:t>议通过的利</w:t>
      </w:r>
      <w:r>
        <w:rPr>
          <w:rFonts w:ascii="宋体" w:hAnsi="宋体" w:cs="宋体" w:eastAsia="宋体" w:hint="default"/>
          <w:b/>
          <w:bCs/>
          <w:spacing w:val="2"/>
          <w:w w:val="99"/>
          <w:sz w:val="28"/>
          <w:szCs w:val="28"/>
        </w:rPr>
        <w:t>润</w:t>
      </w:r>
      <w:r>
        <w:rPr>
          <w:rFonts w:ascii="宋体" w:hAnsi="宋体" w:cs="宋体" w:eastAsia="宋体" w:hint="default"/>
          <w:b/>
          <w:bCs/>
          <w:spacing w:val="-1"/>
          <w:w w:val="99"/>
          <w:sz w:val="28"/>
          <w:szCs w:val="28"/>
        </w:rPr>
        <w:t>分配预案为</w:t>
      </w:r>
      <w:r>
        <w:rPr>
          <w:rFonts w:ascii="宋体" w:hAnsi="宋体" w:cs="宋体" w:eastAsia="宋体" w:hint="default"/>
          <w:b/>
          <w:bCs/>
          <w:spacing w:val="-121"/>
          <w:w w:val="99"/>
          <w:sz w:val="28"/>
          <w:szCs w:val="28"/>
        </w:rPr>
        <w:t>：</w:t>
      </w:r>
      <w:r>
        <w:rPr>
          <w:rFonts w:ascii="宋体" w:hAnsi="宋体" w:cs="宋体" w:eastAsia="宋体" w:hint="default"/>
          <w:b/>
          <w:bCs/>
          <w:w w:val="99"/>
          <w:sz w:val="28"/>
          <w:szCs w:val="28"/>
        </w:rPr>
        <w:t>以</w:t>
      </w:r>
      <w:r>
        <w:rPr>
          <w:rFonts w:ascii="宋体" w:hAnsi="宋体" w:cs="宋体" w:eastAsia="宋体" w:hint="default"/>
          <w:b/>
          <w:bCs/>
          <w:spacing w:val="-72"/>
          <w:sz w:val="28"/>
          <w:szCs w:val="28"/>
        </w:rPr>
        <w:t> </w:t>
      </w:r>
      <w:r>
        <w:rPr>
          <w:rFonts w:ascii="Times New Roman" w:hAnsi="Times New Roman" w:cs="Times New Roman" w:eastAsia="Times New Roman" w:hint="default"/>
          <w:b/>
          <w:bCs/>
          <w:spacing w:val="1"/>
          <w:w w:val="100"/>
          <w:sz w:val="28"/>
          <w:szCs w:val="28"/>
        </w:rPr>
        <w:t>2</w:t>
      </w:r>
      <w:r>
        <w:rPr>
          <w:rFonts w:ascii="Times New Roman" w:hAnsi="Times New Roman" w:cs="Times New Roman" w:eastAsia="Times New Roman" w:hint="default"/>
          <w:b/>
          <w:bCs/>
          <w:spacing w:val="-1"/>
          <w:w w:val="100"/>
          <w:sz w:val="28"/>
          <w:szCs w:val="28"/>
        </w:rPr>
        <w:t>,</w:t>
      </w:r>
      <w:r>
        <w:rPr>
          <w:rFonts w:ascii="Times New Roman" w:hAnsi="Times New Roman" w:cs="Times New Roman" w:eastAsia="Times New Roman" w:hint="default"/>
          <w:b/>
          <w:bCs/>
          <w:spacing w:val="-2"/>
          <w:w w:val="100"/>
          <w:sz w:val="28"/>
          <w:szCs w:val="28"/>
        </w:rPr>
        <w:t>4</w:t>
      </w:r>
      <w:r>
        <w:rPr>
          <w:rFonts w:ascii="Times New Roman" w:hAnsi="Times New Roman" w:cs="Times New Roman" w:eastAsia="Times New Roman" w:hint="default"/>
          <w:b/>
          <w:bCs/>
          <w:spacing w:val="1"/>
          <w:w w:val="100"/>
          <w:sz w:val="28"/>
          <w:szCs w:val="28"/>
        </w:rPr>
        <w:t>0</w:t>
      </w:r>
      <w:r>
        <w:rPr>
          <w:rFonts w:ascii="Times New Roman" w:hAnsi="Times New Roman" w:cs="Times New Roman" w:eastAsia="Times New Roman" w:hint="default"/>
          <w:b/>
          <w:bCs/>
          <w:spacing w:val="-2"/>
          <w:w w:val="100"/>
          <w:sz w:val="28"/>
          <w:szCs w:val="28"/>
        </w:rPr>
        <w:t>8</w:t>
      </w:r>
      <w:r>
        <w:rPr>
          <w:rFonts w:ascii="Times New Roman" w:hAnsi="Times New Roman" w:cs="Times New Roman" w:eastAsia="Times New Roman" w:hint="default"/>
          <w:b/>
          <w:bCs/>
          <w:spacing w:val="-1"/>
          <w:w w:val="100"/>
          <w:sz w:val="28"/>
          <w:szCs w:val="28"/>
        </w:rPr>
        <w:t>,</w:t>
      </w:r>
      <w:r>
        <w:rPr>
          <w:rFonts w:ascii="Times New Roman" w:hAnsi="Times New Roman" w:cs="Times New Roman" w:eastAsia="Times New Roman" w:hint="default"/>
          <w:b/>
          <w:bCs/>
          <w:spacing w:val="-2"/>
          <w:w w:val="100"/>
          <w:sz w:val="28"/>
          <w:szCs w:val="28"/>
        </w:rPr>
        <w:t>9</w:t>
      </w:r>
      <w:r>
        <w:rPr>
          <w:rFonts w:ascii="Times New Roman" w:hAnsi="Times New Roman" w:cs="Times New Roman" w:eastAsia="Times New Roman" w:hint="default"/>
          <w:b/>
          <w:bCs/>
          <w:spacing w:val="1"/>
          <w:w w:val="100"/>
          <w:sz w:val="28"/>
          <w:szCs w:val="28"/>
        </w:rPr>
        <w:t>9</w:t>
      </w:r>
      <w:r>
        <w:rPr>
          <w:rFonts w:ascii="Times New Roman" w:hAnsi="Times New Roman" w:cs="Times New Roman" w:eastAsia="Times New Roman" w:hint="default"/>
          <w:b/>
          <w:bCs/>
          <w:spacing w:val="-2"/>
          <w:w w:val="100"/>
          <w:sz w:val="28"/>
          <w:szCs w:val="28"/>
        </w:rPr>
        <w:t>3</w:t>
      </w:r>
      <w:r>
        <w:rPr>
          <w:rFonts w:ascii="Times New Roman" w:hAnsi="Times New Roman" w:cs="Times New Roman" w:eastAsia="Times New Roman" w:hint="default"/>
          <w:b/>
          <w:bCs/>
          <w:spacing w:val="-1"/>
          <w:w w:val="100"/>
          <w:sz w:val="28"/>
          <w:szCs w:val="28"/>
        </w:rPr>
        <w:t>,</w:t>
      </w:r>
      <w:r>
        <w:rPr>
          <w:rFonts w:ascii="Times New Roman" w:hAnsi="Times New Roman" w:cs="Times New Roman" w:eastAsia="Times New Roman" w:hint="default"/>
          <w:b/>
          <w:bCs/>
          <w:spacing w:val="1"/>
          <w:w w:val="100"/>
          <w:sz w:val="28"/>
          <w:szCs w:val="28"/>
        </w:rPr>
        <w:t>9</w:t>
      </w:r>
      <w:r>
        <w:rPr>
          <w:rFonts w:ascii="Times New Roman" w:hAnsi="Times New Roman" w:cs="Times New Roman" w:eastAsia="Times New Roman" w:hint="default"/>
          <w:b/>
          <w:bCs/>
          <w:spacing w:val="-2"/>
          <w:w w:val="100"/>
          <w:sz w:val="28"/>
          <w:szCs w:val="28"/>
        </w:rPr>
        <w:t>5</w:t>
      </w:r>
      <w:r>
        <w:rPr>
          <w:rFonts w:ascii="Times New Roman" w:hAnsi="Times New Roman" w:cs="Times New Roman" w:eastAsia="Times New Roman" w:hint="default"/>
          <w:b/>
          <w:bCs/>
          <w:w w:val="100"/>
          <w:sz w:val="28"/>
          <w:szCs w:val="28"/>
        </w:rPr>
        <w:t>1</w:t>
      </w:r>
      <w:r>
        <w:rPr>
          <w:rFonts w:ascii="Times New Roman" w:hAnsi="Times New Roman" w:cs="Times New Roman" w:eastAsia="Times New Roman" w:hint="default"/>
          <w:b/>
          <w:bCs/>
          <w:spacing w:val="-2"/>
          <w:sz w:val="28"/>
          <w:szCs w:val="28"/>
        </w:rPr>
        <w:t> </w:t>
      </w:r>
      <w:r>
        <w:rPr>
          <w:rFonts w:ascii="宋体" w:hAnsi="宋体" w:cs="宋体" w:eastAsia="宋体" w:hint="default"/>
          <w:b/>
          <w:bCs/>
          <w:spacing w:val="-1"/>
          <w:w w:val="99"/>
          <w:sz w:val="28"/>
          <w:szCs w:val="28"/>
        </w:rPr>
        <w:t>股为</w:t>
      </w:r>
      <w:r>
        <w:rPr>
          <w:rFonts w:ascii="宋体" w:hAnsi="宋体" w:cs="宋体" w:eastAsia="宋体" w:hint="default"/>
          <w:b/>
          <w:bCs/>
          <w:spacing w:val="2"/>
          <w:w w:val="99"/>
          <w:sz w:val="28"/>
          <w:szCs w:val="28"/>
        </w:rPr>
        <w:t>基</w:t>
      </w:r>
      <w:r>
        <w:rPr>
          <w:rFonts w:ascii="宋体" w:hAnsi="宋体" w:cs="宋体" w:eastAsia="宋体" w:hint="default"/>
          <w:b/>
          <w:bCs/>
          <w:spacing w:val="-1"/>
          <w:w w:val="99"/>
          <w:sz w:val="28"/>
          <w:szCs w:val="28"/>
        </w:rPr>
        <w:t>数</w:t>
      </w:r>
      <w:r>
        <w:rPr>
          <w:rFonts w:ascii="宋体" w:hAnsi="宋体" w:cs="宋体" w:eastAsia="宋体" w:hint="default"/>
          <w:b/>
          <w:bCs/>
          <w:w w:val="99"/>
          <w:sz w:val="28"/>
          <w:szCs w:val="28"/>
        </w:rPr>
        <w:t>，</w:t>
      </w:r>
      <w:r>
        <w:rPr>
          <w:rFonts w:ascii="宋体" w:hAnsi="宋体" w:cs="宋体" w:eastAsia="宋体" w:hint="default"/>
          <w:sz w:val="28"/>
          <w:szCs w:val="28"/>
        </w:rPr>
      </w:r>
    </w:p>
    <w:p>
      <w:pPr>
        <w:spacing w:line="386" w:lineRule="auto" w:before="236"/>
        <w:ind w:left="112" w:right="0" w:firstLine="0"/>
        <w:jc w:val="left"/>
        <w:rPr>
          <w:rFonts w:ascii="宋体" w:hAnsi="宋体" w:cs="宋体" w:eastAsia="宋体" w:hint="default"/>
          <w:sz w:val="28"/>
          <w:szCs w:val="28"/>
        </w:rPr>
      </w:pPr>
      <w:r>
        <w:rPr>
          <w:rFonts w:ascii="宋体" w:hAnsi="宋体" w:cs="宋体" w:eastAsia="宋体" w:hint="default"/>
          <w:b/>
          <w:bCs/>
          <w:sz w:val="28"/>
          <w:szCs w:val="28"/>
        </w:rPr>
        <w:t>向全体股东每</w:t>
      </w:r>
      <w:r>
        <w:rPr>
          <w:rFonts w:ascii="宋体" w:hAnsi="宋体" w:cs="宋体" w:eastAsia="宋体" w:hint="default"/>
          <w:b/>
          <w:bCs/>
          <w:spacing w:val="-72"/>
          <w:sz w:val="28"/>
          <w:szCs w:val="28"/>
        </w:rPr>
        <w:t> </w:t>
      </w:r>
      <w:r>
        <w:rPr>
          <w:rFonts w:ascii="Times New Roman" w:hAnsi="Times New Roman" w:cs="Times New Roman" w:eastAsia="Times New Roman" w:hint="default"/>
          <w:b/>
          <w:bCs/>
          <w:sz w:val="28"/>
          <w:szCs w:val="28"/>
        </w:rPr>
        <w:t>10 </w:t>
      </w:r>
      <w:r>
        <w:rPr>
          <w:rFonts w:ascii="宋体" w:hAnsi="宋体" w:cs="宋体" w:eastAsia="宋体" w:hint="default"/>
          <w:b/>
          <w:bCs/>
          <w:sz w:val="28"/>
          <w:szCs w:val="28"/>
        </w:rPr>
        <w:t>股派发现金红利</w:t>
      </w:r>
      <w:r>
        <w:rPr>
          <w:rFonts w:ascii="宋体" w:hAnsi="宋体" w:cs="宋体" w:eastAsia="宋体" w:hint="default"/>
          <w:b/>
          <w:bCs/>
          <w:spacing w:val="-72"/>
          <w:sz w:val="28"/>
          <w:szCs w:val="28"/>
        </w:rPr>
        <w:t> </w:t>
      </w:r>
      <w:r>
        <w:rPr>
          <w:rFonts w:ascii="Times New Roman" w:hAnsi="Times New Roman" w:cs="Times New Roman" w:eastAsia="Times New Roman" w:hint="default"/>
          <w:b/>
          <w:bCs/>
          <w:sz w:val="28"/>
          <w:szCs w:val="28"/>
        </w:rPr>
        <w:t>1.2</w:t>
      </w:r>
      <w:r>
        <w:rPr>
          <w:rFonts w:ascii="Times New Roman" w:hAnsi="Times New Roman" w:cs="Times New Roman" w:eastAsia="Times New Roman" w:hint="default"/>
          <w:b/>
          <w:bCs/>
          <w:spacing w:val="-2"/>
          <w:sz w:val="28"/>
          <w:szCs w:val="28"/>
        </w:rPr>
        <w:t> </w:t>
      </w:r>
      <w:r>
        <w:rPr>
          <w:rFonts w:ascii="宋体" w:hAnsi="宋体" w:cs="宋体" w:eastAsia="宋体" w:hint="default"/>
          <w:b/>
          <w:bCs/>
          <w:sz w:val="28"/>
          <w:szCs w:val="28"/>
        </w:rPr>
        <w:t>元（含税），送红股</w:t>
      </w:r>
      <w:r>
        <w:rPr>
          <w:rFonts w:ascii="宋体" w:hAnsi="宋体" w:cs="宋体" w:eastAsia="宋体" w:hint="default"/>
          <w:b/>
          <w:bCs/>
          <w:spacing w:val="-70"/>
          <w:sz w:val="28"/>
          <w:szCs w:val="28"/>
        </w:rPr>
        <w:t> </w:t>
      </w:r>
      <w:r>
        <w:rPr>
          <w:rFonts w:ascii="Times New Roman" w:hAnsi="Times New Roman" w:cs="Times New Roman" w:eastAsia="Times New Roman" w:hint="default"/>
          <w:b/>
          <w:bCs/>
          <w:sz w:val="28"/>
          <w:szCs w:val="28"/>
        </w:rPr>
        <w:t>0 </w:t>
      </w:r>
      <w:r>
        <w:rPr>
          <w:rFonts w:ascii="宋体" w:hAnsi="宋体" w:cs="宋体" w:eastAsia="宋体" w:hint="default"/>
          <w:b/>
          <w:bCs/>
          <w:sz w:val="28"/>
          <w:szCs w:val="28"/>
        </w:rPr>
        <w:t>股（含税），不以</w:t>
      </w:r>
      <w:r>
        <w:rPr>
          <w:rFonts w:ascii="宋体" w:hAnsi="宋体" w:cs="宋体" w:eastAsia="宋体" w:hint="default"/>
          <w:b/>
          <w:bCs/>
          <w:w w:val="99"/>
          <w:sz w:val="28"/>
          <w:szCs w:val="28"/>
        </w:rPr>
        <w:t> </w:t>
      </w:r>
      <w:r>
        <w:rPr>
          <w:rFonts w:ascii="宋体" w:hAnsi="宋体" w:cs="宋体" w:eastAsia="宋体" w:hint="default"/>
          <w:b/>
          <w:bCs/>
          <w:sz w:val="28"/>
          <w:szCs w:val="28"/>
        </w:rPr>
        <w:t>公积金转增股本。</w:t>
      </w:r>
      <w:r>
        <w:rPr>
          <w:rFonts w:ascii="宋体" w:hAnsi="宋体" w:cs="宋体" w:eastAsia="宋体" w:hint="default"/>
          <w:sz w:val="28"/>
          <w:szCs w:val="28"/>
        </w:rPr>
      </w:r>
    </w:p>
    <w:p>
      <w:pPr>
        <w:spacing w:after="0" w:line="386" w:lineRule="auto"/>
        <w:jc w:val="left"/>
        <w:rPr>
          <w:rFonts w:ascii="宋体" w:hAnsi="宋体" w:cs="宋体" w:eastAsia="宋体" w:hint="default"/>
          <w:sz w:val="28"/>
          <w:szCs w:val="28"/>
        </w:rPr>
        <w:sectPr>
          <w:pgSz w:w="11910" w:h="16840"/>
          <w:pgMar w:header="878" w:footer="978" w:top="1100" w:bottom="1160" w:left="102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6"/>
          <w:szCs w:val="26"/>
        </w:rPr>
      </w:pPr>
    </w:p>
    <w:p>
      <w:pPr>
        <w:spacing w:line="460" w:lineRule="exact" w:before="0"/>
        <w:ind w:left="0" w:right="1017"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4"/>
        <w:rPr>
          <w:rFonts w:ascii="宋体" w:hAnsi="宋体" w:cs="宋体" w:eastAsia="宋体" w:hint="default"/>
          <w:b/>
          <w:bCs/>
          <w:sz w:val="42"/>
          <w:szCs w:val="42"/>
        </w:rPr>
      </w:pPr>
    </w:p>
    <w:sdt>
      <w:sdtPr>
        <w:docPartObj>
          <w:docPartGallery w:val="Table of Contents"/>
          <w:docPartUnique/>
        </w:docPartObj>
      </w:sdtPr>
      <w:sdtEndPr/>
      <w:sdtContent>
        <w:p>
          <w:pPr>
            <w:pStyle w:val="TOC1"/>
            <w:tabs>
              <w:tab w:pos="9751" w:val="right" w:leader="dot"/>
            </w:tabs>
            <w:spacing w:line="240" w:lineRule="auto" w:before="0"/>
            <w:ind w:right="0"/>
            <w:jc w:val="left"/>
            <w:rPr>
              <w:rFonts w:ascii="Times New Roman" w:hAnsi="Times New Roman" w:cs="Times New Roman" w:eastAsia="Times New Roman" w:hint="default"/>
            </w:rPr>
          </w:pPr>
          <w:r>
            <w:fldChar w:fldCharType="begin"/>
          </w:r>
          <w:r>
            <w:instrText>TOC \o "1-1" \h \z \u </w:instrText>
          </w:r>
          <w:r>
            <w:fldChar w:fldCharType="separate"/>
          </w:r>
          <w:hyperlink w:history="true" w:anchor="_bookmark0">
            <w:r>
              <w:rPr/>
              <w:t>第一节 重要提示、目录和释义</w:t>
            </w:r>
            <w:r>
              <w:rPr>
                <w:rFonts w:ascii="Times New Roman" w:hAnsi="Times New Roman" w:cs="Times New Roman" w:eastAsia="Times New Roman" w:hint="default"/>
              </w:rPr>
              <w:tab/>
            </w:r>
            <w:r>
              <w:rPr>
                <w:rFonts w:ascii="Times New Roman" w:hAnsi="Times New Roman" w:cs="Times New Roman" w:eastAsia="Times New Roman" w:hint="default"/>
              </w:rPr>
              <w:t>4</w:t>
            </w:r>
          </w:hyperlink>
        </w:p>
        <w:p>
          <w:pPr>
            <w:pStyle w:val="TOC1"/>
            <w:tabs>
              <w:tab w:pos="9751" w:val="right" w:leader="dot"/>
            </w:tabs>
            <w:spacing w:line="240" w:lineRule="auto"/>
            <w:ind w:right="0"/>
            <w:jc w:val="left"/>
            <w:rPr>
              <w:rFonts w:ascii="Times New Roman" w:hAnsi="Times New Roman" w:cs="Times New Roman" w:eastAsia="Times New Roman" w:hint="default"/>
            </w:rPr>
          </w:pPr>
          <w:hyperlink w:history="true" w:anchor="_bookmark1">
            <w:r>
              <w:rPr/>
              <w:t>第二节 公司简介和主要财务指标</w:t>
            </w:r>
            <w:r>
              <w:rPr>
                <w:rFonts w:ascii="Times New Roman" w:hAnsi="Times New Roman" w:cs="Times New Roman" w:eastAsia="Times New Roman" w:hint="default"/>
              </w:rPr>
              <w:tab/>
            </w:r>
            <w:r>
              <w:rPr>
                <w:rFonts w:ascii="Times New Roman" w:hAnsi="Times New Roman" w:cs="Times New Roman" w:eastAsia="Times New Roman" w:hint="default"/>
              </w:rPr>
              <w:t>9</w:t>
            </w:r>
          </w:hyperlink>
        </w:p>
        <w:p>
          <w:pPr>
            <w:pStyle w:val="TOC1"/>
            <w:tabs>
              <w:tab w:pos="9751" w:val="right" w:leader="dot"/>
            </w:tabs>
            <w:spacing w:line="240" w:lineRule="auto"/>
            <w:ind w:right="0"/>
            <w:jc w:val="left"/>
            <w:rPr>
              <w:rFonts w:ascii="Times New Roman" w:hAnsi="Times New Roman" w:cs="Times New Roman" w:eastAsia="Times New Roman" w:hint="default"/>
            </w:rPr>
          </w:pPr>
          <w:hyperlink w:history="true" w:anchor="_bookmark2">
            <w:r>
              <w:rPr/>
              <w:t>第三节 公司业务概要</w:t>
            </w:r>
            <w:r>
              <w:rPr>
                <w:rFonts w:ascii="Times New Roman" w:hAnsi="Times New Roman" w:cs="Times New Roman" w:eastAsia="Times New Roman" w:hint="default"/>
              </w:rPr>
              <w:tab/>
            </w:r>
            <w:r>
              <w:rPr>
                <w:rFonts w:ascii="Times New Roman" w:hAnsi="Times New Roman" w:cs="Times New Roman" w:eastAsia="Times New Roman" w:hint="default"/>
              </w:rPr>
              <w:t>13</w:t>
            </w:r>
          </w:hyperlink>
        </w:p>
        <w:p>
          <w:pPr>
            <w:pStyle w:val="TOC1"/>
            <w:tabs>
              <w:tab w:pos="9751" w:val="right" w:leader="dot"/>
            </w:tabs>
            <w:spacing w:line="240" w:lineRule="auto"/>
            <w:ind w:right="0"/>
            <w:jc w:val="left"/>
            <w:rPr>
              <w:rFonts w:ascii="Times New Roman" w:hAnsi="Times New Roman" w:cs="Times New Roman" w:eastAsia="Times New Roman" w:hint="default"/>
            </w:rPr>
          </w:pPr>
          <w:hyperlink w:history="true" w:anchor="_bookmark3">
            <w:r>
              <w:rPr/>
              <w:t>第四节 经营情况讨论与分析</w:t>
            </w:r>
            <w:r>
              <w:rPr>
                <w:rFonts w:ascii="Times New Roman" w:hAnsi="Times New Roman" w:cs="Times New Roman" w:eastAsia="Times New Roman" w:hint="default"/>
              </w:rPr>
              <w:tab/>
            </w:r>
            <w:r>
              <w:rPr>
                <w:rFonts w:ascii="Times New Roman" w:hAnsi="Times New Roman" w:cs="Times New Roman" w:eastAsia="Times New Roman" w:hint="default"/>
              </w:rPr>
              <w:t>17</w:t>
            </w:r>
          </w:hyperlink>
        </w:p>
        <w:p>
          <w:pPr>
            <w:pStyle w:val="TOC1"/>
            <w:tabs>
              <w:tab w:pos="9751" w:val="right" w:leader="dot"/>
            </w:tabs>
            <w:spacing w:line="240" w:lineRule="auto"/>
            <w:ind w:right="0"/>
            <w:jc w:val="left"/>
            <w:rPr>
              <w:rFonts w:ascii="Times New Roman" w:hAnsi="Times New Roman" w:cs="Times New Roman" w:eastAsia="Times New Roman" w:hint="default"/>
            </w:rPr>
          </w:pPr>
          <w:hyperlink w:history="true" w:anchor="_bookmark4">
            <w:r>
              <w:rPr/>
              <w:t>第五节 重要事项</w:t>
            </w:r>
            <w:r>
              <w:rPr>
                <w:rFonts w:ascii="Times New Roman" w:hAnsi="Times New Roman" w:cs="Times New Roman" w:eastAsia="Times New Roman" w:hint="default"/>
              </w:rPr>
              <w:tab/>
            </w:r>
            <w:r>
              <w:rPr>
                <w:rFonts w:ascii="Times New Roman" w:hAnsi="Times New Roman" w:cs="Times New Roman" w:eastAsia="Times New Roman" w:hint="default"/>
              </w:rPr>
              <w:t>45</w:t>
            </w:r>
          </w:hyperlink>
        </w:p>
        <w:p>
          <w:pPr>
            <w:pStyle w:val="TOC1"/>
            <w:tabs>
              <w:tab w:pos="9751" w:val="right" w:leader="dot"/>
            </w:tabs>
            <w:spacing w:line="240" w:lineRule="auto"/>
            <w:ind w:right="0"/>
            <w:jc w:val="left"/>
            <w:rPr>
              <w:rFonts w:ascii="Times New Roman" w:hAnsi="Times New Roman" w:cs="Times New Roman" w:eastAsia="Times New Roman" w:hint="default"/>
            </w:rPr>
          </w:pPr>
          <w:hyperlink w:history="true" w:anchor="_bookmark5">
            <w:r>
              <w:rPr/>
              <w:t>第六节 股份变动及股东情况</w:t>
            </w:r>
            <w:r>
              <w:rPr>
                <w:rFonts w:ascii="Times New Roman" w:hAnsi="Times New Roman" w:cs="Times New Roman" w:eastAsia="Times New Roman" w:hint="default"/>
              </w:rPr>
              <w:tab/>
            </w:r>
            <w:r>
              <w:rPr>
                <w:rFonts w:ascii="Times New Roman" w:hAnsi="Times New Roman" w:cs="Times New Roman" w:eastAsia="Times New Roman" w:hint="default"/>
              </w:rPr>
              <w:t>67</w:t>
            </w:r>
          </w:hyperlink>
        </w:p>
        <w:p>
          <w:pPr>
            <w:pStyle w:val="TOC1"/>
            <w:tabs>
              <w:tab w:pos="9751" w:val="right" w:leader="dot"/>
            </w:tabs>
            <w:spacing w:line="240" w:lineRule="auto"/>
            <w:ind w:right="0"/>
            <w:jc w:val="left"/>
            <w:rPr>
              <w:rFonts w:ascii="Times New Roman" w:hAnsi="Times New Roman" w:cs="Times New Roman" w:eastAsia="Times New Roman" w:hint="default"/>
            </w:rPr>
          </w:pPr>
          <w:hyperlink w:history="true" w:anchor="_bookmark6">
            <w:r>
              <w:rPr/>
              <w:t>第七节 优先股相关情况</w:t>
            </w:r>
            <w:r>
              <w:rPr>
                <w:rFonts w:ascii="Times New Roman" w:hAnsi="Times New Roman" w:cs="Times New Roman" w:eastAsia="Times New Roman" w:hint="default"/>
              </w:rPr>
              <w:tab/>
            </w:r>
            <w:r>
              <w:rPr>
                <w:rFonts w:ascii="Times New Roman" w:hAnsi="Times New Roman" w:cs="Times New Roman" w:eastAsia="Times New Roman" w:hint="default"/>
              </w:rPr>
              <w:t>73</w:t>
            </w:r>
          </w:hyperlink>
        </w:p>
        <w:p>
          <w:pPr>
            <w:pStyle w:val="TOC1"/>
            <w:tabs>
              <w:tab w:pos="9751" w:val="right" w:leader="dot"/>
            </w:tabs>
            <w:spacing w:line="240" w:lineRule="auto"/>
            <w:ind w:right="0"/>
            <w:jc w:val="left"/>
            <w:rPr>
              <w:rFonts w:ascii="Times New Roman" w:hAnsi="Times New Roman" w:cs="Times New Roman" w:eastAsia="Times New Roman" w:hint="default"/>
            </w:rPr>
          </w:pPr>
          <w:hyperlink w:history="true" w:anchor="_bookmark7">
            <w:r>
              <w:rPr/>
              <w:t>第八节 可转换公司债券相关情况</w:t>
            </w:r>
            <w:r>
              <w:rPr>
                <w:rFonts w:ascii="Times New Roman" w:hAnsi="Times New Roman" w:cs="Times New Roman" w:eastAsia="Times New Roman" w:hint="default"/>
              </w:rPr>
              <w:tab/>
            </w:r>
            <w:r>
              <w:rPr>
                <w:rFonts w:ascii="Times New Roman" w:hAnsi="Times New Roman" w:cs="Times New Roman" w:eastAsia="Times New Roman" w:hint="default"/>
              </w:rPr>
              <w:t>74</w:t>
            </w:r>
          </w:hyperlink>
        </w:p>
        <w:p>
          <w:pPr>
            <w:pStyle w:val="TOC1"/>
            <w:tabs>
              <w:tab w:pos="9751" w:val="right" w:leader="dot"/>
            </w:tabs>
            <w:spacing w:line="240" w:lineRule="auto"/>
            <w:ind w:right="0"/>
            <w:jc w:val="left"/>
            <w:rPr>
              <w:rFonts w:ascii="Times New Roman" w:hAnsi="Times New Roman" w:cs="Times New Roman" w:eastAsia="Times New Roman" w:hint="default"/>
            </w:rPr>
          </w:pPr>
          <w:hyperlink w:history="true" w:anchor="_bookmark8">
            <w:r>
              <w:rPr/>
              <w:t>第九节 董事、监事、高级管理人员和员工情况</w:t>
            </w:r>
            <w:r>
              <w:rPr>
                <w:rFonts w:ascii="Times New Roman" w:hAnsi="Times New Roman" w:cs="Times New Roman" w:eastAsia="Times New Roman" w:hint="default"/>
              </w:rPr>
              <w:tab/>
            </w:r>
            <w:r>
              <w:rPr>
                <w:rFonts w:ascii="Times New Roman" w:hAnsi="Times New Roman" w:cs="Times New Roman" w:eastAsia="Times New Roman" w:hint="default"/>
              </w:rPr>
              <w:t>75</w:t>
            </w:r>
          </w:hyperlink>
        </w:p>
        <w:p>
          <w:pPr>
            <w:pStyle w:val="TOC1"/>
            <w:tabs>
              <w:tab w:pos="9751" w:val="right" w:leader="dot"/>
            </w:tabs>
            <w:spacing w:line="240" w:lineRule="auto"/>
            <w:ind w:right="0"/>
            <w:jc w:val="left"/>
            <w:rPr>
              <w:rFonts w:ascii="Times New Roman" w:hAnsi="Times New Roman" w:cs="Times New Roman" w:eastAsia="Times New Roman" w:hint="default"/>
            </w:rPr>
          </w:pPr>
          <w:hyperlink w:history="true" w:anchor="_bookmark9">
            <w:r>
              <w:rPr/>
              <w:t>第十节 公司治理</w:t>
            </w:r>
            <w:r>
              <w:rPr>
                <w:rFonts w:ascii="Times New Roman" w:hAnsi="Times New Roman" w:cs="Times New Roman" w:eastAsia="Times New Roman" w:hint="default"/>
              </w:rPr>
              <w:tab/>
            </w:r>
            <w:r>
              <w:rPr>
                <w:rFonts w:ascii="Times New Roman" w:hAnsi="Times New Roman" w:cs="Times New Roman" w:eastAsia="Times New Roman" w:hint="default"/>
              </w:rPr>
              <w:t>85</w:t>
            </w:r>
          </w:hyperlink>
        </w:p>
        <w:p>
          <w:pPr>
            <w:pStyle w:val="TOC1"/>
            <w:tabs>
              <w:tab w:pos="9751" w:val="right" w:leader="dot"/>
            </w:tabs>
            <w:spacing w:line="240" w:lineRule="auto"/>
            <w:ind w:right="0"/>
            <w:jc w:val="left"/>
            <w:rPr>
              <w:rFonts w:ascii="Times New Roman" w:hAnsi="Times New Roman" w:cs="Times New Roman" w:eastAsia="Times New Roman" w:hint="default"/>
            </w:rPr>
          </w:pPr>
          <w:hyperlink w:history="true" w:anchor="_bookmark10">
            <w:r>
              <w:rPr/>
              <w:t>第十一节 公司债券相关情况</w:t>
            </w:r>
            <w:r>
              <w:rPr>
                <w:rFonts w:ascii="Times New Roman" w:hAnsi="Times New Roman" w:cs="Times New Roman" w:eastAsia="Times New Roman" w:hint="default"/>
              </w:rPr>
              <w:tab/>
            </w:r>
            <w:r>
              <w:rPr>
                <w:rFonts w:ascii="Times New Roman" w:hAnsi="Times New Roman" w:cs="Times New Roman" w:eastAsia="Times New Roman" w:hint="default"/>
              </w:rPr>
              <w:t>91</w:t>
            </w:r>
          </w:hyperlink>
        </w:p>
        <w:p>
          <w:pPr>
            <w:pStyle w:val="TOC1"/>
            <w:tabs>
              <w:tab w:pos="9751" w:val="right" w:leader="dot"/>
            </w:tabs>
            <w:spacing w:line="240" w:lineRule="auto"/>
            <w:ind w:right="0"/>
            <w:jc w:val="left"/>
            <w:rPr>
              <w:rFonts w:ascii="Times New Roman" w:hAnsi="Times New Roman" w:cs="Times New Roman" w:eastAsia="Times New Roman" w:hint="default"/>
            </w:rPr>
          </w:pPr>
          <w:hyperlink w:history="true" w:anchor="_bookmark11">
            <w:r>
              <w:rPr/>
              <w:t>第十二节 财务报告</w:t>
            </w:r>
            <w:r>
              <w:rPr>
                <w:rFonts w:ascii="Times New Roman" w:hAnsi="Times New Roman" w:cs="Times New Roman" w:eastAsia="Times New Roman" w:hint="default"/>
              </w:rPr>
              <w:tab/>
            </w:r>
            <w:r>
              <w:rPr>
                <w:rFonts w:ascii="Times New Roman" w:hAnsi="Times New Roman" w:cs="Times New Roman" w:eastAsia="Times New Roman" w:hint="default"/>
              </w:rPr>
              <w:t>92</w:t>
            </w:r>
          </w:hyperlink>
        </w:p>
        <w:p>
          <w:pPr>
            <w:pStyle w:val="TOC1"/>
            <w:tabs>
              <w:tab w:pos="9751" w:val="right" w:leader="dot"/>
            </w:tabs>
            <w:spacing w:line="240" w:lineRule="auto"/>
            <w:ind w:right="0"/>
            <w:jc w:val="left"/>
            <w:rPr>
              <w:rFonts w:ascii="Times New Roman" w:hAnsi="Times New Roman" w:cs="Times New Roman" w:eastAsia="Times New Roman" w:hint="default"/>
            </w:rPr>
          </w:pPr>
          <w:hyperlink w:history="true" w:anchor="_bookmark12">
            <w:r>
              <w:rPr/>
              <w:t>第十三节 备查文件目录</w:t>
            </w:r>
            <w:r>
              <w:rPr>
                <w:rFonts w:ascii="Times New Roman" w:hAnsi="Times New Roman" w:cs="Times New Roman" w:eastAsia="Times New Roman" w:hint="default"/>
              </w:rPr>
              <w:tab/>
            </w:r>
            <w:r>
              <w:rPr>
                <w:rFonts w:ascii="Times New Roman" w:hAnsi="Times New Roman" w:cs="Times New Roman" w:eastAsia="Times New Roman" w:hint="default"/>
              </w:rPr>
              <w:t>218</w:t>
            </w:r>
          </w:hyperlink>
        </w:p>
        <w:p>
          <w:pPr/>
          <w:r>
            <w:fldChar w:fldCharType="end"/>
          </w:r>
        </w:p>
      </w:sdtContent>
    </w:sdt>
    <w:p>
      <w:pPr>
        <w:spacing w:after="0"/>
        <w:sectPr>
          <w:pgSz w:w="11910" w:h="16840"/>
          <w:pgMar w:header="878" w:footer="978" w:top="1100" w:bottom="1160" w:left="1020" w:right="0"/>
        </w:sectPr>
      </w:pPr>
    </w:p>
    <w:p>
      <w:pPr>
        <w:spacing w:before="837"/>
        <w:ind w:left="0" w:right="1017"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24"/>
          <w:szCs w:val="24"/>
        </w:rPr>
      </w:pPr>
    </w:p>
    <w:tbl>
      <w:tblPr>
        <w:tblW w:w="0" w:type="auto"/>
        <w:jc w:val="left"/>
        <w:tblInd w:w="109" w:type="dxa"/>
        <w:tblLayout w:type="fixed"/>
        <w:tblCellMar>
          <w:top w:w="0" w:type="dxa"/>
          <w:left w:w="0" w:type="dxa"/>
          <w:bottom w:w="0" w:type="dxa"/>
          <w:right w:w="0" w:type="dxa"/>
        </w:tblCellMar>
        <w:tblLook w:val="01E0"/>
      </w:tblPr>
      <w:tblGrid>
        <w:gridCol w:w="3524"/>
        <w:gridCol w:w="621"/>
        <w:gridCol w:w="5424"/>
      </w:tblGrid>
      <w:tr>
        <w:trPr>
          <w:trHeight w:val="402" w:hRule="exact"/>
        </w:trPr>
        <w:tc>
          <w:tcPr>
            <w:tcW w:w="3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广电运通</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公司</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广州广电运通金融电子股份有限公司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无线电集团</w:t>
            </w:r>
            <w:r>
              <w:rPr>
                <w:rFonts w:ascii="Times New Roman" w:hAnsi="Times New Roman" w:cs="Times New Roman" w:eastAsia="Times New Roman" w:hint="default"/>
                <w:sz w:val="18"/>
                <w:szCs w:val="18"/>
              </w:rPr>
              <w:t>/</w:t>
            </w:r>
            <w:r>
              <w:rPr>
                <w:rFonts w:ascii="宋体" w:hAnsi="宋体" w:cs="宋体" w:eastAsia="宋体" w:hint="default"/>
                <w:sz w:val="18"/>
                <w:szCs w:val="18"/>
              </w:rPr>
              <w:t>控股股东</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广州无线电集团有限公司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广州市国资委</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广州市人民政府国有资产监督管理委员会</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AI+</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人工智能</w:t>
            </w:r>
            <w:r>
              <w:rPr>
                <w:rFonts w:ascii="Times New Roman" w:hAnsi="Times New Roman" w:cs="Times New Roman" w:eastAsia="Times New Roman" w:hint="default"/>
                <w:sz w:val="18"/>
                <w:szCs w:val="18"/>
              </w:rPr>
              <w:t>+</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AIOT</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人工智能物联网</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广州银通</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广州广电银通金融电子科技有限公司</w:t>
            </w:r>
          </w:p>
        </w:tc>
      </w:tr>
      <w:tr>
        <w:trPr>
          <w:trHeight w:val="428"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运通智能</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广州广电运通智能科技有限公司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运通信息</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广州广电运通信息科技有限公司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运通国际</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GRG Banking Equipment (HK)</w:t>
            </w:r>
            <w:r>
              <w:rPr>
                <w:rFonts w:ascii="Times New Roman" w:hAnsi="Times New Roman" w:cs="Times New Roman" w:eastAsia="Times New Roman" w:hint="default"/>
                <w:spacing w:val="-15"/>
                <w:sz w:val="18"/>
                <w:szCs w:val="18"/>
              </w:rPr>
              <w:t> </w:t>
            </w:r>
            <w:r>
              <w:rPr>
                <w:rFonts w:ascii="Times New Roman" w:hAnsi="Times New Roman" w:cs="Times New Roman" w:eastAsia="Times New Roman" w:hint="default"/>
                <w:sz w:val="18"/>
                <w:szCs w:val="18"/>
              </w:rPr>
              <w:t>Co.,Limited</w:t>
            </w:r>
            <w:r>
              <w:rPr>
                <w:rFonts w:ascii="宋体" w:hAnsi="宋体" w:cs="宋体" w:eastAsia="宋体" w:hint="default"/>
                <w:sz w:val="18"/>
                <w:szCs w:val="18"/>
              </w:rPr>
              <w:t>（广电运通国际有限公司）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支点创投</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广州支点创业投资有限公司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中智融通</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广州中智融通金融科技有限公司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广电汇通</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广州广电汇通金融服务有限公司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广州穗通</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广州穗通金融服务有限公司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创自技术</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深圳市创自技术有限公司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龙源环保</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广州市龙源环保科技有限公司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汇通金融</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江苏汇通金融数据股份有限公司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中科江南</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北京中科江南信息技术股份有限公司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深圳银通</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深圳广电银通金融电子科技有限公司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广电安保</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广州广电银通安保投资有限公司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信义科技</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深圳市信义科技有限公司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平云小匠</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广州平云小匠科技有限公司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广电卓识</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广州广电卓识智能科技有限公司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链达金服</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广州运通链达金服科技有限公司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Denali</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公司</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Denali System</w:t>
            </w:r>
            <w:r>
              <w:rPr>
                <w:rFonts w:ascii="Times New Roman" w:hAnsi="Times New Roman" w:cs="Times New Roman" w:eastAsia="Times New Roman" w:hint="default"/>
                <w:spacing w:val="-10"/>
                <w:sz w:val="18"/>
                <w:szCs w:val="18"/>
              </w:rPr>
              <w:t> </w:t>
            </w:r>
            <w:r>
              <w:rPr>
                <w:rFonts w:ascii="Times New Roman" w:hAnsi="Times New Roman" w:cs="Times New Roman" w:eastAsia="Times New Roman" w:hint="default"/>
                <w:sz w:val="18"/>
                <w:szCs w:val="18"/>
              </w:rPr>
              <w:t>CO.,Ltd</w:t>
            </w:r>
            <w:r>
              <w:rPr>
                <w:rFonts w:ascii="宋体" w:hAnsi="宋体" w:cs="宋体" w:eastAsia="宋体" w:hint="default"/>
                <w:sz w:val="18"/>
                <w:szCs w:val="18"/>
              </w:rPr>
              <w:t>（德纳里系统有限公司）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内蒙古安保</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内蒙古广电银通安保投资有限公司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湖北银通</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湖北银通卓越科技服务有限公司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湖北融信</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湖北融信押运保安服务有限公司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锡盟金盾保安</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锡林郭勒盟金盾保安服务有限公司</w:t>
            </w:r>
          </w:p>
        </w:tc>
      </w:tr>
      <w:tr>
        <w:trPr>
          <w:trHeight w:val="400"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黄石金通</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黄石金通智慧金融外包服务有限公司</w:t>
            </w:r>
          </w:p>
        </w:tc>
      </w:tr>
    </w:tbl>
    <w:p>
      <w:pPr>
        <w:spacing w:after="0" w:line="240" w:lineRule="auto"/>
        <w:jc w:val="left"/>
        <w:rPr>
          <w:rFonts w:ascii="宋体" w:hAnsi="宋体" w:cs="宋体" w:eastAsia="宋体" w:hint="default"/>
          <w:sz w:val="18"/>
          <w:szCs w:val="18"/>
        </w:rPr>
        <w:sectPr>
          <w:pgSz w:w="11910" w:h="16840"/>
          <w:pgMar w:header="878" w:footer="978" w:top="1100" w:bottom="1160" w:left="102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09" w:type="dxa"/>
        <w:tblLayout w:type="fixed"/>
        <w:tblCellMar>
          <w:top w:w="0" w:type="dxa"/>
          <w:left w:w="0" w:type="dxa"/>
          <w:bottom w:w="0" w:type="dxa"/>
          <w:right w:w="0" w:type="dxa"/>
        </w:tblCellMar>
        <w:tblLook w:val="01E0"/>
      </w:tblPr>
      <w:tblGrid>
        <w:gridCol w:w="3524"/>
        <w:gridCol w:w="621"/>
        <w:gridCol w:w="5424"/>
      </w:tblGrid>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保山安邦</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保山安邦武装守护押运有限责任公司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文山金盾</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文山州金盾保安守护押运有限责任公司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平顶山鹰翔</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平顶山鹰翔保安押运有限公司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金牛押运</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宜昌市金牛押运护卫保安服务有限责任公司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深圳鹏通</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深圳鹏通金融服务有限公司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石家庄银通</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石家庄市银通金融服务有限公司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上海欣辰通</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上海欣辰通金融电子科技有限公司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宜昌宜通</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宜昌宜通金融服务有限公司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辽宁辽通</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辽宁辽通金融电子科技有限公司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南宁盈通</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南宁盈通金融电子科技有限公司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河南商通</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河南商通金融服务外包有限公司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河北晨通</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河北晨通金融电子科技有限公司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山西尚通</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山西尚通金融外包服务有限公司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南阳宛通</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南阳宛通金融电子科技有限公司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商洛慧金</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商洛市慧金清分服务有限公司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国信运通</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深圳市国信运通基金管理有限公司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珠海国信运通基金</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珠海国信运通股权投资基金（有限合伙）</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中联环保</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赣州中联环保科技开发有限公司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神州控股</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神州数码控股有限公司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广电计量</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广州广电计量检测股份有限公司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极智朗润</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四川极智朗润科技有限公司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美电贝尔</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广东美电贝尔科技集团股份有限公司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广电智能</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广州广电智能科技有限公司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运通购快</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广州运通购快科技有限公司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广州辉远</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广州辉远电子技术有限公司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平云资本</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广州广电平云资本管理有限公司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广电新兴产业园</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广州广电新兴产业园投资有限公司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广电国际商贸</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广州广电国际商贸有限公司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广电研究院</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广州广电研究院有限公司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海格通信</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广州海格通信集团股份有限公司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广电城市服务</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广州广电城市服务集团股份有限公司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0"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bl>
    <w:p>
      <w:pPr>
        <w:spacing w:after="0" w:line="240" w:lineRule="auto"/>
        <w:jc w:val="left"/>
        <w:rPr>
          <w:rFonts w:ascii="宋体" w:hAnsi="宋体" w:cs="宋体" w:eastAsia="宋体" w:hint="default"/>
          <w:sz w:val="18"/>
          <w:szCs w:val="18"/>
        </w:rPr>
        <w:sectPr>
          <w:pgSz w:w="11910" w:h="16840"/>
          <w:pgMar w:header="878" w:footer="978" w:top="1100" w:bottom="1160" w:left="102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09" w:type="dxa"/>
        <w:tblLayout w:type="fixed"/>
        <w:tblCellMar>
          <w:top w:w="0" w:type="dxa"/>
          <w:left w:w="0" w:type="dxa"/>
          <w:bottom w:w="0" w:type="dxa"/>
          <w:right w:w="0" w:type="dxa"/>
        </w:tblCellMar>
        <w:tblLook w:val="01E0"/>
      </w:tblPr>
      <w:tblGrid>
        <w:gridCol w:w="3524"/>
        <w:gridCol w:w="621"/>
        <w:gridCol w:w="5424"/>
      </w:tblGrid>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2" w:right="0"/>
              <w:jc w:val="left"/>
              <w:rPr>
                <w:rFonts w:ascii="Times New Roman" w:hAnsi="Times New Roman" w:cs="Times New Roman" w:eastAsia="Times New Roman" w:hint="default"/>
                <w:sz w:val="18"/>
                <w:szCs w:val="18"/>
              </w:rPr>
            </w:pPr>
            <w:r>
              <w:rPr>
                <w:rFonts w:ascii="Times New Roman"/>
                <w:sz w:val="18"/>
              </w:rPr>
              <w:t>ATM</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银行自动柜员机（</w:t>
            </w:r>
            <w:r>
              <w:rPr>
                <w:rFonts w:ascii="Times New Roman" w:hAnsi="Times New Roman" w:cs="Times New Roman" w:eastAsia="Times New Roman" w:hint="default"/>
                <w:sz w:val="18"/>
                <w:szCs w:val="18"/>
              </w:rPr>
              <w:t>Automatic Teller</w:t>
            </w:r>
            <w:r>
              <w:rPr>
                <w:rFonts w:ascii="Times New Roman" w:hAnsi="Times New Roman" w:cs="Times New Roman" w:eastAsia="Times New Roman" w:hint="default"/>
                <w:spacing w:val="-10"/>
                <w:sz w:val="18"/>
                <w:szCs w:val="18"/>
              </w:rPr>
              <w:t> </w:t>
            </w:r>
            <w:r>
              <w:rPr>
                <w:rFonts w:ascii="Times New Roman" w:hAnsi="Times New Roman" w:cs="Times New Roman" w:eastAsia="Times New Roman" w:hint="default"/>
                <w:sz w:val="18"/>
                <w:szCs w:val="18"/>
              </w:rPr>
              <w:t>Machine</w:t>
            </w:r>
            <w:r>
              <w:rPr>
                <w:rFonts w:ascii="宋体" w:hAnsi="宋体" w:cs="宋体" w:eastAsia="宋体" w:hint="default"/>
                <w:sz w:val="18"/>
                <w:szCs w:val="18"/>
              </w:rPr>
              <w:t>）</w:t>
            </w:r>
          </w:p>
        </w:tc>
      </w:tr>
      <w:tr>
        <w:trPr>
          <w:trHeight w:val="71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AFC</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22" w:right="126"/>
              <w:jc w:val="left"/>
              <w:rPr>
                <w:rFonts w:ascii="宋体" w:hAnsi="宋体" w:cs="宋体" w:eastAsia="宋体" w:hint="default"/>
                <w:sz w:val="18"/>
                <w:szCs w:val="18"/>
              </w:rPr>
            </w:pPr>
            <w:r>
              <w:rPr>
                <w:rFonts w:ascii="宋体" w:hAnsi="宋体" w:cs="宋体" w:eastAsia="宋体" w:hint="default"/>
                <w:sz w:val="18"/>
                <w:szCs w:val="18"/>
              </w:rPr>
              <w:t>地铁、轻轨、铁道、高铁等轨道交通票卡处理设备（</w:t>
            </w:r>
            <w:r>
              <w:rPr>
                <w:rFonts w:ascii="Times New Roman" w:hAnsi="Times New Roman" w:cs="Times New Roman" w:eastAsia="Times New Roman" w:hint="default"/>
                <w:sz w:val="18"/>
                <w:szCs w:val="18"/>
              </w:rPr>
              <w:t>Automatic</w:t>
            </w:r>
            <w:r>
              <w:rPr>
                <w:rFonts w:ascii="Times New Roman" w:hAnsi="Times New Roman" w:cs="Times New Roman" w:eastAsia="Times New Roman" w:hint="default"/>
                <w:spacing w:val="-6"/>
                <w:sz w:val="18"/>
                <w:szCs w:val="18"/>
              </w:rPr>
              <w:t> </w:t>
            </w:r>
            <w:r>
              <w:rPr>
                <w:rFonts w:ascii="Times New Roman" w:hAnsi="Times New Roman" w:cs="Times New Roman" w:eastAsia="Times New Roman" w:hint="default"/>
                <w:sz w:val="18"/>
                <w:szCs w:val="18"/>
              </w:rPr>
              <w:t>Fare</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Collection</w:t>
            </w:r>
            <w:r>
              <w:rPr>
                <w:rFonts w:ascii="宋体" w:hAnsi="宋体" w:cs="宋体" w:eastAsia="宋体" w:hint="default"/>
                <w:sz w:val="18"/>
                <w:szCs w:val="18"/>
              </w:rPr>
              <w:t>），主要包括</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TVM</w:t>
            </w:r>
            <w:r>
              <w:rPr>
                <w:rFonts w:ascii="宋体" w:hAnsi="宋体" w:cs="宋体" w:eastAsia="宋体" w:hint="default"/>
                <w:sz w:val="18"/>
                <w:szCs w:val="18"/>
              </w:rPr>
              <w:t>、自动检票机、自动验票机等设备</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元、万元、亿元</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人民币元、人民币万元、人民币亿元</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878" w:footer="978" w:top="1100" w:bottom="1160" w:left="102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4"/>
          <w:szCs w:val="24"/>
        </w:rPr>
      </w:pPr>
    </w:p>
    <w:p>
      <w:pPr>
        <w:pStyle w:val="Heading1"/>
        <w:spacing w:line="240" w:lineRule="auto"/>
        <w:ind w:left="2606" w:right="1394"/>
        <w:jc w:val="left"/>
        <w:rPr>
          <w:b w:val="0"/>
          <w:bCs w:val="0"/>
        </w:rPr>
      </w:pPr>
      <w:bookmarkStart w:name="第二节 公司简介和主要财务指标" w:id="3"/>
      <w:bookmarkEnd w:id="3"/>
      <w:r>
        <w:rPr>
          <w:b w:val="0"/>
          <w:bCs w:val="0"/>
        </w:rPr>
      </w:r>
      <w:bookmarkStart w:name="_bookmark1" w:id="4"/>
      <w:bookmarkEnd w:id="4"/>
      <w:r>
        <w:rPr>
          <w:b w:val="0"/>
          <w:bCs w:val="0"/>
        </w:rPr>
      </w:r>
      <w:r>
        <w:rPr/>
        <w:t>第二节</w:t>
      </w:r>
      <w:r>
        <w:rPr>
          <w:spacing w:val="-11"/>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pStyle w:val="Heading2"/>
        <w:spacing w:line="240" w:lineRule="auto" w:before="26"/>
        <w:ind w:right="1394"/>
        <w:jc w:val="left"/>
        <w:rPr>
          <w:b w:val="0"/>
          <w:bCs w:val="0"/>
        </w:rPr>
      </w:pPr>
      <w:bookmarkStart w:name="一、公司信息" w:id="5"/>
      <w:bookmarkEnd w:id="5"/>
      <w:r>
        <w:rPr>
          <w:b w:val="0"/>
          <w:bCs w:val="0"/>
        </w:rPr>
      </w:r>
      <w:r>
        <w:rPr/>
        <w:t>一、公司信息</w:t>
      </w:r>
      <w:r>
        <w:rPr>
          <w:b w:val="0"/>
          <w:bCs w:val="0"/>
        </w:rPr>
      </w:r>
    </w:p>
    <w:p>
      <w:pPr>
        <w:spacing w:line="240" w:lineRule="auto" w:before="11"/>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2284"/>
        <w:gridCol w:w="2953"/>
        <w:gridCol w:w="2156"/>
        <w:gridCol w:w="2176"/>
      </w:tblGrid>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广电运通</w:t>
            </w:r>
          </w:p>
        </w:tc>
        <w:tc>
          <w:tcPr>
            <w:tcW w:w="21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002152</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8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广州广电运通金融电子股份有限公司</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广电运通</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GRG Banking Equipment</w:t>
            </w:r>
            <w:r>
              <w:rPr>
                <w:rFonts w:ascii="Times New Roman"/>
                <w:spacing w:val="-11"/>
                <w:sz w:val="18"/>
              </w:rPr>
              <w:t> </w:t>
            </w:r>
            <w:r>
              <w:rPr>
                <w:rFonts w:ascii="Times New Roman"/>
                <w:sz w:val="18"/>
              </w:rPr>
              <w:t>Co.,Ltd.</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公司的外文名称缩写</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3" w:right="0"/>
              <w:jc w:val="left"/>
              <w:rPr>
                <w:rFonts w:ascii="Times New Roman" w:hAnsi="Times New Roman" w:cs="Times New Roman" w:eastAsia="Times New Roman" w:hint="default"/>
                <w:sz w:val="18"/>
                <w:szCs w:val="18"/>
              </w:rPr>
            </w:pPr>
            <w:r>
              <w:rPr>
                <w:rFonts w:ascii="Times New Roman"/>
                <w:sz w:val="18"/>
              </w:rPr>
              <w:t>GRG</w:t>
            </w:r>
            <w:r>
              <w:rPr>
                <w:rFonts w:ascii="Times New Roman"/>
                <w:spacing w:val="-3"/>
                <w:sz w:val="18"/>
              </w:rPr>
              <w:t> </w:t>
            </w:r>
            <w:r>
              <w:rPr>
                <w:rFonts w:ascii="Times New Roman"/>
                <w:sz w:val="18"/>
              </w:rPr>
              <w:t>Banking</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黄跃珍</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广州市高新技术产业开发区科学城科林路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510663</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广州市高新技术产业开发区科学城科林路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510663</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3" w:right="0"/>
              <w:jc w:val="left"/>
              <w:rPr>
                <w:rFonts w:ascii="Times New Roman" w:hAnsi="Times New Roman" w:cs="Times New Roman" w:eastAsia="Times New Roman" w:hint="default"/>
                <w:sz w:val="18"/>
                <w:szCs w:val="18"/>
              </w:rPr>
            </w:pPr>
            <w:hyperlink r:id="rId8">
              <w:r>
                <w:rPr>
                  <w:rFonts w:ascii="Times New Roman"/>
                  <w:sz w:val="18"/>
                </w:rPr>
                <w:t>www.grgbanking.com</w:t>
              </w:r>
            </w:hyperlink>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9">
              <w:r>
                <w:rPr>
                  <w:rFonts w:ascii="Times New Roman"/>
                  <w:sz w:val="18"/>
                </w:rPr>
                <w:t>securities@grgbanking.com</w:t>
              </w:r>
            </w:hyperlink>
          </w:p>
        </w:tc>
      </w:tr>
    </w:tbl>
    <w:p>
      <w:pPr>
        <w:spacing w:line="240" w:lineRule="auto" w:before="13"/>
        <w:rPr>
          <w:rFonts w:ascii="宋体" w:hAnsi="宋体" w:cs="宋体" w:eastAsia="宋体" w:hint="default"/>
          <w:b/>
          <w:bCs/>
          <w:sz w:val="17"/>
          <w:szCs w:val="17"/>
        </w:rPr>
      </w:pPr>
    </w:p>
    <w:p>
      <w:pPr>
        <w:pStyle w:val="Heading2"/>
        <w:spacing w:line="240" w:lineRule="auto" w:before="26"/>
        <w:ind w:right="1394"/>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11"/>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276"/>
        <w:gridCol w:w="4111"/>
        <w:gridCol w:w="4182"/>
      </w:tblGrid>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1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41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钟勇</w:t>
            </w:r>
          </w:p>
        </w:tc>
        <w:tc>
          <w:tcPr>
            <w:tcW w:w="4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王英</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广州市高新技术产业开发区科学城科林路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c>
          <w:tcPr>
            <w:tcW w:w="4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广州市高新技术产业开发区科学城科林路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r>
              <w:rPr>
                <w:rFonts w:ascii="Times New Roman" w:hAnsi="Times New Roman" w:cs="Times New Roman" w:eastAsia="Times New Roman" w:hint="default"/>
                <w:sz w:val="18"/>
                <w:szCs w:val="18"/>
              </w:rPr>
              <w:t>11 </w:t>
            </w:r>
            <w:r>
              <w:rPr>
                <w:rFonts w:ascii="宋体" w:hAnsi="宋体" w:cs="宋体" w:eastAsia="宋体" w:hint="default"/>
                <w:sz w:val="18"/>
                <w:szCs w:val="18"/>
              </w:rPr>
              <w:t>号</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020-62878517</w:t>
            </w:r>
          </w:p>
        </w:tc>
        <w:tc>
          <w:tcPr>
            <w:tcW w:w="4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020-62878900</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020-62878517</w:t>
            </w:r>
          </w:p>
        </w:tc>
        <w:tc>
          <w:tcPr>
            <w:tcW w:w="4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020-62878517</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hyperlink r:id="rId9">
              <w:r>
                <w:rPr>
                  <w:rFonts w:ascii="Times New Roman"/>
                  <w:sz w:val="18"/>
                </w:rPr>
                <w:t>securities@grgbanking.com</w:t>
              </w:r>
            </w:hyperlink>
          </w:p>
        </w:tc>
        <w:tc>
          <w:tcPr>
            <w:tcW w:w="4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hyperlink r:id="rId9">
              <w:r>
                <w:rPr>
                  <w:rFonts w:ascii="Times New Roman"/>
                  <w:sz w:val="18"/>
                </w:rPr>
                <w:t>securities@grgbanking.com</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1394"/>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992"/>
        <w:gridCol w:w="5576"/>
      </w:tblGrid>
      <w:tr>
        <w:trPr>
          <w:trHeight w:val="402" w:hRule="exact"/>
        </w:trPr>
        <w:tc>
          <w:tcPr>
            <w:tcW w:w="3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《证券时报》《中国证券报》《上海证券报》</w:t>
            </w:r>
          </w:p>
        </w:tc>
      </w:tr>
      <w:tr>
        <w:trPr>
          <w:trHeight w:val="402" w:hRule="exact"/>
        </w:trPr>
        <w:tc>
          <w:tcPr>
            <w:tcW w:w="3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left"/>
              <w:rPr>
                <w:rFonts w:ascii="Times New Roman" w:hAnsi="Times New Roman" w:cs="Times New Roman" w:eastAsia="Times New Roman" w:hint="default"/>
                <w:sz w:val="18"/>
                <w:szCs w:val="18"/>
              </w:rPr>
            </w:pPr>
            <w:hyperlink r:id="rId10">
              <w:r>
                <w:rPr>
                  <w:rFonts w:ascii="Times New Roman"/>
                  <w:sz w:val="18"/>
                </w:rPr>
                <w:t>www.cninfo.com.cn</w:t>
              </w:r>
            </w:hyperlink>
          </w:p>
        </w:tc>
      </w:tr>
      <w:tr>
        <w:trPr>
          <w:trHeight w:val="402" w:hRule="exact"/>
        </w:trPr>
        <w:tc>
          <w:tcPr>
            <w:tcW w:w="3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公司董事会办公室</w:t>
            </w:r>
          </w:p>
        </w:tc>
      </w:tr>
    </w:tbl>
    <w:p>
      <w:pPr>
        <w:spacing w:after="0" w:line="240" w:lineRule="auto"/>
        <w:jc w:val="left"/>
        <w:rPr>
          <w:rFonts w:ascii="宋体" w:hAnsi="宋体" w:cs="宋体" w:eastAsia="宋体" w:hint="default"/>
          <w:sz w:val="18"/>
          <w:szCs w:val="18"/>
        </w:rPr>
        <w:sectPr>
          <w:pgSz w:w="11910" w:h="16840"/>
          <w:pgMar w:header="878" w:footer="978" w:top="1100" w:bottom="1160" w:left="1020" w:right="0"/>
        </w:sectPr>
      </w:pPr>
    </w:p>
    <w:p>
      <w:pPr>
        <w:spacing w:line="240" w:lineRule="auto" w:before="10"/>
        <w:rPr>
          <w:rFonts w:ascii="宋体" w:hAnsi="宋体" w:cs="宋体" w:eastAsia="宋体" w:hint="default"/>
          <w:b/>
          <w:bCs/>
          <w:sz w:val="19"/>
          <w:szCs w:val="19"/>
        </w:rPr>
      </w:pPr>
    </w:p>
    <w:p>
      <w:pPr>
        <w:pStyle w:val="Heading2"/>
        <w:spacing w:line="240" w:lineRule="auto" w:before="26"/>
        <w:ind w:right="1394"/>
        <w:jc w:val="left"/>
        <w:rPr>
          <w:b w:val="0"/>
          <w:bCs w:val="0"/>
        </w:rPr>
      </w:pPr>
      <w:bookmarkStart w:name="四、注册变更情况" w:id="8"/>
      <w:bookmarkEnd w:id="8"/>
      <w:r>
        <w:rPr>
          <w:b w:val="0"/>
          <w:bCs w:val="0"/>
        </w:rPr>
      </w:r>
      <w:r>
        <w:rPr/>
        <w:t>四、注册变更情况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5"/>
          <w:szCs w:val="15"/>
        </w:rPr>
      </w:pPr>
    </w:p>
    <w:p>
      <w:pPr>
        <w:pStyle w:val="BodyText"/>
        <w:spacing w:line="240" w:lineRule="auto"/>
        <w:ind w:left="0" w:right="1141"/>
        <w:jc w:val="right"/>
      </w:pPr>
      <w:r>
        <w:rPr/>
        <w:pict>
          <v:shape style="position:absolute;margin-left:56.459999pt;margin-top:-71.928284pt;width:479.15pt;height:361.2pt;mso-position-horizontal-relative:page;mso-position-vertical-relative:paragraph;z-index: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90"/>
                    <w:gridCol w:w="6378"/>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6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统一社会信用代码</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914401017163404737</w:t>
                        </w:r>
                      </w:p>
                    </w:tc>
                  </w:tr>
                  <w:tr>
                    <w:trPr>
                      <w:trHeight w:val="361"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637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92"/>
                            <w:sz w:val="18"/>
                            <w:szCs w:val="18"/>
                          </w:rPr>
                          <w:t>、</w:t>
                        </w:r>
                        <w:r>
                          <w:rPr>
                            <w:rFonts w:ascii="宋体" w:hAnsi="宋体" w:cs="宋体" w:eastAsia="宋体" w:hint="default"/>
                            <w:sz w:val="18"/>
                            <w:szCs w:val="18"/>
                          </w:rPr>
                          <w:t>公司于</w:t>
                        </w:r>
                        <w:r>
                          <w:rPr>
                            <w:rFonts w:ascii="宋体" w:hAnsi="宋体" w:cs="宋体" w:eastAsia="宋体" w:hint="default"/>
                            <w:spacing w:val="-59"/>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00</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月在广州市工商行政管理局变更登记</w:t>
                        </w:r>
                        <w:r>
                          <w:rPr>
                            <w:rFonts w:ascii="宋体" w:hAnsi="宋体" w:cs="宋体" w:eastAsia="宋体" w:hint="default"/>
                            <w:spacing w:val="-92"/>
                            <w:sz w:val="18"/>
                            <w:szCs w:val="18"/>
                          </w:rPr>
                          <w:t>，</w:t>
                        </w:r>
                        <w:r>
                          <w:rPr>
                            <w:rFonts w:ascii="宋体" w:hAnsi="宋体" w:cs="宋体" w:eastAsia="宋体" w:hint="default"/>
                            <w:sz w:val="18"/>
                            <w:szCs w:val="18"/>
                          </w:rPr>
                          <w:t>公司经营范围增加了</w:t>
                        </w:r>
                        <w:r>
                          <w:rPr>
                            <w:rFonts w:ascii="Times New Roman" w:hAnsi="Times New Roman" w:cs="Times New Roman" w:eastAsia="Times New Roman" w:hint="default"/>
                            <w:spacing w:val="-1"/>
                            <w:w w:val="99"/>
                            <w:sz w:val="18"/>
                            <w:szCs w:val="18"/>
                          </w:rPr>
                          <w:t>“</w:t>
                        </w:r>
                        <w:r>
                          <w:rPr>
                            <w:rFonts w:ascii="宋体" w:hAnsi="宋体" w:cs="宋体" w:eastAsia="宋体" w:hint="default"/>
                            <w:sz w:val="18"/>
                            <w:szCs w:val="18"/>
                          </w:rPr>
                          <w:t>对</w:t>
                        </w:r>
                      </w:p>
                    </w:tc>
                  </w:tr>
                  <w:tr>
                    <w:trPr>
                      <w:trHeight w:val="332"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
                    </w:tc>
                    <w:tc>
                      <w:tcPr>
                        <w:tcW w:w="63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自动柜员机提供日常维护与管理服务；对现金及有价证券提供清分处理服务。</w:t>
                        </w:r>
                        <w:r>
                          <w:rPr>
                            <w:rFonts w:ascii="Times New Roman" w:hAnsi="Times New Roman" w:cs="Times New Roman" w:eastAsia="Times New Roman" w:hint="default"/>
                            <w:sz w:val="18"/>
                            <w:szCs w:val="18"/>
                          </w:rPr>
                          <w:t>”</w:t>
                        </w:r>
                      </w:p>
                    </w:tc>
                  </w:tr>
                  <w:tr>
                    <w:trPr>
                      <w:trHeight w:val="332"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
                    </w:tc>
                    <w:tc>
                      <w:tcPr>
                        <w:tcW w:w="6378"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日在广州市工商行政管理局变更登记，根据《广州市商</w:t>
                        </w:r>
                      </w:p>
                    </w:tc>
                  </w:tr>
                  <w:tr>
                    <w:trPr>
                      <w:trHeight w:val="307"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
                    </w:tc>
                    <w:tc>
                      <w:tcPr>
                        <w:tcW w:w="63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事登记制度改革实施办法（试行）》规定，商事主体登记事项包括主营项目类别</w:t>
                        </w:r>
                      </w:p>
                    </w:tc>
                  </w:tr>
                  <w:tr>
                    <w:trPr>
                      <w:trHeight w:val="312"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
                    </w:tc>
                    <w:tc>
                      <w:tcPr>
                        <w:tcW w:w="63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记载于营业执照，而经营范围改为申报事项，由广州市商事主体信息公示平台公</w:t>
                        </w:r>
                      </w:p>
                    </w:tc>
                  </w:tr>
                  <w:tr>
                    <w:trPr>
                      <w:trHeight w:val="312"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
                    </w:tc>
                    <w:tc>
                      <w:tcPr>
                        <w:tcW w:w="63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示。此次执照换发后，公司营业执照中记载事项的内容也进行了调整，现公司营</w:t>
                        </w:r>
                      </w:p>
                    </w:tc>
                  </w:tr>
                  <w:tr>
                    <w:trPr>
                      <w:trHeight w:val="312"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
                    </w:tc>
                    <w:tc>
                      <w:tcPr>
                        <w:tcW w:w="63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业执照登记的经营范围为：计算机、通信和其他电子设备制造业（具体经营项目</w:t>
                        </w:r>
                      </w:p>
                    </w:tc>
                  </w:tr>
                  <w:tr>
                    <w:trPr>
                      <w:trHeight w:val="312"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
                    </w:tc>
                    <w:tc>
                      <w:tcPr>
                        <w:tcW w:w="63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请登录广州市商事主体信息公示平台查询。依法须经批准的项目，经相关部门批</w:t>
                        </w:r>
                      </w:p>
                    </w:tc>
                  </w:tr>
                  <w:tr>
                    <w:trPr>
                      <w:trHeight w:val="312"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
                    </w:tc>
                    <w:tc>
                      <w:tcPr>
                        <w:tcW w:w="63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准后方可开展经营活动）。同时，根据最新的工商行政管理局系统目录，广州市</w:t>
                        </w:r>
                      </w:p>
                    </w:tc>
                  </w:tr>
                  <w:tr>
                    <w:trPr>
                      <w:trHeight w:val="624"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w:t>
                        </w:r>
                      </w:p>
                    </w:tc>
                    <w:tc>
                      <w:tcPr>
                        <w:tcW w:w="6378"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44"/>
                          <w:jc w:val="left"/>
                          <w:rPr>
                            <w:rFonts w:ascii="宋体" w:hAnsi="宋体" w:cs="宋体" w:eastAsia="宋体" w:hint="default"/>
                            <w:sz w:val="18"/>
                            <w:szCs w:val="18"/>
                          </w:rPr>
                        </w:pPr>
                        <w:r>
                          <w:rPr>
                            <w:rFonts w:ascii="宋体" w:hAnsi="宋体" w:cs="宋体" w:eastAsia="宋体" w:hint="default"/>
                            <w:sz w:val="18"/>
                            <w:szCs w:val="18"/>
                          </w:rPr>
                          <w:t>商事主体信息公示平台登记的公司经营范围与原营业执照登记的经营范围进行了 调整，具体内容为：计算机应用电子设备制造；自动售货机、售票机、柜员机及</w:t>
                        </w:r>
                      </w:p>
                    </w:tc>
                  </w:tr>
                  <w:tr>
                    <w:trPr>
                      <w:trHeight w:val="312"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
                    </w:tc>
                    <w:tc>
                      <w:tcPr>
                        <w:tcW w:w="63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零配件的批发；技术进出口；货物进出口（专营专控商品除外）；计算器及货币</w:t>
                        </w:r>
                      </w:p>
                    </w:tc>
                  </w:tr>
                  <w:tr>
                    <w:trPr>
                      <w:trHeight w:val="312"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
                    </w:tc>
                    <w:tc>
                      <w:tcPr>
                        <w:tcW w:w="63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专用设备制造；信息系统集成服务；信息技术咨询服务；软件开发；计算机技术</w:t>
                        </w:r>
                      </w:p>
                    </w:tc>
                  </w:tr>
                  <w:tr>
                    <w:trPr>
                      <w:trHeight w:val="332"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
                    </w:tc>
                    <w:tc>
                      <w:tcPr>
                        <w:tcW w:w="63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开发、技术服务；计算机和辅助设备修理。公司经营范围并未有实质性变化。</w:t>
                        </w:r>
                      </w:p>
                    </w:tc>
                  </w:tr>
                  <w:tr>
                    <w:trPr>
                      <w:trHeight w:val="336"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
                    </w:tc>
                    <w:tc>
                      <w:tcPr>
                        <w:tcW w:w="6378"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22" w:right="0"/>
                          <w:jc w:val="left"/>
                          <w:rPr>
                            <w:rFonts w:ascii="宋体" w:hAnsi="宋体" w:cs="宋体" w:eastAsia="宋体" w:hint="default"/>
                            <w:sz w:val="18"/>
                            <w:szCs w:val="18"/>
                          </w:rPr>
                        </w:pPr>
                        <w:r>
                          <w:rPr>
                            <w:rFonts w:ascii="Times New Roman" w:hAnsi="Times New Roman" w:cs="Times New Roman" w:eastAsia="Times New Roman" w:hint="default"/>
                            <w:spacing w:val="-14"/>
                            <w:sz w:val="18"/>
                            <w:szCs w:val="18"/>
                          </w:rPr>
                          <w:t>3</w:t>
                        </w:r>
                        <w:r>
                          <w:rPr>
                            <w:rFonts w:ascii="宋体" w:hAnsi="宋体" w:cs="宋体" w:eastAsia="宋体" w:hint="default"/>
                            <w:spacing w:val="-14"/>
                            <w:sz w:val="18"/>
                            <w:szCs w:val="18"/>
                          </w:rPr>
                          <w:t>、公司于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月在广州市市场监督管理局完成了经营范围的变更登记手续</w:t>
                        </w:r>
                      </w:p>
                    </w:tc>
                  </w:tr>
                  <w:tr>
                    <w:trPr>
                      <w:trHeight w:val="308"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
                    </w:tc>
                    <w:tc>
                      <w:tcPr>
                        <w:tcW w:w="637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经营范围变更为：技术进出口；自动售货机、售票机、柜员机及零配件的批发；</w:t>
                        </w:r>
                      </w:p>
                    </w:tc>
                  </w:tr>
                  <w:tr>
                    <w:trPr>
                      <w:trHeight w:val="312"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
                    </w:tc>
                    <w:tc>
                      <w:tcPr>
                        <w:tcW w:w="63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计算机应用电子设备制造；货物进出口（专营专控商品除外）；计算器及货币专</w:t>
                        </w:r>
                      </w:p>
                    </w:tc>
                  </w:tr>
                  <w:tr>
                    <w:trPr>
                      <w:trHeight w:val="312"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
                    </w:tc>
                    <w:tc>
                      <w:tcPr>
                        <w:tcW w:w="63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用设备制造；软件开发；计算机技术开发、技术服务；计算机和辅助设备修理；</w:t>
                        </w:r>
                      </w:p>
                    </w:tc>
                  </w:tr>
                  <w:tr>
                    <w:trPr>
                      <w:trHeight w:val="312"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
                    </w:tc>
                    <w:tc>
                      <w:tcPr>
                        <w:tcW w:w="63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信息系统集成服务；信息技术咨询服务；智能化安装工程服务；安全技术防范系</w:t>
                        </w:r>
                      </w:p>
                    </w:tc>
                  </w:tr>
                  <w:tr>
                    <w:trPr>
                      <w:trHeight w:val="356"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637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统设计、施工、维修；工程勘察设计；室内装饰、装修；室内装饰设计服务。</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w:t>
                        </w:r>
                      </w:p>
                    </w:tc>
                    <w:tc>
                      <w:tcPr>
                        <w:tcW w:w="6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无变更</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pStyle w:val="BodyText"/>
        <w:spacing w:line="240" w:lineRule="auto" w:before="44"/>
        <w:ind w:left="0" w:right="1141"/>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pStyle w:val="Heading2"/>
        <w:spacing w:line="240" w:lineRule="auto" w:before="26"/>
        <w:ind w:right="1394"/>
        <w:jc w:val="left"/>
        <w:rPr>
          <w:b w:val="0"/>
          <w:bCs w:val="0"/>
        </w:rPr>
      </w:pPr>
      <w:bookmarkStart w:name="五、其他有关资料" w:id="9"/>
      <w:bookmarkEnd w:id="9"/>
      <w:r>
        <w:rPr>
          <w:b w:val="0"/>
          <w:bCs w:val="0"/>
        </w:rPr>
      </w:r>
      <w:r>
        <w:rPr/>
        <w:t>五、其他有关资料</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394"/>
        <w:jc w:val="left"/>
      </w:pPr>
      <w:r>
        <w:rPr/>
        <w:t>公司聘请的会计师事务所</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662"/>
        <w:gridCol w:w="6906"/>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上海市黄浦区南京东路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王建民、滕海军</w:t>
            </w:r>
          </w:p>
        </w:tc>
      </w:tr>
    </w:tbl>
    <w:p>
      <w:pPr>
        <w:pStyle w:val="BodyText"/>
        <w:spacing w:line="240" w:lineRule="auto" w:before="49"/>
        <w:ind w:right="1394"/>
        <w:jc w:val="left"/>
      </w:pPr>
      <w:r>
        <w:rPr/>
        <w:t>公司聘请的报告期内履行持续督导职责的保荐机构</w:t>
      </w:r>
    </w:p>
    <w:p>
      <w:pPr>
        <w:pStyle w:val="BodyText"/>
        <w:spacing w:line="340" w:lineRule="auto" w:before="117"/>
        <w:ind w:right="6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公司聘请的报告期内履行持续督导职责的财务顾问</w:t>
      </w:r>
    </w:p>
    <w:p>
      <w:pPr>
        <w:pStyle w:val="BodyText"/>
        <w:spacing w:line="240" w:lineRule="auto" w:before="39"/>
        <w:ind w:right="13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394"/>
        <w:jc w:val="left"/>
        <w:rPr>
          <w:b w:val="0"/>
          <w:bCs w:val="0"/>
        </w:rPr>
      </w:pPr>
      <w:bookmarkStart w:name="六、主要会计数据和财务指标" w:id="10"/>
      <w:bookmarkEnd w:id="10"/>
      <w:r>
        <w:rPr>
          <w:b w:val="0"/>
          <w:bCs w:val="0"/>
        </w:rPr>
      </w:r>
      <w:r>
        <w:rPr/>
        <w:t>六、主要会计数据和财务指标</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394"/>
        <w:jc w:val="left"/>
      </w:pPr>
      <w:r>
        <w:rPr/>
        <w:t>公司是否需追溯调整或重述以前年度会计数据</w:t>
      </w:r>
    </w:p>
    <w:p>
      <w:pPr>
        <w:pStyle w:val="BodyText"/>
        <w:spacing w:line="240" w:lineRule="auto" w:before="117"/>
        <w:ind w:right="13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否</w:t>
      </w:r>
    </w:p>
    <w:p>
      <w:pPr>
        <w:spacing w:line="240" w:lineRule="auto" w:before="0"/>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2835"/>
        <w:gridCol w:w="1701"/>
        <w:gridCol w:w="1701"/>
        <w:gridCol w:w="1701"/>
        <w:gridCol w:w="1631"/>
      </w:tblGrid>
      <w:tr>
        <w:trPr>
          <w:trHeight w:val="400"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5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5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15"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6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bl>
    <w:p>
      <w:pPr>
        <w:spacing w:after="0" w:line="240" w:lineRule="auto"/>
        <w:jc w:val="left"/>
        <w:rPr>
          <w:rFonts w:ascii="宋体" w:hAnsi="宋体" w:cs="宋体" w:eastAsia="宋体" w:hint="default"/>
          <w:sz w:val="18"/>
          <w:szCs w:val="18"/>
        </w:rPr>
        <w:sectPr>
          <w:footerReference w:type="default" r:id="rId11"/>
          <w:pgSz w:w="11910" w:h="16840"/>
          <w:pgMar w:footer="978" w:header="878" w:top="1100" w:bottom="1160" w:left="1020" w:right="0"/>
          <w:pgNumType w:start="1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2835"/>
        <w:gridCol w:w="1701"/>
        <w:gridCol w:w="1701"/>
        <w:gridCol w:w="1701"/>
        <w:gridCol w:w="1631"/>
      </w:tblGrid>
      <w:tr>
        <w:trPr>
          <w:trHeight w:val="402"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6,496,265,096.84</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5,458,981,768.73</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19.00%</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4,383,577,016.09</w:t>
            </w:r>
          </w:p>
        </w:tc>
      </w:tr>
      <w:tr>
        <w:trPr>
          <w:trHeight w:val="402"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归属于上市公司股东的净利润（元</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tabs>
                <w:tab w:pos="542" w:val="left" w:leader="none"/>
              </w:tabs>
              <w:spacing w:line="240" w:lineRule="auto" w:before="51"/>
              <w:ind w:left="-122" w:right="19"/>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pacing w:val="-1"/>
                <w:sz w:val="18"/>
                <w:szCs w:val="18"/>
              </w:rPr>
              <w:t>757,975,682.12</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670,297,043.52</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13.08%</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899,485,037.43</w:t>
            </w:r>
          </w:p>
        </w:tc>
      </w:tr>
      <w:tr>
        <w:trPr>
          <w:trHeight w:val="714"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100"/>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归属于上市公司股东的扣除非经常 性损益的净利润（元）</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640,183,340.02</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537,323,464.18</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19.14%</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412,661,955.05</w:t>
            </w:r>
          </w:p>
        </w:tc>
      </w:tr>
      <w:tr>
        <w:trPr>
          <w:trHeight w:val="402"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经营活动产生的现金流量净额（元</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tabs>
                <w:tab w:pos="542" w:val="left" w:leader="none"/>
              </w:tabs>
              <w:spacing w:line="240" w:lineRule="auto" w:before="51"/>
              <w:ind w:left="-122" w:right="19"/>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pacing w:val="-1"/>
                <w:sz w:val="18"/>
                <w:szCs w:val="18"/>
              </w:rPr>
              <w:t>928,652,454.29</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966,933,808.21</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-3.96%</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672,450,133.35</w:t>
            </w:r>
          </w:p>
        </w:tc>
      </w:tr>
      <w:tr>
        <w:trPr>
          <w:trHeight w:val="402"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0.31</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0.28</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10.71%</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0.37</w:t>
            </w:r>
          </w:p>
        </w:tc>
      </w:tr>
      <w:tr>
        <w:trPr>
          <w:trHeight w:val="402"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0.31</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0.28</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10.71%</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0.37</w:t>
            </w:r>
          </w:p>
        </w:tc>
      </w:tr>
      <w:tr>
        <w:trPr>
          <w:trHeight w:val="402"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8.59%</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7.48%</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1.11%</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10.29%</w:t>
            </w:r>
          </w:p>
        </w:tc>
      </w:tr>
      <w:tr>
        <w:trPr>
          <w:trHeight w:val="402"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年末</w:t>
            </w:r>
          </w:p>
        </w:tc>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4"/>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6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14,187,209,411.66</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13,440,218,513.35</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5.56%</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12,691,220,013.16</w:t>
            </w:r>
          </w:p>
        </w:tc>
      </w:tr>
      <w:tr>
        <w:trPr>
          <w:trHeight w:val="402"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归属于上市公司股东的净资产（元</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tabs>
                <w:tab w:pos="408" w:val="left" w:leader="none"/>
              </w:tabs>
              <w:spacing w:line="240" w:lineRule="auto" w:before="51"/>
              <w:ind w:left="-122" w:right="19"/>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pacing w:val="-1"/>
                <w:sz w:val="18"/>
                <w:szCs w:val="18"/>
              </w:rPr>
              <w:t>9,052,927,085.91</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8,686,989,440.52</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4.21%</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8,890,909,285.90</w:t>
            </w:r>
          </w:p>
        </w:tc>
      </w:tr>
    </w:tbl>
    <w:p>
      <w:pPr>
        <w:pStyle w:val="BodyText"/>
        <w:spacing w:line="240" w:lineRule="auto" w:before="50"/>
        <w:ind w:right="1394"/>
        <w:jc w:val="left"/>
      </w:pPr>
      <w:r>
        <w:rPr/>
        <w:t>截止披露前一交易日的公司总股本：</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523"/>
        <w:gridCol w:w="5045"/>
      </w:tblGrid>
      <w:tr>
        <w:trPr>
          <w:trHeight w:val="402" w:hRule="exact"/>
        </w:trPr>
        <w:tc>
          <w:tcPr>
            <w:tcW w:w="4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截止披露前一交易日的公司总股本（股）</w:t>
            </w:r>
          </w:p>
        </w:tc>
        <w:tc>
          <w:tcPr>
            <w:tcW w:w="5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2,408,993,951</w:t>
            </w:r>
          </w:p>
        </w:tc>
      </w:tr>
      <w:tr>
        <w:trPr>
          <w:trHeight w:val="402" w:hRule="exact"/>
        </w:trPr>
        <w:tc>
          <w:tcPr>
            <w:tcW w:w="4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用最新股本计算的全面摊薄每股收益（元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5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0.3146</w:t>
            </w:r>
          </w:p>
        </w:tc>
      </w:tr>
    </w:tbl>
    <w:p>
      <w:pPr>
        <w:pStyle w:val="BodyText"/>
        <w:spacing w:line="240" w:lineRule="auto" w:before="51"/>
        <w:ind w:right="0"/>
        <w:jc w:val="left"/>
      </w:pPr>
      <w:r>
        <w:rPr>
          <w:spacing w:val="-7"/>
        </w:rPr>
        <w:t>注：公司已于</w:t>
      </w:r>
      <w:r>
        <w:rPr>
          <w:spacing w:val="-4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18</w:t>
      </w:r>
      <w:r>
        <w:rPr>
          <w:rFonts w:ascii="Times New Roman" w:hAnsi="Times New Roman" w:cs="Times New Roman" w:eastAsia="Times New Roman" w:hint="default"/>
          <w:spacing w:val="-3"/>
        </w:rPr>
        <w:t> </w:t>
      </w:r>
      <w:r>
        <w:rPr/>
        <w:t>日在中国证券登记结算有限责任公司深圳分公司办理完毕</w:t>
      </w:r>
      <w:r>
        <w:rPr>
          <w:spacing w:val="-45"/>
        </w:rPr>
        <w:t> </w:t>
      </w:r>
      <w:r>
        <w:rPr>
          <w:rFonts w:ascii="Times New Roman" w:hAnsi="Times New Roman" w:cs="Times New Roman" w:eastAsia="Times New Roman" w:hint="default"/>
        </w:rPr>
        <w:t>19,891,774</w:t>
      </w:r>
      <w:r>
        <w:rPr>
          <w:rFonts w:ascii="Times New Roman" w:hAnsi="Times New Roman" w:cs="Times New Roman" w:eastAsia="Times New Roman" w:hint="default"/>
          <w:spacing w:val="-1"/>
        </w:rPr>
        <w:t> </w:t>
      </w:r>
      <w:r>
        <w:rPr>
          <w:spacing w:val="-4"/>
        </w:rPr>
        <w:t>股回购股份注销手续，注</w:t>
      </w:r>
    </w:p>
    <w:p>
      <w:pPr>
        <w:pStyle w:val="BodyText"/>
        <w:spacing w:line="240" w:lineRule="auto" w:before="63"/>
        <w:ind w:right="1394"/>
        <w:jc w:val="left"/>
      </w:pPr>
      <w:r>
        <w:rPr/>
        <w:t>销后公司总股本由</w:t>
      </w:r>
      <w:r>
        <w:rPr>
          <w:spacing w:val="-49"/>
        </w:rPr>
        <w:t> </w:t>
      </w:r>
      <w:r>
        <w:rPr>
          <w:rFonts w:ascii="Times New Roman" w:hAnsi="Times New Roman" w:cs="Times New Roman" w:eastAsia="Times New Roman" w:hint="default"/>
        </w:rPr>
        <w:t>2,428,885,725</w:t>
      </w:r>
      <w:r>
        <w:rPr>
          <w:rFonts w:ascii="Times New Roman" w:hAnsi="Times New Roman" w:cs="Times New Roman" w:eastAsia="Times New Roman" w:hint="default"/>
          <w:spacing w:val="-4"/>
        </w:rPr>
        <w:t> </w:t>
      </w:r>
      <w:r>
        <w:rPr/>
        <w:t>股减少至</w:t>
      </w:r>
      <w:r>
        <w:rPr>
          <w:spacing w:val="-49"/>
        </w:rPr>
        <w:t> </w:t>
      </w:r>
      <w:r>
        <w:rPr>
          <w:rFonts w:ascii="Times New Roman" w:hAnsi="Times New Roman" w:cs="Times New Roman" w:eastAsia="Times New Roman" w:hint="default"/>
        </w:rPr>
        <w:t>2,408,993,951</w:t>
      </w:r>
      <w:r>
        <w:rPr>
          <w:rFonts w:ascii="Times New Roman" w:hAnsi="Times New Roman" w:cs="Times New Roman" w:eastAsia="Times New Roman" w:hint="default"/>
          <w:spacing w:val="-4"/>
        </w:rPr>
        <w:t> </w:t>
      </w:r>
      <w:r>
        <w:rPr/>
        <w:t>股。</w:t>
      </w:r>
    </w:p>
    <w:p>
      <w:pPr>
        <w:spacing w:line="240" w:lineRule="auto" w:before="0"/>
        <w:rPr>
          <w:rFonts w:ascii="宋体" w:hAnsi="宋体" w:cs="宋体" w:eastAsia="宋体" w:hint="default"/>
          <w:sz w:val="24"/>
          <w:szCs w:val="24"/>
        </w:rPr>
      </w:pPr>
    </w:p>
    <w:p>
      <w:pPr>
        <w:pStyle w:val="Heading2"/>
        <w:spacing w:line="240" w:lineRule="auto"/>
        <w:ind w:right="1394"/>
        <w:jc w:val="left"/>
        <w:rPr>
          <w:b w:val="0"/>
          <w:bCs w:val="0"/>
        </w:rPr>
      </w:pPr>
      <w:bookmarkStart w:name="七、境内外会计准则下会计数据差异" w:id="11"/>
      <w:bookmarkEnd w:id="11"/>
      <w:r>
        <w:rPr>
          <w:b w:val="0"/>
          <w:bCs w:val="0"/>
        </w:rPr>
      </w:r>
      <w:r>
        <w:rPr/>
        <w:t>七、境内外会计准则下会计数据差异</w:t>
      </w:r>
      <w:r>
        <w:rPr>
          <w:b w:val="0"/>
          <w:bCs w:val="0"/>
        </w:rPr>
      </w:r>
    </w:p>
    <w:p>
      <w:pPr>
        <w:spacing w:line="240" w:lineRule="auto" w:before="6"/>
        <w:rPr>
          <w:rFonts w:ascii="宋体" w:hAnsi="宋体" w:cs="宋体" w:eastAsia="宋体" w:hint="default"/>
          <w:b/>
          <w:bCs/>
          <w:sz w:val="25"/>
          <w:szCs w:val="25"/>
        </w:rPr>
      </w:pPr>
    </w:p>
    <w:p>
      <w:pPr>
        <w:pStyle w:val="Heading5"/>
        <w:spacing w:line="240" w:lineRule="auto"/>
        <w:ind w:right="1394"/>
        <w:jc w:val="left"/>
        <w:rPr>
          <w:b w:val="0"/>
          <w:bCs w:val="0"/>
        </w:rPr>
      </w:pPr>
      <w:bookmarkStart w:name="1、同时按照国际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11"/>
        <w:rPr>
          <w:rFonts w:ascii="宋体" w:hAnsi="宋体" w:cs="宋体" w:eastAsia="宋体" w:hint="default"/>
          <w:b/>
          <w:bCs/>
          <w:sz w:val="26"/>
          <w:szCs w:val="26"/>
        </w:rPr>
      </w:pPr>
    </w:p>
    <w:p>
      <w:pPr>
        <w:pStyle w:val="BodyText"/>
        <w:spacing w:line="338" w:lineRule="auto"/>
        <w:ind w:right="26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公司报告期不存在按照国际会计准则与按照中国会计准则披露的财务报告中净利润和净资产差异情况。</w:t>
      </w:r>
    </w:p>
    <w:p>
      <w:pPr>
        <w:spacing w:line="240" w:lineRule="auto" w:before="1"/>
        <w:rPr>
          <w:rFonts w:ascii="宋体" w:hAnsi="宋体" w:cs="宋体" w:eastAsia="宋体" w:hint="default"/>
          <w:sz w:val="22"/>
          <w:szCs w:val="22"/>
        </w:rPr>
      </w:pPr>
    </w:p>
    <w:p>
      <w:pPr>
        <w:pStyle w:val="Heading5"/>
        <w:spacing w:line="240" w:lineRule="auto"/>
        <w:ind w:right="1394"/>
        <w:jc w:val="left"/>
        <w:rPr>
          <w:b w:val="0"/>
          <w:bCs w:val="0"/>
        </w:rPr>
      </w:pPr>
      <w:bookmarkStart w:name="2、同时按照境外会计准则与按照中国会计准则披露的财务报告中净利润和净资产差异情况" w:id="13"/>
      <w:bookmarkEnd w:id="13"/>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11"/>
        <w:rPr>
          <w:rFonts w:ascii="宋体" w:hAnsi="宋体" w:cs="宋体" w:eastAsia="宋体" w:hint="default"/>
          <w:b/>
          <w:bCs/>
          <w:sz w:val="26"/>
          <w:szCs w:val="26"/>
        </w:rPr>
      </w:pPr>
    </w:p>
    <w:p>
      <w:pPr>
        <w:pStyle w:val="BodyText"/>
        <w:spacing w:line="340" w:lineRule="auto"/>
        <w:ind w:right="26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公司报告期不存在按照境外会计准则与按照中国会计准则披露的财务报告中净利润和净资产差异情况。</w:t>
      </w:r>
    </w:p>
    <w:p>
      <w:pPr>
        <w:spacing w:line="240" w:lineRule="auto" w:before="4"/>
        <w:rPr>
          <w:rFonts w:ascii="宋体" w:hAnsi="宋体" w:cs="宋体" w:eastAsia="宋体" w:hint="default"/>
          <w:sz w:val="19"/>
          <w:szCs w:val="19"/>
        </w:rPr>
      </w:pPr>
    </w:p>
    <w:p>
      <w:pPr>
        <w:pStyle w:val="Heading2"/>
        <w:spacing w:line="240" w:lineRule="auto"/>
        <w:ind w:right="1394"/>
        <w:jc w:val="left"/>
        <w:rPr>
          <w:b w:val="0"/>
          <w:bCs w:val="0"/>
        </w:rPr>
      </w:pPr>
      <w:bookmarkStart w:name="八、分季度主要财务指标" w:id="14"/>
      <w:bookmarkEnd w:id="14"/>
      <w:r>
        <w:rPr>
          <w:b w:val="0"/>
          <w:bCs w:val="0"/>
        </w:rPr>
      </w:r>
      <w:r>
        <w:rPr/>
        <w:t>八、分季度主要财务指标</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0" w:right="1132"/>
        <w:jc w:val="right"/>
      </w:pPr>
      <w:r>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621"/>
        <w:gridCol w:w="1740"/>
        <w:gridCol w:w="1739"/>
        <w:gridCol w:w="1739"/>
        <w:gridCol w:w="1730"/>
      </w:tblGrid>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5"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3"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1,274,596,071.47</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1,363,704,218.02</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1,433,519,051.06</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2,424,445,756.29</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200,003,345.59</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168,934,142.45</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134,906,956.23</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254,131,237.85</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66"/>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177,099,004.09</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140,065,663.61</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110,009,196.79</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213,009,475.53</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-523,455,411.33</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42,905,700.06</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173,611,171.96</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1,235,590,993.60</w:t>
            </w:r>
          </w:p>
        </w:tc>
      </w:tr>
    </w:tbl>
    <w:p>
      <w:pPr>
        <w:pStyle w:val="BodyText"/>
        <w:spacing w:line="240" w:lineRule="auto" w:before="50"/>
        <w:ind w:right="1394"/>
        <w:jc w:val="left"/>
      </w:pPr>
      <w:r>
        <w:rPr/>
        <w:t>上述财务指标或其加总数是否与公司已披露季度报告、半年度报告相关财务指标存在重大差异</w:t>
      </w:r>
    </w:p>
    <w:p>
      <w:pPr>
        <w:spacing w:after="0" w:line="240" w:lineRule="auto"/>
        <w:jc w:val="left"/>
        <w:sectPr>
          <w:pgSz w:w="11910" w:h="16840"/>
          <w:pgMar w:header="878" w:footer="978" w:top="1100" w:bottom="1160" w:left="1020" w:right="0"/>
        </w:sectPr>
      </w:pPr>
    </w:p>
    <w:p>
      <w:pPr>
        <w:spacing w:line="240" w:lineRule="auto" w:before="1"/>
        <w:rPr>
          <w:rFonts w:ascii="宋体" w:hAnsi="宋体" w:cs="宋体" w:eastAsia="宋体" w:hint="default"/>
          <w:sz w:val="22"/>
          <w:szCs w:val="22"/>
        </w:rPr>
      </w:pPr>
    </w:p>
    <w:p>
      <w:pPr>
        <w:pStyle w:val="BodyText"/>
        <w:spacing w:line="240" w:lineRule="auto" w:before="44"/>
        <w:ind w:right="13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否</w:t>
      </w:r>
    </w:p>
    <w:p>
      <w:pPr>
        <w:spacing w:line="240" w:lineRule="auto" w:before="0"/>
        <w:rPr>
          <w:rFonts w:ascii="宋体" w:hAnsi="宋体" w:cs="宋体" w:eastAsia="宋体" w:hint="default"/>
          <w:sz w:val="24"/>
          <w:szCs w:val="24"/>
        </w:rPr>
      </w:pPr>
    </w:p>
    <w:p>
      <w:pPr>
        <w:pStyle w:val="Heading2"/>
        <w:spacing w:line="240" w:lineRule="auto"/>
        <w:ind w:right="1394"/>
        <w:jc w:val="left"/>
        <w:rPr>
          <w:b w:val="0"/>
          <w:bCs w:val="0"/>
        </w:rPr>
      </w:pPr>
      <w:bookmarkStart w:name="九、非经常性损益项目及金额" w:id="15"/>
      <w:bookmarkEnd w:id="15"/>
      <w:r>
        <w:rPr>
          <w:b w:val="0"/>
          <w:bCs w:val="0"/>
        </w:rPr>
      </w:r>
      <w:r>
        <w:rPr/>
        <w:t>九、非经常性损益项目及金额</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13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pStyle w:val="BodyText"/>
        <w:spacing w:line="240" w:lineRule="auto" w:before="103"/>
        <w:ind w:left="0" w:right="1132"/>
        <w:jc w:val="right"/>
      </w:pPr>
      <w:r>
        <w:rPr/>
        <w:t>单位：元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296"/>
        <w:gridCol w:w="1520"/>
        <w:gridCol w:w="1520"/>
        <w:gridCol w:w="1522"/>
        <w:gridCol w:w="1710"/>
      </w:tblGrid>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22"/>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 减值准备的冲销部分）</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-1,462,164.47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-262,481.68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1,742,447.72</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22"/>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 密切相关，按照国家统一标准定额或定 量享受的政府补助除外）</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102,231,882.90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93,234,712.92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102,228,372.64</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48,445,582.62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88,641,684.75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90,705,909.66</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2274"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22"/>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 保值业务外，持有交易性金融资产、衍 生金融资产、交易性金融负债、衍生金 融负债产生的公允价值变动损益，以及 处置交易性金融资产、衍生金融资产、 交易性金融负债、衍生金融负债和其他 债权投资取得的投资收益</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-1,450,342.88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404,564,689.22</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22"/>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 出</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70,212.89</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-6,229,219.93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-9,259,434.96</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10,052,519.37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2,551,770.28</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25,659,220.83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28,592,026.72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89,481,299.30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15,886,470.38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14,920,517.40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13,677,602.60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117,792,342.10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132,973,579.34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486,823,082.38</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0"/>
        <w:ind w:right="0"/>
        <w:jc w:val="left"/>
      </w:pPr>
      <w:r>
        <w:rPr>
          <w:spacing w:val="-3"/>
        </w:rPr>
        <w:t>对公司根据《公开发行证券的公司信息披露解释性公告第</w:t>
      </w:r>
      <w:r>
        <w:rPr>
          <w:spacing w:val="-38"/>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3"/>
        <w:ind w:right="1120"/>
        <w:jc w:val="left"/>
      </w:pPr>
      <w:r>
        <w:rPr/>
        <w:t>开发行证券的公司信息披露解释性公告第</w:t>
      </w:r>
      <w:r>
        <w:rPr>
          <w:spacing w:val="-35"/>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spacing w:val="-88"/>
        </w:rPr>
        <w:t> </w:t>
      </w:r>
      <w:r>
        <w:rPr>
          <w:spacing w:val="-88"/>
        </w:rPr>
      </w:r>
      <w:r>
        <w:rPr/>
        <w:t>说明原因</w:t>
      </w:r>
    </w:p>
    <w:p>
      <w:pPr>
        <w:pStyle w:val="BodyText"/>
        <w:spacing w:line="240" w:lineRule="auto" w:before="72"/>
        <w:ind w:right="13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2264"/>
        <w:gridCol w:w="2126"/>
        <w:gridCol w:w="5178"/>
      </w:tblGrid>
      <w:tr>
        <w:trPr>
          <w:trHeight w:val="402" w:hRule="exact"/>
        </w:trPr>
        <w:tc>
          <w:tcPr>
            <w:tcW w:w="22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27" w:right="0"/>
              <w:jc w:val="left"/>
              <w:rPr>
                <w:rFonts w:ascii="宋体" w:hAnsi="宋体" w:cs="宋体" w:eastAsia="宋体" w:hint="default"/>
                <w:sz w:val="18"/>
                <w:szCs w:val="18"/>
              </w:rPr>
            </w:pPr>
            <w:r>
              <w:rPr>
                <w:rFonts w:ascii="宋体" w:hAnsi="宋体" w:cs="宋体" w:eastAsia="宋体" w:hint="default"/>
                <w:sz w:val="18"/>
                <w:szCs w:val="18"/>
              </w:rPr>
              <w:t>涉及金额（元）</w:t>
            </w:r>
          </w:p>
        </w:tc>
        <w:tc>
          <w:tcPr>
            <w:tcW w:w="5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4"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政府补助中的增值税返还</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8" w:right="0"/>
              <w:jc w:val="left"/>
              <w:rPr>
                <w:rFonts w:ascii="Times New Roman" w:hAnsi="Times New Roman" w:cs="Times New Roman" w:eastAsia="Times New Roman" w:hint="default"/>
                <w:sz w:val="18"/>
                <w:szCs w:val="18"/>
              </w:rPr>
            </w:pPr>
            <w:r>
              <w:rPr>
                <w:rFonts w:ascii="Times New Roman"/>
                <w:sz w:val="18"/>
              </w:rPr>
              <w:t>40,685,269.96</w:t>
            </w:r>
          </w:p>
        </w:tc>
        <w:tc>
          <w:tcPr>
            <w:tcW w:w="517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34"/>
              <w:jc w:val="left"/>
              <w:rPr>
                <w:rFonts w:ascii="宋体" w:hAnsi="宋体" w:cs="宋体" w:eastAsia="宋体" w:hint="default"/>
                <w:sz w:val="18"/>
                <w:szCs w:val="18"/>
              </w:rPr>
            </w:pPr>
            <w:r>
              <w:rPr>
                <w:rFonts w:ascii="宋体" w:hAnsi="宋体" w:cs="宋体" w:eastAsia="宋体" w:hint="default"/>
                <w:sz w:val="18"/>
                <w:szCs w:val="18"/>
              </w:rPr>
              <w:t>根据</w:t>
            </w:r>
            <w:r>
              <w:rPr>
                <w:rFonts w:ascii="Times New Roman" w:hAnsi="Times New Roman" w:cs="Times New Roman" w:eastAsia="Times New Roman" w:hint="default"/>
                <w:sz w:val="18"/>
                <w:szCs w:val="18"/>
              </w:rPr>
              <w:t>“</w:t>
            </w:r>
            <w:r>
              <w:rPr>
                <w:rFonts w:ascii="宋体" w:hAnsi="宋体" w:cs="宋体" w:eastAsia="宋体" w:hint="default"/>
                <w:sz w:val="18"/>
                <w:szCs w:val="18"/>
              </w:rPr>
              <w:t>财税【</w:t>
            </w:r>
            <w:r>
              <w:rPr>
                <w:rFonts w:ascii="Times New Roman" w:hAnsi="Times New Roman" w:cs="Times New Roman" w:eastAsia="Times New Roman" w:hint="default"/>
                <w:sz w:val="18"/>
                <w:szCs w:val="18"/>
              </w:rPr>
              <w:t>2011</w:t>
            </w:r>
            <w:r>
              <w:rPr>
                <w:rFonts w:ascii="宋体" w:hAnsi="宋体" w:cs="宋体" w:eastAsia="宋体" w:hint="default"/>
                <w:sz w:val="18"/>
                <w:szCs w:val="18"/>
              </w:rPr>
              <w:t>】</w:t>
            </w:r>
            <w:r>
              <w:rPr>
                <w:rFonts w:ascii="Times New Roman" w:hAnsi="Times New Roman" w:cs="Times New Roman" w:eastAsia="Times New Roman" w:hint="default"/>
                <w:sz w:val="18"/>
                <w:szCs w:val="18"/>
              </w:rPr>
              <w:t>100</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文《关于软件产品增值税政策的通知》 的规定，享受软件产品增值税即征即退税收优惠。</w:t>
            </w:r>
          </w:p>
        </w:tc>
      </w:tr>
    </w:tbl>
    <w:p>
      <w:pPr>
        <w:spacing w:after="0" w:line="300" w:lineRule="auto"/>
        <w:jc w:val="left"/>
        <w:rPr>
          <w:rFonts w:ascii="宋体" w:hAnsi="宋体" w:cs="宋体" w:eastAsia="宋体" w:hint="default"/>
          <w:sz w:val="18"/>
          <w:szCs w:val="18"/>
        </w:rPr>
        <w:sectPr>
          <w:pgSz w:w="11910" w:h="16840"/>
          <w:pgMar w:header="878" w:footer="978" w:top="1100" w:bottom="116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pStyle w:val="Heading1"/>
        <w:spacing w:line="240" w:lineRule="auto"/>
        <w:ind w:right="1020"/>
        <w:jc w:val="center"/>
        <w:rPr>
          <w:b w:val="0"/>
          <w:bCs w:val="0"/>
        </w:rPr>
      </w:pPr>
      <w:bookmarkStart w:name="第三节 公司业务概要" w:id="16"/>
      <w:bookmarkEnd w:id="16"/>
      <w:r>
        <w:rPr>
          <w:b w:val="0"/>
          <w:bCs w:val="0"/>
        </w:rPr>
      </w:r>
      <w:bookmarkStart w:name="_bookmark2" w:id="17"/>
      <w:bookmarkEnd w:id="17"/>
      <w:r>
        <w:rPr>
          <w:b w:val="0"/>
          <w:bCs w:val="0"/>
        </w:rPr>
      </w:r>
      <w:r>
        <w:rPr/>
        <w:t>第三节</w:t>
      </w:r>
      <w:r>
        <w:rPr>
          <w:spacing w:val="-10"/>
        </w:rPr>
        <w:t> </w:t>
      </w:r>
      <w:r>
        <w:rPr/>
        <w:t>公司业务概要</w:t>
      </w:r>
      <w:r>
        <w:rPr>
          <w:b w:val="0"/>
          <w:bCs w:val="0"/>
        </w:rPr>
      </w:r>
    </w:p>
    <w:p>
      <w:pPr>
        <w:spacing w:line="240" w:lineRule="auto" w:before="10"/>
        <w:rPr>
          <w:rFonts w:ascii="宋体" w:hAnsi="宋体" w:cs="宋体" w:eastAsia="宋体" w:hint="default"/>
          <w:b/>
          <w:bCs/>
          <w:sz w:val="38"/>
          <w:szCs w:val="38"/>
        </w:rPr>
      </w:pPr>
    </w:p>
    <w:p>
      <w:pPr>
        <w:pStyle w:val="Heading2"/>
        <w:spacing w:line="240" w:lineRule="auto"/>
        <w:ind w:right="1394"/>
        <w:jc w:val="left"/>
        <w:rPr>
          <w:b w:val="0"/>
          <w:bCs w:val="0"/>
        </w:rPr>
      </w:pPr>
      <w:bookmarkStart w:name="一、报告期内公司从事的主要业务" w:id="18"/>
      <w:bookmarkEnd w:id="18"/>
      <w:r>
        <w:rPr>
          <w:b w:val="0"/>
          <w:bCs w:val="0"/>
        </w:rPr>
      </w:r>
      <w:r>
        <w:rPr/>
        <w:t>一、报告期内公司从事的主要业务</w:t>
      </w:r>
      <w:r>
        <w:rPr>
          <w:b w:val="0"/>
          <w:bCs w:val="0"/>
        </w:rPr>
      </w:r>
    </w:p>
    <w:p>
      <w:pPr>
        <w:spacing w:line="240" w:lineRule="auto" w:before="6"/>
        <w:rPr>
          <w:rFonts w:ascii="宋体" w:hAnsi="宋体" w:cs="宋体" w:eastAsia="宋体" w:hint="default"/>
          <w:b/>
          <w:bCs/>
          <w:sz w:val="26"/>
          <w:szCs w:val="26"/>
        </w:rPr>
      </w:pPr>
    </w:p>
    <w:p>
      <w:pPr>
        <w:pStyle w:val="BodyText"/>
        <w:spacing w:line="360" w:lineRule="auto"/>
        <w:ind w:left="472" w:right="7334"/>
        <w:jc w:val="left"/>
      </w:pPr>
      <w:r>
        <w:rPr/>
        <w:t>公司是否需要遵守特殊行业的披露要求 否</w:t>
      </w:r>
    </w:p>
    <w:p>
      <w:pPr>
        <w:pStyle w:val="BodyText"/>
        <w:spacing w:line="316" w:lineRule="auto" w:before="27"/>
        <w:ind w:right="1132" w:firstLine="360"/>
        <w:jc w:val="both"/>
      </w:pPr>
      <w:r>
        <w:rPr>
          <w:spacing w:val="-2"/>
        </w:rPr>
        <w:t>广电运通是一家国有控股的高科技上市公司，主营业务覆盖金融科技、公共安全、交通出行以及文娱旅游、零售便民等</w:t>
      </w:r>
      <w:r>
        <w:rPr/>
        <w:t> </w:t>
      </w:r>
      <w:r>
        <w:rPr>
          <w:spacing w:val="-2"/>
        </w:rPr>
        <w:t>领域，为全球客户提供具有竞争力的智能终端、运营服务及大数据解决方案，致力于成为领先的行业人工智能解决方案提供</w:t>
      </w:r>
      <w:r>
        <w:rPr>
          <w:spacing w:val="-65"/>
        </w:rPr>
        <w:t> </w:t>
      </w:r>
      <w:r>
        <w:rPr>
          <w:spacing w:val="-65"/>
        </w:rPr>
      </w:r>
      <w:r>
        <w:rPr/>
        <w:t>商。</w:t>
      </w:r>
    </w:p>
    <w:p>
      <w:pPr>
        <w:pStyle w:val="BodyText"/>
        <w:spacing w:line="360" w:lineRule="auto" w:before="57"/>
        <w:ind w:left="472" w:right="1174"/>
        <w:jc w:val="left"/>
      </w:pPr>
      <w:r>
        <w:rPr>
          <w:rFonts w:ascii="宋体" w:hAnsi="宋体" w:cs="宋体" w:eastAsia="宋体" w:hint="default"/>
          <w:b/>
          <w:bCs/>
        </w:rPr>
        <w:t>公司发展战略</w:t>
      </w:r>
      <w:r>
        <w:rPr>
          <w:rFonts w:ascii="宋体" w:hAnsi="宋体" w:cs="宋体" w:eastAsia="宋体" w:hint="default"/>
          <w:b/>
          <w:bCs/>
          <w:w w:val="99"/>
        </w:rPr>
        <w:t> </w:t>
      </w:r>
      <w:r>
        <w:rPr/>
        <w:t>当前，全球经济增长持续放缓，我国处于转变发展方式、优化经济结构、转换增长动力的攻关期。随着</w:t>
      </w:r>
      <w:r>
        <w:rPr>
          <w:rFonts w:ascii="Times New Roman" w:hAnsi="Times New Roman" w:cs="Times New Roman" w:eastAsia="Times New Roman" w:hint="default"/>
        </w:rPr>
        <w:t>5G</w:t>
      </w:r>
      <w:r>
        <w:rPr/>
        <w:t>、云计算、</w:t>
      </w:r>
    </w:p>
    <w:p>
      <w:pPr>
        <w:pStyle w:val="BodyText"/>
        <w:spacing w:line="199" w:lineRule="exact"/>
        <w:ind w:right="0"/>
        <w:jc w:val="left"/>
      </w:pPr>
      <w:r>
        <w:rPr/>
        <w:t>大数据、人工智能以及区块链等新兴技术不断融合，以产业数字化为核心的万物智联正在成为经济增长的新引擎。数字经济</w:t>
      </w:r>
    </w:p>
    <w:p>
      <w:pPr>
        <w:pStyle w:val="BodyText"/>
        <w:spacing w:line="309" w:lineRule="auto" w:before="76"/>
        <w:ind w:right="1024"/>
        <w:jc w:val="left"/>
      </w:pPr>
      <w:r>
        <w:rPr>
          <w:spacing w:val="-2"/>
        </w:rPr>
        <w:t>的蓬勃发展，人工智能物联网已成为各大传统企业智能化升级的最佳通道，是推动万物互联到万物智联的重要桥梁。在万物</w:t>
      </w:r>
      <w:r>
        <w:rPr>
          <w:spacing w:val="-65"/>
        </w:rPr>
        <w:t> </w:t>
      </w:r>
      <w:r>
        <w:rPr>
          <w:spacing w:val="-65"/>
        </w:rPr>
      </w:r>
      <w:r>
        <w:rPr/>
        <w:t>智联时代，广电运通正围绕核心</w:t>
      </w:r>
      <w:r>
        <w:rPr>
          <w:rFonts w:ascii="Times New Roman" w:hAnsi="Times New Roman" w:cs="Times New Roman" w:eastAsia="Times New Roman" w:hint="default"/>
        </w:rPr>
        <w:t>AI</w:t>
      </w:r>
      <w:r>
        <w:rPr/>
        <w:t>技术能力，将成熟的数字化解决方案与各类终端设备连接，推动智能物联终端设备创新，</w:t>
      </w:r>
      <w:r>
        <w:rPr>
          <w:w w:val="99"/>
        </w:rPr>
        <w:t> </w:t>
      </w:r>
      <w:r>
        <w:rPr/>
        <w:t>以</w:t>
      </w:r>
      <w:r>
        <w:rPr>
          <w:rFonts w:ascii="Times New Roman" w:hAnsi="Times New Roman" w:cs="Times New Roman" w:eastAsia="Times New Roman" w:hint="default"/>
        </w:rPr>
        <w:t>“</w:t>
      </w:r>
      <w:r>
        <w:rPr/>
        <w:t>智能终端</w:t>
      </w:r>
      <w:r>
        <w:rPr>
          <w:rFonts w:ascii="Times New Roman" w:hAnsi="Times New Roman" w:cs="Times New Roman" w:eastAsia="Times New Roman" w:hint="default"/>
        </w:rPr>
        <w:t>+</w:t>
      </w:r>
      <w:r>
        <w:rPr/>
        <w:t>大数据</w:t>
      </w:r>
      <w:r>
        <w:rPr>
          <w:rFonts w:ascii="Times New Roman" w:hAnsi="Times New Roman" w:cs="Times New Roman" w:eastAsia="Times New Roman" w:hint="default"/>
        </w:rPr>
        <w:t>”</w:t>
      </w:r>
      <w:r>
        <w:rPr/>
        <w:t>的方式实现商业价值闭环，协同生态合作伙伴赋能传统企业数字化转型。</w:t>
      </w:r>
    </w:p>
    <w:p>
      <w:pPr>
        <w:pStyle w:val="BodyText"/>
        <w:spacing w:line="304" w:lineRule="auto" w:before="46"/>
        <w:ind w:right="1132" w:firstLine="360"/>
        <w:jc w:val="both"/>
      </w:pPr>
      <w:r>
        <w:rPr>
          <w:spacing w:val="-2"/>
        </w:rPr>
        <w:t>公司坚持以</w:t>
      </w:r>
      <w:r>
        <w:rPr>
          <w:rFonts w:ascii="Times New Roman" w:hAnsi="Times New Roman" w:cs="Times New Roman" w:eastAsia="Times New Roman" w:hint="default"/>
          <w:spacing w:val="-2"/>
        </w:rPr>
        <w:t>“</w:t>
      </w:r>
      <w:r>
        <w:rPr>
          <w:spacing w:val="-2"/>
        </w:rPr>
        <w:t>领先的行业人工智能解决方案提供商</w:t>
      </w:r>
      <w:r>
        <w:rPr>
          <w:rFonts w:ascii="Times New Roman" w:hAnsi="Times New Roman" w:cs="Times New Roman" w:eastAsia="Times New Roman" w:hint="default"/>
          <w:spacing w:val="-2"/>
        </w:rPr>
        <w:t>”</w:t>
      </w:r>
      <w:r>
        <w:rPr>
          <w:spacing w:val="-2"/>
        </w:rPr>
        <w:t>作为新时期的战略方向，聚焦用户核心需求，推出重点行业全场景的</w:t>
      </w:r>
      <w:r>
        <w:rPr/>
        <w:t> </w:t>
      </w:r>
      <w:r>
        <w:rPr>
          <w:spacing w:val="-2"/>
        </w:rPr>
        <w:t>解决方案，助力产业价值链延伸。公司将平台、产品、技术、算法与服务融合，落地智慧网点、智慧财政、智慧车站及智慧</w:t>
      </w:r>
      <w:r>
        <w:rPr>
          <w:spacing w:val="-66"/>
        </w:rPr>
        <w:t> </w:t>
      </w:r>
      <w:r>
        <w:rPr>
          <w:spacing w:val="-66"/>
        </w:rPr>
      </w:r>
      <w:r>
        <w:rPr/>
        <w:t>警务等领域场景，搭建起互联网服务、智能新零售运营两大平台。公司技术体系已经从单一的</w:t>
      </w:r>
      <w:r>
        <w:rPr>
          <w:rFonts w:ascii="Times New Roman" w:hAnsi="Times New Roman" w:cs="Times New Roman" w:eastAsia="Times New Roman" w:hint="default"/>
        </w:rPr>
        <w:t>“</w:t>
      </w:r>
      <w:r>
        <w:rPr/>
        <w:t>钞票识别</w:t>
      </w:r>
      <w:r>
        <w:rPr>
          <w:rFonts w:ascii="Times New Roman" w:hAnsi="Times New Roman" w:cs="Times New Roman" w:eastAsia="Times New Roman" w:hint="default"/>
        </w:rPr>
        <w:t>”</w:t>
      </w:r>
      <w:r>
        <w:rPr/>
        <w:t>发展到</w:t>
      </w:r>
      <w:r>
        <w:rPr>
          <w:rFonts w:ascii="Times New Roman" w:hAnsi="Times New Roman" w:cs="Times New Roman" w:eastAsia="Times New Roman" w:hint="default"/>
        </w:rPr>
        <w:t>“</w:t>
      </w:r>
      <w:r>
        <w:rPr/>
        <w:t>多模态身 </w:t>
      </w:r>
      <w:r>
        <w:rPr>
          <w:spacing w:val="-6"/>
        </w:rPr>
        <w:t>份识别</w:t>
      </w:r>
      <w:r>
        <w:rPr>
          <w:rFonts w:ascii="Times New Roman" w:hAnsi="Times New Roman" w:cs="Times New Roman" w:eastAsia="Times New Roman" w:hint="default"/>
          <w:spacing w:val="-6"/>
        </w:rPr>
        <w:t>”</w:t>
      </w:r>
      <w:r>
        <w:rPr>
          <w:spacing w:val="-6"/>
        </w:rPr>
        <w:t>，核心算法涵盖图像识别、人脸识别、指静脉识别、掌静脉识别、行为分析等技术领域，公司自主研发的</w:t>
      </w:r>
      <w:r>
        <w:rPr>
          <w:rFonts w:ascii="Times New Roman" w:hAnsi="Times New Roman" w:cs="Times New Roman" w:eastAsia="Times New Roman" w:hint="default"/>
          <w:spacing w:val="-6"/>
        </w:rPr>
        <w:t>aiCore </w:t>
      </w:r>
      <w:r>
        <w:rPr>
          <w:rFonts w:ascii="Times New Roman" w:hAnsi="Times New Roman" w:cs="Times New Roman" w:eastAsia="Times New Roman" w:hint="default"/>
        </w:rPr>
        <w:t>system</w:t>
      </w:r>
      <w:r>
        <w:rPr>
          <w:rFonts w:ascii="Times New Roman" w:hAnsi="Times New Roman" w:cs="Times New Roman" w:eastAsia="Times New Roman" w:hint="default"/>
          <w:spacing w:val="-37"/>
        </w:rPr>
        <w:t> </w:t>
      </w:r>
      <w:r>
        <w:rPr>
          <w:rFonts w:ascii="Times New Roman" w:hAnsi="Times New Roman" w:cs="Times New Roman" w:eastAsia="Times New Roman" w:hint="default"/>
          <w:spacing w:val="-37"/>
        </w:rPr>
      </w:r>
      <w:r>
        <w:rPr>
          <w:spacing w:val="-2"/>
        </w:rPr>
        <w:t>大数据平台已在多个领域实现商业应用。未来，公司将深入探索敏感器件、</w:t>
      </w:r>
      <w:r>
        <w:rPr>
          <w:rFonts w:ascii="Times New Roman" w:hAnsi="Times New Roman" w:cs="Times New Roman" w:eastAsia="Times New Roman" w:hint="default"/>
          <w:spacing w:val="-2"/>
        </w:rPr>
        <w:t>IC</w:t>
      </w:r>
      <w:r>
        <w:rPr>
          <w:spacing w:val="-2"/>
        </w:rPr>
        <w:t>、自然语言处理、计算机视觉等垂直纵深领域</w:t>
      </w:r>
      <w:r>
        <w:rPr>
          <w:spacing w:val="-64"/>
        </w:rPr>
        <w:t> </w:t>
      </w:r>
      <w:r>
        <w:rPr>
          <w:spacing w:val="-64"/>
        </w:rPr>
      </w:r>
      <w:r>
        <w:rPr/>
        <w:t>核心技术研发，进一步巩固广电运通核心技术优势，携手生态产业合作伙伴为客户提供人工智能全栈式服务。</w:t>
      </w:r>
    </w:p>
    <w:p>
      <w:pPr>
        <w:pStyle w:val="BodyText"/>
        <w:spacing w:line="309" w:lineRule="auto" w:before="66"/>
        <w:ind w:right="1132" w:firstLine="360"/>
        <w:jc w:val="both"/>
      </w:pPr>
      <w:r>
        <w:rPr>
          <w:rFonts w:ascii="Times New Roman" w:hAnsi="Times New Roman" w:cs="Times New Roman" w:eastAsia="Times New Roman" w:hint="default"/>
          <w:b/>
          <w:bCs/>
          <w:spacing w:val="-2"/>
        </w:rPr>
        <w:t>1</w:t>
      </w:r>
      <w:r>
        <w:rPr>
          <w:rFonts w:ascii="宋体" w:hAnsi="宋体" w:cs="宋体" w:eastAsia="宋体" w:hint="default"/>
          <w:b/>
          <w:bCs/>
          <w:spacing w:val="-2"/>
        </w:rPr>
        <w:t>、业务发展战略：</w:t>
      </w:r>
      <w:r>
        <w:rPr>
          <w:spacing w:val="-2"/>
        </w:rPr>
        <w:t>公司围绕</w:t>
      </w:r>
      <w:r>
        <w:rPr>
          <w:rFonts w:ascii="Times New Roman" w:hAnsi="Times New Roman" w:cs="Times New Roman" w:eastAsia="Times New Roman" w:hint="default"/>
          <w:spacing w:val="-2"/>
        </w:rPr>
        <w:t>“</w:t>
      </w:r>
      <w:r>
        <w:rPr>
          <w:spacing w:val="-2"/>
        </w:rPr>
        <w:t>智能终端</w:t>
      </w:r>
      <w:r>
        <w:rPr>
          <w:rFonts w:ascii="Times New Roman" w:hAnsi="Times New Roman" w:cs="Times New Roman" w:eastAsia="Times New Roman" w:hint="default"/>
          <w:spacing w:val="-2"/>
        </w:rPr>
        <w:t>+</w:t>
      </w:r>
      <w:r>
        <w:rPr>
          <w:spacing w:val="-2"/>
        </w:rPr>
        <w:t>大数据</w:t>
      </w:r>
      <w:r>
        <w:rPr>
          <w:rFonts w:ascii="Times New Roman" w:hAnsi="Times New Roman" w:cs="Times New Roman" w:eastAsia="Times New Roman" w:hint="default"/>
          <w:spacing w:val="-2"/>
        </w:rPr>
        <w:t>”</w:t>
      </w:r>
      <w:r>
        <w:rPr>
          <w:spacing w:val="-2"/>
        </w:rPr>
        <w:t>产业核心，以智能终端为载体、以大数据为动力、以行业应用场景建设</w:t>
      </w:r>
      <w:r>
        <w:rPr/>
        <w:t> </w:t>
      </w:r>
      <w:r>
        <w:rPr>
          <w:spacing w:val="-2"/>
        </w:rPr>
        <w:t>为路径，加强核心技术攻关，围绕战略聚焦赛道场景需求，率先突破重点场景领域应用，打造具有核心竞争力的硬科技产品</w:t>
      </w:r>
      <w:r>
        <w:rPr>
          <w:spacing w:val="-66"/>
        </w:rPr>
        <w:t> </w:t>
      </w:r>
      <w:r>
        <w:rPr>
          <w:spacing w:val="-66"/>
        </w:rPr>
      </w:r>
      <w:r>
        <w:rPr/>
        <w:t>和行业解决方案。其中：</w:t>
      </w:r>
    </w:p>
    <w:p>
      <w:pPr>
        <w:pStyle w:val="BodyText"/>
        <w:spacing w:line="340" w:lineRule="auto" w:before="65"/>
        <w:ind w:left="472" w:right="1128"/>
        <w:jc w:val="left"/>
      </w:pPr>
      <w:r>
        <w:rPr/>
        <w:t>（</w:t>
      </w:r>
      <w:r>
        <w:rPr>
          <w:rFonts w:ascii="Times New Roman" w:hAnsi="Times New Roman" w:cs="Times New Roman" w:eastAsia="Times New Roman" w:hint="default"/>
        </w:rPr>
        <w:t>1</w:t>
      </w:r>
      <w:r>
        <w:rPr/>
        <w:t>）智能金融事业群 </w:t>
      </w:r>
      <w:r>
        <w:rPr>
          <w:spacing w:val="-1"/>
        </w:rPr>
        <w:t>智能金融是广电运通的</w:t>
      </w:r>
      <w:r>
        <w:rPr>
          <w:rFonts w:ascii="Times New Roman" w:hAnsi="Times New Roman" w:cs="Times New Roman" w:eastAsia="Times New Roman" w:hint="default"/>
          <w:spacing w:val="-1"/>
        </w:rPr>
        <w:t>“</w:t>
      </w:r>
      <w:r>
        <w:rPr>
          <w:spacing w:val="-1"/>
        </w:rPr>
        <w:t>主战场</w:t>
      </w:r>
      <w:r>
        <w:rPr>
          <w:rFonts w:ascii="Times New Roman" w:hAnsi="Times New Roman" w:cs="Times New Roman" w:eastAsia="Times New Roman" w:hint="default"/>
          <w:spacing w:val="-1"/>
        </w:rPr>
        <w:t>”</w:t>
      </w:r>
      <w:r>
        <w:rPr>
          <w:spacing w:val="-1"/>
        </w:rPr>
        <w:t>，一直是战略布局的</w:t>
      </w:r>
      <w:r>
        <w:rPr>
          <w:rFonts w:ascii="Times New Roman" w:hAnsi="Times New Roman" w:cs="Times New Roman" w:eastAsia="Times New Roman" w:hint="default"/>
          <w:spacing w:val="-1"/>
        </w:rPr>
        <w:t>“</w:t>
      </w:r>
      <w:r>
        <w:rPr>
          <w:spacing w:val="-1"/>
        </w:rPr>
        <w:t>重中之重</w:t>
      </w:r>
      <w:r>
        <w:rPr>
          <w:rFonts w:ascii="Times New Roman" w:hAnsi="Times New Roman" w:cs="Times New Roman" w:eastAsia="Times New Roman" w:hint="default"/>
          <w:spacing w:val="-1"/>
        </w:rPr>
        <w:t>”</w:t>
      </w:r>
      <w:r>
        <w:rPr>
          <w:spacing w:val="-1"/>
        </w:rPr>
        <w:t>。公司是国内金融智能终端行业领导厂商，各类金融智</w:t>
      </w:r>
    </w:p>
    <w:p>
      <w:pPr>
        <w:pStyle w:val="BodyText"/>
        <w:spacing w:line="228" w:lineRule="exact"/>
        <w:ind w:right="0"/>
        <w:jc w:val="left"/>
      </w:pPr>
      <w:r>
        <w:rPr/>
        <w:t>能终端设备累计布放量超过</w:t>
      </w:r>
      <w:r>
        <w:rPr>
          <w:rFonts w:ascii="Times New Roman" w:hAnsi="Times New Roman" w:cs="Times New Roman" w:eastAsia="Times New Roman" w:hint="default"/>
        </w:rPr>
        <w:t>30</w:t>
      </w:r>
      <w:r>
        <w:rPr/>
        <w:t>万台，为全球</w:t>
      </w:r>
      <w:r>
        <w:rPr>
          <w:rFonts w:ascii="Times New Roman" w:hAnsi="Times New Roman" w:cs="Times New Roman" w:eastAsia="Times New Roman" w:hint="default"/>
        </w:rPr>
        <w:t>80</w:t>
      </w:r>
      <w:r>
        <w:rPr/>
        <w:t>多个国家和地区的金融机构提供智能金融设备、运营服务和大数据解决方案，</w:t>
      </w:r>
    </w:p>
    <w:p>
      <w:pPr>
        <w:pStyle w:val="BodyText"/>
        <w:spacing w:line="357" w:lineRule="auto" w:before="63"/>
        <w:ind w:left="472" w:right="0" w:hanging="360"/>
        <w:jc w:val="left"/>
      </w:pPr>
      <w:r>
        <w:rPr/>
        <w:t>并为政府部门、银行、企事业单位提供整套智慧财政解决方案，财政国库资金支付电子化应用市场占有率高。 </w:t>
      </w:r>
      <w:r>
        <w:rPr>
          <w:spacing w:val="-1"/>
        </w:rPr>
        <w:t>根据中国银行业协会发布的《中国银行业服务报告》显示，近三年全国银行网点数量均维持在</w:t>
      </w:r>
      <w:r>
        <w:rPr>
          <w:rFonts w:ascii="Times New Roman" w:hAnsi="Times New Roman" w:cs="Times New Roman" w:eastAsia="Times New Roman" w:hint="default"/>
          <w:spacing w:val="-1"/>
        </w:rPr>
        <w:t>22.8</w:t>
      </w:r>
      <w:r>
        <w:rPr>
          <w:spacing w:val="-1"/>
        </w:rPr>
        <w:t>万个左右，网点数量</w:t>
      </w:r>
    </w:p>
    <w:p>
      <w:pPr>
        <w:pStyle w:val="BodyText"/>
        <w:spacing w:line="214" w:lineRule="exact"/>
        <w:ind w:right="0"/>
        <w:jc w:val="left"/>
      </w:pPr>
      <w:r>
        <w:rPr>
          <w:spacing w:val="-3"/>
        </w:rPr>
        <w:t>保持相对稳定。目前各类网点的升级改造需求已开始爆发，公司深刻把握银行智慧网点发展趋势，核心战略定位是服务于</w:t>
      </w:r>
      <w:r>
        <w:rPr>
          <w:rFonts w:ascii="Times New Roman" w:hAnsi="Times New Roman" w:cs="Times New Roman" w:eastAsia="Times New Roman" w:hint="default"/>
          <w:spacing w:val="-3"/>
        </w:rPr>
        <w:t>“</w:t>
      </w:r>
      <w:r>
        <w:rPr>
          <w:spacing w:val="-3"/>
        </w:rPr>
        <w:t>银</w:t>
      </w:r>
    </w:p>
    <w:p>
      <w:pPr>
        <w:pStyle w:val="BodyText"/>
        <w:spacing w:line="309" w:lineRule="auto" w:before="63"/>
        <w:ind w:right="1132"/>
        <w:jc w:val="both"/>
      </w:pPr>
      <w:r>
        <w:rPr/>
        <w:t>行前台</w:t>
      </w:r>
      <w:r>
        <w:rPr>
          <w:rFonts w:ascii="Times New Roman" w:hAnsi="Times New Roman" w:cs="Times New Roman" w:eastAsia="Times New Roman" w:hint="default"/>
        </w:rPr>
        <w:t>”</w:t>
      </w:r>
      <w:r>
        <w:rPr/>
        <w:t>的金融科技公司，致力于打造成为</w:t>
      </w:r>
      <w:r>
        <w:rPr>
          <w:rFonts w:ascii="Times New Roman" w:hAnsi="Times New Roman" w:cs="Times New Roman" w:eastAsia="Times New Roman" w:hint="default"/>
        </w:rPr>
        <w:t>“</w:t>
      </w:r>
      <w:r>
        <w:rPr/>
        <w:t>银行前台</w:t>
      </w:r>
      <w:r>
        <w:rPr>
          <w:rFonts w:ascii="Times New Roman" w:hAnsi="Times New Roman" w:cs="Times New Roman" w:eastAsia="Times New Roman" w:hint="default"/>
        </w:rPr>
        <w:t>”</w:t>
      </w:r>
      <w:r>
        <w:rPr/>
        <w:t>业务的软硬一体化综合解决方案的领先供应商，未来围绕提升银行网 </w:t>
      </w:r>
      <w:r>
        <w:rPr>
          <w:spacing w:val="-2"/>
        </w:rPr>
        <w:t>点生产力、扩展银行网点服务边界，顺应央行数字货币的推出、电子票据的大规模使用等方面推出更多优秀的产品和解决方</w:t>
      </w:r>
      <w:r>
        <w:rPr>
          <w:spacing w:val="-65"/>
        </w:rPr>
        <w:t> </w:t>
      </w:r>
      <w:r>
        <w:rPr>
          <w:spacing w:val="-65"/>
        </w:rPr>
      </w:r>
      <w:r>
        <w:rPr/>
        <w:t>案。</w:t>
      </w:r>
    </w:p>
    <w:p>
      <w:pPr>
        <w:pStyle w:val="BodyText"/>
        <w:spacing w:line="316" w:lineRule="auto" w:before="65"/>
        <w:ind w:right="1132" w:firstLine="360"/>
        <w:jc w:val="both"/>
      </w:pPr>
      <w:r>
        <w:rPr>
          <w:spacing w:val="-2"/>
        </w:rPr>
        <w:t>随着全球金融业步入数据化、智能化、普惠化，广电运通基于智能金融领域技术与场景积累，业务领域还将从银行、财</w:t>
      </w:r>
      <w:r>
        <w:rPr/>
        <w:t> 政延伸至证券、保险等领域。</w:t>
      </w:r>
    </w:p>
    <w:p>
      <w:pPr>
        <w:pStyle w:val="BodyText"/>
        <w:spacing w:line="338" w:lineRule="auto" w:before="59"/>
        <w:ind w:left="472" w:right="0"/>
        <w:jc w:val="left"/>
      </w:pPr>
      <w:r>
        <w:rPr/>
        <w:t>（</w:t>
      </w:r>
      <w:r>
        <w:rPr>
          <w:rFonts w:ascii="Times New Roman" w:hAnsi="Times New Roman" w:cs="Times New Roman" w:eastAsia="Times New Roman" w:hint="default"/>
        </w:rPr>
        <w:t>2</w:t>
      </w:r>
      <w:r>
        <w:rPr/>
        <w:t>）智能安全事业群 </w:t>
      </w:r>
      <w:r>
        <w:rPr>
          <w:spacing w:val="-2"/>
        </w:rPr>
        <w:t>公司依托既有的公安、政府等客户资源，叠加智能视频、云计算、大数据、人工智能、物联网等创新技术，以智能安全</w:t>
      </w:r>
    </w:p>
    <w:p>
      <w:pPr>
        <w:pStyle w:val="BodyText"/>
        <w:spacing w:line="309" w:lineRule="auto" w:before="2"/>
        <w:ind w:right="1034"/>
        <w:jc w:val="left"/>
      </w:pPr>
      <w:r>
        <w:rPr/>
        <w:t>研究院为技术支撑平台，信义科技为实施主体，武装押运公司为各地业务拓展平台，形成以安防整体解决方案为核心业务， </w:t>
      </w:r>
      <w:r>
        <w:rPr>
          <w:spacing w:val="-2"/>
        </w:rPr>
        <w:t>覆盖全国的城市公共安全服务业务版图。目前，公司已在全国范围内布局</w:t>
      </w:r>
      <w:r>
        <w:rPr>
          <w:rFonts w:ascii="Times New Roman" w:hAnsi="Times New Roman" w:cs="Times New Roman" w:eastAsia="Times New Roman" w:hint="default"/>
          <w:spacing w:val="-2"/>
        </w:rPr>
        <w:t>12</w:t>
      </w:r>
      <w:r>
        <w:rPr>
          <w:spacing w:val="-2"/>
        </w:rPr>
        <w:t>家现金外包子公司和</w:t>
      </w:r>
      <w:r>
        <w:rPr>
          <w:rFonts w:ascii="Times New Roman" w:hAnsi="Times New Roman" w:cs="Times New Roman" w:eastAsia="Times New Roman" w:hint="default"/>
          <w:spacing w:val="-2"/>
        </w:rPr>
        <w:t>24</w:t>
      </w:r>
      <w:r>
        <w:rPr>
          <w:spacing w:val="-2"/>
        </w:rPr>
        <w:t>家武装押运子公司，公司</w:t>
      </w:r>
      <w:r>
        <w:rPr>
          <w:spacing w:val="-63"/>
        </w:rPr>
        <w:t> </w:t>
      </w:r>
      <w:r>
        <w:rPr>
          <w:spacing w:val="-63"/>
        </w:rPr>
      </w:r>
      <w:r>
        <w:rPr>
          <w:spacing w:val="-2"/>
        </w:rPr>
        <w:t>充分利用全国各地子公司现有客户资源，积极拓展联网报警运营、智慧园区、贵重品安全押运等创新业务。同时，公司携手</w:t>
      </w:r>
    </w:p>
    <w:p>
      <w:pPr>
        <w:spacing w:after="0" w:line="309" w:lineRule="auto"/>
        <w:jc w:val="left"/>
        <w:sectPr>
          <w:pgSz w:w="11910" w:h="16840"/>
          <w:pgMar w:header="878" w:footer="978" w:top="1100" w:bottom="1160" w:left="1020" w:right="0"/>
        </w:sectPr>
      </w:pPr>
    </w:p>
    <w:p>
      <w:pPr>
        <w:spacing w:line="240" w:lineRule="auto" w:before="1"/>
        <w:rPr>
          <w:rFonts w:ascii="宋体" w:hAnsi="宋体" w:cs="宋体" w:eastAsia="宋体" w:hint="default"/>
          <w:sz w:val="22"/>
          <w:szCs w:val="22"/>
        </w:rPr>
      </w:pPr>
    </w:p>
    <w:p>
      <w:pPr>
        <w:pStyle w:val="BodyText"/>
        <w:spacing w:line="316" w:lineRule="auto" w:before="44"/>
        <w:ind w:right="0"/>
        <w:jc w:val="left"/>
      </w:pPr>
      <w:r>
        <w:rPr>
          <w:spacing w:val="-2"/>
        </w:rPr>
        <w:t>生态圈知名企业共建智慧城市（公共安全）解决方案，打造了深圳市南山区、龙岗区等多个行业标杆项目，智能安全业务范</w:t>
      </w:r>
      <w:r>
        <w:rPr>
          <w:spacing w:val="-66"/>
        </w:rPr>
        <w:t> </w:t>
      </w:r>
      <w:r>
        <w:rPr>
          <w:spacing w:val="-66"/>
        </w:rPr>
      </w:r>
      <w:r>
        <w:rPr/>
        <w:t>围至今已覆盖</w:t>
      </w:r>
      <w:r>
        <w:rPr>
          <w:rFonts w:ascii="Times New Roman" w:hAnsi="Times New Roman" w:cs="Times New Roman" w:eastAsia="Times New Roman" w:hint="default"/>
        </w:rPr>
        <w:t>29</w:t>
      </w:r>
      <w:r>
        <w:rPr/>
        <w:t>个省市自治区。</w:t>
      </w:r>
    </w:p>
    <w:p>
      <w:pPr>
        <w:pStyle w:val="BodyText"/>
        <w:spacing w:line="316" w:lineRule="auto" w:before="37"/>
        <w:ind w:right="1132" w:firstLine="360"/>
        <w:jc w:val="both"/>
      </w:pPr>
      <w:r>
        <w:rPr>
          <w:spacing w:val="-2"/>
        </w:rPr>
        <w:t>在短期内，公司将利用深圳南山平安城市、龙岗雪亮工程等样板项目的示范效应，充分发挥全国各地子公司的桥头堡作</w:t>
      </w:r>
      <w:r>
        <w:rPr/>
        <w:t> </w:t>
      </w:r>
      <w:r>
        <w:rPr>
          <w:spacing w:val="-2"/>
        </w:rPr>
        <w:t>用，大规模参与城市级智能公共安全建设与运营项目，深入推进人工智能技术在安全运营领域应用，成为公共安全服务骨干</w:t>
      </w:r>
      <w:r>
        <w:rPr>
          <w:spacing w:val="-65"/>
        </w:rPr>
        <w:t> </w:t>
      </w:r>
      <w:r>
        <w:rPr>
          <w:spacing w:val="-65"/>
        </w:rPr>
      </w:r>
      <w:r>
        <w:rPr/>
        <w:t>提供商。</w:t>
      </w:r>
    </w:p>
    <w:p>
      <w:pPr>
        <w:pStyle w:val="BodyText"/>
        <w:spacing w:line="340" w:lineRule="auto" w:before="59"/>
        <w:ind w:left="472" w:right="0"/>
        <w:jc w:val="left"/>
      </w:pPr>
      <w:r>
        <w:rPr/>
        <w:t>（</w:t>
      </w:r>
      <w:r>
        <w:rPr>
          <w:rFonts w:ascii="Times New Roman" w:hAnsi="Times New Roman" w:cs="Times New Roman" w:eastAsia="Times New Roman" w:hint="default"/>
        </w:rPr>
        <w:t>3</w:t>
      </w:r>
      <w:r>
        <w:rPr/>
        <w:t>）智能交通事业群 </w:t>
      </w:r>
      <w:r>
        <w:rPr>
          <w:spacing w:val="-2"/>
        </w:rPr>
        <w:t>公司是交通行业极具竞争力的智能终端及系统解决方案提供商，自主研发的人工智能终端产品及系统软件平台已广泛应</w:t>
      </w:r>
    </w:p>
    <w:p>
      <w:pPr>
        <w:pStyle w:val="BodyText"/>
        <w:spacing w:line="300" w:lineRule="auto" w:before="1"/>
        <w:ind w:right="1094"/>
        <w:jc w:val="left"/>
      </w:pPr>
      <w:r>
        <w:rPr>
          <w:spacing w:val="-2"/>
        </w:rPr>
        <w:t>用于中国超过</w:t>
      </w:r>
      <w:r>
        <w:rPr>
          <w:rFonts w:ascii="Times New Roman" w:hAnsi="Times New Roman" w:cs="Times New Roman" w:eastAsia="Times New Roman" w:hint="default"/>
          <w:spacing w:val="-2"/>
        </w:rPr>
        <w:t>30</w:t>
      </w:r>
      <w:r>
        <w:rPr>
          <w:spacing w:val="-2"/>
        </w:rPr>
        <w:t>个城市的</w:t>
      </w:r>
      <w:r>
        <w:rPr>
          <w:rFonts w:ascii="Times New Roman" w:hAnsi="Times New Roman" w:cs="Times New Roman" w:eastAsia="Times New Roman" w:hint="default"/>
          <w:spacing w:val="-2"/>
        </w:rPr>
        <w:t>100</w:t>
      </w:r>
      <w:r>
        <w:rPr>
          <w:spacing w:val="-2"/>
        </w:rPr>
        <w:t>多条地铁、高铁线路和机场、客运等交通枢纽。同时，公司积极探索</w:t>
      </w:r>
      <w:r>
        <w:rPr>
          <w:rFonts w:ascii="Times New Roman" w:hAnsi="Times New Roman" w:cs="Times New Roman" w:eastAsia="Times New Roman" w:hint="default"/>
          <w:spacing w:val="-2"/>
        </w:rPr>
        <w:t>“</w:t>
      </w:r>
      <w:r>
        <w:rPr>
          <w:spacing w:val="-2"/>
        </w:rPr>
        <w:t>互联网</w:t>
      </w:r>
      <w:r>
        <w:rPr>
          <w:rFonts w:ascii="Times New Roman" w:hAnsi="Times New Roman" w:cs="Times New Roman" w:eastAsia="Times New Roman" w:hint="default"/>
          <w:spacing w:val="-2"/>
        </w:rPr>
        <w:t>+”</w:t>
      </w:r>
      <w:r>
        <w:rPr>
          <w:spacing w:val="-2"/>
        </w:rPr>
        <w:t>、生物识别、大</w:t>
      </w:r>
      <w:r>
        <w:rPr>
          <w:spacing w:val="-51"/>
        </w:rPr>
        <w:t> </w:t>
      </w:r>
      <w:r>
        <w:rPr>
          <w:spacing w:val="-51"/>
        </w:rPr>
      </w:r>
      <w:r>
        <w:rPr/>
        <w:t>数据等</w:t>
      </w:r>
      <w:r>
        <w:rPr>
          <w:rFonts w:ascii="Times New Roman" w:hAnsi="Times New Roman" w:cs="Times New Roman" w:eastAsia="Times New Roman" w:hint="default"/>
        </w:rPr>
        <w:t>AI</w:t>
      </w:r>
      <w:r>
        <w:rPr/>
        <w:t>技术在轨道交通行业应用，开发了智能安检一体机、智能售取票机、人脸识别闸机、智能客服中心、智能边门、</w:t>
      </w:r>
      <w:r>
        <w:rPr>
          <w:w w:val="99"/>
        </w:rPr>
        <w:t> </w:t>
      </w:r>
      <w:r>
        <w:rPr/>
        <w:t>实名测温终端等一批创新智能终端，并携手与合作伙伴推进应用场景创新，构建了</w:t>
      </w:r>
      <w:r>
        <w:rPr>
          <w:rFonts w:ascii="Times New Roman" w:hAnsi="Times New Roman" w:cs="Times New Roman" w:eastAsia="Times New Roman" w:hint="default"/>
        </w:rPr>
        <w:t>“</w:t>
      </w:r>
      <w:r>
        <w:rPr/>
        <w:t>语音购票</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扫码乘车</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分类安检</w:t>
      </w:r>
      <w:r>
        <w:rPr>
          <w:rFonts w:ascii="Times New Roman" w:hAnsi="Times New Roman" w:cs="Times New Roman" w:eastAsia="Times New Roman" w:hint="default"/>
        </w:rPr>
        <w:t>”</w:t>
      </w:r>
      <w:r>
        <w:rPr/>
        <w:t>、 </w:t>
      </w:r>
      <w:r>
        <w:rPr>
          <w:rFonts w:ascii="Times New Roman" w:hAnsi="Times New Roman" w:cs="Times New Roman" w:eastAsia="Times New Roman" w:hint="default"/>
          <w:spacing w:val="-1"/>
        </w:rPr>
        <w:t>“</w:t>
      </w:r>
      <w:r>
        <w:rPr>
          <w:spacing w:val="-1"/>
        </w:rPr>
        <w:t>刷脸过闸</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w:t>
      </w:r>
      <w:r>
        <w:rPr>
          <w:spacing w:val="-1"/>
        </w:rPr>
        <w:t>语音客服</w:t>
      </w:r>
      <w:r>
        <w:rPr>
          <w:rFonts w:ascii="Times New Roman" w:hAnsi="Times New Roman" w:cs="Times New Roman" w:eastAsia="Times New Roman" w:hint="default"/>
          <w:spacing w:val="-1"/>
        </w:rPr>
        <w:t>”</w:t>
      </w:r>
      <w:r>
        <w:rPr>
          <w:spacing w:val="-1"/>
        </w:rPr>
        <w:t>等智慧出行解决方案，已在多个城市地铁实现批量应用。广州智慧车站首次发布面向乘客的全过程</w:t>
      </w:r>
      <w:r>
        <w:rPr>
          <w:spacing w:val="-80"/>
        </w:rPr>
        <w:t> </w:t>
      </w:r>
      <w:r>
        <w:rPr>
          <w:spacing w:val="-80"/>
        </w:rPr>
      </w:r>
      <w:r>
        <w:rPr/>
        <w:t>解决方案，助力国内典型智慧车站完整落地，打造行业标杆案例。</w:t>
      </w:r>
    </w:p>
    <w:p>
      <w:pPr>
        <w:pStyle w:val="BodyText"/>
        <w:spacing w:line="300" w:lineRule="auto" w:before="70"/>
        <w:ind w:right="1122" w:firstLine="360"/>
        <w:jc w:val="left"/>
      </w:pPr>
      <w:r>
        <w:rPr>
          <w:spacing w:val="-1"/>
        </w:rPr>
        <w:t>公司布局智能交通业务，将以现有轨道交通客户为基础，顺应轨道交通行业</w:t>
      </w:r>
      <w:r>
        <w:rPr>
          <w:rFonts w:ascii="Times New Roman" w:hAnsi="Times New Roman" w:cs="Times New Roman" w:eastAsia="Times New Roman" w:hint="default"/>
          <w:spacing w:val="-1"/>
        </w:rPr>
        <w:t>“</w:t>
      </w:r>
      <w:r>
        <w:rPr>
          <w:spacing w:val="-1"/>
        </w:rPr>
        <w:t>以车票为中心</w:t>
      </w:r>
      <w:r>
        <w:rPr>
          <w:rFonts w:ascii="Times New Roman" w:hAnsi="Times New Roman" w:cs="Times New Roman" w:eastAsia="Times New Roman" w:hint="default"/>
          <w:spacing w:val="-1"/>
        </w:rPr>
        <w:t>”</w:t>
      </w:r>
      <w:r>
        <w:rPr>
          <w:spacing w:val="-1"/>
        </w:rPr>
        <w:t>向</w:t>
      </w:r>
      <w:r>
        <w:rPr>
          <w:rFonts w:ascii="Times New Roman" w:hAnsi="Times New Roman" w:cs="Times New Roman" w:eastAsia="Times New Roman" w:hint="default"/>
          <w:spacing w:val="-1"/>
        </w:rPr>
        <w:t>“</w:t>
      </w:r>
      <w:r>
        <w:rPr>
          <w:spacing w:val="-1"/>
        </w:rPr>
        <w:t>以乘客为中心</w:t>
      </w:r>
      <w:r>
        <w:rPr>
          <w:rFonts w:ascii="Times New Roman" w:hAnsi="Times New Roman" w:cs="Times New Roman" w:eastAsia="Times New Roman" w:hint="default"/>
          <w:spacing w:val="-1"/>
        </w:rPr>
        <w:t>”</w:t>
      </w:r>
      <w:r>
        <w:rPr>
          <w:spacing w:val="-1"/>
        </w:rPr>
        <w:t>转变的发</w:t>
      </w:r>
      <w:r>
        <w:rPr/>
        <w:t> 展趋势，聚焦出行场景，定位</w:t>
      </w:r>
      <w:r>
        <w:rPr>
          <w:rFonts w:ascii="Times New Roman" w:hAnsi="Times New Roman" w:cs="Times New Roman" w:eastAsia="Times New Roman" w:hint="default"/>
        </w:rPr>
        <w:t>“AI+</w:t>
      </w:r>
      <w:r>
        <w:rPr/>
        <w:t>互联网交通</w:t>
      </w:r>
      <w:r>
        <w:rPr>
          <w:rFonts w:ascii="Times New Roman" w:hAnsi="Times New Roman" w:cs="Times New Roman" w:eastAsia="Times New Roman" w:hint="default"/>
        </w:rPr>
        <w:t>”</w:t>
      </w:r>
      <w:r>
        <w:rPr/>
        <w:t>，利用新一代信息技术驱动业务创新，着力构建智慧车站、智慧安检、多元 支付、无感乘车、智能客服的产业格局。公司将利用</w:t>
      </w:r>
      <w:r>
        <w:rPr>
          <w:rFonts w:ascii="Times New Roman" w:hAnsi="Times New Roman" w:cs="Times New Roman" w:eastAsia="Times New Roman" w:hint="default"/>
        </w:rPr>
        <w:t>AI</w:t>
      </w:r>
      <w:r>
        <w:rPr/>
        <w:t>技术和资本手段，纵向拓展轨道交通系统集成、弱电及智慧安检等</w:t>
      </w:r>
      <w:r>
        <w:rPr>
          <w:w w:val="99"/>
        </w:rPr>
        <w:t> </w:t>
      </w:r>
      <w:r>
        <w:rPr/>
        <w:t>专业领域，横向拓展客运、航空、港口等领域，成为最具竞争力的人工智能出行系统解决方案提供商。</w:t>
      </w:r>
    </w:p>
    <w:p>
      <w:pPr>
        <w:pStyle w:val="BodyText"/>
        <w:spacing w:line="340" w:lineRule="auto" w:before="72"/>
        <w:ind w:left="472" w:right="1119"/>
        <w:jc w:val="left"/>
        <w:rPr>
          <w:rFonts w:ascii="Times New Roman" w:hAnsi="Times New Roman" w:cs="Times New Roman" w:eastAsia="Times New Roman" w:hint="default"/>
        </w:rPr>
      </w:pPr>
      <w:r>
        <w:rPr/>
        <w:t>（</w:t>
      </w:r>
      <w:r>
        <w:rPr>
          <w:rFonts w:ascii="Times New Roman" w:hAnsi="Times New Roman" w:cs="Times New Roman" w:eastAsia="Times New Roman" w:hint="default"/>
        </w:rPr>
        <w:t>4</w:t>
      </w:r>
      <w:r>
        <w:rPr/>
        <w:t>）智能便民服务群 </w:t>
      </w:r>
      <w:r>
        <w:rPr>
          <w:spacing w:val="-2"/>
        </w:rPr>
        <w:t>在智能终端维护服务领域，公司在全国范围内已建立一支极具竞争力的专业金融服务团队、覆盖全国的三大区域性</w:t>
      </w:r>
      <w:r>
        <w:rPr>
          <w:rFonts w:ascii="Times New Roman" w:hAnsi="Times New Roman" w:cs="Times New Roman" w:eastAsia="Times New Roman" w:hint="default"/>
          <w:spacing w:val="-2"/>
        </w:rPr>
        <w:t>AOC</w:t>
      </w:r>
    </w:p>
    <w:p>
      <w:pPr>
        <w:pStyle w:val="BodyText"/>
        <w:spacing w:line="228" w:lineRule="exact"/>
        <w:ind w:right="0"/>
        <w:jc w:val="left"/>
      </w:pPr>
      <w:r>
        <w:rPr/>
        <w:t>中心、近千个服务站，平云小匠搭建起</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服务</w:t>
      </w:r>
      <w:r>
        <w:rPr>
          <w:rFonts w:ascii="Times New Roman" w:hAnsi="Times New Roman" w:cs="Times New Roman" w:eastAsia="Times New Roman" w:hint="default"/>
        </w:rPr>
        <w:t>”</w:t>
      </w:r>
      <w:r>
        <w:rPr/>
        <w:t>线上平台，构建智能设备领域服务生态圈，现已拥有超过</w:t>
      </w:r>
      <w:r>
        <w:rPr>
          <w:rFonts w:ascii="Times New Roman" w:hAnsi="Times New Roman" w:cs="Times New Roman" w:eastAsia="Times New Roman" w:hint="default"/>
        </w:rPr>
        <w:t>6</w:t>
      </w:r>
      <w:r>
        <w:rPr/>
        <w:t>万名网络认</w:t>
      </w:r>
    </w:p>
    <w:p>
      <w:pPr>
        <w:pStyle w:val="BodyText"/>
        <w:spacing w:line="300" w:lineRule="auto" w:before="63"/>
        <w:ind w:right="1132"/>
        <w:jc w:val="both"/>
      </w:pPr>
      <w:r>
        <w:rPr>
          <w:spacing w:val="-2"/>
        </w:rPr>
        <w:t>证工程师，服务网络深度下沉到县区级。运通购快利用服务网络布局不断延伸扩张，快速切入新零售行业，积极推进</w:t>
      </w:r>
      <w:r>
        <w:rPr>
          <w:rFonts w:ascii="Times New Roman" w:hAnsi="Times New Roman" w:cs="Times New Roman" w:eastAsia="Times New Roman" w:hint="default"/>
          <w:spacing w:val="-2"/>
        </w:rPr>
        <w:t>“</w:t>
      </w:r>
      <w:r>
        <w:rPr>
          <w:spacing w:val="-2"/>
        </w:rPr>
        <w:t>金融</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21"/>
        </w:rPr>
        <w:t> </w:t>
      </w:r>
      <w:r>
        <w:rPr/>
        <w:t>新零售</w:t>
      </w:r>
      <w:r>
        <w:rPr>
          <w:rFonts w:ascii="Times New Roman" w:hAnsi="Times New Roman" w:cs="Times New Roman" w:eastAsia="Times New Roman" w:hint="default"/>
        </w:rPr>
        <w:t>”</w:t>
      </w:r>
      <w:r>
        <w:rPr/>
        <w:t>快速整合，目前经营基础不断夯实，运营效益持续提升，盈利路径逐步清晰。公司将持续优化提升运营效率，以资 本为纽带实行并购，迅速扩大规模，以平台为纽带，产业链互联互通，跨界互联互通，融合形成智能零售生态圈。</w:t>
      </w:r>
    </w:p>
    <w:p>
      <w:pPr>
        <w:pStyle w:val="BodyText"/>
        <w:spacing w:line="307" w:lineRule="auto" w:before="70"/>
        <w:ind w:right="1118" w:firstLine="360"/>
        <w:jc w:val="both"/>
      </w:pPr>
      <w:r>
        <w:rPr/>
        <w:t>公司将依托自助终端设备、设备维护网络等既有优势，以解决方案为切入口，布局互联网</w:t>
      </w:r>
      <w:r>
        <w:rPr>
          <w:rFonts w:ascii="Times New Roman" w:hAnsi="Times New Roman" w:cs="Times New Roman" w:eastAsia="Times New Roman" w:hint="default"/>
        </w:rPr>
        <w:t>+</w:t>
      </w:r>
      <w:r>
        <w:rPr/>
        <w:t>维保、新零售、智慧文旅、 智能政务等便民业务，公司将精准定位政务、零售、旅游、文娱等服务行业痛点，着力构建具有竞争优势的</w:t>
      </w:r>
      <w:r>
        <w:rPr>
          <w:rFonts w:ascii="Times New Roman" w:hAnsi="Times New Roman" w:cs="Times New Roman" w:eastAsia="Times New Roman" w:hint="default"/>
        </w:rPr>
        <w:t>AI+</w:t>
      </w:r>
      <w:r>
        <w:rPr/>
        <w:t>解决方案， </w:t>
      </w:r>
      <w:r>
        <w:rPr>
          <w:spacing w:val="-2"/>
        </w:rPr>
        <w:t>打造全域旅游、智能酒店一批具备品牌影响力的标杆项目，并探索出成熟的商业模式，着力打造各细分行业的线上便民服务</w:t>
      </w:r>
      <w:r>
        <w:rPr>
          <w:spacing w:val="-65"/>
        </w:rPr>
        <w:t> </w:t>
      </w:r>
      <w:r>
        <w:rPr>
          <w:spacing w:val="-65"/>
        </w:rPr>
      </w:r>
      <w:r>
        <w:rPr/>
        <w:t>云平台和线下便民服务生态圈，为人们提供更加便利的生活消费体验。</w:t>
      </w:r>
    </w:p>
    <w:p>
      <w:pPr>
        <w:pStyle w:val="BodyText"/>
        <w:spacing w:line="340" w:lineRule="auto" w:before="67"/>
        <w:ind w:left="472" w:right="0"/>
        <w:jc w:val="left"/>
      </w:pPr>
      <w:r>
        <w:rPr/>
        <w:t>（</w:t>
      </w:r>
      <w:r>
        <w:rPr>
          <w:rFonts w:ascii="Times New Roman" w:hAnsi="Times New Roman" w:cs="Times New Roman" w:eastAsia="Times New Roman" w:hint="default"/>
        </w:rPr>
        <w:t>5</w:t>
      </w:r>
      <w:r>
        <w:rPr/>
        <w:t>）海外事业群 </w:t>
      </w:r>
      <w:r>
        <w:rPr>
          <w:spacing w:val="-2"/>
        </w:rPr>
        <w:t>近几年，公司在</w:t>
      </w:r>
      <w:r>
        <w:rPr>
          <w:rFonts w:ascii="Times New Roman" w:hAnsi="Times New Roman" w:cs="Times New Roman" w:eastAsia="Times New Roman" w:hint="default"/>
          <w:spacing w:val="-2"/>
        </w:rPr>
        <w:t>“</w:t>
      </w:r>
      <w:r>
        <w:rPr>
          <w:spacing w:val="-2"/>
        </w:rPr>
        <w:t>精耕本地化，创新促发展</w:t>
      </w:r>
      <w:r>
        <w:rPr>
          <w:rFonts w:ascii="Times New Roman" w:hAnsi="Times New Roman" w:cs="Times New Roman" w:eastAsia="Times New Roman" w:hint="default"/>
          <w:spacing w:val="-2"/>
        </w:rPr>
        <w:t>”</w:t>
      </w:r>
      <w:r>
        <w:rPr>
          <w:spacing w:val="-2"/>
        </w:rPr>
        <w:t>的经营战略思想下，持续加大全球市场销售与服务网络布局，已在全球各地</w:t>
      </w:r>
    </w:p>
    <w:p>
      <w:pPr>
        <w:pStyle w:val="BodyText"/>
        <w:spacing w:line="228" w:lineRule="exact"/>
        <w:ind w:right="0"/>
        <w:jc w:val="left"/>
      </w:pPr>
      <w:r>
        <w:rPr/>
        <w:t>建立起九大分支机构，驻外本地员工占比超过</w:t>
      </w:r>
      <w:r>
        <w:rPr>
          <w:rFonts w:ascii="Times New Roman" w:hAnsi="Times New Roman" w:cs="Times New Roman" w:eastAsia="Times New Roman" w:hint="default"/>
        </w:rPr>
        <w:t>40%</w:t>
      </w:r>
      <w:r>
        <w:rPr/>
        <w:t>，海外市场业绩呈现多点并进、稳步增长的态势，不仅传统的金融自助终</w:t>
      </w:r>
    </w:p>
    <w:p>
      <w:pPr>
        <w:pStyle w:val="BodyText"/>
        <w:spacing w:line="316" w:lineRule="auto" w:before="63"/>
        <w:ind w:right="0"/>
        <w:jc w:val="left"/>
      </w:pPr>
      <w:r>
        <w:rPr>
          <w:spacing w:val="-2"/>
        </w:rPr>
        <w:t>端业务稳健增长，在智慧网点建设领域的业务拓展也卓有成效，已助力越南、俄罗斯、土耳其、新加坡、泰国、阿根廷、墨</w:t>
      </w:r>
      <w:r>
        <w:rPr>
          <w:spacing w:val="-66"/>
        </w:rPr>
        <w:t> </w:t>
      </w:r>
      <w:r>
        <w:rPr>
          <w:spacing w:val="-66"/>
        </w:rPr>
      </w:r>
      <w:r>
        <w:rPr/>
        <w:t>西哥、香港等国家和地区的智能金融服务快速升级和转型。</w:t>
      </w:r>
    </w:p>
    <w:p>
      <w:pPr>
        <w:pStyle w:val="BodyText"/>
        <w:spacing w:line="314" w:lineRule="auto" w:before="57"/>
        <w:ind w:right="0" w:firstLine="360"/>
        <w:jc w:val="left"/>
      </w:pPr>
      <w:r>
        <w:rPr>
          <w:spacing w:val="-2"/>
        </w:rPr>
        <w:t>公司采取本土化战略开拓国际化业务，从贸易思维转向深度经营思维，致力于建设具有国际化竞争优势的本地化营销网</w:t>
      </w:r>
      <w:r>
        <w:rPr/>
        <w:t> </w:t>
      </w:r>
      <w:r>
        <w:rPr>
          <w:spacing w:val="-2"/>
        </w:rPr>
        <w:t>络和服务网络，将标准化的产品和解决方案推向全球市场。短期内，公司将围绕海外本地化精耕细作，持续推进与优化本地</w:t>
      </w:r>
      <w:r>
        <w:rPr>
          <w:spacing w:val="-66"/>
        </w:rPr>
        <w:t> </w:t>
      </w:r>
      <w:r>
        <w:rPr>
          <w:spacing w:val="-66"/>
        </w:rPr>
      </w:r>
      <w:r>
        <w:rPr>
          <w:spacing w:val="-2"/>
        </w:rPr>
        <w:t>化技术服务支持平台及信息化支撑平台，落实重点市场营销策略，不断提升金融自助终端在海外市场占有率，并积极参与智</w:t>
      </w:r>
      <w:r>
        <w:rPr>
          <w:spacing w:val="-65"/>
        </w:rPr>
        <w:t> </w:t>
      </w:r>
      <w:r>
        <w:rPr>
          <w:spacing w:val="-65"/>
        </w:rPr>
      </w:r>
      <w:r>
        <w:rPr>
          <w:spacing w:val="-2"/>
        </w:rPr>
        <w:t>慧网点建设，扩大品牌影响力。未来，公司把建设具有国际化竞争优势的本地化营销网络和服务网络作为长期战略任务，致</w:t>
      </w:r>
      <w:r>
        <w:rPr>
          <w:spacing w:val="-66"/>
        </w:rPr>
        <w:t> </w:t>
      </w:r>
      <w:r>
        <w:rPr>
          <w:spacing w:val="-66"/>
        </w:rPr>
      </w:r>
      <w:r>
        <w:rPr/>
        <w:t>力于将广电运通打造成为具有系统集成能力的综合解决方案提供商，充分把握共建</w:t>
      </w:r>
      <w:r>
        <w:rPr>
          <w:rFonts w:ascii="Times New Roman" w:hAnsi="Times New Roman" w:cs="Times New Roman" w:eastAsia="Times New Roman" w:hint="default"/>
        </w:rPr>
        <w:t>“</w:t>
      </w:r>
      <w:r>
        <w:rPr/>
        <w:t>一带一路</w:t>
      </w:r>
      <w:r>
        <w:rPr>
          <w:rFonts w:ascii="Times New Roman" w:hAnsi="Times New Roman" w:cs="Times New Roman" w:eastAsia="Times New Roman" w:hint="default"/>
        </w:rPr>
        <w:t>”</w:t>
      </w:r>
      <w:r>
        <w:rPr/>
        <w:t>等政策机遇，将国内优秀的 </w:t>
      </w:r>
      <w:r>
        <w:rPr>
          <w:rFonts w:ascii="Times New Roman" w:hAnsi="Times New Roman" w:cs="Times New Roman" w:eastAsia="Times New Roman" w:hint="default"/>
        </w:rPr>
        <w:t>AI+</w:t>
      </w:r>
      <w:r>
        <w:rPr/>
        <w:t>解决方案推广至全球市场。</w:t>
      </w:r>
    </w:p>
    <w:p>
      <w:pPr>
        <w:pStyle w:val="BodyText"/>
        <w:spacing w:line="300" w:lineRule="auto" w:before="42"/>
        <w:ind w:right="1025" w:firstLine="360"/>
        <w:jc w:val="left"/>
      </w:pPr>
      <w:r>
        <w:rPr>
          <w:rFonts w:ascii="Times New Roman" w:hAnsi="Times New Roman" w:cs="Times New Roman" w:eastAsia="Times New Roman" w:hint="default"/>
          <w:b/>
          <w:bCs/>
          <w:spacing w:val="-1"/>
        </w:rPr>
        <w:t>2</w:t>
      </w:r>
      <w:r>
        <w:rPr>
          <w:rFonts w:ascii="宋体" w:hAnsi="宋体" w:cs="宋体" w:eastAsia="宋体" w:hint="default"/>
          <w:b/>
          <w:bCs/>
          <w:spacing w:val="-1"/>
        </w:rPr>
        <w:t>、技术研发战略：</w:t>
      </w:r>
      <w:r>
        <w:rPr>
          <w:spacing w:val="-1"/>
        </w:rPr>
        <w:t>面对新技术、新机遇、新挑战，公司秉承</w:t>
      </w:r>
      <w:r>
        <w:rPr>
          <w:rFonts w:ascii="Times New Roman" w:hAnsi="Times New Roman" w:cs="Times New Roman" w:eastAsia="Times New Roman" w:hint="default"/>
          <w:spacing w:val="-1"/>
        </w:rPr>
        <w:t>"</w:t>
      </w:r>
      <w:r>
        <w:rPr>
          <w:spacing w:val="-1"/>
        </w:rPr>
        <w:t>生产一代、开发一代、预研一代、储备一代</w:t>
      </w:r>
      <w:r>
        <w:rPr>
          <w:rFonts w:ascii="Times New Roman" w:hAnsi="Times New Roman" w:cs="Times New Roman" w:eastAsia="Times New Roman" w:hint="default"/>
          <w:spacing w:val="-1"/>
        </w:rPr>
        <w:t>"</w:t>
      </w:r>
      <w:r>
        <w:rPr>
          <w:spacing w:val="-1"/>
        </w:rPr>
        <w:t>的科研方针，</w:t>
      </w:r>
      <w:r>
        <w:rPr/>
        <w:t> 坚持</w:t>
      </w:r>
      <w:r>
        <w:rPr>
          <w:rFonts w:ascii="Times New Roman" w:hAnsi="Times New Roman" w:cs="Times New Roman" w:eastAsia="Times New Roman" w:hint="default"/>
        </w:rPr>
        <w:t>"</w:t>
      </w:r>
      <w:r>
        <w:rPr/>
        <w:t>自主创新、产学研合作与产品引进相结合</w:t>
      </w:r>
      <w:r>
        <w:rPr>
          <w:rFonts w:ascii="Times New Roman" w:hAnsi="Times New Roman" w:cs="Times New Roman" w:eastAsia="Times New Roman" w:hint="default"/>
        </w:rPr>
        <w:t>"</w:t>
      </w:r>
      <w:r>
        <w:rPr/>
        <w:t>的研发模式，以</w:t>
      </w:r>
      <w:r>
        <w:rPr>
          <w:rFonts w:ascii="Times New Roman" w:hAnsi="Times New Roman" w:cs="Times New Roman" w:eastAsia="Times New Roman" w:hint="default"/>
        </w:rPr>
        <w:t>aiCore</w:t>
      </w:r>
      <w:r>
        <w:rPr>
          <w:rFonts w:ascii="Times New Roman" w:hAnsi="Times New Roman" w:cs="Times New Roman" w:eastAsia="Times New Roman" w:hint="default"/>
          <w:spacing w:val="-2"/>
        </w:rPr>
        <w:t> </w:t>
      </w:r>
      <w:r>
        <w:rPr>
          <w:rFonts w:ascii="Times New Roman" w:hAnsi="Times New Roman" w:cs="Times New Roman" w:eastAsia="Times New Roman" w:hint="default"/>
        </w:rPr>
        <w:t>system</w:t>
      </w:r>
      <w:r>
        <w:rPr/>
        <w:t>为核心的大数据平台规划和</w:t>
      </w:r>
      <w:r>
        <w:rPr>
          <w:rFonts w:ascii="Times New Roman" w:hAnsi="Times New Roman" w:cs="Times New Roman" w:eastAsia="Times New Roman" w:hint="default"/>
        </w:rPr>
        <w:t>AIOT</w:t>
      </w:r>
      <w:r>
        <w:rPr/>
        <w:t>生态，以</w:t>
      </w:r>
      <w:r>
        <w:rPr>
          <w:rFonts w:ascii="Times New Roman" w:hAnsi="Times New Roman" w:cs="Times New Roman" w:eastAsia="Times New Roman" w:hint="default"/>
        </w:rPr>
        <w:t>“</w:t>
      </w:r>
      <w:r>
        <w:rPr/>
        <w:t>智 能终端</w:t>
      </w:r>
      <w:r>
        <w:rPr>
          <w:rFonts w:ascii="Times New Roman" w:hAnsi="Times New Roman" w:cs="Times New Roman" w:eastAsia="Times New Roman" w:hint="default"/>
        </w:rPr>
        <w:t>+</w:t>
      </w:r>
      <w:r>
        <w:rPr/>
        <w:t>大数据</w:t>
      </w:r>
      <w:r>
        <w:rPr>
          <w:rFonts w:ascii="Times New Roman" w:hAnsi="Times New Roman" w:cs="Times New Roman" w:eastAsia="Times New Roman" w:hint="default"/>
        </w:rPr>
        <w:t>”</w:t>
      </w:r>
      <w:r>
        <w:rPr/>
        <w:t>的路径实现价值闭环，构筑新时期下的公司技术核心竞争力。</w:t>
      </w:r>
    </w:p>
    <w:p>
      <w:pPr>
        <w:pStyle w:val="BodyText"/>
        <w:spacing w:line="309" w:lineRule="auto" w:before="53"/>
        <w:ind w:right="1132" w:firstLine="360"/>
        <w:jc w:val="both"/>
      </w:pPr>
      <w:r>
        <w:rPr/>
        <w:t>（</w:t>
      </w:r>
      <w:r>
        <w:rPr>
          <w:rFonts w:ascii="Times New Roman" w:hAnsi="Times New Roman" w:cs="Times New Roman" w:eastAsia="Times New Roman" w:hint="default"/>
        </w:rPr>
        <w:t>1</w:t>
      </w:r>
      <w:r>
        <w:rPr/>
        <w:t>）公司将持续完善</w:t>
      </w:r>
      <w:r>
        <w:rPr>
          <w:rFonts w:ascii="Times New Roman" w:hAnsi="Times New Roman" w:cs="Times New Roman" w:eastAsia="Times New Roman" w:hint="default"/>
        </w:rPr>
        <w:t>“</w:t>
      </w:r>
      <w:r>
        <w:rPr/>
        <w:t>专家委员会</w:t>
      </w:r>
      <w:r>
        <w:rPr>
          <w:rFonts w:ascii="Times New Roman" w:hAnsi="Times New Roman" w:cs="Times New Roman" w:eastAsia="Times New Roman" w:hint="default"/>
        </w:rPr>
        <w:t>+</w:t>
      </w:r>
      <w:r>
        <w:rPr/>
        <w:t>研究总院</w:t>
      </w:r>
      <w:r>
        <w:rPr>
          <w:rFonts w:ascii="Times New Roman" w:hAnsi="Times New Roman" w:cs="Times New Roman" w:eastAsia="Times New Roman" w:hint="default"/>
        </w:rPr>
        <w:t>+</w:t>
      </w:r>
      <w:r>
        <w:rPr/>
        <w:t>专业研究院</w:t>
      </w:r>
      <w:r>
        <w:rPr>
          <w:rFonts w:ascii="Times New Roman" w:hAnsi="Times New Roman" w:cs="Times New Roman" w:eastAsia="Times New Roman" w:hint="default"/>
        </w:rPr>
        <w:t>”</w:t>
      </w:r>
      <w:r>
        <w:rPr/>
        <w:t>的研发组织体系，专家委员会负责指导公司重大技术项目的 </w:t>
      </w:r>
      <w:r>
        <w:rPr>
          <w:spacing w:val="-2"/>
        </w:rPr>
        <w:t>选型、论证及技术攻关；研究总院负责公司通用核心技术开发、战略性创新技术预研，为公司构建核心技术优势；智能金融</w:t>
      </w:r>
      <w:r>
        <w:rPr>
          <w:spacing w:val="-65"/>
        </w:rPr>
        <w:t> </w:t>
      </w:r>
      <w:r>
        <w:rPr>
          <w:spacing w:val="-65"/>
        </w:rPr>
      </w:r>
      <w:r>
        <w:rPr>
          <w:spacing w:val="-2"/>
        </w:rPr>
        <w:t>设备研究院、智能金融科技研究院、智能交通研究院、智能安全研究院、智能便民研究院、海外研究院与全球技术中心，响</w:t>
      </w:r>
    </w:p>
    <w:p>
      <w:pPr>
        <w:spacing w:after="0" w:line="309" w:lineRule="auto"/>
        <w:jc w:val="both"/>
        <w:sectPr>
          <w:pgSz w:w="11910" w:h="16840"/>
          <w:pgMar w:header="878" w:footer="978" w:top="1100" w:bottom="1160" w:left="1020" w:right="0"/>
        </w:sectPr>
      </w:pPr>
    </w:p>
    <w:p>
      <w:pPr>
        <w:spacing w:line="240" w:lineRule="auto" w:before="1"/>
        <w:rPr>
          <w:rFonts w:ascii="宋体" w:hAnsi="宋体" w:cs="宋体" w:eastAsia="宋体" w:hint="default"/>
          <w:sz w:val="22"/>
          <w:szCs w:val="22"/>
        </w:rPr>
      </w:pPr>
    </w:p>
    <w:p>
      <w:pPr>
        <w:pStyle w:val="BodyText"/>
        <w:spacing w:line="240" w:lineRule="auto" w:before="44"/>
        <w:ind w:right="1394"/>
        <w:jc w:val="left"/>
      </w:pPr>
      <w:r>
        <w:rPr/>
        <w:t>应各自领域的应用技术开发需求，为事业群的业务拓展提供技术保障。</w:t>
      </w:r>
    </w:p>
    <w:p>
      <w:pPr>
        <w:pStyle w:val="BodyText"/>
        <w:spacing w:line="304" w:lineRule="auto" w:before="115"/>
        <w:ind w:right="1132" w:firstLine="360"/>
        <w:jc w:val="left"/>
      </w:pPr>
      <w:r>
        <w:rPr/>
        <w:t>（</w:t>
      </w:r>
      <w:r>
        <w:rPr>
          <w:rFonts w:ascii="Times New Roman" w:hAnsi="Times New Roman" w:cs="Times New Roman" w:eastAsia="Times New Roman" w:hint="default"/>
        </w:rPr>
        <w:t>2</w:t>
      </w:r>
      <w:r>
        <w:rPr/>
        <w:t>）以</w:t>
      </w:r>
      <w:r>
        <w:rPr>
          <w:rFonts w:ascii="Times New Roman" w:hAnsi="Times New Roman" w:cs="Times New Roman" w:eastAsia="Times New Roman" w:hint="default"/>
        </w:rPr>
        <w:t>aiCore</w:t>
      </w:r>
      <w:r>
        <w:rPr>
          <w:rFonts w:ascii="Times New Roman" w:hAnsi="Times New Roman" w:cs="Times New Roman" w:eastAsia="Times New Roman" w:hint="default"/>
          <w:spacing w:val="-4"/>
        </w:rPr>
        <w:t> </w:t>
      </w:r>
      <w:r>
        <w:rPr>
          <w:rFonts w:ascii="Times New Roman" w:hAnsi="Times New Roman" w:cs="Times New Roman" w:eastAsia="Times New Roman" w:hint="default"/>
        </w:rPr>
        <w:t>system</w:t>
      </w:r>
      <w:r>
        <w:rPr/>
        <w:t>连接算法与智能终端，赋能场景应用，形成商业价值。在智能金融领域以网点为中心夯实现有场 </w:t>
      </w:r>
      <w:r>
        <w:rPr>
          <w:spacing w:val="-2"/>
        </w:rPr>
        <w:t>景产品，逐步拓展其他场景产品，实现银行全栈产品供应商；在智能安全领域围绕智慧城市场景应用，打造灵活组合、随需</w:t>
      </w:r>
      <w:r>
        <w:rPr>
          <w:spacing w:val="-65"/>
        </w:rPr>
        <w:t> </w:t>
      </w:r>
      <w:r>
        <w:rPr>
          <w:spacing w:val="-65"/>
        </w:rPr>
      </w:r>
      <w:r>
        <w:rPr/>
        <w:t>调用的</w:t>
      </w:r>
      <w:r>
        <w:rPr>
          <w:rFonts w:ascii="Times New Roman" w:hAnsi="Times New Roman" w:cs="Times New Roman" w:eastAsia="Times New Roman" w:hint="default"/>
        </w:rPr>
        <w:t>“</w:t>
      </w:r>
      <w:r>
        <w:rPr/>
        <w:t>端</w:t>
      </w:r>
      <w:r>
        <w:rPr>
          <w:rFonts w:ascii="Times New Roman" w:hAnsi="Times New Roman" w:cs="Times New Roman" w:eastAsia="Times New Roman" w:hint="default"/>
        </w:rPr>
        <w:t>-</w:t>
      </w:r>
      <w:r>
        <w:rPr/>
        <w:t>边</w:t>
      </w:r>
      <w:r>
        <w:rPr>
          <w:rFonts w:ascii="Times New Roman" w:hAnsi="Times New Roman" w:cs="Times New Roman" w:eastAsia="Times New Roman" w:hint="default"/>
        </w:rPr>
        <w:t>-</w:t>
      </w:r>
      <w:r>
        <w:rPr/>
        <w:t>云</w:t>
      </w:r>
      <w:r>
        <w:rPr>
          <w:rFonts w:ascii="Times New Roman" w:hAnsi="Times New Roman" w:cs="Times New Roman" w:eastAsia="Times New Roman" w:hint="default"/>
        </w:rPr>
        <w:t>”</w:t>
      </w:r>
      <w:r>
        <w:rPr/>
        <w:t>全栈产品技术体系，重点发展边缘计算和云计算领域产品，打造协同高效的智慧城市产品；在智能交通领 </w:t>
      </w:r>
      <w:r>
        <w:rPr>
          <w:spacing w:val="-1"/>
        </w:rPr>
        <w:t>域，通过设备和客流形成的数据流、信息流结合</w:t>
      </w:r>
      <w:r>
        <w:rPr>
          <w:rFonts w:ascii="Times New Roman" w:hAnsi="Times New Roman" w:cs="Times New Roman" w:eastAsia="Times New Roman" w:hint="default"/>
          <w:spacing w:val="-1"/>
        </w:rPr>
        <w:t>AI</w:t>
      </w:r>
      <w:r>
        <w:rPr>
          <w:spacing w:val="-1"/>
        </w:rPr>
        <w:t>技术，形成智能服务应用和智能运维应用，提供</w:t>
      </w:r>
      <w:r>
        <w:rPr>
          <w:rFonts w:ascii="Times New Roman" w:hAnsi="Times New Roman" w:cs="Times New Roman" w:eastAsia="Times New Roman" w:hint="default"/>
          <w:spacing w:val="-1"/>
        </w:rPr>
        <w:t>AI+</w:t>
      </w:r>
      <w:r>
        <w:rPr>
          <w:spacing w:val="-1"/>
        </w:rPr>
        <w:t>交通出行应用创新解</w:t>
      </w:r>
      <w:r>
        <w:rPr>
          <w:spacing w:val="-62"/>
        </w:rPr>
        <w:t> </w:t>
      </w:r>
      <w:r>
        <w:rPr/>
        <w:t>决方案；在智能便民领域，加大线下基础设施建设，存量终端实现智能物联，通过大数据赋能，构筑</w:t>
      </w:r>
      <w:r>
        <w:rPr>
          <w:rFonts w:ascii="Times New Roman" w:hAnsi="Times New Roman" w:cs="Times New Roman" w:eastAsia="Times New Roman" w:hint="default"/>
        </w:rPr>
        <w:t>“</w:t>
      </w:r>
      <w:r>
        <w:rPr/>
        <w:t>智能便民服务生态系 统</w:t>
      </w:r>
      <w:r>
        <w:rPr>
          <w:rFonts w:ascii="Times New Roman" w:hAnsi="Times New Roman" w:cs="Times New Roman" w:eastAsia="Times New Roman" w:hint="default"/>
        </w:rPr>
        <w:t>”</w:t>
      </w:r>
      <w:r>
        <w:rPr/>
        <w:t>全场景应用。</w:t>
      </w:r>
    </w:p>
    <w:p>
      <w:pPr>
        <w:pStyle w:val="BodyText"/>
        <w:spacing w:line="300" w:lineRule="auto" w:before="50"/>
        <w:ind w:right="1124" w:firstLine="360"/>
        <w:jc w:val="left"/>
      </w:pPr>
      <w:r>
        <w:rPr/>
        <w:t>（</w:t>
      </w:r>
      <w:r>
        <w:rPr>
          <w:rFonts w:ascii="Times New Roman" w:hAnsi="Times New Roman" w:cs="Times New Roman" w:eastAsia="Times New Roman" w:hint="default"/>
        </w:rPr>
        <w:t>3</w:t>
      </w:r>
      <w:r>
        <w:rPr/>
        <w:t>）未来公司将通过与全球知名研发机构、生态伙伴紧密合作，打造国内领先的人工智能产学研平台，探索垂直纵深 领域核心技术研发，包括敏感器件、</w:t>
      </w:r>
      <w:r>
        <w:rPr>
          <w:rFonts w:ascii="Times New Roman" w:hAnsi="Times New Roman" w:cs="Times New Roman" w:eastAsia="Times New Roman" w:hint="default"/>
        </w:rPr>
        <w:t>IC</w:t>
      </w:r>
      <w:r>
        <w:rPr/>
        <w:t>、关键模块、边缘计算、嵌入式操作系统等。</w:t>
      </w:r>
    </w:p>
    <w:p>
      <w:pPr>
        <w:pStyle w:val="BodyText"/>
        <w:spacing w:line="300" w:lineRule="auto" w:before="53"/>
        <w:ind w:right="1139" w:firstLine="360"/>
        <w:jc w:val="left"/>
      </w:pPr>
      <w:r>
        <w:rPr>
          <w:rFonts w:ascii="Times New Roman" w:hAnsi="Times New Roman" w:cs="Times New Roman" w:eastAsia="Times New Roman" w:hint="default"/>
          <w:b/>
          <w:bCs/>
        </w:rPr>
        <w:t>3</w:t>
      </w:r>
      <w:r>
        <w:rPr>
          <w:rFonts w:ascii="宋体" w:hAnsi="宋体" w:cs="宋体" w:eastAsia="宋体" w:hint="default"/>
          <w:b/>
          <w:bCs/>
        </w:rPr>
        <w:t>、投融资战略：</w:t>
      </w:r>
      <w:r>
        <w:rPr/>
        <w:t>公司战略与投融资战略协同，打造</w:t>
      </w:r>
      <w:r>
        <w:rPr>
          <w:rFonts w:ascii="Times New Roman" w:hAnsi="Times New Roman" w:cs="Times New Roman" w:eastAsia="Times New Roman" w:hint="default"/>
        </w:rPr>
        <w:t>“</w:t>
      </w:r>
      <w:r>
        <w:rPr/>
        <w:t>融投管退</w:t>
      </w:r>
      <w:r>
        <w:rPr>
          <w:rFonts w:ascii="Times New Roman" w:hAnsi="Times New Roman" w:cs="Times New Roman" w:eastAsia="Times New Roman" w:hint="default"/>
        </w:rPr>
        <w:t>”</w:t>
      </w:r>
      <w:r>
        <w:rPr/>
        <w:t>一体的投资体系，围绕场景、算力、算法、大数据、通 信等人工智能核心要素，搭建广电运通的技术生态圈，推动公司产业做强做优做大。</w:t>
      </w:r>
    </w:p>
    <w:p>
      <w:pPr>
        <w:pStyle w:val="BodyText"/>
        <w:spacing w:line="240" w:lineRule="auto" w:before="70"/>
        <w:ind w:left="472" w:right="0"/>
        <w:jc w:val="left"/>
      </w:pPr>
      <w:r>
        <w:rPr/>
        <w:t>（</w:t>
      </w:r>
      <w:r>
        <w:rPr>
          <w:rFonts w:ascii="Times New Roman" w:hAnsi="Times New Roman" w:cs="Times New Roman" w:eastAsia="Times New Roman" w:hint="default"/>
        </w:rPr>
        <w:t>1</w:t>
      </w:r>
      <w:r>
        <w:rPr/>
        <w:t>）围绕行业人工智能的战略升级方向，在金融、安全、交通、便民四个领域开展产业并购，推动各事业群快速发展。</w:t>
      </w:r>
    </w:p>
    <w:p>
      <w:pPr>
        <w:pStyle w:val="BodyText"/>
        <w:spacing w:line="300" w:lineRule="auto" w:before="103"/>
        <w:ind w:right="1124" w:firstLine="360"/>
        <w:jc w:val="left"/>
      </w:pPr>
      <w:r>
        <w:rPr/>
        <w:t>（</w:t>
      </w:r>
      <w:r>
        <w:rPr>
          <w:rFonts w:ascii="Times New Roman" w:hAnsi="Times New Roman" w:cs="Times New Roman" w:eastAsia="Times New Roman" w:hint="default"/>
        </w:rPr>
        <w:t>2</w:t>
      </w:r>
      <w:r>
        <w:rPr/>
        <w:t>）开展人工智能五大要素前沿技术的早期投资，如敏感器件、核心算法、数据处理等，为公司长远发展储备核心技 术。</w:t>
      </w:r>
    </w:p>
    <w:p>
      <w:pPr>
        <w:pStyle w:val="BodyText"/>
        <w:spacing w:line="300" w:lineRule="auto" w:before="72"/>
        <w:ind w:right="1124" w:firstLine="360"/>
        <w:jc w:val="left"/>
      </w:pPr>
      <w:r>
        <w:rPr/>
        <w:t>（</w:t>
      </w:r>
      <w:r>
        <w:rPr>
          <w:rFonts w:ascii="Times New Roman" w:hAnsi="Times New Roman" w:cs="Times New Roman" w:eastAsia="Times New Roman" w:hint="default"/>
        </w:rPr>
        <w:t>3</w:t>
      </w:r>
      <w:r>
        <w:rPr/>
        <w:t>）持续探索多途径融资渠道，开展自主孵化的初创企业融资，探索将下属子公司分拆上市的可行性，推进优质业务 与资本快速扩张，高质量推动公司行稳致远发展。</w:t>
      </w:r>
    </w:p>
    <w:p>
      <w:pPr>
        <w:pStyle w:val="BodyText"/>
        <w:spacing w:line="300" w:lineRule="auto" w:before="70"/>
        <w:ind w:right="1131" w:firstLine="451"/>
        <w:jc w:val="left"/>
      </w:pPr>
      <w:r>
        <w:rPr>
          <w:rFonts w:ascii="Times New Roman" w:hAnsi="Times New Roman" w:cs="Times New Roman" w:eastAsia="Times New Roman" w:hint="default"/>
          <w:b/>
          <w:bCs/>
          <w:spacing w:val="-2"/>
        </w:rPr>
        <w:t>4</w:t>
      </w:r>
      <w:r>
        <w:rPr>
          <w:rFonts w:ascii="宋体" w:hAnsi="宋体" w:cs="宋体" w:eastAsia="宋体" w:hint="default"/>
          <w:b/>
          <w:bCs/>
          <w:spacing w:val="-2"/>
        </w:rPr>
        <w:t>、管理保障战略：</w:t>
      </w:r>
      <w:r>
        <w:rPr>
          <w:spacing w:val="-2"/>
        </w:rPr>
        <w:t>打造形成具有自我完善、自我进化能力的组织体系，合理利用和调配公司资源，保障各领域业务战</w:t>
      </w:r>
      <w:r>
        <w:rPr/>
        <w:t> 略有效落地。</w:t>
      </w:r>
    </w:p>
    <w:p>
      <w:pPr>
        <w:pStyle w:val="BodyText"/>
        <w:spacing w:line="300" w:lineRule="auto" w:before="72"/>
        <w:ind w:right="1144" w:firstLine="360"/>
        <w:jc w:val="left"/>
      </w:pPr>
      <w:r>
        <w:rPr/>
        <w:t>（</w:t>
      </w:r>
      <w:r>
        <w:rPr>
          <w:rFonts w:ascii="Times New Roman" w:hAnsi="Times New Roman" w:cs="Times New Roman" w:eastAsia="Times New Roman" w:hint="default"/>
        </w:rPr>
        <w:t>1</w:t>
      </w:r>
      <w:r>
        <w:rPr/>
        <w:t>）体制机制建设：利用无线电集团入选国企改革</w:t>
      </w:r>
      <w:r>
        <w:rPr>
          <w:rFonts w:ascii="Times New Roman" w:hAnsi="Times New Roman" w:cs="Times New Roman" w:eastAsia="Times New Roman" w:hint="default"/>
        </w:rPr>
        <w:t>“</w:t>
      </w:r>
      <w:r>
        <w:rPr/>
        <w:t>双百行动</w:t>
      </w:r>
      <w:r>
        <w:rPr>
          <w:rFonts w:ascii="Times New Roman" w:hAnsi="Times New Roman" w:cs="Times New Roman" w:eastAsia="Times New Roman" w:hint="default"/>
        </w:rPr>
        <w:t>”</w:t>
      </w:r>
      <w:r>
        <w:rPr/>
        <w:t>企业，并改组成为广州市首家国有资本投资公司试点企 业的良好契机，推动公司及下属单位体制机制创新，优化产业结构与资产结构，释放并激发组织活力。</w:t>
      </w:r>
    </w:p>
    <w:p>
      <w:pPr>
        <w:pStyle w:val="BodyText"/>
        <w:spacing w:line="309" w:lineRule="auto" w:before="72"/>
        <w:ind w:right="1132" w:firstLine="360"/>
        <w:jc w:val="both"/>
      </w:pPr>
      <w:r>
        <w:rPr/>
        <w:t>（</w:t>
      </w:r>
      <w:r>
        <w:rPr>
          <w:rFonts w:ascii="Times New Roman" w:hAnsi="Times New Roman" w:cs="Times New Roman" w:eastAsia="Times New Roman" w:hint="default"/>
        </w:rPr>
        <w:t>2</w:t>
      </w:r>
      <w:r>
        <w:rPr/>
        <w:t>）人才战略：不断优化公司人才结构、改善人才发展环境，发挥高端复合型人才在企业发展过程中的引领作用，加 </w:t>
      </w:r>
      <w:r>
        <w:rPr>
          <w:spacing w:val="-2"/>
        </w:rPr>
        <w:t>大引入院士专家、尖端人才智库的力度。完善人才培养体系，形成人才梯队体系，确保发现一批、储备一批、培养一批、使</w:t>
      </w:r>
      <w:r>
        <w:rPr>
          <w:spacing w:val="-64"/>
        </w:rPr>
        <w:t> </w:t>
      </w:r>
      <w:r>
        <w:rPr>
          <w:spacing w:val="-64"/>
        </w:rPr>
      </w:r>
      <w:r>
        <w:rPr/>
        <w:t>用一批。</w:t>
      </w:r>
    </w:p>
    <w:p>
      <w:pPr>
        <w:pStyle w:val="BodyText"/>
        <w:spacing w:line="300" w:lineRule="auto" w:before="62"/>
        <w:ind w:right="1124" w:firstLine="360"/>
        <w:jc w:val="left"/>
      </w:pPr>
      <w:r>
        <w:rPr/>
        <w:t>（</w:t>
      </w:r>
      <w:r>
        <w:rPr>
          <w:rFonts w:ascii="Times New Roman" w:hAnsi="Times New Roman" w:cs="Times New Roman" w:eastAsia="Times New Roman" w:hint="default"/>
        </w:rPr>
        <w:t>3</w:t>
      </w:r>
      <w:r>
        <w:rPr/>
        <w:t>）财务战略：构建统一的集团化财经资源配置体系，加强公司资金统筹管理，更好地发挥资金管理效率，为公司新 业务拓展提供良好的资金保障。</w:t>
      </w:r>
    </w:p>
    <w:p>
      <w:pPr>
        <w:pStyle w:val="BodyText"/>
        <w:spacing w:line="300" w:lineRule="auto" w:before="72"/>
        <w:ind w:right="1124" w:firstLine="360"/>
        <w:jc w:val="left"/>
      </w:pPr>
      <w:r>
        <w:rPr/>
        <w:t>（</w:t>
      </w:r>
      <w:r>
        <w:rPr>
          <w:rFonts w:ascii="Times New Roman" w:hAnsi="Times New Roman" w:cs="Times New Roman" w:eastAsia="Times New Roman" w:hint="default"/>
        </w:rPr>
        <w:t>4</w:t>
      </w:r>
      <w:r>
        <w:rPr/>
        <w:t>）风险管控战略：健全公司内部风险控制体系，对新时期下公司所面临的政策风险、市场风险、法律风险、廉洁风 险等进行系统梳理和提前规划，保障企业稳健运行、健康发展。</w:t>
      </w:r>
    </w:p>
    <w:p>
      <w:pPr>
        <w:spacing w:line="240" w:lineRule="auto" w:before="8"/>
        <w:rPr>
          <w:rFonts w:ascii="宋体" w:hAnsi="宋体" w:cs="宋体" w:eastAsia="宋体" w:hint="default"/>
          <w:sz w:val="21"/>
          <w:szCs w:val="21"/>
        </w:rPr>
      </w:pPr>
    </w:p>
    <w:p>
      <w:pPr>
        <w:pStyle w:val="Heading2"/>
        <w:spacing w:line="240" w:lineRule="auto"/>
        <w:ind w:right="1394"/>
        <w:jc w:val="left"/>
        <w:rPr>
          <w:b w:val="0"/>
          <w:bCs w:val="0"/>
        </w:rPr>
      </w:pPr>
      <w:bookmarkStart w:name="二、主要资产重大变化情况" w:id="19"/>
      <w:bookmarkEnd w:id="19"/>
      <w:r>
        <w:rPr>
          <w:b w:val="0"/>
          <w:bCs w:val="0"/>
        </w:rPr>
      </w:r>
      <w:r>
        <w:rPr/>
        <w:t>二、主要资产重大变化情况</w:t>
      </w:r>
      <w:r>
        <w:rPr>
          <w:b w:val="0"/>
          <w:bCs w:val="0"/>
        </w:rPr>
      </w:r>
    </w:p>
    <w:p>
      <w:pPr>
        <w:spacing w:line="240" w:lineRule="auto" w:before="6"/>
        <w:rPr>
          <w:rFonts w:ascii="宋体" w:hAnsi="宋体" w:cs="宋体" w:eastAsia="宋体" w:hint="default"/>
          <w:b/>
          <w:bCs/>
          <w:sz w:val="25"/>
          <w:szCs w:val="25"/>
        </w:rPr>
      </w:pPr>
    </w:p>
    <w:p>
      <w:pPr>
        <w:pStyle w:val="Heading5"/>
        <w:spacing w:line="240" w:lineRule="auto"/>
        <w:ind w:right="1394"/>
        <w:jc w:val="left"/>
        <w:rPr>
          <w:b w:val="0"/>
          <w:bCs w:val="0"/>
        </w:rPr>
      </w:pPr>
      <w:bookmarkStart w:name="1、主要资产重大变化情况" w:id="20"/>
      <w:bookmarkEnd w:id="20"/>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1"/>
        <w:rPr>
          <w:rFonts w:ascii="宋体" w:hAnsi="宋体" w:cs="宋体" w:eastAsia="宋体" w:hint="default"/>
          <w:b/>
          <w:bCs/>
          <w:sz w:val="26"/>
          <w:szCs w:val="26"/>
        </w:rPr>
      </w:pPr>
    </w:p>
    <w:tbl>
      <w:tblPr>
        <w:tblW w:w="0" w:type="auto"/>
        <w:jc w:val="left"/>
        <w:tblInd w:w="109" w:type="dxa"/>
        <w:tblLayout w:type="fixed"/>
        <w:tblCellMar>
          <w:top w:w="0" w:type="dxa"/>
          <w:left w:w="0" w:type="dxa"/>
          <w:bottom w:w="0" w:type="dxa"/>
          <w:right w:w="0" w:type="dxa"/>
        </w:tblCellMar>
        <w:tblLook w:val="01E0"/>
      </w:tblPr>
      <w:tblGrid>
        <w:gridCol w:w="993"/>
        <w:gridCol w:w="8575"/>
      </w:tblGrid>
      <w:tr>
        <w:trPr>
          <w:trHeight w:val="764" w:hRule="exact"/>
        </w:trPr>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主要资产</w:t>
            </w:r>
          </w:p>
        </w:tc>
        <w:tc>
          <w:tcPr>
            <w:tcW w:w="85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left="-1" w:right="1"/>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402" w:hRule="exact"/>
        </w:trPr>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8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较年初增加</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33,615.84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万元，增长幅度</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21.93%</w:t>
            </w:r>
            <w:r>
              <w:rPr>
                <w:rFonts w:ascii="宋体" w:hAnsi="宋体" w:cs="宋体" w:eastAsia="宋体" w:hint="default"/>
                <w:sz w:val="18"/>
                <w:szCs w:val="18"/>
              </w:rPr>
              <w:t>，主要是追加神州控股投资及公允价值变动所致。</w:t>
            </w:r>
          </w:p>
        </w:tc>
      </w:tr>
      <w:tr>
        <w:trPr>
          <w:trHeight w:val="402" w:hRule="exact"/>
        </w:trPr>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8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2" w:hRule="exact"/>
        </w:trPr>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8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较年初增加</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6,268.95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万元，增长幅度</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41.30%</w:t>
            </w:r>
            <w:r>
              <w:rPr>
                <w:rFonts w:ascii="宋体" w:hAnsi="宋体" w:cs="宋体" w:eastAsia="宋体" w:hint="default"/>
                <w:sz w:val="18"/>
                <w:szCs w:val="18"/>
              </w:rPr>
              <w:t>，主要是购买新一代</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AI</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智能设备产业基地项目土地所致。</w:t>
            </w:r>
          </w:p>
        </w:tc>
      </w:tr>
      <w:tr>
        <w:trPr>
          <w:trHeight w:val="402" w:hRule="exact"/>
        </w:trPr>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8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较年初减少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3,281.96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万元，减少幅度</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67.97%</w:t>
            </w:r>
            <w:r>
              <w:rPr>
                <w:rFonts w:ascii="宋体" w:hAnsi="宋体" w:cs="宋体" w:eastAsia="宋体" w:hint="default"/>
                <w:sz w:val="18"/>
                <w:szCs w:val="18"/>
              </w:rPr>
              <w:t>，主要是黄石金安金融现代物流园结转固定资产所致。</w:t>
            </w:r>
          </w:p>
        </w:tc>
      </w:tr>
    </w:tbl>
    <w:p>
      <w:pPr>
        <w:spacing w:after="0" w:line="240" w:lineRule="auto"/>
        <w:jc w:val="left"/>
        <w:rPr>
          <w:rFonts w:ascii="宋体" w:hAnsi="宋体" w:cs="宋体" w:eastAsia="宋体" w:hint="default"/>
          <w:sz w:val="18"/>
          <w:szCs w:val="18"/>
        </w:rPr>
        <w:sectPr>
          <w:pgSz w:w="11910" w:h="16840"/>
          <w:pgMar w:header="878" w:footer="978" w:top="1100" w:bottom="1160" w:left="1020" w:right="0"/>
        </w:sectPr>
      </w:pPr>
    </w:p>
    <w:p>
      <w:pPr>
        <w:spacing w:line="240" w:lineRule="auto" w:before="5"/>
        <w:rPr>
          <w:rFonts w:ascii="宋体" w:hAnsi="宋体" w:cs="宋体" w:eastAsia="宋体" w:hint="default"/>
          <w:b/>
          <w:bCs/>
          <w:sz w:val="21"/>
          <w:szCs w:val="21"/>
        </w:rPr>
      </w:pPr>
    </w:p>
    <w:p>
      <w:pPr>
        <w:pStyle w:val="Heading5"/>
        <w:spacing w:line="240" w:lineRule="auto" w:before="37"/>
        <w:ind w:right="1394"/>
        <w:jc w:val="left"/>
        <w:rPr>
          <w:b w:val="0"/>
          <w:bCs w:val="0"/>
        </w:rPr>
      </w:pPr>
      <w:bookmarkStart w:name="2、主要境外资产情况" w:id="21"/>
      <w:bookmarkEnd w:id="21"/>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13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394"/>
        <w:jc w:val="left"/>
        <w:rPr>
          <w:b w:val="0"/>
          <w:bCs w:val="0"/>
        </w:rPr>
      </w:pPr>
      <w:bookmarkStart w:name="三、核心竞争力分析" w:id="22"/>
      <w:bookmarkEnd w:id="22"/>
      <w:r>
        <w:rPr>
          <w:b w:val="0"/>
          <w:bCs w:val="0"/>
        </w:rPr>
      </w:r>
      <w:r>
        <w:rPr/>
        <w:t>三、核心竞争力分析</w:t>
      </w:r>
      <w:r>
        <w:rPr>
          <w:b w:val="0"/>
          <w:bCs w:val="0"/>
        </w:rPr>
      </w:r>
    </w:p>
    <w:p>
      <w:pPr>
        <w:spacing w:line="240" w:lineRule="auto" w:before="6"/>
        <w:rPr>
          <w:rFonts w:ascii="宋体" w:hAnsi="宋体" w:cs="宋体" w:eastAsia="宋体" w:hint="default"/>
          <w:b/>
          <w:bCs/>
          <w:sz w:val="26"/>
          <w:szCs w:val="26"/>
        </w:rPr>
      </w:pPr>
    </w:p>
    <w:p>
      <w:pPr>
        <w:pStyle w:val="BodyText"/>
        <w:spacing w:line="360" w:lineRule="auto"/>
        <w:ind w:right="7694"/>
        <w:jc w:val="left"/>
      </w:pPr>
      <w:r>
        <w:rPr/>
        <w:t>公司是否需要遵守特殊行业的披露要求 否</w:t>
      </w:r>
    </w:p>
    <w:p>
      <w:pPr>
        <w:pStyle w:val="BodyText"/>
        <w:spacing w:line="316" w:lineRule="auto" w:before="142"/>
        <w:ind w:right="0" w:firstLine="360"/>
        <w:jc w:val="left"/>
      </w:pPr>
      <w:r>
        <w:rPr>
          <w:spacing w:val="-4"/>
        </w:rPr>
        <w:t>作为行业引领者，报告期内，公司坚持以用户需求为导向，围绕金融、安全、交通、便民等四大业务领域不断开拓创新，</w:t>
      </w:r>
      <w:r>
        <w:rPr/>
        <w:t> </w:t>
      </w:r>
      <w:r>
        <w:rPr>
          <w:spacing w:val="-2"/>
        </w:rPr>
        <w:t>持续保持公司在客户基础、研发实力、服务体系、生产能力等方面的核心竞争优势，保障了公司业务的稳定性和盈利能力的</w:t>
      </w:r>
      <w:r>
        <w:rPr>
          <w:spacing w:val="-66"/>
        </w:rPr>
        <w:t> </w:t>
      </w:r>
      <w:r>
        <w:rPr>
          <w:spacing w:val="-66"/>
        </w:rPr>
      </w:r>
      <w:r>
        <w:rPr/>
        <w:t>连续性，有效推动了公司的战略升级。</w:t>
      </w:r>
    </w:p>
    <w:p>
      <w:pPr>
        <w:spacing w:line="240" w:lineRule="auto" w:before="5"/>
        <w:rPr>
          <w:rFonts w:ascii="宋体" w:hAnsi="宋体" w:cs="宋体" w:eastAsia="宋体" w:hint="default"/>
          <w:sz w:val="13"/>
          <w:szCs w:val="13"/>
        </w:rPr>
      </w:pPr>
    </w:p>
    <w:p>
      <w:pPr>
        <w:spacing w:line="300" w:lineRule="auto" w:before="0"/>
        <w:ind w:left="112" w:right="0" w:firstLine="36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、场景落地优势：拥有覆盖行业广、数量多的智能终端及人工智能大数据平台</w:t>
      </w:r>
      <w:r>
        <w:rPr>
          <w:rFonts w:ascii="Times New Roman" w:hAnsi="Times New Roman" w:cs="Times New Roman" w:eastAsia="Times New Roman" w:hint="default"/>
          <w:b/>
          <w:bCs/>
          <w:sz w:val="18"/>
          <w:szCs w:val="18"/>
        </w:rPr>
        <w:t>aiCore</w:t>
      </w:r>
      <w:r>
        <w:rPr>
          <w:rFonts w:ascii="Times New Roman" w:hAnsi="Times New Roman" w:cs="Times New Roman" w:eastAsia="Times New Roman" w:hint="default"/>
          <w:b/>
          <w:bCs/>
          <w:spacing w:val="-21"/>
          <w:sz w:val="18"/>
          <w:szCs w:val="18"/>
        </w:rPr>
        <w:t> </w:t>
      </w:r>
      <w:r>
        <w:rPr>
          <w:rFonts w:ascii="Times New Roman" w:hAnsi="Times New Roman" w:cs="Times New Roman" w:eastAsia="Times New Roman" w:hint="default"/>
          <w:b/>
          <w:bCs/>
          <w:sz w:val="18"/>
          <w:szCs w:val="18"/>
        </w:rPr>
        <w:t>System</w:t>
      </w:r>
      <w:r>
        <w:rPr>
          <w:rFonts w:ascii="宋体" w:hAnsi="宋体" w:cs="宋体" w:eastAsia="宋体" w:hint="default"/>
          <w:b/>
          <w:bCs/>
          <w:sz w:val="18"/>
          <w:szCs w:val="18"/>
        </w:rPr>
        <w:t>，具备实现场景落地、全</w:t>
      </w:r>
      <w:r>
        <w:rPr>
          <w:rFonts w:ascii="宋体" w:hAnsi="宋体" w:cs="宋体" w:eastAsia="宋体" w:hint="default"/>
          <w:b/>
          <w:bCs/>
          <w:w w:val="99"/>
          <w:sz w:val="18"/>
          <w:szCs w:val="18"/>
        </w:rPr>
        <w:t> </w:t>
      </w:r>
      <w:r>
        <w:rPr>
          <w:rFonts w:ascii="宋体" w:hAnsi="宋体" w:cs="宋体" w:eastAsia="宋体" w:hint="default"/>
          <w:b/>
          <w:bCs/>
          <w:spacing w:val="-3"/>
          <w:sz w:val="18"/>
          <w:szCs w:val="18"/>
        </w:rPr>
        <w:t>面实施</w:t>
      </w:r>
      <w:r>
        <w:rPr>
          <w:rFonts w:ascii="Times New Roman" w:hAnsi="Times New Roman" w:cs="Times New Roman" w:eastAsia="Times New Roman" w:hint="default"/>
          <w:b/>
          <w:bCs/>
          <w:spacing w:val="-3"/>
          <w:sz w:val="18"/>
          <w:szCs w:val="18"/>
        </w:rPr>
        <w:t>AI+</w:t>
      </w:r>
      <w:r>
        <w:rPr>
          <w:rFonts w:ascii="宋体" w:hAnsi="宋体" w:cs="宋体" w:eastAsia="宋体" w:hint="default"/>
          <w:b/>
          <w:bCs/>
          <w:spacing w:val="-3"/>
          <w:sz w:val="18"/>
          <w:szCs w:val="18"/>
        </w:rPr>
        <w:t>战略的基础。</w:t>
      </w:r>
      <w:r>
        <w:rPr>
          <w:rFonts w:ascii="宋体" w:hAnsi="宋体" w:cs="宋体" w:eastAsia="宋体" w:hint="default"/>
          <w:spacing w:val="-3"/>
          <w:sz w:val="18"/>
          <w:szCs w:val="18"/>
        </w:rPr>
        <w:t>目前行业内人工智能应用场景的落地主要受大数据获取因素的制约，公司结合行业现状及自身优势，</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广泛布局应用场景以智能化连接设备为载体的智能化基础设施，打造人工智能大数据平台</w:t>
      </w:r>
      <w:r>
        <w:rPr>
          <w:rFonts w:ascii="Times New Roman" w:hAnsi="Times New Roman" w:cs="Times New Roman" w:eastAsia="Times New Roman" w:hint="default"/>
          <w:sz w:val="18"/>
          <w:szCs w:val="18"/>
        </w:rPr>
        <w:t>aiCore</w:t>
      </w:r>
      <w:r>
        <w:rPr>
          <w:rFonts w:ascii="Times New Roman" w:hAnsi="Times New Roman" w:cs="Times New Roman" w:eastAsia="Times New Roman" w:hint="default"/>
          <w:spacing w:val="-6"/>
          <w:sz w:val="18"/>
          <w:szCs w:val="18"/>
        </w:rPr>
        <w:t> </w:t>
      </w:r>
      <w:r>
        <w:rPr>
          <w:rFonts w:ascii="Times New Roman" w:hAnsi="Times New Roman" w:cs="Times New Roman" w:eastAsia="Times New Roman" w:hint="default"/>
          <w:spacing w:val="-3"/>
          <w:sz w:val="18"/>
          <w:szCs w:val="18"/>
        </w:rPr>
        <w:t>System</w:t>
      </w:r>
      <w:r>
        <w:rPr>
          <w:rFonts w:ascii="宋体" w:hAnsi="宋体" w:cs="宋体" w:eastAsia="宋体" w:hint="default"/>
          <w:spacing w:val="-3"/>
          <w:sz w:val="18"/>
          <w:szCs w:val="18"/>
        </w:rPr>
        <w:t>，以采集大规模高质</w:t>
      </w:r>
      <w:r>
        <w:rPr>
          <w:rFonts w:ascii="宋体" w:hAnsi="宋体" w:cs="宋体" w:eastAsia="宋体" w:hint="default"/>
          <w:sz w:val="18"/>
          <w:szCs w:val="18"/>
        </w:rPr>
        <w:t> 量的行业数据，从而真正将技术与应用场景系统性结合，充分挖掘应用场景的智能化升级需求。自</w:t>
      </w:r>
      <w:r>
        <w:rPr>
          <w:rFonts w:ascii="Times New Roman" w:hAnsi="Times New Roman" w:cs="Times New Roman" w:eastAsia="Times New Roman" w:hint="default"/>
          <w:sz w:val="18"/>
          <w:szCs w:val="18"/>
        </w:rPr>
        <w:t>2018</w:t>
      </w:r>
      <w:r>
        <w:rPr>
          <w:rFonts w:ascii="宋体" w:hAnsi="宋体" w:cs="宋体" w:eastAsia="宋体" w:hint="default"/>
          <w:sz w:val="18"/>
          <w:szCs w:val="18"/>
        </w:rPr>
        <w:t>年开启</w:t>
      </w:r>
      <w:r>
        <w:rPr>
          <w:rFonts w:ascii="Times New Roman" w:hAnsi="Times New Roman" w:cs="Times New Roman" w:eastAsia="Times New Roman" w:hint="default"/>
          <w:sz w:val="18"/>
          <w:szCs w:val="18"/>
        </w:rPr>
        <w:t>AI+</w:t>
      </w:r>
      <w:r>
        <w:rPr>
          <w:rFonts w:ascii="宋体" w:hAnsi="宋体" w:cs="宋体" w:eastAsia="宋体" w:hint="default"/>
          <w:sz w:val="18"/>
          <w:szCs w:val="18"/>
        </w:rPr>
        <w:t>战略升级 之路，公司已形成智慧网点、智慧财政、智慧车站和智慧警务等多场景落地优势，为全面实施</w:t>
      </w:r>
      <w:r>
        <w:rPr>
          <w:rFonts w:ascii="Times New Roman" w:hAnsi="Times New Roman" w:cs="Times New Roman" w:eastAsia="Times New Roman" w:hint="default"/>
          <w:sz w:val="18"/>
          <w:szCs w:val="18"/>
        </w:rPr>
        <w:t>AI+</w:t>
      </w:r>
      <w:r>
        <w:rPr>
          <w:rFonts w:ascii="宋体" w:hAnsi="宋体" w:cs="宋体" w:eastAsia="宋体" w:hint="default"/>
          <w:sz w:val="18"/>
          <w:szCs w:val="18"/>
        </w:rPr>
        <w:t>战略落地、进一步扩大经 营规模打下了坚实的基础。</w:t>
      </w:r>
    </w:p>
    <w:p>
      <w:pPr>
        <w:spacing w:line="240" w:lineRule="auto" w:before="4"/>
        <w:rPr>
          <w:rFonts w:ascii="宋体" w:hAnsi="宋体" w:cs="宋体" w:eastAsia="宋体" w:hint="default"/>
          <w:sz w:val="14"/>
          <w:szCs w:val="14"/>
        </w:rPr>
      </w:pPr>
    </w:p>
    <w:p>
      <w:pPr>
        <w:pStyle w:val="BodyText"/>
        <w:spacing w:line="302" w:lineRule="auto"/>
        <w:ind w:right="1031" w:firstLine="360"/>
        <w:jc w:val="left"/>
      </w:pPr>
      <w:r>
        <w:rPr>
          <w:rFonts w:ascii="Times New Roman" w:hAnsi="Times New Roman" w:cs="Times New Roman" w:eastAsia="Times New Roman" w:hint="default"/>
          <w:b/>
          <w:bCs/>
        </w:rPr>
        <w:t>2</w:t>
      </w:r>
      <w:r>
        <w:rPr>
          <w:rFonts w:ascii="宋体" w:hAnsi="宋体" w:cs="宋体" w:eastAsia="宋体" w:hint="default"/>
          <w:b/>
          <w:bCs/>
        </w:rPr>
        <w:t>、技术研发优势：坚持自主创新，搭建了覆盖人工智能基础层、技术层和应用层的技术平台体系，具备深厚的技术研</w:t>
      </w:r>
      <w:r>
        <w:rPr>
          <w:rFonts w:ascii="宋体" w:hAnsi="宋体" w:cs="宋体" w:eastAsia="宋体" w:hint="default"/>
          <w:b/>
          <w:bCs/>
          <w:w w:val="99"/>
        </w:rPr>
        <w:t> </w:t>
      </w:r>
      <w:r>
        <w:rPr>
          <w:rFonts w:ascii="宋体" w:hAnsi="宋体" w:cs="宋体" w:eastAsia="宋体" w:hint="default"/>
          <w:b/>
          <w:bCs/>
        </w:rPr>
        <w:t>发实力。</w:t>
      </w:r>
      <w:r>
        <w:rPr/>
        <w:t>随着国际贸易环境的显著变化，国家愈加重视与关注核心产业的自主创新，公司始终坚持自主科技创新驱动战略， </w:t>
      </w:r>
      <w:r>
        <w:rPr>
          <w:spacing w:val="-2"/>
        </w:rPr>
        <w:t>连续多年研发投入占比营业收入均超过</w:t>
      </w:r>
      <w:r>
        <w:rPr>
          <w:rFonts w:ascii="Times New Roman" w:hAnsi="Times New Roman" w:cs="Times New Roman" w:eastAsia="Times New Roman" w:hint="default"/>
          <w:spacing w:val="-2"/>
        </w:rPr>
        <w:t>8%</w:t>
      </w:r>
      <w:r>
        <w:rPr>
          <w:spacing w:val="-2"/>
        </w:rPr>
        <w:t>，已经建立专家委员会</w:t>
      </w:r>
      <w:r>
        <w:rPr>
          <w:rFonts w:ascii="Times New Roman" w:hAnsi="Times New Roman" w:cs="Times New Roman" w:eastAsia="Times New Roman" w:hint="default"/>
          <w:spacing w:val="-2"/>
        </w:rPr>
        <w:t>+</w:t>
      </w:r>
      <w:r>
        <w:rPr>
          <w:spacing w:val="-2"/>
        </w:rPr>
        <w:t>研究总院</w:t>
      </w:r>
      <w:r>
        <w:rPr>
          <w:rFonts w:ascii="Times New Roman" w:hAnsi="Times New Roman" w:cs="Times New Roman" w:eastAsia="Times New Roman" w:hint="default"/>
          <w:spacing w:val="-2"/>
        </w:rPr>
        <w:t>+</w:t>
      </w:r>
      <w:r>
        <w:rPr>
          <w:spacing w:val="-2"/>
        </w:rPr>
        <w:t>专业研究院的技术研究平台，拥有由</w:t>
      </w:r>
      <w:r>
        <w:rPr>
          <w:rFonts w:ascii="Times New Roman" w:hAnsi="Times New Roman" w:cs="Times New Roman" w:eastAsia="Times New Roman" w:hint="default"/>
          <w:spacing w:val="-2"/>
        </w:rPr>
        <w:t>4</w:t>
      </w:r>
      <w:r>
        <w:rPr>
          <w:spacing w:val="-2"/>
        </w:rPr>
        <w:t>个院士领</w:t>
      </w:r>
      <w:r>
        <w:rPr>
          <w:spacing w:val="-57"/>
        </w:rPr>
        <w:t> </w:t>
      </w:r>
      <w:r>
        <w:rPr/>
        <w:t>衔、包括博士、硕士在内的超</w:t>
      </w:r>
      <w:r>
        <w:rPr>
          <w:rFonts w:ascii="Times New Roman" w:hAnsi="Times New Roman" w:cs="Times New Roman" w:eastAsia="Times New Roman" w:hint="default"/>
        </w:rPr>
        <w:t>2,000</w:t>
      </w:r>
      <w:r>
        <w:rPr/>
        <w:t>人的专业研发团队，设立了国家级企业技术中心和国家级工业设计中心、博士后科研工 作站、国家</w:t>
      </w:r>
      <w:r>
        <w:rPr>
          <w:rFonts w:ascii="Times New Roman" w:hAnsi="Times New Roman" w:cs="Times New Roman" w:eastAsia="Times New Roman" w:hint="default"/>
        </w:rPr>
        <w:t>CNAS</w:t>
      </w:r>
      <w:r>
        <w:rPr/>
        <w:t>认证实验室、城市轨道交通系统安全与运维保障国家工程实验室、金融智能终端系统安全技术国家地方联 合工程研究中心等研发机构。有效授权专利超过</w:t>
      </w:r>
      <w:r>
        <w:rPr>
          <w:rFonts w:ascii="Times New Roman" w:hAnsi="Times New Roman" w:cs="Times New Roman" w:eastAsia="Times New Roman" w:hint="default"/>
        </w:rPr>
        <w:t>1,700</w:t>
      </w:r>
      <w:r>
        <w:rPr/>
        <w:t>项，主导、参与制定或修订</w:t>
      </w:r>
      <w:r>
        <w:rPr>
          <w:rFonts w:ascii="Times New Roman" w:hAnsi="Times New Roman" w:cs="Times New Roman" w:eastAsia="Times New Roman" w:hint="default"/>
        </w:rPr>
        <w:t>20</w:t>
      </w:r>
      <w:r>
        <w:rPr/>
        <w:t>余项国家标准，包括国内首家完成全部 主流生物特征识别国家标准布局，牵头主导了粤港澳大湾区首个金融类标准。</w:t>
      </w:r>
    </w:p>
    <w:p>
      <w:pPr>
        <w:spacing w:line="240" w:lineRule="auto" w:before="2"/>
        <w:rPr>
          <w:rFonts w:ascii="宋体" w:hAnsi="宋体" w:cs="宋体" w:eastAsia="宋体" w:hint="default"/>
          <w:sz w:val="14"/>
          <w:szCs w:val="14"/>
        </w:rPr>
      </w:pPr>
    </w:p>
    <w:p>
      <w:pPr>
        <w:spacing w:line="309" w:lineRule="auto" w:before="0"/>
        <w:ind w:left="112" w:right="1106" w:firstLine="360"/>
        <w:jc w:val="both"/>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、体制机制优势：国企改革</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双百行动</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背景下，公司发挥体制和机制优势，盘活内部优势资源寻求外延式创新发展。</w:t>
      </w:r>
      <w:r>
        <w:rPr>
          <w:rFonts w:ascii="宋体" w:hAnsi="宋体" w:cs="宋体" w:eastAsia="宋体" w:hint="default"/>
          <w:b/>
          <w:bCs/>
          <w:w w:val="99"/>
          <w:sz w:val="18"/>
          <w:szCs w:val="18"/>
        </w:rPr>
        <w:t> </w:t>
      </w:r>
      <w:r>
        <w:rPr>
          <w:rFonts w:ascii="宋体" w:hAnsi="宋体" w:cs="宋体" w:eastAsia="宋体" w:hint="default"/>
          <w:spacing w:val="-2"/>
          <w:sz w:val="18"/>
          <w:szCs w:val="18"/>
        </w:rPr>
        <w:t>以内部孵化模式激发创新动能，以子公司员工持股模式刺激经营活力，以客户资源共享协同催化成长，以外部资本引入保障</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增长引擎加速。</w:t>
      </w:r>
    </w:p>
    <w:p>
      <w:pPr>
        <w:spacing w:line="240" w:lineRule="auto" w:before="10"/>
        <w:rPr>
          <w:rFonts w:ascii="宋体" w:hAnsi="宋体" w:cs="宋体" w:eastAsia="宋体" w:hint="default"/>
          <w:sz w:val="13"/>
          <w:szCs w:val="13"/>
        </w:rPr>
      </w:pPr>
    </w:p>
    <w:p>
      <w:pPr>
        <w:pStyle w:val="BodyText"/>
        <w:spacing w:line="300" w:lineRule="auto"/>
        <w:ind w:right="1132" w:firstLine="360"/>
        <w:jc w:val="both"/>
      </w:pPr>
      <w:r>
        <w:rPr>
          <w:rFonts w:ascii="Times New Roman" w:hAnsi="Times New Roman" w:cs="Times New Roman" w:eastAsia="Times New Roman" w:hint="default"/>
          <w:b/>
          <w:bCs/>
          <w:w w:val="95"/>
        </w:rPr>
        <w:t>4</w:t>
      </w:r>
      <w:r>
        <w:rPr>
          <w:rFonts w:ascii="宋体" w:hAnsi="宋体" w:cs="宋体" w:eastAsia="宋体" w:hint="default"/>
          <w:b/>
          <w:bCs/>
          <w:w w:val="95"/>
        </w:rPr>
        <w:t>、供应链优势：建立了成熟的供应链管理体系，具备快速响应市场需求的工业产品生产制造能力。</w:t>
      </w:r>
      <w:r>
        <w:rPr>
          <w:w w:val="95"/>
        </w:rPr>
        <w:t>公司有二十年的工</w:t>
      </w:r>
      <w:r>
        <w:rPr>
          <w:spacing w:val="-8"/>
          <w:w w:val="95"/>
        </w:rPr>
        <w:t> </w:t>
      </w:r>
      <w:r>
        <w:rPr/>
        <w:t>业化产品生产制造经验，生产基地面积近</w:t>
      </w:r>
      <w:r>
        <w:rPr>
          <w:rFonts w:ascii="Times New Roman" w:hAnsi="Times New Roman" w:cs="Times New Roman" w:eastAsia="Times New Roman" w:hint="default"/>
        </w:rPr>
        <w:t>4</w:t>
      </w:r>
      <w:r>
        <w:rPr/>
        <w:t>万平方米，集中了一批经验丰富的专业工艺技术与生产管理团队，供应链管理体 </w:t>
      </w:r>
      <w:r>
        <w:rPr>
          <w:spacing w:val="-2"/>
        </w:rPr>
        <w:t>系日益成熟，产品质量保障体系不断完善，具备多个行业高科技终端产品的生产制造能力。</w:t>
      </w:r>
      <w:r>
        <w:rPr>
          <w:rFonts w:ascii="Times New Roman" w:hAnsi="Times New Roman" w:cs="Times New Roman" w:eastAsia="Times New Roman" w:hint="default"/>
          <w:spacing w:val="-2"/>
        </w:rPr>
        <w:t>2019</w:t>
      </w:r>
      <w:r>
        <w:rPr>
          <w:spacing w:val="-2"/>
        </w:rPr>
        <w:t>年下半年，公司先后变更募</w:t>
      </w:r>
      <w:r>
        <w:rPr>
          <w:spacing w:val="-64"/>
        </w:rPr>
        <w:t> </w:t>
      </w:r>
      <w:r>
        <w:rPr>
          <w:spacing w:val="-64"/>
        </w:rPr>
      </w:r>
      <w:r>
        <w:rPr>
          <w:spacing w:val="-1"/>
        </w:rPr>
        <w:t>集资金用途用于建设</w:t>
      </w:r>
      <w:r>
        <w:rPr>
          <w:rFonts w:ascii="Times New Roman" w:hAnsi="Times New Roman" w:cs="Times New Roman" w:eastAsia="Times New Roman" w:hint="default"/>
          <w:spacing w:val="-1"/>
        </w:rPr>
        <w:t>“</w:t>
      </w:r>
      <w:r>
        <w:rPr>
          <w:spacing w:val="-1"/>
        </w:rPr>
        <w:t>新一代</w:t>
      </w:r>
      <w:r>
        <w:rPr>
          <w:rFonts w:ascii="Times New Roman" w:hAnsi="Times New Roman" w:cs="Times New Roman" w:eastAsia="Times New Roman" w:hint="default"/>
          <w:spacing w:val="-1"/>
        </w:rPr>
        <w:t>AI</w:t>
      </w:r>
      <w:r>
        <w:rPr>
          <w:spacing w:val="-1"/>
        </w:rPr>
        <w:t>智能设备产业基地</w:t>
      </w:r>
      <w:r>
        <w:rPr>
          <w:rFonts w:ascii="Times New Roman" w:hAnsi="Times New Roman" w:cs="Times New Roman" w:eastAsia="Times New Roman" w:hint="default"/>
          <w:spacing w:val="-1"/>
        </w:rPr>
        <w:t>”</w:t>
      </w:r>
      <w:r>
        <w:rPr>
          <w:spacing w:val="-1"/>
        </w:rPr>
        <w:t>及</w:t>
      </w:r>
      <w:r>
        <w:rPr>
          <w:rFonts w:ascii="Times New Roman" w:hAnsi="Times New Roman" w:cs="Times New Roman" w:eastAsia="Times New Roman" w:hint="default"/>
          <w:spacing w:val="-1"/>
        </w:rPr>
        <w:t>“</w:t>
      </w:r>
      <w:r>
        <w:rPr>
          <w:spacing w:val="-1"/>
        </w:rPr>
        <w:t>人工智能深圳创新中心</w:t>
      </w:r>
      <w:r>
        <w:rPr>
          <w:rFonts w:ascii="Times New Roman" w:hAnsi="Times New Roman" w:cs="Times New Roman" w:eastAsia="Times New Roman" w:hint="default"/>
          <w:spacing w:val="-1"/>
        </w:rPr>
        <w:t>”</w:t>
      </w:r>
      <w:r>
        <w:rPr>
          <w:spacing w:val="-1"/>
        </w:rPr>
        <w:t>，随着新基地的建设投产，公司的生产制造能</w:t>
      </w:r>
      <w:r>
        <w:rPr/>
        <w:t> 力将得到大幅提升。</w:t>
      </w:r>
    </w:p>
    <w:p>
      <w:pPr>
        <w:spacing w:after="0" w:line="300" w:lineRule="auto"/>
        <w:jc w:val="both"/>
        <w:sectPr>
          <w:pgSz w:w="11910" w:h="16840"/>
          <w:pgMar w:header="878" w:footer="978" w:top="1100" w:bottom="116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9"/>
          <w:szCs w:val="19"/>
        </w:rPr>
      </w:pPr>
    </w:p>
    <w:p>
      <w:pPr>
        <w:pStyle w:val="Heading1"/>
        <w:spacing w:line="240" w:lineRule="auto"/>
        <w:ind w:left="2928" w:right="1394"/>
        <w:jc w:val="left"/>
        <w:rPr>
          <w:b w:val="0"/>
          <w:bCs w:val="0"/>
        </w:rPr>
      </w:pPr>
      <w:bookmarkStart w:name="第四节 经营情况讨论与分析" w:id="23"/>
      <w:bookmarkEnd w:id="23"/>
      <w:r>
        <w:rPr>
          <w:b w:val="0"/>
          <w:bCs w:val="0"/>
        </w:rPr>
      </w:r>
      <w:bookmarkStart w:name="_bookmark3" w:id="24"/>
      <w:bookmarkEnd w:id="24"/>
      <w:r>
        <w:rPr>
          <w:b w:val="0"/>
          <w:bCs w:val="0"/>
        </w:rPr>
      </w:r>
      <w:r>
        <w:rPr/>
        <w:t>第四节</w:t>
      </w:r>
      <w:r>
        <w:rPr>
          <w:spacing w:val="-13"/>
        </w:rPr>
        <w:t> </w:t>
      </w:r>
      <w:r>
        <w:rPr/>
        <w:t>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pStyle w:val="Heading2"/>
        <w:spacing w:line="240" w:lineRule="auto" w:before="26"/>
        <w:ind w:right="1394"/>
        <w:jc w:val="left"/>
        <w:rPr>
          <w:b w:val="0"/>
          <w:bCs w:val="0"/>
        </w:rPr>
      </w:pPr>
      <w:bookmarkStart w:name="一、概述" w:id="25"/>
      <w:bookmarkEnd w:id="25"/>
      <w:r>
        <w:rPr>
          <w:b w:val="0"/>
          <w:bCs w:val="0"/>
        </w:rPr>
      </w:r>
      <w:r>
        <w:rPr/>
        <w:t>一、概述</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right="0" w:firstLine="360"/>
        <w:jc w:val="left"/>
      </w:pPr>
      <w:r>
        <w:rPr>
          <w:rFonts w:ascii="Times New Roman" w:hAnsi="Times New Roman" w:cs="Times New Roman" w:eastAsia="Times New Roman" w:hint="default"/>
          <w:spacing w:val="-1"/>
        </w:rPr>
        <w:t>2019</w:t>
      </w:r>
      <w:r>
        <w:rPr>
          <w:spacing w:val="-1"/>
        </w:rPr>
        <w:t>年度，公司围绕</w:t>
      </w:r>
      <w:r>
        <w:rPr>
          <w:rFonts w:ascii="Times New Roman" w:hAnsi="Times New Roman" w:cs="Times New Roman" w:eastAsia="Times New Roman" w:hint="default"/>
          <w:spacing w:val="-1"/>
        </w:rPr>
        <w:t>“</w:t>
      </w:r>
      <w:r>
        <w:rPr>
          <w:spacing w:val="-1"/>
        </w:rPr>
        <w:t>振奋精神</w:t>
      </w:r>
      <w:r>
        <w:rPr>
          <w:rFonts w:ascii="Times New Roman" w:hAnsi="Times New Roman" w:cs="Times New Roman" w:eastAsia="Times New Roman" w:hint="default"/>
          <w:spacing w:val="-1"/>
        </w:rPr>
        <w:t>•</w:t>
      </w:r>
      <w:r>
        <w:rPr>
          <w:spacing w:val="-1"/>
        </w:rPr>
        <w:t>深化落地</w:t>
      </w:r>
      <w:r>
        <w:rPr>
          <w:rFonts w:ascii="Times New Roman" w:hAnsi="Times New Roman" w:cs="Times New Roman" w:eastAsia="Times New Roman" w:hint="default"/>
          <w:spacing w:val="-1"/>
        </w:rPr>
        <w:t>•</w:t>
      </w:r>
      <w:r>
        <w:rPr>
          <w:spacing w:val="-1"/>
        </w:rPr>
        <w:t>责任到位，高质量推动</w:t>
      </w:r>
      <w:r>
        <w:rPr>
          <w:rFonts w:ascii="Times New Roman" w:hAnsi="Times New Roman" w:cs="Times New Roman" w:eastAsia="Times New Roman" w:hint="default"/>
          <w:spacing w:val="-1"/>
        </w:rPr>
        <w:t>AI+</w:t>
      </w:r>
      <w:r>
        <w:rPr>
          <w:spacing w:val="-1"/>
        </w:rPr>
        <w:t>战略又好又快发展</w:t>
      </w:r>
      <w:r>
        <w:rPr>
          <w:rFonts w:ascii="Times New Roman" w:hAnsi="Times New Roman" w:cs="Times New Roman" w:eastAsia="Times New Roman" w:hint="default"/>
          <w:spacing w:val="-1"/>
        </w:rPr>
        <w:t>”</w:t>
      </w:r>
      <w:r>
        <w:rPr>
          <w:spacing w:val="-1"/>
        </w:rPr>
        <w:t>的年度发展主题，围绕</w:t>
      </w:r>
      <w:r>
        <w:rPr>
          <w:rFonts w:ascii="Times New Roman" w:hAnsi="Times New Roman" w:cs="Times New Roman" w:eastAsia="Times New Roman" w:hint="default"/>
          <w:spacing w:val="-1"/>
        </w:rPr>
        <w:t>“</w:t>
      </w:r>
      <w:r>
        <w:rPr>
          <w:spacing w:val="-1"/>
        </w:rPr>
        <w:t>智能终</w:t>
      </w:r>
      <w:r>
        <w:rPr/>
        <w:t> </w:t>
      </w:r>
      <w:r>
        <w:rPr>
          <w:spacing w:val="-2"/>
        </w:rPr>
        <w:t>端</w:t>
      </w:r>
      <w:r>
        <w:rPr>
          <w:rFonts w:ascii="Times New Roman" w:hAnsi="Times New Roman" w:cs="Times New Roman" w:eastAsia="Times New Roman" w:hint="default"/>
          <w:spacing w:val="-2"/>
        </w:rPr>
        <w:t>+</w:t>
      </w:r>
      <w:r>
        <w:rPr>
          <w:spacing w:val="-2"/>
        </w:rPr>
        <w:t>大数据</w:t>
      </w:r>
      <w:r>
        <w:rPr>
          <w:rFonts w:ascii="Times New Roman" w:hAnsi="Times New Roman" w:cs="Times New Roman" w:eastAsia="Times New Roman" w:hint="default"/>
          <w:spacing w:val="-2"/>
        </w:rPr>
        <w:t>”</w:t>
      </w:r>
      <w:r>
        <w:rPr>
          <w:spacing w:val="-2"/>
        </w:rPr>
        <w:t>产业核心，对标高质量发展要求，加快核心技术研发，深化人工智能技术应用和行业场景落地，公司整体经营状</w:t>
      </w:r>
      <w:r>
        <w:rPr>
          <w:spacing w:val="-67"/>
        </w:rPr>
        <w:t> </w:t>
      </w:r>
      <w:r>
        <w:rPr>
          <w:spacing w:val="-67"/>
        </w:rPr>
      </w:r>
      <w:r>
        <w:rPr/>
        <w:t>况保持稳健发展态势，实现营业收入</w:t>
      </w:r>
      <w:r>
        <w:rPr>
          <w:rFonts w:ascii="Times New Roman" w:hAnsi="Times New Roman" w:cs="Times New Roman" w:eastAsia="Times New Roman" w:hint="default"/>
        </w:rPr>
        <w:t>649,626.51</w:t>
      </w:r>
      <w:r>
        <w:rPr/>
        <w:t>万元，同比增长</w:t>
      </w:r>
      <w:r>
        <w:rPr>
          <w:rFonts w:ascii="Times New Roman" w:hAnsi="Times New Roman" w:cs="Times New Roman" w:eastAsia="Times New Roman" w:hint="default"/>
        </w:rPr>
        <w:t>19.00%</w:t>
      </w:r>
      <w:r>
        <w:rPr/>
        <w:t>；实现利润总额</w:t>
      </w:r>
      <w:r>
        <w:rPr>
          <w:rFonts w:ascii="Times New Roman" w:hAnsi="Times New Roman" w:cs="Times New Roman" w:eastAsia="Times New Roman" w:hint="default"/>
        </w:rPr>
        <w:t>103,395.05</w:t>
      </w:r>
      <w:r>
        <w:rPr/>
        <w:t>万元，同比增长</w:t>
      </w:r>
      <w:r>
        <w:rPr>
          <w:rFonts w:ascii="Times New Roman" w:hAnsi="Times New Roman" w:cs="Times New Roman" w:eastAsia="Times New Roman" w:hint="default"/>
        </w:rPr>
        <w:t>14.92%</w:t>
      </w:r>
      <w:r>
        <w:rPr/>
        <w:t>； 实现归属于上市公司股东的净利润</w:t>
      </w:r>
      <w:r>
        <w:rPr>
          <w:rFonts w:ascii="Times New Roman" w:hAnsi="Times New Roman" w:cs="Times New Roman" w:eastAsia="Times New Roman" w:hint="default"/>
        </w:rPr>
        <w:t>75,797.57</w:t>
      </w:r>
      <w:r>
        <w:rPr/>
        <w:t>万元，同比增长</w:t>
      </w:r>
      <w:r>
        <w:rPr>
          <w:rFonts w:ascii="Times New Roman" w:hAnsi="Times New Roman" w:cs="Times New Roman" w:eastAsia="Times New Roman" w:hint="default"/>
        </w:rPr>
        <w:t>13.08%</w:t>
      </w:r>
      <w:r>
        <w:rPr/>
        <w:t>；实现归属于上市公司股东的扣除非经常性损益的净利 润</w:t>
      </w:r>
      <w:r>
        <w:rPr>
          <w:rFonts w:ascii="Times New Roman" w:hAnsi="Times New Roman" w:cs="Times New Roman" w:eastAsia="Times New Roman" w:hint="default"/>
        </w:rPr>
        <w:t>64,018.33</w:t>
      </w:r>
      <w:r>
        <w:rPr/>
        <w:t>万元，同比增长</w:t>
      </w:r>
      <w:r>
        <w:rPr>
          <w:rFonts w:ascii="Times New Roman" w:hAnsi="Times New Roman" w:cs="Times New Roman" w:eastAsia="Times New Roman" w:hint="default"/>
        </w:rPr>
        <w:t>19.14%</w:t>
      </w:r>
      <w:r>
        <w:rPr/>
        <w:t>。</w:t>
      </w:r>
    </w:p>
    <w:p>
      <w:pPr>
        <w:spacing w:line="240" w:lineRule="auto" w:before="12"/>
        <w:rPr>
          <w:rFonts w:ascii="宋体" w:hAnsi="宋体" w:cs="宋体" w:eastAsia="宋体" w:hint="default"/>
          <w:sz w:val="12"/>
          <w:szCs w:val="12"/>
        </w:rPr>
      </w:pPr>
    </w:p>
    <w:p>
      <w:pPr>
        <w:pStyle w:val="BodyText"/>
        <w:spacing w:line="300" w:lineRule="auto"/>
        <w:ind w:right="1041" w:firstLine="360"/>
        <w:jc w:val="left"/>
      </w:pPr>
      <w:r>
        <w:rPr>
          <w:spacing w:val="-2"/>
        </w:rPr>
        <w:t>报告期内，公司成功上榜</w:t>
      </w:r>
      <w:r>
        <w:rPr>
          <w:rFonts w:ascii="Times New Roman" w:hAnsi="Times New Roman" w:cs="Times New Roman" w:eastAsia="Times New Roman" w:hint="default"/>
          <w:spacing w:val="-2"/>
        </w:rPr>
        <w:t>2019</w:t>
      </w:r>
      <w:r>
        <w:rPr>
          <w:spacing w:val="-2"/>
        </w:rPr>
        <w:t>年人工智能未来企业</w:t>
      </w:r>
      <w:r>
        <w:rPr>
          <w:rFonts w:ascii="Times New Roman" w:hAnsi="Times New Roman" w:cs="Times New Roman" w:eastAsia="Times New Roman" w:hint="default"/>
          <w:spacing w:val="-2"/>
        </w:rPr>
        <w:t>TOP100</w:t>
      </w:r>
      <w:r>
        <w:rPr>
          <w:spacing w:val="-2"/>
        </w:rPr>
        <w:t>排行榜（第</w:t>
      </w:r>
      <w:r>
        <w:rPr>
          <w:rFonts w:ascii="Times New Roman" w:hAnsi="Times New Roman" w:cs="Times New Roman" w:eastAsia="Times New Roman" w:hint="default"/>
          <w:spacing w:val="-2"/>
        </w:rPr>
        <w:t>41</w:t>
      </w:r>
      <w:r>
        <w:rPr>
          <w:spacing w:val="-2"/>
        </w:rPr>
        <w:t>位），入围软件和信息服务业综合竞争力百强，</w:t>
      </w:r>
      <w:r>
        <w:rPr/>
        <w:t> 并获得广东省政府质量奖等荣誉。公司和子公司信义科技双双通过国际软件业最权威的评估认证体系</w:t>
      </w:r>
      <w:r>
        <w:rPr>
          <w:rFonts w:ascii="Times New Roman" w:hAnsi="Times New Roman" w:cs="Times New Roman" w:eastAsia="Times New Roman" w:hint="default"/>
        </w:rPr>
        <w:t>CMMI-5</w:t>
      </w:r>
      <w:r>
        <w:rPr/>
        <w:t>级认证。</w:t>
      </w:r>
    </w:p>
    <w:p>
      <w:pPr>
        <w:spacing w:line="468" w:lineRule="exact" w:before="5"/>
        <w:ind w:left="472" w:right="1036" w:firstLine="0"/>
        <w:jc w:val="left"/>
        <w:rPr>
          <w:rFonts w:ascii="宋体" w:hAnsi="宋体" w:cs="宋体" w:eastAsia="宋体" w:hint="default"/>
          <w:sz w:val="18"/>
          <w:szCs w:val="18"/>
        </w:rPr>
      </w:pPr>
      <w:r>
        <w:rPr>
          <w:rFonts w:ascii="宋体" w:hAnsi="宋体" w:cs="宋体" w:eastAsia="宋体" w:hint="default"/>
          <w:b/>
          <w:bCs/>
          <w:sz w:val="18"/>
          <w:szCs w:val="18"/>
        </w:rPr>
        <w:t>（一）</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智能终端</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大数据</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实现商业价值闭环，持续构建</w:t>
      </w:r>
      <w:r>
        <w:rPr>
          <w:rFonts w:ascii="Times New Roman" w:hAnsi="Times New Roman" w:cs="Times New Roman" w:eastAsia="Times New Roman" w:hint="default"/>
          <w:b/>
          <w:bCs/>
          <w:sz w:val="18"/>
          <w:szCs w:val="18"/>
        </w:rPr>
        <w:t>AIOT</w:t>
      </w:r>
      <w:r>
        <w:rPr>
          <w:rFonts w:ascii="宋体" w:hAnsi="宋体" w:cs="宋体" w:eastAsia="宋体" w:hint="default"/>
          <w:b/>
          <w:bCs/>
          <w:sz w:val="18"/>
          <w:szCs w:val="18"/>
        </w:rPr>
        <w:t>生态</w:t>
      </w:r>
      <w:r>
        <w:rPr>
          <w:rFonts w:ascii="宋体" w:hAnsi="宋体" w:cs="宋体" w:eastAsia="宋体" w:hint="default"/>
          <w:b/>
          <w:bCs/>
          <w:w w:val="99"/>
          <w:sz w:val="18"/>
          <w:szCs w:val="18"/>
        </w:rPr>
        <w:t> </w:t>
      </w:r>
      <w:r>
        <w:rPr>
          <w:rFonts w:ascii="宋体" w:hAnsi="宋体" w:cs="宋体" w:eastAsia="宋体" w:hint="default"/>
          <w:spacing w:val="-3"/>
          <w:w w:val="99"/>
          <w:sz w:val="18"/>
          <w:szCs w:val="18"/>
        </w:rPr>
        <w:t>广电运通围绕</w:t>
      </w:r>
      <w:r>
        <w:rPr>
          <w:rFonts w:ascii="Times New Roman" w:hAnsi="Times New Roman" w:cs="Times New Roman" w:eastAsia="Times New Roman" w:hint="default"/>
          <w:spacing w:val="-3"/>
          <w:w w:val="99"/>
          <w:sz w:val="18"/>
          <w:szCs w:val="18"/>
        </w:rPr>
        <w:t>“</w:t>
      </w:r>
      <w:r>
        <w:rPr>
          <w:rFonts w:ascii="宋体" w:hAnsi="宋体" w:cs="宋体" w:eastAsia="宋体" w:hint="default"/>
          <w:spacing w:val="-3"/>
          <w:w w:val="99"/>
          <w:sz w:val="18"/>
          <w:szCs w:val="18"/>
        </w:rPr>
        <w:t>致力于成为领先的行业人工智能解决方案提供商</w:t>
      </w:r>
      <w:r>
        <w:rPr>
          <w:rFonts w:ascii="Times New Roman" w:hAnsi="Times New Roman" w:cs="Times New Roman" w:eastAsia="Times New Roman" w:hint="default"/>
          <w:spacing w:val="-3"/>
          <w:w w:val="99"/>
          <w:sz w:val="18"/>
          <w:szCs w:val="18"/>
        </w:rPr>
        <w:t>”</w:t>
      </w:r>
      <w:r>
        <w:rPr>
          <w:rFonts w:ascii="宋体" w:hAnsi="宋体" w:cs="宋体" w:eastAsia="宋体" w:hint="default"/>
          <w:spacing w:val="-3"/>
          <w:w w:val="99"/>
          <w:sz w:val="18"/>
          <w:szCs w:val="18"/>
        </w:rPr>
        <w:t>的企业愿景，确定以智能终端为载体，以大数据做催化，</w:t>
      </w:r>
    </w:p>
    <w:p>
      <w:pPr>
        <w:pStyle w:val="BodyText"/>
        <w:spacing w:line="316" w:lineRule="auto" w:before="8"/>
        <w:ind w:right="0"/>
        <w:jc w:val="left"/>
      </w:pPr>
      <w:r>
        <w:rPr>
          <w:spacing w:val="-2"/>
        </w:rPr>
        <w:t>以行业应用场景建设为路径的战略方向，通过科研突破找到具有核心竞争力的、可广泛销售的硬科技产品和解决方案，为全</w:t>
      </w:r>
      <w:r>
        <w:rPr>
          <w:spacing w:val="-65"/>
        </w:rPr>
        <w:t> </w:t>
      </w:r>
      <w:r>
        <w:rPr>
          <w:spacing w:val="-65"/>
        </w:rPr>
      </w:r>
      <w:r>
        <w:rPr/>
        <w:t>面推动</w:t>
      </w:r>
      <w:r>
        <w:rPr>
          <w:rFonts w:ascii="Times New Roman" w:hAnsi="Times New Roman" w:cs="Times New Roman" w:eastAsia="Times New Roman" w:hint="default"/>
        </w:rPr>
        <w:t>AIOT</w:t>
      </w:r>
      <w:r>
        <w:rPr/>
        <w:t>高质量协同发展奠定基础。</w:t>
      </w:r>
    </w:p>
    <w:p>
      <w:pPr>
        <w:pStyle w:val="BodyText"/>
        <w:spacing w:line="316" w:lineRule="auto" w:before="155"/>
        <w:ind w:right="0" w:firstLine="360"/>
        <w:jc w:val="left"/>
      </w:pPr>
      <w:r>
        <w:rPr>
          <w:spacing w:val="-4"/>
        </w:rPr>
        <w:t>第一、持续优化产业结构，以智能金融为核心，深入拓展智能安全、智能交通、智能便民三大跑道，加速行业应用落地，</w:t>
      </w:r>
      <w:r>
        <w:rPr/>
        <w:t> 提升公司核心竞争力。</w:t>
      </w:r>
    </w:p>
    <w:p>
      <w:pPr>
        <w:spacing w:line="240" w:lineRule="auto" w:before="5"/>
        <w:rPr>
          <w:rFonts w:ascii="宋体" w:hAnsi="宋体" w:cs="宋体" w:eastAsia="宋体" w:hint="default"/>
          <w:sz w:val="13"/>
          <w:szCs w:val="13"/>
        </w:rPr>
      </w:pPr>
    </w:p>
    <w:p>
      <w:pPr>
        <w:pStyle w:val="BodyText"/>
        <w:spacing w:line="316" w:lineRule="auto"/>
        <w:ind w:right="0" w:firstLine="360"/>
        <w:jc w:val="left"/>
      </w:pPr>
      <w:r>
        <w:rPr>
          <w:spacing w:val="-2"/>
        </w:rPr>
        <w:t>第二、完善高质量的协同体系，确立研发、智造、管理以及国际化的支撑组织体系，提升全产业链协同能力，成为支撑</w:t>
      </w:r>
      <w:r>
        <w:rPr/>
        <w:t> 业务发展的</w:t>
      </w:r>
      <w:r>
        <w:rPr>
          <w:rFonts w:ascii="Times New Roman" w:hAnsi="Times New Roman" w:cs="Times New Roman" w:eastAsia="Times New Roman" w:hint="default"/>
        </w:rPr>
        <w:t>“</w:t>
      </w:r>
      <w:r>
        <w:rPr/>
        <w:t>助推器</w:t>
      </w:r>
      <w:r>
        <w:rPr>
          <w:rFonts w:ascii="Times New Roman" w:hAnsi="Times New Roman" w:cs="Times New Roman" w:eastAsia="Times New Roman" w:hint="default"/>
        </w:rPr>
        <w:t>”</w:t>
      </w:r>
      <w:r>
        <w:rPr/>
        <w:t>，夯实下一轮高质量发展的基础。</w:t>
      </w:r>
    </w:p>
    <w:p>
      <w:pPr>
        <w:pStyle w:val="BodyText"/>
        <w:spacing w:line="316" w:lineRule="auto" w:before="155"/>
        <w:ind w:right="0" w:firstLine="360"/>
        <w:jc w:val="left"/>
      </w:pPr>
      <w:r>
        <w:rPr>
          <w:spacing w:val="-2"/>
        </w:rPr>
        <w:t>第三、产业与资本双轮驱动，完善多层次资本运作体系，灵活应用投资并购、股权融资、分拆上市、资产重组等多种手</w:t>
      </w:r>
      <w:r>
        <w:rPr/>
        <w:t> 段，做好顶层规划与设计，提高市值管理能力，强化人工智能品牌形象和影响力。</w:t>
      </w:r>
    </w:p>
    <w:p>
      <w:pPr>
        <w:spacing w:line="240" w:lineRule="auto" w:before="5"/>
        <w:rPr>
          <w:rFonts w:ascii="宋体" w:hAnsi="宋体" w:cs="宋体" w:eastAsia="宋体" w:hint="default"/>
          <w:sz w:val="13"/>
          <w:szCs w:val="13"/>
        </w:rPr>
      </w:pPr>
    </w:p>
    <w:p>
      <w:pPr>
        <w:pStyle w:val="Heading6"/>
        <w:spacing w:line="240" w:lineRule="auto"/>
        <w:ind w:right="1394"/>
        <w:jc w:val="left"/>
        <w:rPr>
          <w:b w:val="0"/>
          <w:bCs w:val="0"/>
        </w:rPr>
      </w:pPr>
      <w:r>
        <w:rPr/>
        <w:t>（二）各事业群协同并进，全方位增强发展引擎</w:t>
      </w:r>
      <w:r>
        <w:rPr>
          <w:b w:val="0"/>
          <w:bCs w:val="0"/>
        </w:rPr>
      </w:r>
    </w:p>
    <w:p>
      <w:pPr>
        <w:spacing w:line="240" w:lineRule="auto" w:before="10"/>
        <w:rPr>
          <w:rFonts w:ascii="宋体" w:hAnsi="宋体" w:cs="宋体" w:eastAsia="宋体" w:hint="default"/>
          <w:b/>
          <w:bCs/>
          <w:sz w:val="17"/>
          <w:szCs w:val="17"/>
        </w:rPr>
      </w:pPr>
    </w:p>
    <w:p>
      <w:pPr>
        <w:pStyle w:val="Heading6"/>
        <w:spacing w:line="240" w:lineRule="auto"/>
        <w:ind w:right="1394"/>
        <w:jc w:val="left"/>
        <w:rPr>
          <w:b w:val="0"/>
          <w:bCs w:val="0"/>
        </w:rPr>
      </w:pPr>
      <w:r>
        <w:rPr>
          <w:rFonts w:ascii="Times New Roman" w:hAnsi="Times New Roman" w:cs="Times New Roman" w:eastAsia="Times New Roman" w:hint="default"/>
        </w:rPr>
        <w:t>1</w:t>
      </w:r>
      <w:r>
        <w:rPr/>
        <w:t>、智能金融事业群</w:t>
      </w:r>
      <w:r>
        <w:rPr>
          <w:b w:val="0"/>
          <w:bCs w:val="0"/>
        </w:rPr>
      </w:r>
    </w:p>
    <w:p>
      <w:pPr>
        <w:spacing w:line="240" w:lineRule="auto" w:before="9"/>
        <w:rPr>
          <w:rFonts w:ascii="宋体" w:hAnsi="宋体" w:cs="宋体" w:eastAsia="宋体" w:hint="default"/>
          <w:b/>
          <w:bCs/>
          <w:sz w:val="16"/>
          <w:szCs w:val="16"/>
        </w:rPr>
      </w:pPr>
    </w:p>
    <w:p>
      <w:pPr>
        <w:pStyle w:val="BodyText"/>
        <w:spacing w:line="240" w:lineRule="auto"/>
        <w:ind w:left="472" w:right="1394"/>
        <w:jc w:val="left"/>
      </w:pPr>
      <w:r>
        <w:rPr/>
        <w:t>（</w:t>
      </w:r>
      <w:r>
        <w:rPr>
          <w:rFonts w:ascii="Times New Roman" w:hAnsi="Times New Roman" w:cs="Times New Roman" w:eastAsia="Times New Roman" w:hint="default"/>
        </w:rPr>
        <w:t>1</w:t>
      </w:r>
      <w:r>
        <w:rPr/>
        <w:t>）协同创新，场景赋能，聚焦</w:t>
      </w:r>
      <w:r>
        <w:rPr>
          <w:rFonts w:ascii="Times New Roman" w:hAnsi="Times New Roman" w:cs="Times New Roman" w:eastAsia="Times New Roman" w:hint="default"/>
        </w:rPr>
        <w:t>“</w:t>
      </w:r>
      <w:r>
        <w:rPr/>
        <w:t>银行前台</w:t>
      </w:r>
      <w:r>
        <w:rPr>
          <w:rFonts w:ascii="Times New Roman" w:hAnsi="Times New Roman" w:cs="Times New Roman" w:eastAsia="Times New Roman" w:hint="default"/>
        </w:rPr>
        <w:t>”</w:t>
      </w:r>
      <w:r>
        <w:rPr/>
        <w:t>的金融科技公司</w:t>
      </w:r>
    </w:p>
    <w:p>
      <w:pPr>
        <w:spacing w:line="240" w:lineRule="auto" w:before="9"/>
        <w:rPr>
          <w:rFonts w:ascii="宋体" w:hAnsi="宋体" w:cs="宋体" w:eastAsia="宋体" w:hint="default"/>
          <w:sz w:val="16"/>
          <w:szCs w:val="16"/>
        </w:rPr>
      </w:pPr>
    </w:p>
    <w:p>
      <w:pPr>
        <w:pStyle w:val="BodyText"/>
        <w:spacing w:line="307" w:lineRule="auto"/>
        <w:ind w:right="1132" w:firstLine="360"/>
        <w:jc w:val="both"/>
      </w:pPr>
      <w:r>
        <w:rPr>
          <w:rFonts w:ascii="Times New Roman" w:hAnsi="Times New Roman" w:cs="Times New Roman" w:eastAsia="Times New Roman" w:hint="default"/>
          <w:spacing w:val="-2"/>
        </w:rPr>
        <w:t>2019</w:t>
      </w:r>
      <w:r>
        <w:rPr>
          <w:spacing w:val="-2"/>
        </w:rPr>
        <w:t>年，公司以金融科技服务银行网点智能化升级，客户覆盖国内外银行及泛金融客户，借助生物识别技术智慧识别客</w:t>
      </w:r>
      <w:r>
        <w:rPr/>
        <w:t> </w:t>
      </w:r>
      <w:r>
        <w:rPr>
          <w:spacing w:val="-2"/>
        </w:rPr>
        <w:t>户身份、智能终端保障无人自助服务、大数据技术实现客户精准营销，以银行实体渠道场景为基础，覆盖银行前台业务及泛</w:t>
      </w:r>
      <w:r>
        <w:rPr>
          <w:spacing w:val="-66"/>
        </w:rPr>
        <w:t> </w:t>
      </w:r>
      <w:r>
        <w:rPr>
          <w:spacing w:val="-66"/>
        </w:rPr>
      </w:r>
      <w:r>
        <w:rPr>
          <w:spacing w:val="-2"/>
        </w:rPr>
        <w:t>金融业务场景，实现技术研发、设备智造、营销销售、集成实施和售后维保的产业链业务。公司连续</w:t>
      </w:r>
      <w:r>
        <w:rPr>
          <w:rFonts w:ascii="Times New Roman" w:hAnsi="Times New Roman" w:cs="Times New Roman" w:eastAsia="Times New Roman" w:hint="default"/>
          <w:spacing w:val="-2"/>
        </w:rPr>
        <w:t>12</w:t>
      </w:r>
      <w:r>
        <w:rPr>
          <w:spacing w:val="-2"/>
        </w:rPr>
        <w:t>年位居国内现金智能</w:t>
      </w:r>
      <w:r>
        <w:rPr>
          <w:spacing w:val="-64"/>
        </w:rPr>
        <w:t> </w:t>
      </w:r>
      <w:r>
        <w:rPr/>
        <w:t>设备市场占有率第一，重点产品线在六大行招标中取得全面突破。</w:t>
      </w:r>
    </w:p>
    <w:p>
      <w:pPr>
        <w:spacing w:line="240" w:lineRule="auto" w:before="12"/>
        <w:rPr>
          <w:rFonts w:ascii="宋体" w:hAnsi="宋体" w:cs="宋体" w:eastAsia="宋体" w:hint="default"/>
          <w:sz w:val="13"/>
          <w:szCs w:val="13"/>
        </w:rPr>
      </w:pPr>
    </w:p>
    <w:p>
      <w:pPr>
        <w:pStyle w:val="BodyText"/>
        <w:spacing w:line="300" w:lineRule="auto"/>
        <w:ind w:right="1132" w:firstLine="360"/>
        <w:jc w:val="both"/>
      </w:pPr>
      <w:r>
        <w:rPr>
          <w:spacing w:val="-1"/>
        </w:rPr>
        <w:t>根据中国银行业协会发布的《中国银行业服务报告》显示，近三年全国银行网点数量稳定维持在</w:t>
      </w:r>
      <w:r>
        <w:rPr>
          <w:rFonts w:ascii="Times New Roman" w:hAnsi="Times New Roman" w:cs="Times New Roman" w:eastAsia="Times New Roman" w:hint="default"/>
          <w:spacing w:val="-1"/>
        </w:rPr>
        <w:t>22.8</w:t>
      </w:r>
      <w:r>
        <w:rPr>
          <w:spacing w:val="-1"/>
        </w:rPr>
        <w:t>万个左右。虽然银</w:t>
      </w:r>
      <w:r>
        <w:rPr/>
        <w:t> </w:t>
      </w:r>
      <w:r>
        <w:rPr>
          <w:spacing w:val="-2"/>
        </w:rPr>
        <w:t>行网点在绝对值增长上放缓，但各类网点的升级改造需求已开始爆发。</w:t>
      </w:r>
      <w:r>
        <w:rPr>
          <w:rFonts w:ascii="Times New Roman" w:hAnsi="Times New Roman" w:cs="Times New Roman" w:eastAsia="Times New Roman" w:hint="default"/>
          <w:spacing w:val="-2"/>
        </w:rPr>
        <w:t>2019</w:t>
      </w:r>
      <w:r>
        <w:rPr>
          <w:spacing w:val="-2"/>
        </w:rPr>
        <w:t>年公司在保持现有产品线市场稳定的基础上，结</w:t>
      </w:r>
      <w:r>
        <w:rPr>
          <w:spacing w:val="-63"/>
        </w:rPr>
        <w:t> </w:t>
      </w:r>
      <w:r>
        <w:rPr>
          <w:spacing w:val="-63"/>
        </w:rPr>
      </w:r>
      <w:r>
        <w:rPr/>
        <w:t>合银行金融科技典型应用及公司相关技术储备，围绕分布式账本、大数据应用、数字货币、信创产品等进行布局。</w:t>
      </w:r>
    </w:p>
    <w:p>
      <w:pPr>
        <w:spacing w:line="240" w:lineRule="auto" w:before="4"/>
        <w:rPr>
          <w:rFonts w:ascii="宋体" w:hAnsi="宋体" w:cs="宋体" w:eastAsia="宋体" w:hint="default"/>
          <w:sz w:val="14"/>
          <w:szCs w:val="14"/>
        </w:rPr>
      </w:pPr>
    </w:p>
    <w:p>
      <w:pPr>
        <w:pStyle w:val="BodyText"/>
        <w:spacing w:line="312" w:lineRule="auto"/>
        <w:ind w:right="0" w:firstLine="360"/>
        <w:jc w:val="left"/>
      </w:pPr>
      <w:r>
        <w:rPr>
          <w:spacing w:val="-4"/>
        </w:rPr>
        <w:t>中国银行业协会数据显示，客户业务办理多向移动设备和智能终端转移。广电运通新一代网点智能设备靓丽登场。其中：</w:t>
      </w:r>
      <w:r>
        <w:rPr/>
        <w:t> </w:t>
      </w:r>
      <w:r>
        <w:rPr>
          <w:spacing w:val="-2"/>
        </w:rPr>
        <w:t>大额存取款机中标中、农、建、邮政四大行，</w:t>
      </w:r>
      <w:r>
        <w:rPr>
          <w:rFonts w:ascii="Times New Roman" w:hAnsi="Times New Roman" w:cs="Times New Roman" w:eastAsia="Times New Roman" w:hint="default"/>
          <w:spacing w:val="-2"/>
        </w:rPr>
        <w:t>2019</w:t>
      </w:r>
      <w:r>
        <w:rPr>
          <w:spacing w:val="-2"/>
        </w:rPr>
        <w:t>年年底出货增长快速；智能柜台、智慧柜员机、现金票据一体机、对公设</w:t>
      </w:r>
      <w:r>
        <w:rPr>
          <w:spacing w:val="-64"/>
        </w:rPr>
        <w:t> </w:t>
      </w:r>
      <w:r>
        <w:rPr>
          <w:spacing w:val="-64"/>
        </w:rPr>
      </w:r>
      <w:r>
        <w:rPr>
          <w:spacing w:val="-4"/>
        </w:rPr>
        <w:t>备、外币兑换机等智能设备林立，生物识别、语音识别等技术得到广泛应用，实现了对客户身份识别与网点设备的智慧联动，</w:t>
      </w:r>
      <w:r>
        <w:rPr>
          <w:spacing w:val="-43"/>
        </w:rPr>
        <w:t> </w:t>
      </w:r>
      <w:r>
        <w:rPr>
          <w:spacing w:val="-43"/>
        </w:rPr>
      </w:r>
      <w:r>
        <w:rPr/>
        <w:t>为用户呈现了以智慧、共享、体验、创新为特征的全自助智能服务平台。</w:t>
      </w:r>
    </w:p>
    <w:p>
      <w:pPr>
        <w:spacing w:after="0" w:line="312" w:lineRule="auto"/>
        <w:jc w:val="left"/>
        <w:sectPr>
          <w:pgSz w:w="11910" w:h="16840"/>
          <w:pgMar w:header="878" w:footer="978" w:top="1100" w:bottom="1160" w:left="1020" w:right="0"/>
        </w:sectPr>
      </w:pPr>
    </w:p>
    <w:p>
      <w:pPr>
        <w:spacing w:line="240" w:lineRule="auto" w:before="1"/>
        <w:rPr>
          <w:rFonts w:ascii="宋体" w:hAnsi="宋体" w:cs="宋体" w:eastAsia="宋体" w:hint="default"/>
          <w:sz w:val="22"/>
          <w:szCs w:val="22"/>
        </w:rPr>
      </w:pPr>
    </w:p>
    <w:p>
      <w:pPr>
        <w:pStyle w:val="BodyText"/>
        <w:spacing w:line="304" w:lineRule="auto" w:before="44"/>
        <w:ind w:right="1132" w:firstLine="360"/>
        <w:jc w:val="both"/>
      </w:pPr>
      <w:r>
        <w:rPr>
          <w:spacing w:val="-2"/>
        </w:rPr>
        <w:t>报告期内，公司不仅保持传统产品领先优势，还形成了金融太空舱、单人加钞（钞箱智能物联）、网点物联网总控及实</w:t>
      </w:r>
      <w:r>
        <w:rPr/>
        <w:t> 物自动盘点等创新产品方案，推动金融科技相关创新产品落地及规模化应用。公司与建信金科共建</w:t>
      </w:r>
      <w:r>
        <w:rPr>
          <w:rFonts w:ascii="Times New Roman" w:hAnsi="Times New Roman" w:cs="Times New Roman" w:eastAsia="Times New Roman" w:hint="default"/>
        </w:rPr>
        <w:t>“</w:t>
      </w:r>
      <w:r>
        <w:rPr/>
        <w:t>智能硬件联合创新实验 </w:t>
      </w:r>
      <w:r>
        <w:rPr>
          <w:spacing w:val="-2"/>
        </w:rPr>
        <w:t>室</w:t>
      </w:r>
      <w:r>
        <w:rPr>
          <w:rFonts w:ascii="Times New Roman" w:hAnsi="Times New Roman" w:cs="Times New Roman" w:eastAsia="Times New Roman" w:hint="default"/>
          <w:spacing w:val="-2"/>
        </w:rPr>
        <w:t>”</w:t>
      </w:r>
      <w:r>
        <w:rPr>
          <w:spacing w:val="-2"/>
        </w:rPr>
        <w:t>，与工商银行共建</w:t>
      </w:r>
      <w:r>
        <w:rPr>
          <w:rFonts w:ascii="Times New Roman" w:hAnsi="Times New Roman" w:cs="Times New Roman" w:eastAsia="Times New Roman" w:hint="default"/>
          <w:spacing w:val="-2"/>
        </w:rPr>
        <w:t>“</w:t>
      </w:r>
      <w:r>
        <w:rPr>
          <w:spacing w:val="-2"/>
        </w:rPr>
        <w:t>智慧网点联合创新实验室</w:t>
      </w:r>
      <w:r>
        <w:rPr>
          <w:rFonts w:ascii="Times New Roman" w:hAnsi="Times New Roman" w:cs="Times New Roman" w:eastAsia="Times New Roman" w:hint="default"/>
          <w:spacing w:val="-2"/>
        </w:rPr>
        <w:t>”</w:t>
      </w:r>
      <w:r>
        <w:rPr>
          <w:spacing w:val="-2"/>
        </w:rPr>
        <w:t>，与广东建行、广东移动、（中移）上海产业研究院及华为共建</w:t>
      </w:r>
      <w:r>
        <w:rPr>
          <w:rFonts w:ascii="Times New Roman" w:hAnsi="Times New Roman" w:cs="Times New Roman" w:eastAsia="Times New Roman" w:hint="default"/>
          <w:spacing w:val="-2"/>
        </w:rPr>
        <w:t>“5G</w:t>
      </w:r>
      <w:r>
        <w:rPr>
          <w:spacing w:val="-2"/>
        </w:rPr>
        <w:t>智慧金</w:t>
      </w:r>
      <w:r>
        <w:rPr>
          <w:spacing w:val="-63"/>
        </w:rPr>
        <w:t> </w:t>
      </w:r>
      <w:r>
        <w:rPr>
          <w:spacing w:val="-1"/>
        </w:rPr>
        <w:t>融创新研究院</w:t>
      </w:r>
      <w:r>
        <w:rPr>
          <w:rFonts w:ascii="Times New Roman" w:hAnsi="Times New Roman" w:cs="Times New Roman" w:eastAsia="Times New Roman" w:hint="default"/>
          <w:spacing w:val="-1"/>
        </w:rPr>
        <w:t>”</w:t>
      </w:r>
      <w:r>
        <w:rPr>
          <w:spacing w:val="-1"/>
        </w:rPr>
        <w:t>，共同推动银行网点转型及金融科技创新发展，打造了</w:t>
      </w:r>
      <w:r>
        <w:rPr>
          <w:rFonts w:ascii="Times New Roman" w:hAnsi="Times New Roman" w:cs="Times New Roman" w:eastAsia="Times New Roman" w:hint="default"/>
          <w:spacing w:val="-1"/>
        </w:rPr>
        <w:t>5G</w:t>
      </w:r>
      <w:r>
        <w:rPr>
          <w:spacing w:val="-1"/>
        </w:rPr>
        <w:t>银行、无高柜银行等主题银行，帮助银行实现金库</w:t>
      </w:r>
      <w:r>
        <w:rPr>
          <w:spacing w:val="-59"/>
        </w:rPr>
        <w:t> </w:t>
      </w:r>
      <w:r>
        <w:rPr>
          <w:spacing w:val="-59"/>
        </w:rPr>
      </w:r>
      <w:r>
        <w:rPr/>
        <w:t>现金智能化入库、清点、出库及机器人查库、钞箱或尾箱的自动跟踪和监控等。</w:t>
      </w:r>
    </w:p>
    <w:p>
      <w:pPr>
        <w:spacing w:line="240" w:lineRule="auto" w:before="1"/>
        <w:rPr>
          <w:rFonts w:ascii="宋体" w:hAnsi="宋体" w:cs="宋体" w:eastAsia="宋体" w:hint="default"/>
          <w:sz w:val="14"/>
          <w:szCs w:val="14"/>
        </w:rPr>
      </w:pPr>
    </w:p>
    <w:p>
      <w:pPr>
        <w:pStyle w:val="BodyText"/>
        <w:spacing w:line="300" w:lineRule="auto"/>
        <w:ind w:right="0" w:firstLine="360"/>
        <w:jc w:val="left"/>
      </w:pP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9</w:t>
      </w:r>
      <w:r>
        <w:rPr>
          <w:spacing w:val="-2"/>
        </w:rPr>
        <w:t>月，广电运通与建行打造了国内首个</w:t>
      </w:r>
      <w:r>
        <w:rPr>
          <w:rFonts w:ascii="Times New Roman" w:hAnsi="Times New Roman" w:cs="Times New Roman" w:eastAsia="Times New Roman" w:hint="default"/>
          <w:spacing w:val="-2"/>
        </w:rPr>
        <w:t>“</w:t>
      </w:r>
      <w:r>
        <w:rPr>
          <w:spacing w:val="-2"/>
        </w:rPr>
        <w:t>移动式金融服务舱</w:t>
      </w:r>
      <w:r>
        <w:rPr>
          <w:rFonts w:ascii="Times New Roman" w:hAnsi="Times New Roman" w:cs="Times New Roman" w:eastAsia="Times New Roman" w:hint="default"/>
          <w:spacing w:val="-2"/>
        </w:rPr>
        <w:t>•5G</w:t>
      </w:r>
      <w:r>
        <w:rPr>
          <w:spacing w:val="-2"/>
        </w:rPr>
        <w:t>智慧政务小屋</w:t>
      </w:r>
      <w:r>
        <w:rPr>
          <w:rFonts w:ascii="Times New Roman" w:hAnsi="Times New Roman" w:cs="Times New Roman" w:eastAsia="Times New Roman" w:hint="default"/>
          <w:spacing w:val="-2"/>
        </w:rPr>
        <w:t>”</w:t>
      </w:r>
      <w:r>
        <w:rPr>
          <w:spacing w:val="-2"/>
        </w:rPr>
        <w:t>，打造移动金融新场景，延伸政务新</w:t>
      </w:r>
      <w:r>
        <w:rPr/>
        <w:t> </w:t>
      </w:r>
      <w:r>
        <w:rPr>
          <w:spacing w:val="-4"/>
        </w:rPr>
        <w:t>服务，可同时办理金融业务和政务便民服务，真正做到一站式融合，便民惠民。未来沿着</w:t>
      </w:r>
      <w:r>
        <w:rPr>
          <w:rFonts w:ascii="Times New Roman" w:hAnsi="Times New Roman" w:cs="Times New Roman" w:eastAsia="Times New Roman" w:hint="default"/>
          <w:spacing w:val="-4"/>
        </w:rPr>
        <w:t>“</w:t>
      </w:r>
      <w:r>
        <w:rPr>
          <w:spacing w:val="-4"/>
        </w:rPr>
        <w:t>金融</w:t>
      </w:r>
      <w:r>
        <w:rPr>
          <w:rFonts w:ascii="Times New Roman" w:hAnsi="Times New Roman" w:cs="Times New Roman" w:eastAsia="Times New Roman" w:hint="default"/>
          <w:spacing w:val="-4"/>
        </w:rPr>
        <w:t>+</w:t>
      </w:r>
      <w:r>
        <w:rPr>
          <w:spacing w:val="-4"/>
        </w:rPr>
        <w:t>政务</w:t>
      </w:r>
      <w:r>
        <w:rPr>
          <w:rFonts w:ascii="Times New Roman" w:hAnsi="Times New Roman" w:cs="Times New Roman" w:eastAsia="Times New Roman" w:hint="default"/>
          <w:spacing w:val="-4"/>
        </w:rPr>
        <w:t>+</w:t>
      </w:r>
      <w:r>
        <w:rPr>
          <w:spacing w:val="-4"/>
        </w:rPr>
        <w:t>警务</w:t>
      </w:r>
      <w:r>
        <w:rPr>
          <w:rFonts w:ascii="Times New Roman" w:hAnsi="Times New Roman" w:cs="Times New Roman" w:eastAsia="Times New Roman" w:hint="default"/>
          <w:spacing w:val="-4"/>
        </w:rPr>
        <w:t>”</w:t>
      </w:r>
      <w:r>
        <w:rPr>
          <w:spacing w:val="-4"/>
        </w:rPr>
        <w:t>等方向跨界融合，</w:t>
      </w:r>
      <w:r>
        <w:rPr>
          <w:spacing w:val="-40"/>
        </w:rPr>
        <w:t> </w:t>
      </w:r>
      <w:r>
        <w:rPr>
          <w:spacing w:val="-2"/>
        </w:rPr>
        <w:t>银行网点可转变为能承载政务、房贷、警务等其它领域功能的综合性服务平台，而广电运通将充分发挥</w:t>
      </w:r>
      <w:r>
        <w:rPr>
          <w:rFonts w:ascii="Times New Roman" w:hAnsi="Times New Roman" w:cs="Times New Roman" w:eastAsia="Times New Roman" w:hint="default"/>
          <w:spacing w:val="-2"/>
        </w:rPr>
        <w:t>“AI+</w:t>
      </w:r>
      <w:r>
        <w:rPr>
          <w:spacing w:val="-2"/>
        </w:rPr>
        <w:t>应用场景</w:t>
      </w:r>
      <w:r>
        <w:rPr>
          <w:rFonts w:ascii="Times New Roman" w:hAnsi="Times New Roman" w:cs="Times New Roman" w:eastAsia="Times New Roman" w:hint="default"/>
          <w:spacing w:val="-2"/>
        </w:rPr>
        <w:t>”</w:t>
      </w:r>
      <w:r>
        <w:rPr>
          <w:spacing w:val="-2"/>
        </w:rPr>
        <w:t>优势，</w:t>
      </w:r>
      <w:r>
        <w:rPr>
          <w:spacing w:val="-62"/>
        </w:rPr>
        <w:t> </w:t>
      </w:r>
      <w:r>
        <w:rPr/>
        <w:t>深度参与银行网点转型和金融科技创新，将会有更多激动人心的场景与生态诞生。</w:t>
      </w:r>
    </w:p>
    <w:p>
      <w:pPr>
        <w:pStyle w:val="BodyText"/>
        <w:spacing w:line="468" w:lineRule="exact" w:before="23"/>
        <w:ind w:left="472" w:right="0"/>
        <w:jc w:val="left"/>
      </w:pPr>
      <w:r>
        <w:rPr/>
        <w:t>（</w:t>
      </w:r>
      <w:r>
        <w:rPr>
          <w:rFonts w:ascii="Times New Roman" w:hAnsi="Times New Roman" w:cs="Times New Roman" w:eastAsia="Times New Roman" w:hint="default"/>
        </w:rPr>
        <w:t>2</w:t>
      </w:r>
      <w:r>
        <w:rPr/>
        <w:t>）分布式账本技术应用成熟，财政国库支付电子化领域显优势 </w:t>
      </w:r>
      <w:r>
        <w:rPr>
          <w:spacing w:val="-2"/>
        </w:rPr>
        <w:t>公司控股子公司中科江南为银行、政府、企事业单位提供电子化安全产品及解决方案，是集财政信息化建设与金融信息</w:t>
      </w:r>
    </w:p>
    <w:p>
      <w:pPr>
        <w:pStyle w:val="BodyText"/>
        <w:spacing w:line="316" w:lineRule="auto" w:before="8"/>
        <w:ind w:right="1034"/>
        <w:jc w:val="left"/>
      </w:pPr>
      <w:r>
        <w:rPr>
          <w:spacing w:val="-2"/>
        </w:rPr>
        <w:t>安全于一体的国内领先的软件公司，财政支付电子化应用市场占有率高。其应用的国库支付电子化和非税缴库电子化的核心</w:t>
      </w:r>
      <w:r>
        <w:rPr>
          <w:spacing w:val="-64"/>
        </w:rPr>
        <w:t> </w:t>
      </w:r>
      <w:r>
        <w:rPr>
          <w:spacing w:val="-64"/>
        </w:rPr>
      </w:r>
      <w:r>
        <w:rPr/>
        <w:t>产品，是目前国内部署范围最广、交易频率最高的分布式账本之一。报告期，全国支付电子化项目实现陕西、新疆、青海、 </w:t>
      </w:r>
      <w:r>
        <w:rPr>
          <w:spacing w:val="-4"/>
        </w:rPr>
        <w:t>西藏、山西、广东、山东、辽宁等省份全面推广；河南财政一体化项目、湖南电子财政项目成功落地；财务服务平台在广西、</w:t>
      </w:r>
      <w:r>
        <w:rPr>
          <w:spacing w:val="-41"/>
        </w:rPr>
        <w:t> </w:t>
      </w:r>
      <w:r>
        <w:rPr>
          <w:spacing w:val="-41"/>
        </w:rPr>
      </w:r>
      <w:r>
        <w:rPr/>
        <w:t>云南、湖北等多省份落地开花；会计电子档案、电子票据项目也有所突破，全年新签合同超</w:t>
      </w:r>
      <w:r>
        <w:rPr>
          <w:rFonts w:ascii="Times New Roman" w:hAnsi="Times New Roman" w:cs="Times New Roman" w:eastAsia="Times New Roman" w:hint="default"/>
        </w:rPr>
        <w:t>6.5</w:t>
      </w:r>
      <w:r>
        <w:rPr/>
        <w:t>亿元。</w:t>
      </w:r>
    </w:p>
    <w:p>
      <w:pPr>
        <w:pStyle w:val="Heading6"/>
        <w:spacing w:line="240" w:lineRule="auto" w:before="155"/>
        <w:ind w:right="1394"/>
        <w:jc w:val="left"/>
        <w:rPr>
          <w:b w:val="0"/>
          <w:bCs w:val="0"/>
        </w:rPr>
      </w:pPr>
      <w:r>
        <w:rPr>
          <w:rFonts w:ascii="Times New Roman" w:hAnsi="Times New Roman" w:cs="Times New Roman" w:eastAsia="Times New Roman" w:hint="default"/>
        </w:rPr>
        <w:t>2</w:t>
      </w:r>
      <w:r>
        <w:rPr/>
        <w:t>、智能安全事业群</w:t>
      </w:r>
      <w:r>
        <w:rPr>
          <w:b w:val="0"/>
          <w:bCs w:val="0"/>
        </w:rPr>
      </w:r>
    </w:p>
    <w:p>
      <w:pPr>
        <w:spacing w:line="240" w:lineRule="auto" w:before="9"/>
        <w:rPr>
          <w:rFonts w:ascii="宋体" w:hAnsi="宋体" w:cs="宋体" w:eastAsia="宋体" w:hint="default"/>
          <w:b/>
          <w:bCs/>
          <w:sz w:val="16"/>
          <w:szCs w:val="16"/>
        </w:rPr>
      </w:pPr>
    </w:p>
    <w:p>
      <w:pPr>
        <w:pStyle w:val="BodyText"/>
        <w:spacing w:line="312" w:lineRule="auto"/>
        <w:ind w:right="1132" w:firstLine="360"/>
        <w:jc w:val="both"/>
      </w:pPr>
      <w:r>
        <w:rPr>
          <w:spacing w:val="-2"/>
        </w:rPr>
        <w:t>报告期，公司积极推进优势资源整合，将智能安全研究院与信义科技研发团队整合，聚焦核心技术与产品研发、大型系</w:t>
      </w:r>
      <w:r>
        <w:rPr/>
        <w:t> 统集成项目，城市安全</w:t>
      </w:r>
      <w:r>
        <w:rPr>
          <w:rFonts w:ascii="Times New Roman" w:hAnsi="Times New Roman" w:cs="Times New Roman" w:eastAsia="Times New Roman" w:hint="default"/>
        </w:rPr>
        <w:t>“</w:t>
      </w:r>
      <w:r>
        <w:rPr/>
        <w:t>端</w:t>
      </w:r>
      <w:r>
        <w:rPr>
          <w:rFonts w:ascii="Times New Roman" w:hAnsi="Times New Roman" w:cs="Times New Roman" w:eastAsia="Times New Roman" w:hint="default"/>
        </w:rPr>
        <w:t>-</w:t>
      </w:r>
      <w:r>
        <w:rPr/>
        <w:t>边</w:t>
      </w:r>
      <w:r>
        <w:rPr>
          <w:rFonts w:ascii="Times New Roman" w:hAnsi="Times New Roman" w:cs="Times New Roman" w:eastAsia="Times New Roman" w:hint="default"/>
        </w:rPr>
        <w:t>-</w:t>
      </w:r>
      <w:r>
        <w:rPr/>
        <w:t>云</w:t>
      </w:r>
      <w:r>
        <w:rPr>
          <w:rFonts w:ascii="Times New Roman" w:hAnsi="Times New Roman" w:cs="Times New Roman" w:eastAsia="Times New Roman" w:hint="default"/>
        </w:rPr>
        <w:t>”</w:t>
      </w:r>
      <w:r>
        <w:rPr/>
        <w:t>全栈产品方案已在广东、福建、陕西、海南等全国各地落地应用，取得显著实战成效，成 </w:t>
      </w:r>
      <w:r>
        <w:rPr>
          <w:spacing w:val="-2"/>
        </w:rPr>
        <w:t>功打造了多个行业标杆项目；同时，加快推进广电安保业务结构优化与战略布局，通过不断夯实传统业务根基，加快新业务</w:t>
      </w:r>
      <w:r>
        <w:rPr>
          <w:spacing w:val="-66"/>
        </w:rPr>
        <w:t> </w:t>
      </w:r>
      <w:r>
        <w:rPr>
          <w:spacing w:val="-66"/>
        </w:rPr>
      </w:r>
      <w:r>
        <w:rPr/>
        <w:t>拓展步伐来切换发展引擎。</w:t>
      </w:r>
    </w:p>
    <w:p>
      <w:pPr>
        <w:pStyle w:val="BodyText"/>
        <w:spacing w:line="468" w:lineRule="exact" w:before="14"/>
        <w:ind w:left="472" w:right="1122"/>
        <w:jc w:val="left"/>
      </w:pPr>
      <w:r>
        <w:rPr/>
        <w:t>（</w:t>
      </w:r>
      <w:r>
        <w:rPr>
          <w:rFonts w:ascii="Times New Roman" w:hAnsi="Times New Roman" w:cs="Times New Roman" w:eastAsia="Times New Roman" w:hint="default"/>
        </w:rPr>
        <w:t>1</w:t>
      </w:r>
      <w:r>
        <w:rPr/>
        <w:t>）以智慧警务为基础探索智慧安全城市 公司以</w:t>
      </w:r>
      <w:r>
        <w:rPr>
          <w:rFonts w:ascii="Times New Roman" w:hAnsi="Times New Roman" w:cs="Times New Roman" w:eastAsia="Times New Roman" w:hint="default"/>
        </w:rPr>
        <w:t>“AI+</w:t>
      </w:r>
      <w:r>
        <w:rPr/>
        <w:t>场景</w:t>
      </w:r>
      <w:r>
        <w:rPr>
          <w:rFonts w:ascii="Times New Roman" w:hAnsi="Times New Roman" w:cs="Times New Roman" w:eastAsia="Times New Roman" w:hint="default"/>
        </w:rPr>
        <w:t>”</w:t>
      </w:r>
      <w:r>
        <w:rPr/>
        <w:t>的创新模式积极参与智慧城市建设与服务，持续打造一系列平安城市、雪亮工程、智慧警务、数字政</w:t>
      </w:r>
    </w:p>
    <w:p>
      <w:pPr>
        <w:pStyle w:val="BodyText"/>
        <w:spacing w:line="316" w:lineRule="auto" w:before="8"/>
        <w:ind w:right="1034"/>
        <w:jc w:val="left"/>
      </w:pPr>
      <w:r>
        <w:rPr/>
        <w:t>府等领域的国内标杆项目。随着智慧城市建设加速，公司以优秀的解决方案能力和出色的产品技术水平两大核心竞争优势， 多领域参与智慧城市建设，成为智慧警务及智慧城市领域的优质解决方案供应商。</w:t>
      </w:r>
    </w:p>
    <w:p>
      <w:pPr>
        <w:spacing w:line="240" w:lineRule="auto" w:before="5"/>
        <w:rPr>
          <w:rFonts w:ascii="宋体" w:hAnsi="宋体" w:cs="宋体" w:eastAsia="宋体" w:hint="default"/>
          <w:sz w:val="13"/>
          <w:szCs w:val="13"/>
        </w:rPr>
      </w:pPr>
    </w:p>
    <w:p>
      <w:pPr>
        <w:pStyle w:val="BodyText"/>
        <w:spacing w:line="312" w:lineRule="auto"/>
        <w:ind w:right="1041" w:firstLine="360"/>
        <w:jc w:val="left"/>
      </w:pPr>
      <w:r>
        <w:rPr>
          <w:spacing w:val="-4"/>
        </w:rPr>
        <w:t>报告期内，公司以智慧警务为基础积极探索智慧城市更多领域业务，成功开拓智慧党建、智慧园区、智慧民生等新场景；</w:t>
      </w:r>
      <w:r>
        <w:rPr/>
        <w:t> </w:t>
      </w:r>
      <w:r>
        <w:rPr>
          <w:spacing w:val="-2"/>
        </w:rPr>
        <w:t>在深圳成功落地南山区远程监控和多方会议系统服务采购项目，实现政府购买服务运营类业务新突破；完成深圳市龙岗区雪</w:t>
      </w:r>
      <w:r>
        <w:rPr>
          <w:spacing w:val="-64"/>
        </w:rPr>
        <w:t> </w:t>
      </w:r>
      <w:r>
        <w:rPr>
          <w:spacing w:val="-64"/>
        </w:rPr>
      </w:r>
      <w:r>
        <w:rPr/>
        <w:t>亮工程</w:t>
      </w:r>
      <w:r>
        <w:rPr>
          <w:rFonts w:ascii="Times New Roman" w:hAnsi="Times New Roman" w:cs="Times New Roman" w:eastAsia="Times New Roman" w:hint="default"/>
        </w:rPr>
        <w:t>-</w:t>
      </w:r>
      <w:r>
        <w:rPr/>
        <w:t>视频门禁，龙岗、南山两区</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明厨亮灶</w:t>
      </w:r>
      <w:r>
        <w:rPr>
          <w:rFonts w:ascii="Times New Roman" w:hAnsi="Times New Roman" w:cs="Times New Roman" w:eastAsia="Times New Roman" w:hint="default"/>
        </w:rPr>
        <w:t>”</w:t>
      </w:r>
      <w:r>
        <w:rPr/>
        <w:t>等重点项目建设并顺利通过验收；业务核心区域深圳地区的辐射和带 动效应初步显现，深圳以外市场订单及非安防业务订单获快速增长。</w:t>
      </w:r>
    </w:p>
    <w:p>
      <w:pPr>
        <w:spacing w:line="240" w:lineRule="auto" w:before="8"/>
        <w:rPr>
          <w:rFonts w:ascii="宋体" w:hAnsi="宋体" w:cs="宋体" w:eastAsia="宋体" w:hint="default"/>
          <w:sz w:val="13"/>
          <w:szCs w:val="13"/>
        </w:rPr>
      </w:pPr>
    </w:p>
    <w:p>
      <w:pPr>
        <w:pStyle w:val="BodyText"/>
        <w:spacing w:line="300" w:lineRule="auto"/>
        <w:ind w:right="1132" w:firstLine="360"/>
        <w:jc w:val="left"/>
      </w:pPr>
      <w:r>
        <w:rPr>
          <w:rFonts w:ascii="Times New Roman" w:hAnsi="Times New Roman" w:cs="Times New Roman" w:eastAsia="Times New Roman" w:hint="default"/>
        </w:rPr>
        <w:t>2019</w:t>
      </w:r>
      <w:r>
        <w:rPr/>
        <w:t>年信义科技成功新增</w:t>
      </w:r>
      <w:r>
        <w:rPr>
          <w:rFonts w:ascii="Times New Roman" w:hAnsi="Times New Roman" w:cs="Times New Roman" w:eastAsia="Times New Roman" w:hint="default"/>
        </w:rPr>
        <w:t>2</w:t>
      </w:r>
      <w:r>
        <w:rPr/>
        <w:t>项重要行业资质：</w:t>
      </w:r>
      <w:r>
        <w:rPr>
          <w:rFonts w:ascii="Times New Roman" w:hAnsi="Times New Roman" w:cs="Times New Roman" w:eastAsia="Times New Roman" w:hint="default"/>
        </w:rPr>
        <w:t>ITSS</w:t>
      </w:r>
      <w:r>
        <w:rPr/>
        <w:t>信息技术服务运行维护标准符合性证书（贰级）、信息安全服务安全 集成二级资质，升级</w:t>
      </w:r>
      <w:r>
        <w:rPr>
          <w:rFonts w:ascii="Times New Roman" w:hAnsi="Times New Roman" w:cs="Times New Roman" w:eastAsia="Times New Roman" w:hint="default"/>
        </w:rPr>
        <w:t>1</w:t>
      </w:r>
      <w:r>
        <w:rPr/>
        <w:t>项国际软件业最权威的评估认证体系</w:t>
      </w:r>
      <w:r>
        <w:rPr>
          <w:rFonts w:ascii="Times New Roman" w:hAnsi="Times New Roman" w:cs="Times New Roman" w:eastAsia="Times New Roman" w:hint="default"/>
        </w:rPr>
        <w:t>CMMI-5</w:t>
      </w:r>
      <w:r>
        <w:rPr/>
        <w:t>级认证。面向公共安全的警务融合大数据平台获得广东</w:t>
      </w:r>
      <w:r>
        <w:rPr>
          <w:w w:val="99"/>
        </w:rPr>
        <w:t> </w:t>
      </w:r>
      <w:r>
        <w:rPr/>
        <w:t>省大数据应用示范项目，</w:t>
      </w:r>
      <w:r>
        <w:rPr>
          <w:rFonts w:ascii="Times New Roman" w:hAnsi="Times New Roman" w:cs="Times New Roman" w:eastAsia="Times New Roman" w:hint="default"/>
        </w:rPr>
        <w:t>X-cloud</w:t>
      </w:r>
      <w:r>
        <w:rPr/>
        <w:t>平台入围</w:t>
      </w:r>
      <w:r>
        <w:rPr>
          <w:rFonts w:ascii="Times New Roman" w:hAnsi="Times New Roman" w:cs="Times New Roman" w:eastAsia="Times New Roman" w:hint="default"/>
        </w:rPr>
        <w:t>2019</w:t>
      </w:r>
      <w:r>
        <w:rPr/>
        <w:t>年工信部优秀大数据产品和应用解决方案，此外，信义科技首次入围深圳市 企业</w:t>
      </w:r>
      <w:r>
        <w:rPr>
          <w:rFonts w:ascii="Times New Roman" w:hAnsi="Times New Roman" w:cs="Times New Roman" w:eastAsia="Times New Roman" w:hint="default"/>
        </w:rPr>
        <w:t>500</w:t>
      </w:r>
      <w:r>
        <w:rPr/>
        <w:t>强，并连续获得广东省高成长性中小企业、深圳市高技能人才培训基地等一系列认定，软实力不断增强。</w:t>
      </w:r>
    </w:p>
    <w:p>
      <w:pPr>
        <w:pStyle w:val="BodyText"/>
        <w:spacing w:line="468" w:lineRule="exact" w:before="5"/>
        <w:ind w:left="472" w:right="1132"/>
        <w:jc w:val="left"/>
      </w:pPr>
      <w:r>
        <w:rPr/>
        <w:t>（</w:t>
      </w:r>
      <w:r>
        <w:rPr>
          <w:rFonts w:ascii="Times New Roman" w:hAnsi="Times New Roman" w:cs="Times New Roman" w:eastAsia="Times New Roman" w:hint="default"/>
        </w:rPr>
        <w:t>2</w:t>
      </w:r>
      <w:r>
        <w:rPr/>
        <w:t>）武装押运业务总体稳健增长，加速推进全国布局 公司充分运用金融外包及武装押运服务优势，按照</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智能服务</w:t>
      </w:r>
      <w:r>
        <w:rPr>
          <w:rFonts w:ascii="Times New Roman" w:hAnsi="Times New Roman" w:cs="Times New Roman" w:eastAsia="Times New Roman" w:hint="default"/>
        </w:rPr>
        <w:t>”</w:t>
      </w:r>
      <w:r>
        <w:rPr/>
        <w:t>的指导方针，整合银行外包业务，在全国范围内</w:t>
      </w:r>
    </w:p>
    <w:p>
      <w:pPr>
        <w:pStyle w:val="BodyText"/>
        <w:spacing w:line="307" w:lineRule="auto" w:before="8"/>
        <w:ind w:right="0"/>
        <w:jc w:val="left"/>
      </w:pPr>
      <w:r>
        <w:rPr>
          <w:spacing w:val="-2"/>
        </w:rPr>
        <w:t>已布局</w:t>
      </w:r>
      <w:r>
        <w:rPr>
          <w:rFonts w:ascii="Times New Roman" w:hAnsi="Times New Roman" w:cs="Times New Roman" w:eastAsia="Times New Roman" w:hint="default"/>
          <w:spacing w:val="-2"/>
        </w:rPr>
        <w:t>12</w:t>
      </w:r>
      <w:r>
        <w:rPr>
          <w:spacing w:val="-2"/>
        </w:rPr>
        <w:t>家金融服务外包公司和</w:t>
      </w:r>
      <w:r>
        <w:rPr>
          <w:rFonts w:ascii="Times New Roman" w:hAnsi="Times New Roman" w:cs="Times New Roman" w:eastAsia="Times New Roman" w:hint="default"/>
          <w:spacing w:val="-2"/>
        </w:rPr>
        <w:t>24</w:t>
      </w:r>
      <w:r>
        <w:rPr>
          <w:spacing w:val="-2"/>
        </w:rPr>
        <w:t>家武装押运公司，打造形成金融外包服务全产业链，服务全国</w:t>
      </w:r>
      <w:r>
        <w:rPr>
          <w:rFonts w:ascii="Times New Roman" w:hAnsi="Times New Roman" w:cs="Times New Roman" w:eastAsia="Times New Roman" w:hint="default"/>
          <w:spacing w:val="-2"/>
        </w:rPr>
        <w:t>400</w:t>
      </w:r>
      <w:r>
        <w:rPr>
          <w:spacing w:val="-2"/>
        </w:rPr>
        <w:t>余家金融及泛金融客户。</w:t>
      </w:r>
      <w:r>
        <w:rPr>
          <w:spacing w:val="-58"/>
        </w:rPr>
        <w:t> </w:t>
      </w:r>
      <w:r>
        <w:rPr>
          <w:spacing w:val="-2"/>
        </w:rPr>
        <w:t>报告期，公司武装押运业务总体保持稳健，押运业务规模、客户数量、服务网点、服务资源规模均保持持续增长。各武装押</w:t>
      </w:r>
      <w:r>
        <w:rPr>
          <w:spacing w:val="-66"/>
        </w:rPr>
        <w:t> </w:t>
      </w:r>
      <w:r>
        <w:rPr>
          <w:spacing w:val="-66"/>
        </w:rPr>
      </w:r>
      <w:r>
        <w:rPr>
          <w:spacing w:val="-2"/>
        </w:rPr>
        <w:t>运公司一方面通过精简架构及人员、控制前后台比例、整合大队</w:t>
      </w:r>
      <w:r>
        <w:rPr>
          <w:rFonts w:ascii="Times New Roman" w:hAnsi="Times New Roman" w:cs="Times New Roman" w:eastAsia="Times New Roman" w:hint="default"/>
          <w:spacing w:val="-2"/>
        </w:rPr>
        <w:t>/</w:t>
      </w:r>
      <w:r>
        <w:rPr>
          <w:spacing w:val="-2"/>
        </w:rPr>
        <w:t>中队</w:t>
      </w:r>
      <w:r>
        <w:rPr>
          <w:rFonts w:ascii="Times New Roman" w:hAnsi="Times New Roman" w:cs="Times New Roman" w:eastAsia="Times New Roman" w:hint="default"/>
          <w:spacing w:val="-2"/>
        </w:rPr>
        <w:t>/</w:t>
      </w:r>
      <w:r>
        <w:rPr>
          <w:spacing w:val="-2"/>
        </w:rPr>
        <w:t>项目组、优化服务线路等措施，切实提升了企业效益；</w:t>
      </w:r>
      <w:r>
        <w:rPr>
          <w:spacing w:val="-71"/>
        </w:rPr>
        <w:t> </w:t>
      </w:r>
      <w:r>
        <w:rPr>
          <w:spacing w:val="-71"/>
        </w:rPr>
      </w:r>
      <w:r>
        <w:rPr/>
        <w:t>另一方面全面推进战略升级，积极拓展智能安防、保安培训、档案票据管理等创新业务，加快改善业务结构。</w:t>
      </w:r>
    </w:p>
    <w:p>
      <w:pPr>
        <w:spacing w:after="0" w:line="307" w:lineRule="auto"/>
        <w:jc w:val="left"/>
        <w:sectPr>
          <w:pgSz w:w="11910" w:h="16840"/>
          <w:pgMar w:header="878" w:footer="978" w:top="1100" w:bottom="1160" w:left="1020" w:right="0"/>
        </w:sectPr>
      </w:pPr>
    </w:p>
    <w:p>
      <w:pPr>
        <w:spacing w:line="240" w:lineRule="auto" w:before="1"/>
        <w:rPr>
          <w:rFonts w:ascii="宋体" w:hAnsi="宋体" w:cs="宋体" w:eastAsia="宋体" w:hint="default"/>
          <w:sz w:val="22"/>
          <w:szCs w:val="22"/>
        </w:rPr>
      </w:pPr>
    </w:p>
    <w:p>
      <w:pPr>
        <w:pStyle w:val="Heading6"/>
        <w:spacing w:line="240" w:lineRule="auto" w:before="44"/>
        <w:ind w:right="1394"/>
        <w:jc w:val="left"/>
        <w:rPr>
          <w:b w:val="0"/>
          <w:bCs w:val="0"/>
        </w:rPr>
      </w:pPr>
      <w:r>
        <w:rPr>
          <w:rFonts w:ascii="Times New Roman" w:hAnsi="Times New Roman" w:cs="Times New Roman" w:eastAsia="Times New Roman" w:hint="default"/>
        </w:rPr>
        <w:t>3</w:t>
      </w:r>
      <w:r>
        <w:rPr/>
        <w:t>、智能交通事业群</w:t>
      </w:r>
      <w:r>
        <w:rPr>
          <w:b w:val="0"/>
          <w:bCs w:val="0"/>
        </w:rPr>
      </w:r>
    </w:p>
    <w:p>
      <w:pPr>
        <w:spacing w:line="240" w:lineRule="auto" w:before="9"/>
        <w:rPr>
          <w:rFonts w:ascii="宋体" w:hAnsi="宋体" w:cs="宋体" w:eastAsia="宋体" w:hint="default"/>
          <w:b/>
          <w:bCs/>
          <w:sz w:val="16"/>
          <w:szCs w:val="16"/>
        </w:rPr>
      </w:pPr>
    </w:p>
    <w:p>
      <w:pPr>
        <w:pStyle w:val="BodyText"/>
        <w:spacing w:line="240" w:lineRule="auto"/>
        <w:ind w:left="472" w:right="1394"/>
        <w:jc w:val="left"/>
      </w:pPr>
      <w:r>
        <w:rPr/>
        <w:t>（</w:t>
      </w:r>
      <w:r>
        <w:rPr>
          <w:rFonts w:ascii="Times New Roman" w:hAnsi="Times New Roman" w:cs="Times New Roman" w:eastAsia="Times New Roman" w:hint="default"/>
        </w:rPr>
        <w:t>1</w:t>
      </w:r>
      <w:r>
        <w:rPr/>
        <w:t>）传统市场份额不断提升，创新协同打造智慧示范车站</w:t>
      </w:r>
    </w:p>
    <w:p>
      <w:pPr>
        <w:spacing w:line="240" w:lineRule="auto" w:before="9"/>
        <w:rPr>
          <w:rFonts w:ascii="宋体" w:hAnsi="宋体" w:cs="宋体" w:eastAsia="宋体" w:hint="default"/>
          <w:sz w:val="16"/>
          <w:szCs w:val="16"/>
        </w:rPr>
      </w:pPr>
    </w:p>
    <w:p>
      <w:pPr>
        <w:pStyle w:val="BodyText"/>
        <w:spacing w:line="309" w:lineRule="auto"/>
        <w:ind w:right="1034" w:firstLine="360"/>
        <w:jc w:val="left"/>
      </w:pPr>
      <w:r>
        <w:rPr>
          <w:rFonts w:ascii="Times New Roman" w:hAnsi="Times New Roman" w:cs="Times New Roman" w:eastAsia="Times New Roman" w:hint="default"/>
          <w:spacing w:val="-4"/>
        </w:rPr>
        <w:t>2019</w:t>
      </w:r>
      <w:r>
        <w:rPr>
          <w:spacing w:val="-4"/>
        </w:rPr>
        <w:t>年，公司加快场景落地，深化创新协同，开启了智慧车站新局面。在传统领域，坚持主业聚焦，重点布局一线城市，</w:t>
      </w:r>
      <w:r>
        <w:rPr/>
        <w:t> 连续</w:t>
      </w:r>
      <w:r>
        <w:rPr>
          <w:rFonts w:ascii="Times New Roman" w:hAnsi="Times New Roman" w:cs="Times New Roman" w:eastAsia="Times New Roman" w:hint="default"/>
        </w:rPr>
        <w:t>7</w:t>
      </w:r>
      <w:r>
        <w:rPr/>
        <w:t>年业绩稳定增长，核心模块及</w:t>
      </w:r>
      <w:r>
        <w:rPr>
          <w:rFonts w:ascii="Times New Roman" w:hAnsi="Times New Roman" w:cs="Times New Roman" w:eastAsia="Times New Roman" w:hint="default"/>
        </w:rPr>
        <w:t>AFC</w:t>
      </w:r>
      <w:r>
        <w:rPr/>
        <w:t>设备市场份额不断提升，陆续中标北京、广州、杭州、成都、合肥、长沙、徐州、 洛阳等城市地铁线路，与成都地铁签订了首个超亿元设备采购合同。同时，公司积极推动城市轨道交通智慧车站落地应用， </w:t>
      </w:r>
      <w:r>
        <w:rPr>
          <w:spacing w:val="-2"/>
        </w:rPr>
        <w:t>与广州地铁共建智慧地铁示范车站，构建面向乘客的智能化全过程服务系统，深化了安检、支付、过闸和客服四个地铁出行</w:t>
      </w:r>
      <w:r>
        <w:rPr>
          <w:spacing w:val="-66"/>
        </w:rPr>
        <w:t> </w:t>
      </w:r>
      <w:r>
        <w:rPr>
          <w:spacing w:val="-66"/>
        </w:rPr>
      </w:r>
      <w:r>
        <w:rPr/>
        <w:t>场景。</w:t>
      </w:r>
    </w:p>
    <w:p>
      <w:pPr>
        <w:pStyle w:val="BodyText"/>
        <w:spacing w:line="468" w:lineRule="exact" w:before="16"/>
        <w:ind w:left="472" w:right="1122"/>
        <w:jc w:val="left"/>
      </w:pPr>
      <w:r>
        <w:rPr/>
        <w:t>（</w:t>
      </w:r>
      <w:r>
        <w:rPr>
          <w:rFonts w:ascii="Times New Roman" w:hAnsi="Times New Roman" w:cs="Times New Roman" w:eastAsia="Times New Roman" w:hint="default"/>
        </w:rPr>
        <w:t>2</w:t>
      </w:r>
      <w:r>
        <w:rPr/>
        <w:t>）聚焦</w:t>
      </w:r>
      <w:r>
        <w:rPr>
          <w:rFonts w:ascii="Times New Roman" w:hAnsi="Times New Roman" w:cs="Times New Roman" w:eastAsia="Times New Roman" w:hint="default"/>
        </w:rPr>
        <w:t>“</w:t>
      </w:r>
      <w:r>
        <w:rPr/>
        <w:t>以人为中心</w:t>
      </w:r>
      <w:r>
        <w:rPr>
          <w:rFonts w:ascii="Times New Roman" w:hAnsi="Times New Roman" w:cs="Times New Roman" w:eastAsia="Times New Roman" w:hint="default"/>
        </w:rPr>
        <w:t>”</w:t>
      </w:r>
      <w:r>
        <w:rPr/>
        <w:t>智慧化场景，逐步构建大交通生态 公司积极探索</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、生物识别、大数据等</w:t>
      </w:r>
      <w:r>
        <w:rPr>
          <w:rFonts w:ascii="Times New Roman" w:hAnsi="Times New Roman" w:cs="Times New Roman" w:eastAsia="Times New Roman" w:hint="default"/>
        </w:rPr>
        <w:t>AI</w:t>
      </w:r>
      <w:r>
        <w:rPr/>
        <w:t>技术在轨道交通行业应用，开发了智能售取票机、智能边门、实名测</w:t>
      </w:r>
    </w:p>
    <w:p>
      <w:pPr>
        <w:pStyle w:val="BodyText"/>
        <w:spacing w:line="304" w:lineRule="auto" w:before="8"/>
        <w:ind w:right="1132"/>
        <w:jc w:val="both"/>
      </w:pPr>
      <w:r>
        <w:rPr/>
        <w:t>温终端等一批创新智能终端，并携手合作伙伴推进应用场景创新，落地了</w:t>
      </w:r>
      <w:r>
        <w:rPr>
          <w:rFonts w:ascii="Times New Roman" w:hAnsi="Times New Roman" w:cs="Times New Roman" w:eastAsia="Times New Roman" w:hint="default"/>
        </w:rPr>
        <w:t>“</w:t>
      </w:r>
      <w:r>
        <w:rPr/>
        <w:t>语音购票</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扫码乘车</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分类安检</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刷脸过 闸</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语音客服</w:t>
      </w:r>
      <w:r>
        <w:rPr>
          <w:rFonts w:ascii="Times New Roman" w:hAnsi="Times New Roman" w:cs="Times New Roman" w:eastAsia="Times New Roman" w:hint="default"/>
        </w:rPr>
        <w:t>”</w:t>
      </w:r>
      <w:r>
        <w:rPr/>
        <w:t>等智慧出行解决方案，成为城市轨道交通行业内首个完整落地应用的智慧化解决方案提供商。其中与深圳 地铁合作的</w:t>
      </w:r>
      <w:r>
        <w:rPr>
          <w:rFonts w:ascii="Times New Roman" w:hAnsi="Times New Roman" w:cs="Times New Roman" w:eastAsia="Times New Roman" w:hint="default"/>
        </w:rPr>
        <w:t>“</w:t>
      </w:r>
      <w:r>
        <w:rPr/>
        <w:t>生物识别</w:t>
      </w:r>
      <w:r>
        <w:rPr>
          <w:rFonts w:ascii="Times New Roman" w:hAnsi="Times New Roman" w:cs="Times New Roman" w:eastAsia="Times New Roman" w:hint="default"/>
        </w:rPr>
        <w:t>+</w:t>
      </w:r>
      <w:r>
        <w:rPr/>
        <w:t>信用支付</w:t>
      </w:r>
      <w:r>
        <w:rPr>
          <w:rFonts w:ascii="Times New Roman" w:hAnsi="Times New Roman" w:cs="Times New Roman" w:eastAsia="Times New Roman" w:hint="default"/>
        </w:rPr>
        <w:t>”</w:t>
      </w:r>
      <w:r>
        <w:rPr/>
        <w:t>售检票系统解决方案成功入选</w:t>
      </w:r>
      <w:r>
        <w:rPr>
          <w:rFonts w:ascii="Times New Roman" w:hAnsi="Times New Roman" w:cs="Times New Roman" w:eastAsia="Times New Roman" w:hint="default"/>
        </w:rPr>
        <w:t>“2019</w:t>
      </w:r>
      <w:r>
        <w:rPr/>
        <w:t>年广东省大数据优秀案例</w:t>
      </w:r>
      <w:r>
        <w:rPr>
          <w:rFonts w:ascii="Times New Roman" w:hAnsi="Times New Roman" w:cs="Times New Roman" w:eastAsia="Times New Roman" w:hint="default"/>
        </w:rPr>
        <w:t>”</w:t>
      </w:r>
      <w:r>
        <w:rPr/>
        <w:t>，刷脸过闸系统获得智慧城 </w:t>
      </w:r>
      <w:r>
        <w:rPr>
          <w:spacing w:val="-2"/>
        </w:rPr>
        <w:t>市创新应用案例奖。另外，随着与广州地铁联建的国家工程实验室项目顺利验收，也巩固了公司在轨道交通行业研发领域的</w:t>
      </w:r>
      <w:r>
        <w:rPr>
          <w:spacing w:val="-65"/>
        </w:rPr>
        <w:t> </w:t>
      </w:r>
      <w:r>
        <w:rPr>
          <w:spacing w:val="-65"/>
        </w:rPr>
      </w:r>
      <w:r>
        <w:rPr/>
        <w:t>国内领先地位。</w:t>
      </w:r>
    </w:p>
    <w:p>
      <w:pPr>
        <w:spacing w:line="240" w:lineRule="auto" w:before="1"/>
        <w:rPr>
          <w:rFonts w:ascii="宋体" w:hAnsi="宋体" w:cs="宋体" w:eastAsia="宋体" w:hint="default"/>
          <w:sz w:val="14"/>
          <w:szCs w:val="14"/>
        </w:rPr>
      </w:pPr>
    </w:p>
    <w:p>
      <w:pPr>
        <w:pStyle w:val="BodyText"/>
        <w:spacing w:line="300" w:lineRule="auto"/>
        <w:ind w:right="1132" w:firstLine="360"/>
        <w:jc w:val="both"/>
      </w:pPr>
      <w:r>
        <w:rPr>
          <w:rFonts w:ascii="Times New Roman" w:hAnsi="Times New Roman" w:cs="Times New Roman" w:eastAsia="Times New Roman" w:hint="default"/>
        </w:rPr>
        <w:t>2019</w:t>
      </w:r>
      <w:r>
        <w:rPr/>
        <w:t>年，智能交通事业群新签合同近</w:t>
      </w:r>
      <w:r>
        <w:rPr>
          <w:rFonts w:ascii="Times New Roman" w:hAnsi="Times New Roman" w:cs="Times New Roman" w:eastAsia="Times New Roman" w:hint="default"/>
        </w:rPr>
        <w:t>6</w:t>
      </w:r>
      <w:r>
        <w:rPr/>
        <w:t>亿元，创历史新高。公司将继续顺应轨道交通行业</w:t>
      </w:r>
      <w:r>
        <w:rPr>
          <w:rFonts w:ascii="Times New Roman" w:hAnsi="Times New Roman" w:cs="Times New Roman" w:eastAsia="Times New Roman" w:hint="default"/>
        </w:rPr>
        <w:t>“</w:t>
      </w:r>
      <w:r>
        <w:rPr/>
        <w:t>以票为中心</w:t>
      </w:r>
      <w:r>
        <w:rPr>
          <w:rFonts w:ascii="Times New Roman" w:hAnsi="Times New Roman" w:cs="Times New Roman" w:eastAsia="Times New Roman" w:hint="default"/>
        </w:rPr>
        <w:t>”</w:t>
      </w:r>
      <w:r>
        <w:rPr/>
        <w:t>向</w:t>
      </w:r>
      <w:r>
        <w:rPr>
          <w:rFonts w:ascii="Times New Roman" w:hAnsi="Times New Roman" w:cs="Times New Roman" w:eastAsia="Times New Roman" w:hint="default"/>
        </w:rPr>
        <w:t>“</w:t>
      </w:r>
      <w:r>
        <w:rPr/>
        <w:t>以人为中心</w:t>
      </w:r>
      <w:r>
        <w:rPr>
          <w:rFonts w:ascii="Times New Roman" w:hAnsi="Times New Roman" w:cs="Times New Roman" w:eastAsia="Times New Roman" w:hint="default"/>
        </w:rPr>
        <w:t>”</w:t>
      </w:r>
      <w:r>
        <w:rPr>
          <w:rFonts w:ascii="Times New Roman" w:hAnsi="Times New Roman" w:cs="Times New Roman" w:eastAsia="Times New Roman" w:hint="default"/>
          <w:w w:val="99"/>
        </w:rPr>
        <w:t> </w:t>
      </w:r>
      <w:r>
        <w:rPr/>
        <w:t>转变的智慧化发展趋势，聚焦出行场景，定位</w:t>
      </w:r>
      <w:r>
        <w:rPr>
          <w:rFonts w:ascii="Times New Roman" w:hAnsi="Times New Roman" w:cs="Times New Roman" w:eastAsia="Times New Roman" w:hint="default"/>
        </w:rPr>
        <w:t>“AI+</w:t>
      </w:r>
      <w:r>
        <w:rPr/>
        <w:t>互联网交通</w:t>
      </w:r>
      <w:r>
        <w:rPr>
          <w:rFonts w:ascii="Times New Roman" w:hAnsi="Times New Roman" w:cs="Times New Roman" w:eastAsia="Times New Roman" w:hint="default"/>
        </w:rPr>
        <w:t>”</w:t>
      </w:r>
      <w:r>
        <w:rPr/>
        <w:t>，利用</w:t>
      </w:r>
      <w:r>
        <w:rPr>
          <w:rFonts w:ascii="Times New Roman" w:hAnsi="Times New Roman" w:cs="Times New Roman" w:eastAsia="Times New Roman" w:hint="default"/>
        </w:rPr>
        <w:t>AI</w:t>
      </w:r>
      <w:r>
        <w:rPr/>
        <w:t>技术和资本手段，纵向拓展交通行业的其它专业领</w:t>
      </w:r>
      <w:r>
        <w:rPr>
          <w:w w:val="99"/>
        </w:rPr>
        <w:t> </w:t>
      </w:r>
      <w:r>
        <w:rPr/>
        <w:t>域，横向拓展客运、航空、港口等领域，建立独特的大交通生态，成为最具实力的人工智能出行系统解决方案提供商。</w:t>
      </w:r>
    </w:p>
    <w:p>
      <w:pPr>
        <w:pStyle w:val="BodyText"/>
        <w:spacing w:line="468" w:lineRule="exact" w:before="23"/>
        <w:ind w:left="472" w:right="0"/>
        <w:jc w:val="left"/>
      </w:pPr>
      <w:r>
        <w:rPr>
          <w:rFonts w:ascii="Times New Roman" w:hAnsi="Times New Roman" w:cs="Times New Roman" w:eastAsia="Times New Roman" w:hint="default"/>
          <w:b/>
          <w:bCs/>
        </w:rPr>
        <w:t>4</w:t>
      </w:r>
      <w:r>
        <w:rPr>
          <w:rFonts w:ascii="宋体" w:hAnsi="宋体" w:cs="宋体" w:eastAsia="宋体" w:hint="default"/>
          <w:b/>
          <w:bCs/>
        </w:rPr>
        <w:t>、智能便民事业群</w:t>
      </w:r>
      <w:r>
        <w:rPr>
          <w:rFonts w:ascii="宋体" w:hAnsi="宋体" w:cs="宋体" w:eastAsia="宋体" w:hint="default"/>
          <w:b/>
          <w:bCs/>
          <w:w w:val="99"/>
        </w:rPr>
        <w:t> </w:t>
      </w:r>
      <w:r>
        <w:rPr>
          <w:spacing w:val="-2"/>
        </w:rPr>
        <w:t>公司依托辐射全国的线下服务网络优势，从线下服务拓展至线上服务，围绕智慧旅游、智慧政务、智慧社区、智慧零售</w:t>
      </w:r>
    </w:p>
    <w:p>
      <w:pPr>
        <w:pStyle w:val="BodyText"/>
        <w:spacing w:line="316" w:lineRule="auto" w:before="8"/>
        <w:ind w:right="1051"/>
        <w:jc w:val="both"/>
      </w:pPr>
      <w:r>
        <w:rPr/>
        <w:t>等场景，以物联网、云计算、大数据为基础，以人工智能技术为驱动，为亿万群众提供旅游（吃、住、行、游、购、娱）、 出行、政务、金融、通讯等全方位的便民增值服务，打造新型</w:t>
      </w:r>
      <w:r>
        <w:rPr>
          <w:rFonts w:ascii="Times New Roman" w:hAnsi="Times New Roman" w:cs="Times New Roman" w:eastAsia="Times New Roman" w:hint="default"/>
        </w:rPr>
        <w:t>“</w:t>
      </w:r>
      <w:r>
        <w:rPr/>
        <w:t>智能便民生态系统</w:t>
      </w:r>
      <w:r>
        <w:rPr>
          <w:rFonts w:ascii="Times New Roman" w:hAnsi="Times New Roman" w:cs="Times New Roman" w:eastAsia="Times New Roman" w:hint="default"/>
        </w:rPr>
        <w:t>”</w:t>
      </w:r>
      <w:r>
        <w:rPr/>
        <w:t>。</w:t>
      </w:r>
    </w:p>
    <w:p>
      <w:pPr>
        <w:pStyle w:val="BodyText"/>
        <w:spacing w:line="240" w:lineRule="auto" w:before="155"/>
        <w:ind w:left="472" w:right="1394"/>
        <w:jc w:val="left"/>
      </w:pPr>
      <w:r>
        <w:rPr/>
        <w:t>（</w:t>
      </w:r>
      <w:r>
        <w:rPr>
          <w:rFonts w:ascii="Times New Roman" w:hAnsi="Times New Roman" w:cs="Times New Roman" w:eastAsia="Times New Roman" w:hint="default"/>
        </w:rPr>
        <w:t>1</w:t>
      </w:r>
      <w:r>
        <w:rPr/>
        <w:t>）线下</w:t>
      </w:r>
      <w:r>
        <w:rPr>
          <w:rFonts w:ascii="Times New Roman" w:hAnsi="Times New Roman" w:cs="Times New Roman" w:eastAsia="Times New Roman" w:hint="default"/>
        </w:rPr>
        <w:t>+</w:t>
      </w:r>
      <w:r>
        <w:rPr/>
        <w:t>线上模式，服务全国智慧共享</w:t>
      </w:r>
    </w:p>
    <w:p>
      <w:pPr>
        <w:spacing w:line="240" w:lineRule="auto" w:before="9"/>
        <w:rPr>
          <w:rFonts w:ascii="宋体" w:hAnsi="宋体" w:cs="宋体" w:eastAsia="宋体" w:hint="default"/>
          <w:sz w:val="16"/>
          <w:szCs w:val="16"/>
        </w:rPr>
      </w:pPr>
    </w:p>
    <w:p>
      <w:pPr>
        <w:pStyle w:val="BodyText"/>
        <w:spacing w:line="307" w:lineRule="auto"/>
        <w:ind w:right="0" w:firstLine="360"/>
        <w:jc w:val="left"/>
      </w:pPr>
      <w:r>
        <w:rPr/>
        <w:t>线下服务：公司在全国范围内已建立一支极具竞争力的专业金融服务团队、覆盖全国的三大区域性</w:t>
      </w:r>
      <w:r>
        <w:rPr>
          <w:rFonts w:ascii="Times New Roman" w:hAnsi="Times New Roman" w:cs="Times New Roman" w:eastAsia="Times New Roman" w:hint="default"/>
        </w:rPr>
        <w:t>AOC</w:t>
      </w:r>
      <w:r>
        <w:rPr/>
        <w:t>中心、近千个 </w:t>
      </w:r>
      <w:r>
        <w:rPr>
          <w:spacing w:val="-2"/>
        </w:rPr>
        <w:t>服务站，服务网络辐射全国，稳步推进公司金融设备维保、金融服务外包业务布局。报告期内，公司持续提升服务业务核心</w:t>
      </w:r>
      <w:r>
        <w:rPr>
          <w:spacing w:val="-65"/>
        </w:rPr>
        <w:t> </w:t>
      </w:r>
      <w:r>
        <w:rPr>
          <w:spacing w:val="-65"/>
        </w:rPr>
      </w:r>
      <w:r>
        <w:rPr>
          <w:spacing w:val="-2"/>
        </w:rPr>
        <w:t>竞争力，聚焦银行全设备维保需求，坚定落实</w:t>
      </w:r>
      <w:r>
        <w:rPr>
          <w:rFonts w:ascii="Times New Roman" w:hAnsi="Times New Roman" w:cs="Times New Roman" w:eastAsia="Times New Roman" w:hint="default"/>
          <w:spacing w:val="-2"/>
        </w:rPr>
        <w:t>“</w:t>
      </w:r>
      <w:r>
        <w:rPr>
          <w:spacing w:val="-2"/>
        </w:rPr>
        <w:t>保存量、拓增量</w:t>
      </w:r>
      <w:r>
        <w:rPr>
          <w:rFonts w:ascii="Times New Roman" w:hAnsi="Times New Roman" w:cs="Times New Roman" w:eastAsia="Times New Roman" w:hint="default"/>
          <w:spacing w:val="-2"/>
        </w:rPr>
        <w:t>”</w:t>
      </w:r>
      <w:r>
        <w:rPr>
          <w:spacing w:val="-2"/>
        </w:rPr>
        <w:t>经营策略，重点推进全品牌战略布局落地，获工行、农行服</w:t>
      </w:r>
      <w:r>
        <w:rPr>
          <w:spacing w:val="-45"/>
        </w:rPr>
        <w:t> </w:t>
      </w:r>
      <w:r>
        <w:rPr>
          <w:spacing w:val="-45"/>
        </w:rPr>
      </w:r>
      <w:r>
        <w:rPr/>
        <w:t>务入围，并利用全设备云平台拓展多品牌业务，在用维保设备总量超过</w:t>
      </w:r>
      <w:r>
        <w:rPr>
          <w:rFonts w:ascii="Times New Roman" w:hAnsi="Times New Roman" w:cs="Times New Roman" w:eastAsia="Times New Roman" w:hint="default"/>
        </w:rPr>
        <w:t>25</w:t>
      </w:r>
      <w:r>
        <w:rPr/>
        <w:t>万台，行业龙头地位得到进一步巩固。</w:t>
      </w:r>
    </w:p>
    <w:p>
      <w:pPr>
        <w:spacing w:line="240" w:lineRule="auto" w:before="6"/>
        <w:rPr>
          <w:rFonts w:ascii="宋体" w:hAnsi="宋体" w:cs="宋体" w:eastAsia="宋体" w:hint="default"/>
          <w:sz w:val="12"/>
          <w:szCs w:val="12"/>
        </w:rPr>
      </w:pPr>
    </w:p>
    <w:p>
      <w:pPr>
        <w:pStyle w:val="BodyText"/>
        <w:spacing w:line="300" w:lineRule="auto"/>
        <w:ind w:right="1132" w:firstLine="360"/>
        <w:jc w:val="both"/>
      </w:pPr>
      <w:r>
        <w:rPr/>
        <w:t>线上服务：控股公司平云小匠创新性地打造了一个智能设备共享型服务平台，搭建了</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服务</w:t>
      </w:r>
      <w:r>
        <w:rPr>
          <w:rFonts w:ascii="Times New Roman" w:hAnsi="Times New Roman" w:cs="Times New Roman" w:eastAsia="Times New Roman" w:hint="default"/>
        </w:rPr>
        <w:t>”</w:t>
      </w:r>
      <w:r>
        <w:rPr/>
        <w:t>线上平台，构建了 智能设备领域服务生态圈，现已拥有超过</w:t>
      </w:r>
      <w:r>
        <w:rPr>
          <w:rFonts w:ascii="Times New Roman" w:hAnsi="Times New Roman" w:cs="Times New Roman" w:eastAsia="Times New Roman" w:hint="default"/>
        </w:rPr>
        <w:t>6</w:t>
      </w:r>
      <w:r>
        <w:rPr/>
        <w:t>万名网络认证工程师，覆盖国内</w:t>
      </w:r>
      <w:r>
        <w:rPr>
          <w:rFonts w:ascii="Times New Roman" w:hAnsi="Times New Roman" w:cs="Times New Roman" w:eastAsia="Times New Roman" w:hint="default"/>
        </w:rPr>
        <w:t>337</w:t>
      </w:r>
      <w:r>
        <w:rPr/>
        <w:t>个城市，加盟服务商近</w:t>
      </w:r>
      <w:r>
        <w:rPr>
          <w:rFonts w:ascii="Times New Roman" w:hAnsi="Times New Roman" w:cs="Times New Roman" w:eastAsia="Times New Roman" w:hint="default"/>
        </w:rPr>
        <w:t>2,000</w:t>
      </w:r>
      <w:r>
        <w:rPr/>
        <w:t>家，全面聚焦自 助设备、商业显示、</w:t>
      </w:r>
      <w:r>
        <w:rPr>
          <w:rFonts w:ascii="Times New Roman" w:hAnsi="Times New Roman" w:cs="Times New Roman" w:eastAsia="Times New Roman" w:hint="default"/>
        </w:rPr>
        <w:t>IT</w:t>
      </w:r>
      <w:r>
        <w:rPr/>
        <w:t>网络、智能物联、信息通信等六大方向。平云小匠</w:t>
      </w:r>
      <w:r>
        <w:rPr>
          <w:rFonts w:ascii="Times New Roman" w:hAnsi="Times New Roman" w:cs="Times New Roman" w:eastAsia="Times New Roman" w:hint="default"/>
        </w:rPr>
        <w:t>“B2B2C</w:t>
      </w:r>
      <w:r>
        <w:rPr/>
        <w:t>智能设备售后服务平台</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的商业模式得到 </w:t>
      </w:r>
      <w:r>
        <w:rPr>
          <w:spacing w:val="-2"/>
        </w:rPr>
        <w:t>了充分验证，服务工单量累积超过</w:t>
      </w:r>
      <w:r>
        <w:rPr>
          <w:rFonts w:ascii="Times New Roman" w:hAnsi="Times New Roman" w:cs="Times New Roman" w:eastAsia="Times New Roman" w:hint="default"/>
          <w:spacing w:val="-2"/>
        </w:rPr>
        <w:t>120</w:t>
      </w:r>
      <w:r>
        <w:rPr>
          <w:spacing w:val="-2"/>
        </w:rPr>
        <w:t>万张，客户数量超过</w:t>
      </w:r>
      <w:r>
        <w:rPr>
          <w:rFonts w:ascii="Times New Roman" w:hAnsi="Times New Roman" w:cs="Times New Roman" w:eastAsia="Times New Roman" w:hint="default"/>
          <w:spacing w:val="-2"/>
        </w:rPr>
        <w:t>500</w:t>
      </w:r>
      <w:r>
        <w:rPr>
          <w:spacing w:val="-2"/>
        </w:rPr>
        <w:t>家，先后与行业头部客户达成战略合作，助力</w:t>
      </w:r>
      <w:r>
        <w:rPr>
          <w:rFonts w:ascii="Times New Roman" w:hAnsi="Times New Roman" w:cs="Times New Roman" w:eastAsia="Times New Roman" w:hint="default"/>
          <w:spacing w:val="-2"/>
        </w:rPr>
        <w:t>3000</w:t>
      </w:r>
      <w:r>
        <w:rPr>
          <w:spacing w:val="-2"/>
        </w:rPr>
        <w:t>多所偏远地</w:t>
      </w:r>
      <w:r>
        <w:rPr>
          <w:spacing w:val="-62"/>
        </w:rPr>
        <w:t> </w:t>
      </w:r>
      <w:r>
        <w:rPr>
          <w:spacing w:val="-2"/>
        </w:rPr>
        <w:t>区学校课室和</w:t>
      </w:r>
      <w:r>
        <w:rPr>
          <w:rFonts w:ascii="Times New Roman" w:hAnsi="Times New Roman" w:cs="Times New Roman" w:eastAsia="Times New Roman" w:hint="default"/>
          <w:spacing w:val="-2"/>
        </w:rPr>
        <w:t>2</w:t>
      </w:r>
      <w:r>
        <w:rPr>
          <w:spacing w:val="-2"/>
        </w:rPr>
        <w:t>万多间保障性住房完成智能化改造，成功承接建设银行网络灾备等</w:t>
      </w:r>
      <w:r>
        <w:rPr>
          <w:rFonts w:ascii="Times New Roman" w:hAnsi="Times New Roman" w:cs="Times New Roman" w:eastAsia="Times New Roman" w:hint="default"/>
          <w:spacing w:val="-2"/>
        </w:rPr>
        <w:t>IT</w:t>
      </w:r>
      <w:r>
        <w:rPr>
          <w:spacing w:val="-2"/>
        </w:rPr>
        <w:t>网络运维项目。</w:t>
      </w:r>
      <w:r>
        <w:rPr>
          <w:rFonts w:ascii="Times New Roman" w:hAnsi="Times New Roman" w:cs="Times New Roman" w:eastAsia="Times New Roman" w:hint="default"/>
          <w:spacing w:val="-2"/>
        </w:rPr>
        <w:t>2020</w:t>
      </w:r>
      <w:r>
        <w:rPr>
          <w:spacing w:val="-2"/>
        </w:rPr>
        <w:t>年</w:t>
      </w:r>
      <w:r>
        <w:rPr>
          <w:rFonts w:ascii="Times New Roman" w:hAnsi="Times New Roman" w:cs="Times New Roman" w:eastAsia="Times New Roman" w:hint="default"/>
          <w:spacing w:val="-2"/>
        </w:rPr>
        <w:t>1</w:t>
      </w:r>
      <w:r>
        <w:rPr>
          <w:spacing w:val="-2"/>
        </w:rPr>
        <w:t>月，平云小匠启</w:t>
      </w:r>
      <w:r>
        <w:rPr>
          <w:spacing w:val="-49"/>
        </w:rPr>
        <w:t> </w:t>
      </w:r>
      <w:r>
        <w:rPr>
          <w:spacing w:val="-49"/>
        </w:rPr>
      </w:r>
      <w:r>
        <w:rPr/>
        <w:t>动第一轮外部融资，引入战略投资者，持续开展</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服务</w:t>
      </w:r>
      <w:r>
        <w:rPr>
          <w:rFonts w:ascii="Times New Roman" w:hAnsi="Times New Roman" w:cs="Times New Roman" w:eastAsia="Times New Roman" w:hint="default"/>
        </w:rPr>
        <w:t>”</w:t>
      </w:r>
      <w:r>
        <w:rPr/>
        <w:t>线上平台建设，不断推动平云小匠做大做强。</w:t>
      </w:r>
    </w:p>
    <w:p>
      <w:pPr>
        <w:spacing w:line="240" w:lineRule="auto" w:before="12"/>
        <w:rPr>
          <w:rFonts w:ascii="宋体" w:hAnsi="宋体" w:cs="宋体" w:eastAsia="宋体" w:hint="default"/>
          <w:sz w:val="12"/>
          <w:szCs w:val="12"/>
        </w:rPr>
      </w:pPr>
    </w:p>
    <w:p>
      <w:pPr>
        <w:pStyle w:val="BodyText"/>
        <w:spacing w:line="240" w:lineRule="auto"/>
        <w:ind w:left="472" w:right="1394"/>
        <w:jc w:val="left"/>
      </w:pPr>
      <w:r>
        <w:rPr/>
        <w:t>（</w:t>
      </w:r>
      <w:r>
        <w:rPr>
          <w:rFonts w:ascii="Times New Roman" w:hAnsi="Times New Roman" w:cs="Times New Roman" w:eastAsia="Times New Roman" w:hint="default"/>
        </w:rPr>
        <w:t>2</w:t>
      </w:r>
      <w:r>
        <w:rPr/>
        <w:t>）积极搭建云平台，智能便民稳中有进</w:t>
      </w:r>
    </w:p>
    <w:p>
      <w:pPr>
        <w:spacing w:line="240" w:lineRule="auto" w:before="9"/>
        <w:rPr>
          <w:rFonts w:ascii="宋体" w:hAnsi="宋体" w:cs="宋体" w:eastAsia="宋体" w:hint="default"/>
          <w:sz w:val="16"/>
          <w:szCs w:val="16"/>
        </w:rPr>
      </w:pPr>
    </w:p>
    <w:p>
      <w:pPr>
        <w:pStyle w:val="BodyText"/>
        <w:spacing w:line="309" w:lineRule="auto"/>
        <w:ind w:right="1132" w:firstLine="360"/>
        <w:jc w:val="both"/>
      </w:pPr>
      <w:r>
        <w:rPr>
          <w:rFonts w:ascii="Times New Roman" w:hAnsi="Times New Roman" w:cs="Times New Roman" w:eastAsia="Times New Roman" w:hint="default"/>
        </w:rPr>
        <w:t>AI+</w:t>
      </w:r>
      <w:r>
        <w:rPr/>
        <w:t>新零售：目前国内自动售货市场进入爆发期。据艾瑞咨询测算，预计到</w:t>
      </w:r>
      <w:r>
        <w:rPr>
          <w:rFonts w:ascii="Times New Roman" w:hAnsi="Times New Roman" w:cs="Times New Roman" w:eastAsia="Times New Roman" w:hint="default"/>
        </w:rPr>
        <w:t>2020</w:t>
      </w:r>
      <w:r>
        <w:rPr/>
        <w:t>年，自动售货机零售额将突破</w:t>
      </w:r>
      <w:r>
        <w:rPr>
          <w:rFonts w:ascii="Times New Roman" w:hAnsi="Times New Roman" w:cs="Times New Roman" w:eastAsia="Times New Roman" w:hint="default"/>
        </w:rPr>
        <w:t>480</w:t>
      </w:r>
      <w:r>
        <w:rPr/>
        <w:t>亿， 复合增长率</w:t>
      </w:r>
      <w:r>
        <w:rPr>
          <w:rFonts w:ascii="Times New Roman" w:hAnsi="Times New Roman" w:cs="Times New Roman" w:eastAsia="Times New Roman" w:hint="default"/>
        </w:rPr>
        <w:t>37%</w:t>
      </w:r>
      <w:r>
        <w:rPr/>
        <w:t>。公司投资设立的运通购快，依托金融客户优势资源，成功开拓</w:t>
      </w:r>
      <w:r>
        <w:rPr>
          <w:rFonts w:ascii="Times New Roman" w:hAnsi="Times New Roman" w:cs="Times New Roman" w:eastAsia="Times New Roman" w:hint="default"/>
        </w:rPr>
        <w:t>“</w:t>
      </w:r>
      <w:r>
        <w:rPr/>
        <w:t>金融</w:t>
      </w:r>
      <w:r>
        <w:rPr>
          <w:rFonts w:ascii="Times New Roman" w:hAnsi="Times New Roman" w:cs="Times New Roman" w:eastAsia="Times New Roman" w:hint="default"/>
        </w:rPr>
        <w:t>+</w:t>
      </w:r>
      <w:r>
        <w:rPr/>
        <w:t>零售</w:t>
      </w:r>
      <w:r>
        <w:rPr>
          <w:rFonts w:ascii="Times New Roman" w:hAnsi="Times New Roman" w:cs="Times New Roman" w:eastAsia="Times New Roman" w:hint="default"/>
        </w:rPr>
        <w:t>”</w:t>
      </w:r>
      <w:r>
        <w:rPr/>
        <w:t>场景。同时，加速点位拓展与 </w:t>
      </w:r>
      <w:r>
        <w:rPr>
          <w:spacing w:val="-2"/>
        </w:rPr>
        <w:t>设备布放，公司在网点规模、点位布局及技术上有竞争优势，商品集采力度进一步加强，处于行业第一梯队。智能零售设备</w:t>
      </w:r>
      <w:r>
        <w:rPr>
          <w:spacing w:val="-65"/>
        </w:rPr>
        <w:t> </w:t>
      </w:r>
      <w:r>
        <w:rPr>
          <w:spacing w:val="-65"/>
        </w:rPr>
      </w:r>
      <w:r>
        <w:rPr>
          <w:spacing w:val="-2"/>
        </w:rPr>
        <w:t>在广东建行、珠海工行、中山中行先后上线，还接连拿下多个大型项目。目前公司的智能零售终端布放量近万台，遍布全国</w:t>
      </w:r>
      <w:r>
        <w:rPr>
          <w:spacing w:val="-65"/>
        </w:rPr>
        <w:t> </w:t>
      </w:r>
      <w:r>
        <w:rPr>
          <w:spacing w:val="-65"/>
        </w:rPr>
      </w:r>
      <w:r>
        <w:rPr>
          <w:rFonts w:ascii="Times New Roman" w:hAnsi="Times New Roman" w:cs="Times New Roman" w:eastAsia="Times New Roman" w:hint="default"/>
        </w:rPr>
        <w:t>400</w:t>
      </w:r>
      <w:r>
        <w:rPr/>
        <w:t>个城市，合作运营商及供应商等近百家，已完成队伍组建磨合、业务流程打造，初步探索出适合业务健康长远发展的轻</w:t>
      </w:r>
    </w:p>
    <w:p>
      <w:pPr>
        <w:spacing w:after="0" w:line="309" w:lineRule="auto"/>
        <w:jc w:val="both"/>
        <w:sectPr>
          <w:pgSz w:w="11910" w:h="16840"/>
          <w:pgMar w:header="878" w:footer="978" w:top="1100" w:bottom="1160" w:left="1020" w:right="0"/>
        </w:sectPr>
      </w:pPr>
    </w:p>
    <w:p>
      <w:pPr>
        <w:spacing w:line="240" w:lineRule="auto" w:before="1"/>
        <w:rPr>
          <w:rFonts w:ascii="宋体" w:hAnsi="宋体" w:cs="宋体" w:eastAsia="宋体" w:hint="default"/>
          <w:sz w:val="22"/>
          <w:szCs w:val="22"/>
        </w:rPr>
      </w:pPr>
    </w:p>
    <w:p>
      <w:pPr>
        <w:pStyle w:val="BodyText"/>
        <w:spacing w:line="309" w:lineRule="auto" w:before="44"/>
        <w:ind w:right="1132"/>
        <w:jc w:val="both"/>
      </w:pPr>
      <w:r>
        <w:rPr>
          <w:spacing w:val="-2"/>
        </w:rPr>
        <w:t>资产运营模式，自主开发新零售运营平台，兼容行业主流机型，对接</w:t>
      </w:r>
      <w:r>
        <w:rPr>
          <w:rFonts w:ascii="Times New Roman" w:hAnsi="Times New Roman" w:cs="Times New Roman" w:eastAsia="Times New Roman" w:hint="default"/>
          <w:spacing w:val="-2"/>
        </w:rPr>
        <w:t>26</w:t>
      </w:r>
      <w:r>
        <w:rPr>
          <w:spacing w:val="-2"/>
        </w:rPr>
        <w:t>种金融支付工具，可搭载各类增值业务模块，显著提</w:t>
      </w:r>
      <w:r>
        <w:rPr>
          <w:spacing w:val="-64"/>
        </w:rPr>
        <w:t> </w:t>
      </w:r>
      <w:r>
        <w:rPr>
          <w:spacing w:val="-64"/>
        </w:rPr>
      </w:r>
      <w:r>
        <w:rPr>
          <w:spacing w:val="-2"/>
        </w:rPr>
        <w:t>升了平台运营效益。公司将继续优化点位质量与场景策略，大力开拓金融优质点位，夯实运营基础，完善平台建设，提升精</w:t>
      </w:r>
      <w:r>
        <w:rPr>
          <w:spacing w:val="-65"/>
        </w:rPr>
        <w:t> </w:t>
      </w:r>
      <w:r>
        <w:rPr>
          <w:spacing w:val="-65"/>
        </w:rPr>
      </w:r>
      <w:r>
        <w:rPr/>
        <w:t>细化运营水平。</w:t>
      </w:r>
    </w:p>
    <w:p>
      <w:pPr>
        <w:pStyle w:val="BodyText"/>
        <w:spacing w:line="468" w:lineRule="exact" w:before="16"/>
        <w:ind w:left="472" w:right="1120"/>
        <w:jc w:val="left"/>
      </w:pPr>
      <w:r>
        <w:rPr>
          <w:rFonts w:ascii="Times New Roman" w:hAnsi="Times New Roman" w:cs="Times New Roman" w:eastAsia="Times New Roman" w:hint="default"/>
          <w:b/>
          <w:bCs/>
        </w:rPr>
        <w:t>5</w:t>
      </w:r>
      <w:r>
        <w:rPr>
          <w:rFonts w:ascii="宋体" w:hAnsi="宋体" w:cs="宋体" w:eastAsia="宋体" w:hint="default"/>
          <w:b/>
          <w:bCs/>
        </w:rPr>
        <w:t>、海外事业群</w:t>
      </w:r>
      <w:r>
        <w:rPr>
          <w:rFonts w:ascii="宋体" w:hAnsi="宋体" w:cs="宋体" w:eastAsia="宋体" w:hint="default"/>
          <w:b/>
          <w:bCs/>
          <w:w w:val="99"/>
        </w:rPr>
        <w:t> </w:t>
      </w:r>
      <w:r>
        <w:rPr>
          <w:spacing w:val="-4"/>
        </w:rPr>
        <w:t>基于全球化发展战略，公司已建立九大国际分支机构，国际业务呈现多点并进的态势。报告期内，运通国际紧紧围绕</w:t>
      </w:r>
      <w:r>
        <w:rPr>
          <w:rFonts w:ascii="Times New Roman" w:hAnsi="Times New Roman" w:cs="Times New Roman" w:eastAsia="Times New Roman" w:hint="default"/>
          <w:spacing w:val="-4"/>
        </w:rPr>
        <w:t>“</w:t>
      </w:r>
      <w:r>
        <w:rPr>
          <w:spacing w:val="-4"/>
        </w:rPr>
        <w:t>开</w:t>
      </w:r>
    </w:p>
    <w:p>
      <w:pPr>
        <w:pStyle w:val="BodyText"/>
        <w:spacing w:line="309" w:lineRule="auto" w:before="8"/>
        <w:ind w:right="0"/>
        <w:jc w:val="left"/>
      </w:pPr>
      <w:r>
        <w:rPr/>
        <w:t>拓创新</w:t>
      </w:r>
      <w:r>
        <w:rPr>
          <w:rFonts w:ascii="Times New Roman" w:hAnsi="Times New Roman" w:cs="Times New Roman" w:eastAsia="Times New Roman" w:hint="default"/>
        </w:rPr>
        <w:t>•AI</w:t>
      </w:r>
      <w:r>
        <w:rPr/>
        <w:t>赋能</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推动</w:t>
      </w:r>
      <w:r>
        <w:rPr>
          <w:rFonts w:ascii="Times New Roman" w:hAnsi="Times New Roman" w:cs="Times New Roman" w:eastAsia="Times New Roman" w:hint="default"/>
        </w:rPr>
        <w:t>AIOT</w:t>
      </w:r>
      <w:r>
        <w:rPr/>
        <w:t>协同发展</w:t>
      </w:r>
      <w:r>
        <w:rPr>
          <w:rFonts w:ascii="Times New Roman" w:hAnsi="Times New Roman" w:cs="Times New Roman" w:eastAsia="Times New Roman" w:hint="default"/>
        </w:rPr>
        <w:t>”</w:t>
      </w:r>
      <w:r>
        <w:rPr/>
        <w:t>的发展主题，积极加大对空白客户和空白市场的开拓，持续完善本地化销售、技术支 </w:t>
      </w:r>
      <w:r>
        <w:rPr>
          <w:spacing w:val="-2"/>
        </w:rPr>
        <w:t>持和服务网络，取得了较好的市场效果和突破；同时，加快网点转型产品的落地和推广，助力越南、俄罗斯、土耳其、新加</w:t>
      </w:r>
      <w:r>
        <w:rPr>
          <w:spacing w:val="-64"/>
        </w:rPr>
        <w:t> </w:t>
      </w:r>
      <w:r>
        <w:rPr>
          <w:spacing w:val="-64"/>
        </w:rPr>
      </w:r>
      <w:r>
        <w:rPr>
          <w:spacing w:val="-2"/>
        </w:rPr>
        <w:t>坡、泰国、阿根廷、墨西哥、香港等国家和地区的智能金融服务快速升级和转型，为后续业务拓展开辟了新的增长空间。全</w:t>
      </w:r>
      <w:r>
        <w:rPr>
          <w:spacing w:val="-66"/>
        </w:rPr>
        <w:t> </w:t>
      </w:r>
      <w:r>
        <w:rPr>
          <w:spacing w:val="-66"/>
        </w:rPr>
      </w:r>
      <w:r>
        <w:rPr>
          <w:spacing w:val="-2"/>
        </w:rPr>
        <w:t>年在全球经济下行，行业发展趋缓，中美贸易战以及全球新兴市场货币严重贬值等不利情况下，新签合同额超</w:t>
      </w:r>
      <w:r>
        <w:rPr>
          <w:rFonts w:ascii="Times New Roman" w:hAnsi="Times New Roman" w:cs="Times New Roman" w:eastAsia="Times New Roman" w:hint="default"/>
          <w:spacing w:val="-2"/>
        </w:rPr>
        <w:t>8</w:t>
      </w:r>
      <w:r>
        <w:rPr>
          <w:spacing w:val="-2"/>
        </w:rPr>
        <w:t>亿元人民币，</w:t>
      </w:r>
      <w:r>
        <w:rPr>
          <w:spacing w:val="-62"/>
        </w:rPr>
        <w:t> </w:t>
      </w:r>
      <w:r>
        <w:rPr/>
        <w:t>为后续的全球化持续拓展夯实了基础。</w:t>
      </w:r>
    </w:p>
    <w:p>
      <w:pPr>
        <w:spacing w:line="240" w:lineRule="auto" w:before="10"/>
        <w:rPr>
          <w:rFonts w:ascii="宋体" w:hAnsi="宋体" w:cs="宋体" w:eastAsia="宋体" w:hint="default"/>
          <w:sz w:val="13"/>
          <w:szCs w:val="13"/>
        </w:rPr>
      </w:pPr>
    </w:p>
    <w:p>
      <w:pPr>
        <w:pStyle w:val="Heading6"/>
        <w:spacing w:line="240" w:lineRule="auto"/>
        <w:ind w:right="1394"/>
        <w:jc w:val="left"/>
        <w:rPr>
          <w:b w:val="0"/>
          <w:bCs w:val="0"/>
        </w:rPr>
      </w:pPr>
      <w:r>
        <w:rPr/>
        <w:t>（三）</w:t>
      </w:r>
      <w:r>
        <w:rPr>
          <w:rFonts w:ascii="Times New Roman" w:hAnsi="Times New Roman" w:cs="Times New Roman" w:eastAsia="Times New Roman" w:hint="default"/>
        </w:rPr>
        <w:t>AI</w:t>
      </w:r>
      <w:r>
        <w:rPr/>
        <w:t>技术体系不断完善，关键核心技术取得突破</w:t>
      </w:r>
      <w:r>
        <w:rPr>
          <w:b w:val="0"/>
          <w:bCs w:val="0"/>
        </w:rPr>
      </w:r>
    </w:p>
    <w:p>
      <w:pPr>
        <w:spacing w:line="240" w:lineRule="auto" w:before="9"/>
        <w:rPr>
          <w:rFonts w:ascii="宋体" w:hAnsi="宋体" w:cs="宋体" w:eastAsia="宋体" w:hint="default"/>
          <w:b/>
          <w:bCs/>
          <w:sz w:val="16"/>
          <w:szCs w:val="16"/>
        </w:rPr>
      </w:pPr>
    </w:p>
    <w:p>
      <w:pPr>
        <w:pStyle w:val="BodyText"/>
        <w:spacing w:line="240" w:lineRule="auto"/>
        <w:ind w:left="472" w:right="0"/>
        <w:jc w:val="left"/>
        <w:rPr>
          <w:rFonts w:ascii="Times New Roman" w:hAnsi="Times New Roman" w:cs="Times New Roman" w:eastAsia="Times New Roman" w:hint="default"/>
        </w:rPr>
      </w:pPr>
      <w:r>
        <w:rPr>
          <w:rFonts w:ascii="Times New Roman" w:hAnsi="Times New Roman" w:cs="Times New Roman" w:eastAsia="Times New Roman" w:hint="default"/>
        </w:rPr>
        <w:t>1</w:t>
      </w:r>
      <w:r>
        <w:rPr/>
        <w:t>、公司自主研发的企业级</w:t>
      </w:r>
      <w:r>
        <w:rPr>
          <w:rFonts w:ascii="Times New Roman" w:hAnsi="Times New Roman" w:cs="Times New Roman" w:eastAsia="Times New Roman" w:hint="default"/>
        </w:rPr>
        <w:t>AI</w:t>
      </w:r>
      <w:r>
        <w:rPr/>
        <w:t>大数据平台</w:t>
      </w:r>
      <w:r>
        <w:rPr>
          <w:rFonts w:ascii="Times New Roman" w:hAnsi="Times New Roman" w:cs="Times New Roman" w:eastAsia="Times New Roman" w:hint="default"/>
        </w:rPr>
        <w:t>aiCore system</w:t>
      </w:r>
      <w:r>
        <w:rPr/>
        <w:t>完成了三个版本的迭代开发，达到商用要求。基于</w:t>
      </w:r>
      <w:r>
        <w:rPr>
          <w:rFonts w:ascii="Times New Roman" w:hAnsi="Times New Roman" w:cs="Times New Roman" w:eastAsia="Times New Roman" w:hint="default"/>
        </w:rPr>
        <w:t>aiCore</w:t>
      </w:r>
      <w:r>
        <w:rPr>
          <w:rFonts w:ascii="Times New Roman" w:hAnsi="Times New Roman" w:cs="Times New Roman" w:eastAsia="Times New Roman" w:hint="default"/>
          <w:spacing w:val="-13"/>
        </w:rPr>
        <w:t> </w:t>
      </w:r>
      <w:r>
        <w:rPr>
          <w:rFonts w:ascii="Times New Roman" w:hAnsi="Times New Roman" w:cs="Times New Roman" w:eastAsia="Times New Roman" w:hint="default"/>
        </w:rPr>
        <w:t>system</w:t>
      </w:r>
    </w:p>
    <w:p>
      <w:pPr>
        <w:pStyle w:val="BodyText"/>
        <w:spacing w:line="240" w:lineRule="auto" w:before="63"/>
        <w:ind w:right="1394"/>
        <w:jc w:val="left"/>
      </w:pPr>
      <w:r>
        <w:rPr/>
        <w:t>的数据解决方案在金融、交通、便民三个领域获得案例突破，分别在多个场景实现应用落地。</w:t>
      </w:r>
    </w:p>
    <w:p>
      <w:pPr>
        <w:spacing w:line="240" w:lineRule="auto" w:before="10"/>
        <w:rPr>
          <w:rFonts w:ascii="宋体" w:hAnsi="宋体" w:cs="宋体" w:eastAsia="宋体" w:hint="default"/>
          <w:sz w:val="17"/>
          <w:szCs w:val="17"/>
        </w:rPr>
      </w:pPr>
    </w:p>
    <w:p>
      <w:pPr>
        <w:pStyle w:val="BodyText"/>
        <w:spacing w:line="300" w:lineRule="auto"/>
        <w:ind w:right="1124" w:firstLine="360"/>
        <w:jc w:val="left"/>
      </w:pPr>
      <w:r>
        <w:rPr>
          <w:rFonts w:ascii="Times New Roman" w:hAnsi="Times New Roman" w:cs="Times New Roman" w:eastAsia="Times New Roman" w:hint="default"/>
        </w:rPr>
        <w:t>2</w:t>
      </w:r>
      <w:r>
        <w:rPr/>
        <w:t>、算法等通用技术不断完善。完成小型指静脉模块研发及小批量试制，新拓展智能门锁、考勤系统等多个指静脉应用 场景。完成智能视频第一期开发，推进智能视频算法在保险、安全、交通及便民领域的应用。</w:t>
      </w:r>
    </w:p>
    <w:p>
      <w:pPr>
        <w:spacing w:line="240" w:lineRule="auto" w:before="4"/>
        <w:rPr>
          <w:rFonts w:ascii="宋体" w:hAnsi="宋体" w:cs="宋体" w:eastAsia="宋体" w:hint="default"/>
          <w:sz w:val="14"/>
          <w:szCs w:val="14"/>
        </w:rPr>
      </w:pPr>
    </w:p>
    <w:p>
      <w:pPr>
        <w:pStyle w:val="BodyText"/>
        <w:spacing w:line="240" w:lineRule="auto"/>
        <w:ind w:left="472" w:right="1394"/>
        <w:jc w:val="left"/>
      </w:pPr>
      <w:r>
        <w:rPr>
          <w:rFonts w:ascii="Times New Roman" w:hAnsi="Times New Roman" w:cs="Times New Roman" w:eastAsia="Times New Roman" w:hint="default"/>
        </w:rPr>
        <w:t>3</w:t>
      </w:r>
      <w:r>
        <w:rPr/>
        <w:t>、各专业研究院重点围绕业务场景需求，有序开展技术应用研究及行业产品及解决方案研发，其中：</w:t>
      </w:r>
    </w:p>
    <w:p>
      <w:pPr>
        <w:spacing w:line="240" w:lineRule="auto" w:before="9"/>
        <w:rPr>
          <w:rFonts w:ascii="宋体" w:hAnsi="宋体" w:cs="宋体" w:eastAsia="宋体" w:hint="default"/>
          <w:sz w:val="16"/>
          <w:szCs w:val="16"/>
        </w:rPr>
      </w:pPr>
    </w:p>
    <w:p>
      <w:pPr>
        <w:pStyle w:val="BodyText"/>
        <w:spacing w:line="300" w:lineRule="auto"/>
        <w:ind w:right="1132" w:firstLine="360"/>
        <w:jc w:val="both"/>
      </w:pPr>
      <w:r>
        <w:rPr/>
        <w:t>（</w:t>
      </w:r>
      <w:r>
        <w:rPr>
          <w:rFonts w:ascii="Times New Roman" w:hAnsi="Times New Roman" w:cs="Times New Roman" w:eastAsia="Times New Roman" w:hint="default"/>
        </w:rPr>
        <w:t>1</w:t>
      </w:r>
      <w:r>
        <w:rPr/>
        <w:t>）智能金融研究院重点推进网点大额设备、智能非现设备、平安对公业务一体化设备等创新产品，票据、加密触摸 </w:t>
      </w:r>
      <w:r>
        <w:rPr>
          <w:spacing w:val="-1"/>
        </w:rPr>
        <w:t>屏等模块产品以及机芯产品的研发支持及技术攻关，软件方面主要完成</w:t>
      </w:r>
      <w:r>
        <w:rPr>
          <w:rFonts w:ascii="Times New Roman" w:hAnsi="Times New Roman" w:cs="Times New Roman" w:eastAsia="Times New Roman" w:hint="default"/>
          <w:spacing w:val="-1"/>
        </w:rPr>
        <w:t>iBank</w:t>
      </w:r>
      <w:r>
        <w:rPr>
          <w:spacing w:val="-1"/>
        </w:rPr>
        <w:t>、</w:t>
      </w:r>
      <w:r>
        <w:rPr>
          <w:rFonts w:ascii="Times New Roman" w:hAnsi="Times New Roman" w:cs="Times New Roman" w:eastAsia="Times New Roman" w:hint="default"/>
          <w:spacing w:val="-1"/>
        </w:rPr>
        <w:t>iManager</w:t>
      </w:r>
      <w:r>
        <w:rPr>
          <w:spacing w:val="-1"/>
        </w:rPr>
        <w:t>、</w:t>
      </w:r>
      <w:r>
        <w:rPr>
          <w:rFonts w:ascii="Times New Roman" w:hAnsi="Times New Roman" w:cs="Times New Roman" w:eastAsia="Times New Roman" w:hint="default"/>
          <w:spacing w:val="-1"/>
        </w:rPr>
        <w:t>iChannel</w:t>
      </w:r>
      <w:r>
        <w:rPr>
          <w:spacing w:val="-1"/>
        </w:rPr>
        <w:t>等产品研发，金融软件实</w:t>
      </w:r>
      <w:r>
        <w:rPr>
          <w:spacing w:val="-86"/>
        </w:rPr>
        <w:t> </w:t>
      </w:r>
      <w:r>
        <w:rPr>
          <w:spacing w:val="-86"/>
        </w:rPr>
      </w:r>
      <w:r>
        <w:rPr/>
        <w:t>施能力持续提升。</w:t>
      </w:r>
    </w:p>
    <w:p>
      <w:pPr>
        <w:spacing w:line="240" w:lineRule="auto" w:before="4"/>
        <w:rPr>
          <w:rFonts w:ascii="宋体" w:hAnsi="宋体" w:cs="宋体" w:eastAsia="宋体" w:hint="default"/>
          <w:sz w:val="14"/>
          <w:szCs w:val="14"/>
        </w:rPr>
      </w:pPr>
    </w:p>
    <w:p>
      <w:pPr>
        <w:pStyle w:val="BodyText"/>
        <w:spacing w:line="300" w:lineRule="auto"/>
        <w:ind w:right="1024" w:firstLine="360"/>
        <w:jc w:val="left"/>
      </w:pPr>
      <w:r>
        <w:rPr/>
        <w:t>（</w:t>
      </w:r>
      <w:r>
        <w:rPr>
          <w:rFonts w:ascii="Times New Roman" w:hAnsi="Times New Roman" w:cs="Times New Roman" w:eastAsia="Times New Roman" w:hint="default"/>
        </w:rPr>
        <w:t>2</w:t>
      </w:r>
      <w:r>
        <w:rPr/>
        <w:t>）智能安全研究院重点推进城市安全计算平台</w:t>
      </w:r>
      <w:r>
        <w:rPr>
          <w:rFonts w:ascii="Times New Roman" w:hAnsi="Times New Roman" w:cs="Times New Roman" w:eastAsia="Times New Roman" w:hint="default"/>
        </w:rPr>
        <w:t>4</w:t>
      </w:r>
      <w:r>
        <w:rPr/>
        <w:t>个系列</w:t>
      </w:r>
      <w:r>
        <w:rPr>
          <w:rFonts w:ascii="Times New Roman" w:hAnsi="Times New Roman" w:cs="Times New Roman" w:eastAsia="Times New Roman" w:hint="default"/>
        </w:rPr>
        <w:t>12</w:t>
      </w:r>
      <w:r>
        <w:rPr/>
        <w:t>款产品的研发，包含</w:t>
      </w:r>
      <w:r>
        <w:rPr>
          <w:rFonts w:ascii="Times New Roman" w:hAnsi="Times New Roman" w:cs="Times New Roman" w:eastAsia="Times New Roman" w:hint="default"/>
        </w:rPr>
        <w:t>AI</w:t>
      </w:r>
      <w:r>
        <w:rPr/>
        <w:t>视觉计算中台、车辆智能分析平台、</w:t>
      </w:r>
      <w:r>
        <w:rPr>
          <w:w w:val="99"/>
        </w:rPr>
        <w:t> </w:t>
      </w:r>
      <w:r>
        <w:rPr/>
        <w:t>视频物联网平台、园区智慧脑、智能视频门禁终端、车牌识别摄像机、智感安防大脑、视图库等。</w:t>
      </w:r>
    </w:p>
    <w:p>
      <w:pPr>
        <w:spacing w:line="240" w:lineRule="auto" w:before="4"/>
        <w:rPr>
          <w:rFonts w:ascii="宋体" w:hAnsi="宋体" w:cs="宋体" w:eastAsia="宋体" w:hint="default"/>
          <w:sz w:val="14"/>
          <w:szCs w:val="14"/>
        </w:rPr>
      </w:pPr>
    </w:p>
    <w:p>
      <w:pPr>
        <w:pStyle w:val="BodyText"/>
        <w:spacing w:line="300" w:lineRule="auto"/>
        <w:ind w:right="1124" w:firstLine="360"/>
        <w:jc w:val="left"/>
      </w:pPr>
      <w:r>
        <w:rPr/>
        <w:t>（</w:t>
      </w:r>
      <w:r>
        <w:rPr>
          <w:rFonts w:ascii="Times New Roman" w:hAnsi="Times New Roman" w:cs="Times New Roman" w:eastAsia="Times New Roman" w:hint="default"/>
        </w:rPr>
        <w:t>3</w:t>
      </w:r>
      <w:r>
        <w:rPr/>
        <w:t>）智能交通研究院在巩固机芯、模块以及整机等传统产品研发的基础上，重点围绕地铁、高铁、民航、客运站、港 口、码头等场景，开展互联网</w:t>
      </w:r>
      <w:r>
        <w:rPr>
          <w:rFonts w:ascii="Times New Roman" w:hAnsi="Times New Roman" w:cs="Times New Roman" w:eastAsia="Times New Roman" w:hint="default"/>
        </w:rPr>
        <w:t>+</w:t>
      </w:r>
      <w:r>
        <w:rPr/>
        <w:t>、生物识别、智慧安检、自动化检测等创新产品及解决方案的研发。</w:t>
      </w:r>
    </w:p>
    <w:p>
      <w:pPr>
        <w:spacing w:line="240" w:lineRule="auto" w:before="12"/>
        <w:rPr>
          <w:rFonts w:ascii="宋体" w:hAnsi="宋体" w:cs="宋体" w:eastAsia="宋体" w:hint="default"/>
          <w:sz w:val="12"/>
          <w:szCs w:val="12"/>
        </w:rPr>
      </w:pPr>
    </w:p>
    <w:p>
      <w:pPr>
        <w:pStyle w:val="BodyText"/>
        <w:spacing w:line="300" w:lineRule="auto"/>
        <w:ind w:right="1124" w:firstLine="360"/>
        <w:jc w:val="left"/>
      </w:pPr>
      <w:r>
        <w:rPr/>
        <w:t>（</w:t>
      </w:r>
      <w:r>
        <w:rPr>
          <w:rFonts w:ascii="Times New Roman" w:hAnsi="Times New Roman" w:cs="Times New Roman" w:eastAsia="Times New Roman" w:hint="default"/>
        </w:rPr>
        <w:t>4</w:t>
      </w:r>
      <w:r>
        <w:rPr/>
        <w:t>）智能便民研究院重点开发智能零售管理、智能化电子验收工单等应用平台，推进魔镜、智能酒店人证一体机等产 品及智能化酒店运管平台、景区票务系统、智能政务终端系统在政务及文旅领域应用落地。</w:t>
      </w:r>
    </w:p>
    <w:p>
      <w:pPr>
        <w:spacing w:line="240" w:lineRule="auto" w:before="4"/>
        <w:rPr>
          <w:rFonts w:ascii="宋体" w:hAnsi="宋体" w:cs="宋体" w:eastAsia="宋体" w:hint="default"/>
          <w:sz w:val="14"/>
          <w:szCs w:val="14"/>
        </w:rPr>
      </w:pPr>
    </w:p>
    <w:p>
      <w:pPr>
        <w:pStyle w:val="BodyText"/>
        <w:spacing w:line="300" w:lineRule="auto"/>
        <w:ind w:right="1124" w:firstLine="360"/>
        <w:jc w:val="left"/>
      </w:pPr>
      <w:r>
        <w:rPr/>
        <w:t>（</w:t>
      </w:r>
      <w:r>
        <w:rPr>
          <w:rFonts w:ascii="Times New Roman" w:hAnsi="Times New Roman" w:cs="Times New Roman" w:eastAsia="Times New Roman" w:hint="default"/>
        </w:rPr>
        <w:t>5</w:t>
      </w:r>
      <w:r>
        <w:rPr/>
        <w:t>）海外研究院规划和推进网点转型、零售收款等创新产品和解决方案，搭建稳定的软硬件基础平台，为重点市场项 目提供技术支持。</w:t>
      </w:r>
    </w:p>
    <w:p>
      <w:pPr>
        <w:spacing w:line="240" w:lineRule="auto" w:before="4"/>
        <w:rPr>
          <w:rFonts w:ascii="宋体" w:hAnsi="宋体" w:cs="宋体" w:eastAsia="宋体" w:hint="default"/>
          <w:sz w:val="14"/>
          <w:szCs w:val="14"/>
        </w:rPr>
      </w:pPr>
    </w:p>
    <w:p>
      <w:pPr>
        <w:pStyle w:val="BodyText"/>
        <w:spacing w:line="300" w:lineRule="auto"/>
        <w:ind w:right="1039" w:firstLine="360"/>
        <w:jc w:val="left"/>
      </w:pPr>
      <w:r>
        <w:rPr>
          <w:rFonts w:ascii="Times New Roman" w:hAnsi="Times New Roman" w:cs="Times New Roman" w:eastAsia="Times New Roman" w:hint="default"/>
          <w:spacing w:val="-3"/>
        </w:rPr>
        <w:t>4</w:t>
      </w:r>
      <w:r>
        <w:rPr>
          <w:spacing w:val="-3"/>
        </w:rPr>
        <w:t>、公司通过产学融合、标准体系、企业合作及技术合作等方式，推进</w:t>
      </w:r>
      <w:r>
        <w:rPr>
          <w:rFonts w:ascii="Times New Roman" w:hAnsi="Times New Roman" w:cs="Times New Roman" w:eastAsia="Times New Roman" w:hint="default"/>
          <w:spacing w:val="-3"/>
        </w:rPr>
        <w:t>AIOT</w:t>
      </w:r>
      <w:r>
        <w:rPr>
          <w:spacing w:val="-3"/>
        </w:rPr>
        <w:t>生态建设。组织人工智能产学研合作研讨会，</w:t>
      </w:r>
      <w:r>
        <w:rPr/>
        <w:t> 与公交集团、太平洋保险共建联合实验室，与中山大学、广州大学分别尝试技术创新与人才培养合作模式。</w:t>
      </w:r>
    </w:p>
    <w:p>
      <w:pPr>
        <w:spacing w:line="240" w:lineRule="auto" w:before="4"/>
        <w:rPr>
          <w:rFonts w:ascii="宋体" w:hAnsi="宋体" w:cs="宋体" w:eastAsia="宋体" w:hint="default"/>
          <w:sz w:val="14"/>
          <w:szCs w:val="14"/>
        </w:rPr>
      </w:pPr>
    </w:p>
    <w:p>
      <w:pPr>
        <w:pStyle w:val="Heading6"/>
        <w:spacing w:line="240" w:lineRule="auto"/>
        <w:ind w:right="1394"/>
        <w:jc w:val="left"/>
        <w:rPr>
          <w:b w:val="0"/>
          <w:bCs w:val="0"/>
        </w:rPr>
      </w:pPr>
      <w:r>
        <w:rPr/>
        <w:t>（四）重视公司软实力建设，增强企业竞争力</w:t>
      </w:r>
      <w:r>
        <w:rPr>
          <w:b w:val="0"/>
          <w:bCs w:val="0"/>
        </w:rPr>
      </w:r>
    </w:p>
    <w:p>
      <w:pPr>
        <w:pStyle w:val="BodyText"/>
        <w:spacing w:line="460" w:lineRule="atLeast" w:before="21"/>
        <w:ind w:left="472" w:right="1034"/>
        <w:jc w:val="left"/>
      </w:pPr>
      <w:r>
        <w:rPr>
          <w:rFonts w:ascii="Times New Roman" w:hAnsi="Times New Roman" w:cs="Times New Roman" w:eastAsia="Times New Roman" w:hint="default"/>
        </w:rPr>
        <w:t>1</w:t>
      </w:r>
      <w:r>
        <w:rPr/>
        <w:t>、品牌建设：持续提升人工智能品牌影响力 积极推动公司品牌价值提升，举办公司成立</w:t>
      </w:r>
      <w:r>
        <w:rPr>
          <w:rFonts w:ascii="Times New Roman" w:hAnsi="Times New Roman" w:cs="Times New Roman" w:eastAsia="Times New Roman" w:hint="default"/>
        </w:rPr>
        <w:t>20</w:t>
      </w:r>
      <w:r>
        <w:rPr/>
        <w:t>周年庆祝大会、广东人工智能峰会，积极参加乌镇互联网大会、安博会、</w:t>
      </w:r>
    </w:p>
    <w:p>
      <w:pPr>
        <w:pStyle w:val="BodyText"/>
        <w:spacing w:line="240" w:lineRule="auto" w:before="63"/>
        <w:ind w:right="0"/>
        <w:jc w:val="left"/>
      </w:pPr>
      <w:r>
        <w:rPr/>
        <w:t>旅博会、软博会等行业活动，深度传播公司</w:t>
      </w:r>
      <w:r>
        <w:rPr>
          <w:rFonts w:ascii="Times New Roman" w:hAnsi="Times New Roman" w:cs="Times New Roman" w:eastAsia="Times New Roman" w:hint="default"/>
        </w:rPr>
        <w:t>“</w:t>
      </w:r>
      <w:r>
        <w:rPr/>
        <w:t>行业人工智能解决方案提供商</w:t>
      </w:r>
      <w:r>
        <w:rPr>
          <w:rFonts w:ascii="Times New Roman" w:hAnsi="Times New Roman" w:cs="Times New Roman" w:eastAsia="Times New Roman" w:hint="default"/>
        </w:rPr>
        <w:t>”</w:t>
      </w:r>
      <w:r>
        <w:rPr/>
        <w:t>的品牌形象，公司以</w:t>
      </w:r>
      <w:r>
        <w:rPr>
          <w:rFonts w:ascii="Times New Roman" w:hAnsi="Times New Roman" w:cs="Times New Roman" w:eastAsia="Times New Roman" w:hint="default"/>
        </w:rPr>
        <w:t>219.73</w:t>
      </w:r>
      <w:r>
        <w:rPr/>
        <w:t>亿的品牌价值上榜</w:t>
      </w:r>
    </w:p>
    <w:p>
      <w:pPr>
        <w:pStyle w:val="BodyText"/>
        <w:spacing w:line="451" w:lineRule="auto" w:before="63"/>
        <w:ind w:left="472" w:right="5984" w:hanging="360"/>
        <w:jc w:val="left"/>
      </w:pPr>
      <w:r>
        <w:rPr>
          <w:rFonts w:ascii="Times New Roman" w:hAnsi="Times New Roman" w:cs="Times New Roman" w:eastAsia="Times New Roman" w:hint="default"/>
        </w:rPr>
        <w:t>“2019</w:t>
      </w:r>
      <w:r>
        <w:rPr/>
        <w:t>中国上市公司品牌</w:t>
      </w:r>
      <w:r>
        <w:rPr>
          <w:rFonts w:ascii="Times New Roman" w:hAnsi="Times New Roman" w:cs="Times New Roman" w:eastAsia="Times New Roman" w:hint="default"/>
        </w:rPr>
        <w:t>500</w:t>
      </w:r>
      <w:r>
        <w:rPr/>
        <w:t>强</w:t>
      </w:r>
      <w:r>
        <w:rPr>
          <w:rFonts w:ascii="Times New Roman" w:hAnsi="Times New Roman" w:cs="Times New Roman" w:eastAsia="Times New Roman" w:hint="default"/>
        </w:rPr>
        <w:t>”</w:t>
      </w:r>
      <w:r>
        <w:rPr/>
        <w:t>榜单。 </w:t>
      </w:r>
      <w:r>
        <w:rPr>
          <w:rFonts w:ascii="Times New Roman" w:hAnsi="Times New Roman" w:cs="Times New Roman" w:eastAsia="Times New Roman" w:hint="default"/>
        </w:rPr>
        <w:t>2</w:t>
      </w:r>
      <w:r>
        <w:rPr/>
        <w:t>、强化自主知识产权保护与标准建设，构筑企业护城河</w:t>
      </w:r>
    </w:p>
    <w:p>
      <w:pPr>
        <w:pStyle w:val="BodyText"/>
        <w:spacing w:line="240" w:lineRule="auto" w:before="43"/>
        <w:ind w:left="472" w:right="0"/>
        <w:jc w:val="left"/>
      </w:pPr>
      <w:r>
        <w:rPr/>
        <w:t>知识产权：公司共获得专利授权总数为</w:t>
      </w:r>
      <w:r>
        <w:rPr>
          <w:rFonts w:ascii="Times New Roman" w:hAnsi="Times New Roman" w:cs="Times New Roman" w:eastAsia="Times New Roman" w:hint="default"/>
        </w:rPr>
        <w:t>255</w:t>
      </w:r>
      <w:r>
        <w:rPr/>
        <w:t>件：其中，国内专利授权</w:t>
      </w:r>
      <w:r>
        <w:rPr>
          <w:rFonts w:ascii="Times New Roman" w:hAnsi="Times New Roman" w:cs="Times New Roman" w:eastAsia="Times New Roman" w:hint="default"/>
        </w:rPr>
        <w:t>130</w:t>
      </w:r>
      <w:r>
        <w:rPr/>
        <w:t>件，包括发明专利</w:t>
      </w:r>
      <w:r>
        <w:rPr>
          <w:rFonts w:ascii="Times New Roman" w:hAnsi="Times New Roman" w:cs="Times New Roman" w:eastAsia="Times New Roman" w:hint="default"/>
        </w:rPr>
        <w:t>35</w:t>
      </w:r>
      <w:r>
        <w:rPr/>
        <w:t>件、实用新型专利</w:t>
      </w:r>
      <w:r>
        <w:rPr>
          <w:rFonts w:ascii="Times New Roman" w:hAnsi="Times New Roman" w:cs="Times New Roman" w:eastAsia="Times New Roman" w:hint="default"/>
        </w:rPr>
        <w:t>20</w:t>
      </w:r>
      <w:r>
        <w:rPr/>
        <w:t>件、外</w:t>
      </w:r>
    </w:p>
    <w:p>
      <w:pPr>
        <w:spacing w:after="0" w:line="240" w:lineRule="auto"/>
        <w:jc w:val="left"/>
        <w:sectPr>
          <w:footerReference w:type="default" r:id="rId12"/>
          <w:pgSz w:w="11910" w:h="16840"/>
          <w:pgMar w:footer="978" w:header="878" w:top="1100" w:bottom="1160" w:left="1020" w:right="0"/>
          <w:pgNumType w:start="20"/>
        </w:sectPr>
      </w:pPr>
    </w:p>
    <w:p>
      <w:pPr>
        <w:spacing w:line="240" w:lineRule="auto" w:before="1"/>
        <w:rPr>
          <w:rFonts w:ascii="宋体" w:hAnsi="宋体" w:cs="宋体" w:eastAsia="宋体" w:hint="default"/>
          <w:sz w:val="22"/>
          <w:szCs w:val="22"/>
        </w:rPr>
      </w:pPr>
    </w:p>
    <w:p>
      <w:pPr>
        <w:pStyle w:val="BodyText"/>
        <w:spacing w:line="300" w:lineRule="auto" w:before="44"/>
        <w:ind w:right="0"/>
        <w:jc w:val="left"/>
      </w:pPr>
      <w:r>
        <w:rPr>
          <w:spacing w:val="-2"/>
        </w:rPr>
        <w:t>观设计专利</w:t>
      </w:r>
      <w:r>
        <w:rPr>
          <w:rFonts w:ascii="Times New Roman" w:hAnsi="Times New Roman" w:cs="Times New Roman" w:eastAsia="Times New Roman" w:hint="default"/>
          <w:spacing w:val="-2"/>
        </w:rPr>
        <w:t>75</w:t>
      </w:r>
      <w:r>
        <w:rPr>
          <w:spacing w:val="-2"/>
        </w:rPr>
        <w:t>件；国外发明专利授权</w:t>
      </w:r>
      <w:r>
        <w:rPr>
          <w:rFonts w:ascii="Times New Roman" w:hAnsi="Times New Roman" w:cs="Times New Roman" w:eastAsia="Times New Roman" w:hint="default"/>
          <w:spacing w:val="-2"/>
        </w:rPr>
        <w:t>125</w:t>
      </w:r>
      <w:r>
        <w:rPr>
          <w:spacing w:val="-2"/>
        </w:rPr>
        <w:t>件。公司共获得计算机软件著作权登记</w:t>
      </w:r>
      <w:r>
        <w:rPr>
          <w:rFonts w:ascii="Times New Roman" w:hAnsi="Times New Roman" w:cs="Times New Roman" w:eastAsia="Times New Roman" w:hint="default"/>
          <w:spacing w:val="-2"/>
        </w:rPr>
        <w:t>26</w:t>
      </w:r>
      <w:r>
        <w:rPr>
          <w:spacing w:val="-2"/>
        </w:rPr>
        <w:t>项。公司共获得国家、省、市专利奖项目</w:t>
      </w:r>
      <w:r>
        <w:rPr>
          <w:rFonts w:ascii="Times New Roman" w:hAnsi="Times New Roman" w:cs="Times New Roman" w:eastAsia="Times New Roman" w:hint="default"/>
          <w:spacing w:val="-2"/>
        </w:rPr>
        <w:t>3</w:t>
      </w:r>
      <w:r>
        <w:rPr>
          <w:rFonts w:ascii="Times New Roman" w:hAnsi="Times New Roman" w:cs="Times New Roman" w:eastAsia="Times New Roman" w:hint="default"/>
          <w:spacing w:val="-14"/>
        </w:rPr>
        <w:t> </w:t>
      </w:r>
      <w:r>
        <w:rPr/>
        <w:t>件次。中智融通、运通信息获</w:t>
      </w:r>
      <w:r>
        <w:rPr>
          <w:rFonts w:ascii="Times New Roman" w:hAnsi="Times New Roman" w:cs="Times New Roman" w:eastAsia="Times New Roman" w:hint="default"/>
        </w:rPr>
        <w:t>“</w:t>
      </w:r>
      <w:r>
        <w:rPr/>
        <w:t>第二十一届中国专利奖</w:t>
      </w:r>
      <w:r>
        <w:rPr>
          <w:rFonts w:ascii="Times New Roman" w:hAnsi="Times New Roman" w:cs="Times New Roman" w:eastAsia="Times New Roman" w:hint="default"/>
        </w:rPr>
        <w:t>”</w:t>
      </w:r>
      <w:r>
        <w:rPr/>
        <w:t>优秀奖。</w:t>
      </w:r>
    </w:p>
    <w:p>
      <w:pPr>
        <w:spacing w:line="240" w:lineRule="auto" w:before="12"/>
        <w:rPr>
          <w:rFonts w:ascii="宋体" w:hAnsi="宋体" w:cs="宋体" w:eastAsia="宋体" w:hint="default"/>
          <w:sz w:val="12"/>
          <w:szCs w:val="12"/>
        </w:rPr>
      </w:pPr>
    </w:p>
    <w:p>
      <w:pPr>
        <w:pStyle w:val="BodyText"/>
        <w:spacing w:line="300" w:lineRule="auto"/>
        <w:ind w:right="1124" w:firstLine="360"/>
        <w:jc w:val="left"/>
      </w:pPr>
      <w:r>
        <w:rPr/>
        <w:t>标准：截至报告期，标准工作累计编制</w:t>
      </w:r>
      <w:r>
        <w:rPr>
          <w:rFonts w:ascii="Times New Roman" w:hAnsi="Times New Roman" w:cs="Times New Roman" w:eastAsia="Times New Roman" w:hint="default"/>
        </w:rPr>
        <w:t>29</w:t>
      </w:r>
      <w:r>
        <w:rPr/>
        <w:t>项。国家标准</w:t>
      </w:r>
      <w:r>
        <w:rPr>
          <w:rFonts w:ascii="Times New Roman" w:hAnsi="Times New Roman" w:cs="Times New Roman" w:eastAsia="Times New Roman" w:hint="default"/>
        </w:rPr>
        <w:t>24</w:t>
      </w:r>
      <w:r>
        <w:rPr/>
        <w:t>项，公司主导</w:t>
      </w:r>
      <w:r>
        <w:rPr>
          <w:rFonts w:ascii="Times New Roman" w:hAnsi="Times New Roman" w:cs="Times New Roman" w:eastAsia="Times New Roman" w:hint="default"/>
        </w:rPr>
        <w:t>8</w:t>
      </w:r>
      <w:r>
        <w:rPr/>
        <w:t>项，涉及人工智能的</w:t>
      </w:r>
      <w:r>
        <w:rPr>
          <w:rFonts w:ascii="Times New Roman" w:hAnsi="Times New Roman" w:cs="Times New Roman" w:eastAsia="Times New Roman" w:hint="default"/>
        </w:rPr>
        <w:t>16</w:t>
      </w:r>
      <w:r>
        <w:rPr/>
        <w:t>项。报告期内，公司主 导发布八项国家标准：</w:t>
      </w:r>
    </w:p>
    <w:p>
      <w:pPr>
        <w:spacing w:line="240" w:lineRule="auto" w:before="8"/>
        <w:rPr>
          <w:rFonts w:ascii="宋体" w:hAnsi="宋体" w:cs="宋体" w:eastAsia="宋体" w:hint="default"/>
          <w:sz w:val="4"/>
          <w:szCs w:val="4"/>
        </w:rPr>
      </w:pPr>
    </w:p>
    <w:tbl>
      <w:tblPr>
        <w:tblW w:w="0" w:type="auto"/>
        <w:jc w:val="left"/>
        <w:tblInd w:w="299" w:type="dxa"/>
        <w:tblLayout w:type="fixed"/>
        <w:tblCellMar>
          <w:top w:w="0" w:type="dxa"/>
          <w:left w:w="0" w:type="dxa"/>
          <w:bottom w:w="0" w:type="dxa"/>
          <w:right w:w="0" w:type="dxa"/>
        </w:tblCellMar>
        <w:tblLook w:val="01E0"/>
      </w:tblPr>
      <w:tblGrid>
        <w:gridCol w:w="793"/>
        <w:gridCol w:w="8464"/>
      </w:tblGrid>
      <w:tr>
        <w:trPr>
          <w:trHeight w:val="322" w:hRule="exact"/>
        </w:trPr>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8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b/>
                <w:bCs/>
                <w:sz w:val="18"/>
                <w:szCs w:val="18"/>
              </w:rPr>
              <w:t>标准名称</w:t>
            </w:r>
            <w:r>
              <w:rPr>
                <w:rFonts w:ascii="宋体" w:hAnsi="宋体" w:cs="宋体" w:eastAsia="宋体" w:hint="default"/>
                <w:sz w:val="18"/>
                <w:szCs w:val="18"/>
              </w:rPr>
            </w:r>
          </w:p>
        </w:tc>
      </w:tr>
      <w:tr>
        <w:trPr>
          <w:trHeight w:val="402" w:hRule="exact"/>
        </w:trPr>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w:t>
            </w:r>
          </w:p>
        </w:tc>
        <w:tc>
          <w:tcPr>
            <w:tcW w:w="8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信息技术 生物特征识别 嵌入式</w:t>
            </w:r>
            <w:r>
              <w:rPr>
                <w:rFonts w:ascii="Times New Roman" w:hAnsi="Times New Roman" w:cs="Times New Roman" w:eastAsia="Times New Roman" w:hint="default"/>
                <w:sz w:val="18"/>
                <w:szCs w:val="18"/>
              </w:rPr>
              <w:t>BioAPI GB/T</w:t>
            </w:r>
            <w:r>
              <w:rPr>
                <w:rFonts w:ascii="Times New Roman" w:hAnsi="Times New Roman" w:cs="Times New Roman" w:eastAsia="Times New Roman" w:hint="default"/>
                <w:spacing w:val="-7"/>
                <w:sz w:val="18"/>
                <w:szCs w:val="18"/>
              </w:rPr>
              <w:t> </w:t>
            </w:r>
            <w:r>
              <w:rPr>
                <w:rFonts w:ascii="Times New Roman" w:hAnsi="Times New Roman" w:cs="Times New Roman" w:eastAsia="Times New Roman" w:hint="default"/>
                <w:sz w:val="18"/>
                <w:szCs w:val="18"/>
              </w:rPr>
              <w:t>36094-2018</w:t>
            </w:r>
          </w:p>
        </w:tc>
      </w:tr>
      <w:tr>
        <w:trPr>
          <w:trHeight w:val="402" w:hRule="exact"/>
        </w:trPr>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w:t>
            </w:r>
          </w:p>
        </w:tc>
        <w:tc>
          <w:tcPr>
            <w:tcW w:w="8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信息技术 生物特征样本质量 第</w:t>
            </w:r>
            <w:r>
              <w:rPr>
                <w:rFonts w:ascii="Times New Roman" w:hAnsi="Times New Roman" w:cs="Times New Roman" w:eastAsia="Times New Roman" w:hint="default"/>
                <w:sz w:val="18"/>
                <w:szCs w:val="18"/>
              </w:rPr>
              <w:t>4</w:t>
            </w:r>
            <w:r>
              <w:rPr>
                <w:rFonts w:ascii="宋体" w:hAnsi="宋体" w:cs="宋体" w:eastAsia="宋体" w:hint="default"/>
                <w:sz w:val="18"/>
                <w:szCs w:val="18"/>
              </w:rPr>
              <w:t>部分</w:t>
            </w:r>
            <w:r>
              <w:rPr>
                <w:rFonts w:ascii="Times New Roman" w:hAnsi="Times New Roman" w:cs="Times New Roman" w:eastAsia="Times New Roman" w:hint="default"/>
                <w:sz w:val="18"/>
                <w:szCs w:val="18"/>
              </w:rPr>
              <w:t>:</w:t>
            </w:r>
            <w:r>
              <w:rPr>
                <w:rFonts w:ascii="宋体" w:hAnsi="宋体" w:cs="宋体" w:eastAsia="宋体" w:hint="default"/>
                <w:sz w:val="18"/>
                <w:szCs w:val="18"/>
              </w:rPr>
              <w:t>指纹图像数据 </w:t>
            </w:r>
            <w:r>
              <w:rPr>
                <w:rFonts w:ascii="Times New Roman" w:hAnsi="Times New Roman" w:cs="Times New Roman" w:eastAsia="Times New Roman" w:hint="default"/>
                <w:sz w:val="18"/>
                <w:szCs w:val="18"/>
              </w:rPr>
              <w:t>GB/T</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33767.4-2018</w:t>
            </w:r>
          </w:p>
        </w:tc>
      </w:tr>
      <w:tr>
        <w:trPr>
          <w:trHeight w:val="714" w:hRule="exact"/>
        </w:trPr>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3</w:t>
            </w:r>
          </w:p>
        </w:tc>
        <w:tc>
          <w:tcPr>
            <w:tcW w:w="8464" w:type="dxa"/>
            <w:tcBorders>
              <w:top w:val="single" w:sz="4" w:space="0" w:color="000000"/>
              <w:left w:val="single" w:sz="4" w:space="0" w:color="000000"/>
              <w:bottom w:val="single" w:sz="4" w:space="0" w:color="000000"/>
              <w:right w:val="single" w:sz="4" w:space="0" w:color="000000"/>
            </w:tcBorders>
          </w:tcPr>
          <w:p>
            <w:pPr>
              <w:pStyle w:val="TableParagraph"/>
              <w:spacing w:line="340" w:lineRule="auto" w:before="50"/>
              <w:ind w:left="103" w:right="286"/>
              <w:jc w:val="left"/>
              <w:rPr>
                <w:rFonts w:ascii="Times New Roman" w:hAnsi="Times New Roman" w:cs="Times New Roman" w:eastAsia="Times New Roman" w:hint="default"/>
                <w:sz w:val="18"/>
                <w:szCs w:val="18"/>
              </w:rPr>
            </w:pPr>
            <w:r>
              <w:rPr>
                <w:rFonts w:ascii="宋体" w:hAnsi="宋体" w:cs="宋体" w:eastAsia="宋体" w:hint="default"/>
                <w:sz w:val="18"/>
                <w:szCs w:val="18"/>
              </w:rPr>
              <w:t>信息技术 </w:t>
            </w:r>
            <w:r>
              <w:rPr>
                <w:rFonts w:ascii="Times New Roman" w:hAnsi="Times New Roman" w:cs="Times New Roman" w:eastAsia="Times New Roman" w:hint="default"/>
                <w:sz w:val="18"/>
                <w:szCs w:val="18"/>
              </w:rPr>
              <w:t>GB/T 26237</w:t>
            </w:r>
            <w:r>
              <w:rPr>
                <w:rFonts w:ascii="宋体" w:hAnsi="宋体" w:cs="宋体" w:eastAsia="宋体" w:hint="default"/>
                <w:sz w:val="18"/>
                <w:szCs w:val="18"/>
              </w:rPr>
              <w:t>中定义的生物特征数据交换格式的符合性测试方法</w:t>
            </w:r>
            <w:r>
              <w:rPr>
                <w:rFonts w:ascii="宋体" w:hAnsi="宋体" w:cs="宋体" w:eastAsia="宋体" w:hint="default"/>
                <w:spacing w:val="-7"/>
                <w:sz w:val="18"/>
                <w:szCs w:val="18"/>
              </w:rPr>
              <w:t> </w:t>
            </w:r>
            <w:r>
              <w:rPr>
                <w:rFonts w:ascii="宋体" w:hAnsi="宋体" w:cs="宋体" w:eastAsia="宋体" w:hint="default"/>
                <w:sz w:val="18"/>
                <w:szCs w:val="18"/>
              </w:rPr>
              <w:t>第</w:t>
            </w:r>
            <w:r>
              <w:rPr>
                <w:rFonts w:ascii="Times New Roman" w:hAnsi="Times New Roman" w:cs="Times New Roman" w:eastAsia="Times New Roman" w:hint="default"/>
                <w:sz w:val="18"/>
                <w:szCs w:val="18"/>
              </w:rPr>
              <w:t>5</w:t>
            </w:r>
            <w:r>
              <w:rPr>
                <w:rFonts w:ascii="宋体" w:hAnsi="宋体" w:cs="宋体" w:eastAsia="宋体" w:hint="default"/>
                <w:sz w:val="18"/>
                <w:szCs w:val="18"/>
              </w:rPr>
              <w:t>部分：人脸图像数据</w:t>
            </w:r>
            <w:r>
              <w:rPr>
                <w:rFonts w:ascii="Times New Roman" w:hAnsi="Times New Roman" w:cs="Times New Roman" w:eastAsia="Times New Roman" w:hint="default"/>
                <w:sz w:val="18"/>
                <w:szCs w:val="18"/>
              </w:rPr>
              <w:t>GB/T</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33842.5-2018</w:t>
            </w:r>
          </w:p>
        </w:tc>
      </w:tr>
      <w:tr>
        <w:trPr>
          <w:trHeight w:val="402" w:hRule="exact"/>
        </w:trPr>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w:t>
            </w:r>
          </w:p>
        </w:tc>
        <w:tc>
          <w:tcPr>
            <w:tcW w:w="8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信息技术 生物特征样本质量 第</w:t>
            </w:r>
            <w:r>
              <w:rPr>
                <w:rFonts w:ascii="Times New Roman" w:hAnsi="Times New Roman" w:cs="Times New Roman" w:eastAsia="Times New Roman" w:hint="default"/>
                <w:sz w:val="18"/>
                <w:szCs w:val="18"/>
              </w:rPr>
              <w:t>5</w:t>
            </w:r>
            <w:r>
              <w:rPr>
                <w:rFonts w:ascii="宋体" w:hAnsi="宋体" w:cs="宋体" w:eastAsia="宋体" w:hint="default"/>
                <w:sz w:val="18"/>
                <w:szCs w:val="18"/>
              </w:rPr>
              <w:t>部分</w:t>
            </w:r>
            <w:r>
              <w:rPr>
                <w:rFonts w:ascii="Times New Roman" w:hAnsi="Times New Roman" w:cs="Times New Roman" w:eastAsia="Times New Roman" w:hint="default"/>
                <w:sz w:val="18"/>
                <w:szCs w:val="18"/>
              </w:rPr>
              <w:t>:</w:t>
            </w:r>
            <w:r>
              <w:rPr>
                <w:rFonts w:ascii="宋体" w:hAnsi="宋体" w:cs="宋体" w:eastAsia="宋体" w:hint="default"/>
                <w:sz w:val="18"/>
                <w:szCs w:val="18"/>
              </w:rPr>
              <w:t>人脸图像数据 </w:t>
            </w:r>
            <w:r>
              <w:rPr>
                <w:rFonts w:ascii="Times New Roman" w:hAnsi="Times New Roman" w:cs="Times New Roman" w:eastAsia="Times New Roman" w:hint="default"/>
                <w:sz w:val="18"/>
                <w:szCs w:val="18"/>
              </w:rPr>
              <w:t>GB/T</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33767.5-2018</w:t>
            </w:r>
          </w:p>
        </w:tc>
      </w:tr>
      <w:tr>
        <w:trPr>
          <w:trHeight w:val="402" w:hRule="exact"/>
        </w:trPr>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5</w:t>
            </w:r>
          </w:p>
        </w:tc>
        <w:tc>
          <w:tcPr>
            <w:tcW w:w="8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信息技术 生物特征样本质量 第</w:t>
            </w:r>
            <w:r>
              <w:rPr>
                <w:rFonts w:ascii="Times New Roman" w:hAnsi="Times New Roman" w:cs="Times New Roman" w:eastAsia="Times New Roman" w:hint="default"/>
                <w:sz w:val="18"/>
                <w:szCs w:val="18"/>
              </w:rPr>
              <w:t>6</w:t>
            </w:r>
            <w:r>
              <w:rPr>
                <w:rFonts w:ascii="宋体" w:hAnsi="宋体" w:cs="宋体" w:eastAsia="宋体" w:hint="default"/>
                <w:sz w:val="18"/>
                <w:szCs w:val="18"/>
              </w:rPr>
              <w:t>部分</w:t>
            </w:r>
            <w:r>
              <w:rPr>
                <w:rFonts w:ascii="Times New Roman" w:hAnsi="Times New Roman" w:cs="Times New Roman" w:eastAsia="Times New Roman" w:hint="default"/>
                <w:sz w:val="18"/>
                <w:szCs w:val="18"/>
              </w:rPr>
              <w:t>:</w:t>
            </w:r>
            <w:r>
              <w:rPr>
                <w:rFonts w:ascii="宋体" w:hAnsi="宋体" w:cs="宋体" w:eastAsia="宋体" w:hint="default"/>
                <w:sz w:val="18"/>
                <w:szCs w:val="18"/>
              </w:rPr>
              <w:t>虹膜图像数据 </w:t>
            </w:r>
            <w:r>
              <w:rPr>
                <w:rFonts w:ascii="Times New Roman" w:hAnsi="Times New Roman" w:cs="Times New Roman" w:eastAsia="Times New Roman" w:hint="default"/>
                <w:sz w:val="18"/>
                <w:szCs w:val="18"/>
              </w:rPr>
              <w:t>GB/T</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33767.6-2018</w:t>
            </w:r>
          </w:p>
        </w:tc>
      </w:tr>
      <w:tr>
        <w:trPr>
          <w:trHeight w:val="402" w:hRule="exact"/>
        </w:trPr>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w:t>
            </w:r>
          </w:p>
        </w:tc>
        <w:tc>
          <w:tcPr>
            <w:tcW w:w="8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信息技术</w:t>
            </w:r>
            <w:r>
              <w:rPr>
                <w:rFonts w:ascii="宋体" w:hAnsi="宋体" w:cs="宋体" w:eastAsia="宋体" w:hint="default"/>
                <w:spacing w:val="-1"/>
                <w:sz w:val="18"/>
                <w:szCs w:val="18"/>
              </w:rPr>
              <w:t> </w:t>
            </w:r>
            <w:r>
              <w:rPr>
                <w:rFonts w:ascii="宋体" w:hAnsi="宋体" w:cs="宋体" w:eastAsia="宋体" w:hint="default"/>
                <w:sz w:val="18"/>
                <w:szCs w:val="18"/>
              </w:rPr>
              <w:t>远程视频柜员机</w:t>
            </w:r>
            <w:r>
              <w:rPr>
                <w:rFonts w:ascii="宋体" w:hAnsi="宋体" w:cs="宋体" w:eastAsia="宋体" w:hint="default"/>
                <w:spacing w:val="-4"/>
                <w:sz w:val="18"/>
                <w:szCs w:val="18"/>
              </w:rPr>
              <w:t> </w:t>
            </w:r>
            <w:r>
              <w:rPr>
                <w:rFonts w:ascii="宋体" w:hAnsi="宋体" w:cs="宋体" w:eastAsia="宋体" w:hint="default"/>
                <w:sz w:val="18"/>
                <w:szCs w:val="18"/>
              </w:rPr>
              <w:t>第</w:t>
            </w:r>
            <w:r>
              <w:rPr>
                <w:rFonts w:ascii="Times New Roman" w:hAnsi="Times New Roman" w:cs="Times New Roman" w:eastAsia="Times New Roman" w:hint="default"/>
                <w:sz w:val="18"/>
                <w:szCs w:val="18"/>
              </w:rPr>
              <w:t>1</w:t>
            </w:r>
            <w:r>
              <w:rPr>
                <w:rFonts w:ascii="宋体" w:hAnsi="宋体" w:cs="宋体" w:eastAsia="宋体" w:hint="default"/>
                <w:sz w:val="18"/>
                <w:szCs w:val="18"/>
              </w:rPr>
              <w:t>部分：设备</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GB/T 36336.1-2018</w:t>
            </w:r>
          </w:p>
        </w:tc>
      </w:tr>
      <w:tr>
        <w:trPr>
          <w:trHeight w:val="402" w:hRule="exact"/>
        </w:trPr>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7</w:t>
            </w:r>
          </w:p>
        </w:tc>
        <w:tc>
          <w:tcPr>
            <w:tcW w:w="8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信息技术 生物特征识别 多模态及其他多生物特征融合 </w:t>
            </w:r>
            <w:r>
              <w:rPr>
                <w:rFonts w:ascii="Times New Roman" w:hAnsi="Times New Roman" w:cs="Times New Roman" w:eastAsia="Times New Roman" w:hint="default"/>
                <w:sz w:val="18"/>
                <w:szCs w:val="18"/>
              </w:rPr>
              <w:t>GB/T</w:t>
            </w:r>
            <w:r>
              <w:rPr>
                <w:rFonts w:ascii="Times New Roman" w:hAnsi="Times New Roman" w:cs="Times New Roman" w:eastAsia="Times New Roman" w:hint="default"/>
                <w:spacing w:val="-7"/>
                <w:sz w:val="18"/>
                <w:szCs w:val="18"/>
              </w:rPr>
              <w:t> </w:t>
            </w:r>
            <w:r>
              <w:rPr>
                <w:rFonts w:ascii="Times New Roman" w:hAnsi="Times New Roman" w:cs="Times New Roman" w:eastAsia="Times New Roman" w:hint="default"/>
                <w:sz w:val="18"/>
                <w:szCs w:val="18"/>
              </w:rPr>
              <w:t>36460-2018</w:t>
            </w:r>
          </w:p>
        </w:tc>
      </w:tr>
      <w:tr>
        <w:trPr>
          <w:trHeight w:val="402" w:hRule="exact"/>
        </w:trPr>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8</w:t>
            </w:r>
          </w:p>
        </w:tc>
        <w:tc>
          <w:tcPr>
            <w:tcW w:w="8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信息技术 移动设备生物特征识别 第</w:t>
            </w:r>
            <w:r>
              <w:rPr>
                <w:rFonts w:ascii="Times New Roman" w:hAnsi="Times New Roman" w:cs="Times New Roman" w:eastAsia="Times New Roman" w:hint="default"/>
                <w:sz w:val="18"/>
                <w:szCs w:val="18"/>
              </w:rPr>
              <w:t>1</w:t>
            </w:r>
            <w:r>
              <w:rPr>
                <w:rFonts w:ascii="宋体" w:hAnsi="宋体" w:cs="宋体" w:eastAsia="宋体" w:hint="default"/>
                <w:sz w:val="18"/>
                <w:szCs w:val="18"/>
              </w:rPr>
              <w:t>部分：通用要求 </w:t>
            </w:r>
            <w:r>
              <w:rPr>
                <w:rFonts w:ascii="Times New Roman" w:hAnsi="Times New Roman" w:cs="Times New Roman" w:eastAsia="Times New Roman" w:hint="default"/>
                <w:sz w:val="18"/>
                <w:szCs w:val="18"/>
              </w:rPr>
              <w:t>GB/T</w:t>
            </w:r>
            <w:r>
              <w:rPr>
                <w:rFonts w:ascii="Times New Roman" w:hAnsi="Times New Roman" w:cs="Times New Roman" w:eastAsia="Times New Roman" w:hint="default"/>
                <w:spacing w:val="-8"/>
                <w:sz w:val="18"/>
                <w:szCs w:val="18"/>
              </w:rPr>
              <w:t> </w:t>
            </w:r>
            <w:r>
              <w:rPr>
                <w:rFonts w:ascii="Times New Roman" w:hAnsi="Times New Roman" w:cs="Times New Roman" w:eastAsia="Times New Roman" w:hint="default"/>
                <w:sz w:val="18"/>
                <w:szCs w:val="18"/>
              </w:rPr>
              <w:t>37036.1-2018</w:t>
            </w:r>
          </w:p>
        </w:tc>
      </w:tr>
    </w:tbl>
    <w:p>
      <w:pPr>
        <w:spacing w:line="240" w:lineRule="auto" w:before="2"/>
        <w:rPr>
          <w:rFonts w:ascii="宋体" w:hAnsi="宋体" w:cs="宋体" w:eastAsia="宋体" w:hint="default"/>
          <w:sz w:val="18"/>
          <w:szCs w:val="18"/>
        </w:rPr>
      </w:pPr>
    </w:p>
    <w:p>
      <w:pPr>
        <w:pStyle w:val="Heading2"/>
        <w:spacing w:line="240" w:lineRule="auto" w:before="26"/>
        <w:ind w:right="1394"/>
        <w:jc w:val="left"/>
        <w:rPr>
          <w:b w:val="0"/>
          <w:bCs w:val="0"/>
        </w:rPr>
      </w:pPr>
      <w:bookmarkStart w:name="二、主营业务分析" w:id="26"/>
      <w:bookmarkEnd w:id="26"/>
      <w:r>
        <w:rPr>
          <w:b w:val="0"/>
          <w:bCs w:val="0"/>
        </w:rPr>
      </w:r>
      <w:r>
        <w:rPr/>
        <w:t>二、主营业务分析</w:t>
      </w:r>
      <w:r>
        <w:rPr>
          <w:b w:val="0"/>
          <w:bCs w:val="0"/>
        </w:rPr>
      </w:r>
    </w:p>
    <w:p>
      <w:pPr>
        <w:spacing w:line="240" w:lineRule="auto" w:before="3"/>
        <w:rPr>
          <w:rFonts w:ascii="宋体" w:hAnsi="宋体" w:cs="宋体" w:eastAsia="宋体" w:hint="default"/>
          <w:b/>
          <w:bCs/>
          <w:sz w:val="25"/>
          <w:szCs w:val="25"/>
        </w:rPr>
      </w:pPr>
    </w:p>
    <w:p>
      <w:pPr>
        <w:pStyle w:val="Heading5"/>
        <w:spacing w:line="240" w:lineRule="auto"/>
        <w:ind w:right="1394"/>
        <w:jc w:val="left"/>
        <w:rPr>
          <w:b w:val="0"/>
          <w:bCs w:val="0"/>
        </w:rPr>
      </w:pPr>
      <w:bookmarkStart w:name="1、概述" w:id="27"/>
      <w:bookmarkEnd w:id="27"/>
      <w:r>
        <w:rPr>
          <w:b w:val="0"/>
          <w:bCs w:val="0"/>
        </w:rPr>
      </w:r>
      <w:r>
        <w:rPr>
          <w:rFonts w:ascii="Times New Roman" w:hAnsi="Times New Roman" w:cs="Times New Roman" w:eastAsia="Times New Roman" w:hint="default"/>
        </w:rPr>
        <w:t>1</w:t>
      </w:r>
      <w:r>
        <w:rPr/>
        <w:t>、概述</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1394"/>
        <w:jc w:val="left"/>
      </w:pPr>
      <w:r>
        <w:rPr/>
        <w:t>是否与经营情况讨论与分析中的概述披露相同</w:t>
      </w:r>
    </w:p>
    <w:p>
      <w:pPr>
        <w:pStyle w:val="BodyText"/>
        <w:spacing w:line="340" w:lineRule="auto" w:before="117"/>
        <w:ind w:right="647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否 参见</w:t>
      </w:r>
      <w:r>
        <w:rPr>
          <w:rFonts w:ascii="Times New Roman" w:hAnsi="Times New Roman" w:cs="Times New Roman" w:eastAsia="Times New Roman" w:hint="default"/>
        </w:rPr>
        <w:t>“</w:t>
      </w:r>
      <w:r>
        <w:rPr/>
        <w:t>经营情况讨论与分析</w:t>
      </w:r>
      <w:r>
        <w:rPr>
          <w:rFonts w:ascii="Times New Roman" w:hAnsi="Times New Roman" w:cs="Times New Roman" w:eastAsia="Times New Roman" w:hint="default"/>
        </w:rPr>
        <w:t>”</w:t>
      </w:r>
      <w:r>
        <w:rPr/>
        <w:t>中的</w:t>
      </w:r>
      <w:r>
        <w:rPr>
          <w:rFonts w:ascii="Times New Roman" w:hAnsi="Times New Roman" w:cs="Times New Roman" w:eastAsia="Times New Roman" w:hint="default"/>
        </w:rPr>
        <w:t>“</w:t>
      </w:r>
      <w:r>
        <w:rPr/>
        <w:t>一、概述</w:t>
      </w:r>
      <w:r>
        <w:rPr>
          <w:rFonts w:ascii="Times New Roman" w:hAnsi="Times New Roman" w:cs="Times New Roman" w:eastAsia="Times New Roman" w:hint="default"/>
        </w:rPr>
        <w:t>”</w:t>
      </w:r>
      <w:r>
        <w:rPr/>
        <w:t>相关内容。</w:t>
      </w:r>
    </w:p>
    <w:p>
      <w:pPr>
        <w:spacing w:line="240" w:lineRule="auto" w:before="1"/>
        <w:rPr>
          <w:rFonts w:ascii="宋体" w:hAnsi="宋体" w:cs="宋体" w:eastAsia="宋体" w:hint="default"/>
          <w:sz w:val="20"/>
          <w:szCs w:val="20"/>
        </w:rPr>
      </w:pPr>
    </w:p>
    <w:p>
      <w:pPr>
        <w:pStyle w:val="Heading5"/>
        <w:spacing w:line="240" w:lineRule="auto"/>
        <w:ind w:right="1394"/>
        <w:jc w:val="left"/>
        <w:rPr>
          <w:b w:val="0"/>
          <w:bCs w:val="0"/>
        </w:rPr>
      </w:pPr>
      <w:bookmarkStart w:name="2、收入与成本" w:id="28"/>
      <w:bookmarkEnd w:id="28"/>
      <w:r>
        <w:rPr>
          <w:b w:val="0"/>
          <w:bCs w:val="0"/>
        </w:rPr>
      </w:r>
      <w:r>
        <w:rPr>
          <w:rFonts w:ascii="Times New Roman" w:hAnsi="Times New Roman" w:cs="Times New Roman" w:eastAsia="Times New Roman" w:hint="default"/>
        </w:rPr>
        <w:t>2</w:t>
      </w:r>
      <w:r>
        <w:rPr/>
        <w:t>、收入与成本</w:t>
      </w:r>
      <w:r>
        <w:rPr>
          <w:b w:val="0"/>
          <w:bCs w:val="0"/>
        </w:rPr>
      </w:r>
    </w:p>
    <w:p>
      <w:pPr>
        <w:spacing w:line="240" w:lineRule="auto" w:before="10"/>
        <w:rPr>
          <w:rFonts w:ascii="宋体" w:hAnsi="宋体" w:cs="宋体" w:eastAsia="宋体" w:hint="default"/>
          <w:b/>
          <w:bCs/>
          <w:sz w:val="25"/>
          <w:szCs w:val="25"/>
        </w:rPr>
      </w:pPr>
    </w:p>
    <w:p>
      <w:pPr>
        <w:pStyle w:val="Heading5"/>
        <w:spacing w:line="240" w:lineRule="auto"/>
        <w:ind w:right="1394"/>
        <w:jc w:val="left"/>
        <w:rPr>
          <w:b w:val="0"/>
          <w:bCs w:val="0"/>
        </w:rPr>
      </w:pPr>
      <w:bookmarkStart w:name="（1）营业收入构成" w:id="29"/>
      <w:bookmarkEnd w:id="29"/>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0" w:right="1132"/>
        <w:jc w:val="right"/>
      </w:pPr>
      <w:r>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85"/>
        <w:gridCol w:w="2126"/>
        <w:gridCol w:w="1418"/>
        <w:gridCol w:w="1701"/>
        <w:gridCol w:w="1417"/>
        <w:gridCol w:w="919"/>
      </w:tblGrid>
      <w:tr>
        <w:trPr>
          <w:trHeight w:val="402" w:hRule="exact"/>
        </w:trPr>
        <w:tc>
          <w:tcPr>
            <w:tcW w:w="1985" w:type="dxa"/>
            <w:vMerge w:val="restart"/>
            <w:tcBorders>
              <w:top w:val="single" w:sz="4" w:space="0" w:color="000000"/>
              <w:left w:val="single" w:sz="4" w:space="0" w:color="000000"/>
              <w:right w:val="single" w:sz="4" w:space="0" w:color="000000"/>
            </w:tcBorders>
            <w:shd w:val="clear" w:color="auto" w:fill="D2D2D2"/>
          </w:tcPr>
          <w:p>
            <w:pPr/>
          </w:p>
        </w:tc>
        <w:tc>
          <w:tcPr>
            <w:tcW w:w="354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1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91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985" w:type="dxa"/>
            <w:vMerge/>
            <w:tcBorders>
              <w:left w:val="single" w:sz="4" w:space="0" w:color="000000"/>
              <w:bottom w:val="single" w:sz="4" w:space="0" w:color="000000"/>
              <w:right w:val="single" w:sz="4" w:space="0" w:color="000000"/>
            </w:tcBorders>
            <w:shd w:val="clear" w:color="auto" w:fill="D2D2D2"/>
          </w:tcPr>
          <w:p>
            <w:pPr/>
          </w:p>
        </w:tc>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3"/>
              <w:jc w:val="right"/>
              <w:rPr>
                <w:rFonts w:ascii="宋体" w:hAnsi="宋体" w:cs="宋体" w:eastAsia="宋体" w:hint="default"/>
                <w:sz w:val="18"/>
                <w:szCs w:val="18"/>
              </w:rPr>
            </w:pPr>
            <w:r>
              <w:rPr>
                <w:rFonts w:ascii="宋体" w:hAnsi="宋体" w:cs="宋体" w:eastAsia="宋体" w:hint="default"/>
                <w:sz w:val="18"/>
                <w:szCs w:val="18"/>
              </w:rPr>
              <w:t>占营业收入比重</w:t>
            </w:r>
          </w:p>
        </w:tc>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3"/>
              <w:jc w:val="right"/>
              <w:rPr>
                <w:rFonts w:ascii="宋体" w:hAnsi="宋体" w:cs="宋体" w:eastAsia="宋体" w:hint="default"/>
                <w:sz w:val="18"/>
                <w:szCs w:val="18"/>
              </w:rPr>
            </w:pPr>
            <w:r>
              <w:rPr>
                <w:rFonts w:ascii="宋体" w:hAnsi="宋体" w:cs="宋体" w:eastAsia="宋体" w:hint="default"/>
                <w:sz w:val="18"/>
                <w:szCs w:val="18"/>
              </w:rPr>
              <w:t>占营业收入比重</w:t>
            </w:r>
          </w:p>
        </w:tc>
        <w:tc>
          <w:tcPr>
            <w:tcW w:w="919"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6,496,265,096.84</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5,458,981,768.73</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40"/>
              <w:jc w:val="right"/>
              <w:rPr>
                <w:rFonts w:ascii="Times New Roman" w:hAnsi="Times New Roman" w:cs="Times New Roman" w:eastAsia="Times New Roman" w:hint="default"/>
                <w:sz w:val="18"/>
                <w:szCs w:val="18"/>
              </w:rPr>
            </w:pPr>
            <w:r>
              <w:rPr>
                <w:rFonts w:ascii="Times New Roman"/>
                <w:spacing w:val="-1"/>
                <w:sz w:val="18"/>
              </w:rPr>
              <w:t>19.00%</w:t>
            </w:r>
          </w:p>
        </w:tc>
      </w:tr>
      <w:tr>
        <w:trPr>
          <w:trHeight w:val="402"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智能金融</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2,874,116,259.55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44.24%</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2,248,187,202.36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41.18%</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27.84%</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智能交通</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305,548,478.11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4.70%</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296,878,355.80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5.44%</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2.92%</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智能安全</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2,147,399,815.35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33.06%</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1,950,802,461.07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35.74%</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10.08%</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智能便民</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1,029,322,332.72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15.85%</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825,908,085.02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15.13%</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24.63%</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139,878,211.11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2.15%</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137,205,664.48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2.51%</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1.95%</w:t>
            </w:r>
          </w:p>
        </w:tc>
      </w:tr>
      <w:tr>
        <w:trPr>
          <w:trHeight w:val="400"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bl>
    <w:p>
      <w:pPr>
        <w:spacing w:after="0" w:line="240" w:lineRule="auto"/>
        <w:jc w:val="left"/>
        <w:rPr>
          <w:rFonts w:ascii="宋体" w:hAnsi="宋体" w:cs="宋体" w:eastAsia="宋体" w:hint="default"/>
          <w:sz w:val="18"/>
          <w:szCs w:val="18"/>
        </w:rPr>
        <w:sectPr>
          <w:pgSz w:w="11910" w:h="16840"/>
          <w:pgMar w:header="878" w:footer="978" w:top="1100" w:bottom="1160" w:left="1020" w:right="0"/>
        </w:sectPr>
      </w:pPr>
    </w:p>
    <w:p>
      <w:pPr>
        <w:spacing w:line="240" w:lineRule="auto" w:before="8"/>
        <w:rPr>
          <w:rFonts w:ascii="宋体" w:hAnsi="宋体" w:cs="宋体" w:eastAsia="宋体" w:hint="default"/>
          <w:sz w:val="24"/>
          <w:szCs w:val="24"/>
        </w:rPr>
      </w:pPr>
    </w:p>
    <w:tbl>
      <w:tblPr>
        <w:tblW w:w="0" w:type="auto"/>
        <w:jc w:val="left"/>
        <w:tblInd w:w="209" w:type="dxa"/>
        <w:tblLayout w:type="fixed"/>
        <w:tblCellMar>
          <w:top w:w="0" w:type="dxa"/>
          <w:left w:w="0" w:type="dxa"/>
          <w:bottom w:w="0" w:type="dxa"/>
          <w:right w:w="0" w:type="dxa"/>
        </w:tblCellMar>
        <w:tblLook w:val="01E0"/>
      </w:tblPr>
      <w:tblGrid>
        <w:gridCol w:w="1985"/>
        <w:gridCol w:w="2126"/>
        <w:gridCol w:w="1418"/>
        <w:gridCol w:w="1701"/>
        <w:gridCol w:w="1417"/>
        <w:gridCol w:w="919"/>
      </w:tblGrid>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、智能金融设备</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2,392,379,639.92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36.83%</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1,892,198,567.85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34.66%</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26.43%</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、其他智能设备</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392,507,186.86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6.04%</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382,233,440.22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7.00%</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2.69%</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、技术服务</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3,658,458,767.70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56.32%</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3,132,699,180.60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57.39%</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16.78%</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52,919,502.36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0.81%</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51,850,580.06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0.95%</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2.06%</w:t>
            </w:r>
          </w:p>
        </w:tc>
      </w:tr>
      <w:tr>
        <w:trPr>
          <w:trHeight w:val="402"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5,849,535,825.67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90.04%</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4,915,468,523.46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90.04%</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19.00%</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国际</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646,729,271.17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9.96%</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543,513,245.27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9.96%</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18.99%</w:t>
            </w:r>
          </w:p>
        </w:tc>
      </w:tr>
    </w:tbl>
    <w:p>
      <w:pPr>
        <w:spacing w:line="240" w:lineRule="auto" w:before="11"/>
        <w:rPr>
          <w:rFonts w:ascii="宋体" w:hAnsi="宋体" w:cs="宋体" w:eastAsia="宋体" w:hint="default"/>
          <w:sz w:val="19"/>
          <w:szCs w:val="19"/>
        </w:rPr>
      </w:pPr>
    </w:p>
    <w:p>
      <w:pPr>
        <w:pStyle w:val="Heading5"/>
        <w:spacing w:line="240" w:lineRule="auto" w:before="37"/>
        <w:ind w:left="212" w:right="0"/>
        <w:jc w:val="left"/>
        <w:rPr>
          <w:b w:val="0"/>
          <w:bCs w:val="0"/>
        </w:rPr>
      </w:pPr>
      <w:bookmarkStart w:name="（2）占公司营业收入或营业利润10%以上的行业、产品或地区情况" w:id="30"/>
      <w:bookmarkEnd w:id="30"/>
      <w:r>
        <w:rPr>
          <w:b w:val="0"/>
          <w:bCs w:val="0"/>
        </w:rPr>
      </w:r>
      <w:r>
        <w:rPr/>
        <w:t>（</w:t>
      </w:r>
      <w:r>
        <w:rPr>
          <w:rFonts w:ascii="Times New Roman" w:hAnsi="Times New Roman" w:cs="Times New Roman" w:eastAsia="Times New Roman" w:hint="default"/>
        </w:rPr>
        <w:t>2</w:t>
      </w:r>
      <w:r>
        <w:rPr/>
        <w:t>）占公司营业收入或营业利润</w:t>
      </w:r>
      <w:r>
        <w:rPr>
          <w:spacing w:val="-68"/>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6"/>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78" w:footer="978" w:top="1100" w:bottom="1160" w:left="920" w:right="0"/>
        </w:sectPr>
      </w:pPr>
    </w:p>
    <w:p>
      <w:pPr>
        <w:pStyle w:val="BodyText"/>
        <w:spacing w:line="348" w:lineRule="auto" w:before="44"/>
        <w:ind w:left="212"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公司是否需要遵守特殊行业的披露要求 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8"/>
        <w:ind w:left="212" w:right="0"/>
        <w:jc w:val="left"/>
      </w:pPr>
      <w:r>
        <w:rPr/>
        <w:t>单位：元</w:t>
      </w:r>
    </w:p>
    <w:p>
      <w:pPr>
        <w:spacing w:after="0" w:line="240" w:lineRule="auto"/>
        <w:jc w:val="left"/>
        <w:sectPr>
          <w:type w:val="continuous"/>
          <w:pgSz w:w="11910" w:h="16840"/>
          <w:pgMar w:top="1100" w:bottom="1160" w:left="920" w:right="0"/>
          <w:cols w:num="2" w:equalWidth="0">
            <w:col w:w="3273" w:space="5645"/>
            <w:col w:w="2072"/>
          </w:cols>
        </w:sectPr>
      </w:pPr>
    </w:p>
    <w:p>
      <w:pPr>
        <w:spacing w:line="240" w:lineRule="auto" w:before="0"/>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1868"/>
        <w:gridCol w:w="1560"/>
        <w:gridCol w:w="1533"/>
        <w:gridCol w:w="907"/>
        <w:gridCol w:w="1333"/>
        <w:gridCol w:w="1387"/>
        <w:gridCol w:w="1159"/>
      </w:tblGrid>
      <w:tr>
        <w:trPr>
          <w:trHeight w:val="714" w:hRule="exact"/>
        </w:trPr>
        <w:tc>
          <w:tcPr>
            <w:tcW w:w="186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01"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78"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10" w:right="120" w:hanging="89"/>
              <w:jc w:val="left"/>
              <w:rPr>
                <w:rFonts w:ascii="宋体" w:hAnsi="宋体" w:cs="宋体" w:eastAsia="宋体" w:hint="default"/>
                <w:sz w:val="18"/>
                <w:szCs w:val="18"/>
              </w:rPr>
            </w:pPr>
            <w:r>
              <w:rPr>
                <w:rFonts w:ascii="宋体" w:hAnsi="宋体" w:cs="宋体" w:eastAsia="宋体" w:hint="default"/>
                <w:sz w:val="18"/>
                <w:szCs w:val="18"/>
              </w:rPr>
              <w:t>营业收入比上 年同期增减</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7" w:right="146" w:hanging="89"/>
              <w:jc w:val="left"/>
              <w:rPr>
                <w:rFonts w:ascii="宋体" w:hAnsi="宋体" w:cs="宋体" w:eastAsia="宋体" w:hint="default"/>
                <w:sz w:val="18"/>
                <w:szCs w:val="18"/>
              </w:rPr>
            </w:pPr>
            <w:r>
              <w:rPr>
                <w:rFonts w:ascii="宋体" w:hAnsi="宋体" w:cs="宋体" w:eastAsia="宋体" w:hint="default"/>
                <w:sz w:val="18"/>
                <w:szCs w:val="18"/>
              </w:rPr>
              <w:t>营业成本比上 年同期增减</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25" w:right="122"/>
              <w:jc w:val="left"/>
              <w:rPr>
                <w:rFonts w:ascii="宋体" w:hAnsi="宋体" w:cs="宋体" w:eastAsia="宋体" w:hint="default"/>
                <w:sz w:val="18"/>
                <w:szCs w:val="18"/>
              </w:rPr>
            </w:pPr>
            <w:r>
              <w:rPr>
                <w:rFonts w:ascii="宋体" w:hAnsi="宋体" w:cs="宋体" w:eastAsia="宋体" w:hint="default"/>
                <w:sz w:val="18"/>
                <w:szCs w:val="18"/>
              </w:rPr>
              <w:t>毛利率比上 年同期增减</w:t>
            </w:r>
          </w:p>
        </w:tc>
      </w:tr>
      <w:tr>
        <w:trPr>
          <w:trHeight w:val="402" w:hRule="exact"/>
        </w:trPr>
        <w:tc>
          <w:tcPr>
            <w:tcW w:w="9747"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智能金融</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2,874,116,259.55</w:t>
            </w:r>
          </w:p>
        </w:tc>
        <w:tc>
          <w:tcPr>
            <w:tcW w:w="1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1,819,521,627.23</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40" w:right="0"/>
              <w:jc w:val="left"/>
              <w:rPr>
                <w:rFonts w:ascii="Times New Roman" w:hAnsi="Times New Roman" w:cs="Times New Roman" w:eastAsia="Times New Roman" w:hint="default"/>
                <w:sz w:val="18"/>
                <w:szCs w:val="18"/>
              </w:rPr>
            </w:pPr>
            <w:r>
              <w:rPr>
                <w:rFonts w:ascii="Times New Roman"/>
                <w:sz w:val="18"/>
              </w:rPr>
              <w:t>36.69%</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27.84%</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41.20%</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7"/>
              <w:jc w:val="right"/>
              <w:rPr>
                <w:rFonts w:ascii="Times New Roman" w:hAnsi="Times New Roman" w:cs="Times New Roman" w:eastAsia="Times New Roman" w:hint="default"/>
                <w:sz w:val="18"/>
                <w:szCs w:val="18"/>
              </w:rPr>
            </w:pPr>
            <w:r>
              <w:rPr>
                <w:rFonts w:ascii="Times New Roman"/>
                <w:sz w:val="18"/>
              </w:rPr>
              <w:t>-5.99%</w:t>
            </w:r>
          </w:p>
        </w:tc>
      </w:tr>
      <w:tr>
        <w:trPr>
          <w:trHeight w:val="402"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智能交通</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305,548,478.11</w:t>
            </w:r>
          </w:p>
        </w:tc>
        <w:tc>
          <w:tcPr>
            <w:tcW w:w="1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173,697,216.64</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0" w:right="0"/>
              <w:jc w:val="left"/>
              <w:rPr>
                <w:rFonts w:ascii="Times New Roman" w:hAnsi="Times New Roman" w:cs="Times New Roman" w:eastAsia="Times New Roman" w:hint="default"/>
                <w:sz w:val="18"/>
                <w:szCs w:val="18"/>
              </w:rPr>
            </w:pPr>
            <w:r>
              <w:rPr>
                <w:rFonts w:ascii="Times New Roman"/>
                <w:sz w:val="18"/>
              </w:rPr>
              <w:t>43.15%</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2.92%</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29.91%</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-11.81%</w:t>
            </w:r>
          </w:p>
        </w:tc>
      </w:tr>
      <w:tr>
        <w:trPr>
          <w:trHeight w:val="402"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智能安全</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2,147,399,815.35</w:t>
            </w:r>
          </w:p>
        </w:tc>
        <w:tc>
          <w:tcPr>
            <w:tcW w:w="1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1,522,028,446.13</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40" w:right="0"/>
              <w:jc w:val="left"/>
              <w:rPr>
                <w:rFonts w:ascii="Times New Roman" w:hAnsi="Times New Roman" w:cs="Times New Roman" w:eastAsia="Times New Roman" w:hint="default"/>
                <w:sz w:val="18"/>
                <w:szCs w:val="18"/>
              </w:rPr>
            </w:pPr>
            <w:r>
              <w:rPr>
                <w:rFonts w:ascii="Times New Roman"/>
                <w:sz w:val="18"/>
              </w:rPr>
              <w:t>29.12%</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10.08%</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9.34%</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0.47%</w:t>
            </w:r>
          </w:p>
        </w:tc>
      </w:tr>
      <w:tr>
        <w:trPr>
          <w:trHeight w:val="402"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智能便民</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1,029,322,332.72</w:t>
            </w:r>
          </w:p>
        </w:tc>
        <w:tc>
          <w:tcPr>
            <w:tcW w:w="1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376,023,660.78</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0" w:right="0"/>
              <w:jc w:val="left"/>
              <w:rPr>
                <w:rFonts w:ascii="Times New Roman" w:hAnsi="Times New Roman" w:cs="Times New Roman" w:eastAsia="Times New Roman" w:hint="default"/>
                <w:sz w:val="18"/>
                <w:szCs w:val="18"/>
              </w:rPr>
            </w:pPr>
            <w:r>
              <w:rPr>
                <w:rFonts w:ascii="Times New Roman"/>
                <w:sz w:val="18"/>
              </w:rPr>
              <w:t>63.47%</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24.63%</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22.10%</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0.76%</w:t>
            </w:r>
          </w:p>
        </w:tc>
      </w:tr>
      <w:tr>
        <w:trPr>
          <w:trHeight w:val="402"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139,878,211.11</w:t>
            </w:r>
          </w:p>
        </w:tc>
        <w:tc>
          <w:tcPr>
            <w:tcW w:w="1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72,509,423.56</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40" w:right="0"/>
              <w:jc w:val="left"/>
              <w:rPr>
                <w:rFonts w:ascii="Times New Roman" w:hAnsi="Times New Roman" w:cs="Times New Roman" w:eastAsia="Times New Roman" w:hint="default"/>
                <w:sz w:val="18"/>
                <w:szCs w:val="18"/>
              </w:rPr>
            </w:pPr>
            <w:r>
              <w:rPr>
                <w:rFonts w:ascii="Times New Roman"/>
                <w:sz w:val="18"/>
              </w:rPr>
              <w:t>48.16%</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1.95%</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7"/>
              <w:jc w:val="right"/>
              <w:rPr>
                <w:rFonts w:ascii="Times New Roman" w:hAnsi="Times New Roman" w:cs="Times New Roman" w:eastAsia="Times New Roman" w:hint="default"/>
                <w:sz w:val="18"/>
                <w:szCs w:val="18"/>
              </w:rPr>
            </w:pPr>
            <w:r>
              <w:rPr>
                <w:rFonts w:ascii="Times New Roman"/>
                <w:sz w:val="18"/>
              </w:rPr>
              <w:t>-6.62%</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4.75%</w:t>
            </w:r>
          </w:p>
        </w:tc>
      </w:tr>
      <w:tr>
        <w:trPr>
          <w:trHeight w:val="402"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6,496,265,096.84</w:t>
            </w:r>
          </w:p>
        </w:tc>
        <w:tc>
          <w:tcPr>
            <w:tcW w:w="1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3,963,780,374.34</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0" w:right="0"/>
              <w:jc w:val="left"/>
              <w:rPr>
                <w:rFonts w:ascii="Times New Roman" w:hAnsi="Times New Roman" w:cs="Times New Roman" w:eastAsia="Times New Roman" w:hint="default"/>
                <w:sz w:val="18"/>
                <w:szCs w:val="18"/>
              </w:rPr>
            </w:pPr>
            <w:r>
              <w:rPr>
                <w:rFonts w:ascii="Times New Roman"/>
                <w:sz w:val="18"/>
              </w:rPr>
              <w:t>38.98%</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19.00%</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23.87%</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z w:val="18"/>
              </w:rPr>
              <w:t>-2.40%</w:t>
            </w:r>
          </w:p>
        </w:tc>
      </w:tr>
      <w:tr>
        <w:trPr>
          <w:trHeight w:val="402" w:hRule="exact"/>
        </w:trPr>
        <w:tc>
          <w:tcPr>
            <w:tcW w:w="9747" w:type="dxa"/>
            <w:gridSpan w:val="7"/>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、产品设备</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2,784,886,826.78</w:t>
            </w:r>
          </w:p>
        </w:tc>
        <w:tc>
          <w:tcPr>
            <w:tcW w:w="1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1,805,305,066.05</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0" w:right="0"/>
              <w:jc w:val="left"/>
              <w:rPr>
                <w:rFonts w:ascii="Times New Roman" w:hAnsi="Times New Roman" w:cs="Times New Roman" w:eastAsia="Times New Roman" w:hint="default"/>
                <w:sz w:val="18"/>
                <w:szCs w:val="18"/>
              </w:rPr>
            </w:pPr>
            <w:r>
              <w:rPr>
                <w:rFonts w:ascii="Times New Roman"/>
                <w:sz w:val="18"/>
              </w:rPr>
              <w:t>35.17%</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22.44%</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40.40%</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z w:val="18"/>
              </w:rPr>
              <w:t>-8.30%</w:t>
            </w:r>
          </w:p>
        </w:tc>
      </w:tr>
      <w:tr>
        <w:trPr>
          <w:trHeight w:val="402"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）智能金融设备</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2,392,379,639.92</w:t>
            </w:r>
          </w:p>
        </w:tc>
        <w:tc>
          <w:tcPr>
            <w:tcW w:w="1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1,591,758,142.39</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40" w:right="0"/>
              <w:jc w:val="left"/>
              <w:rPr>
                <w:rFonts w:ascii="Times New Roman" w:hAnsi="Times New Roman" w:cs="Times New Roman" w:eastAsia="Times New Roman" w:hint="default"/>
                <w:sz w:val="18"/>
                <w:szCs w:val="18"/>
              </w:rPr>
            </w:pPr>
            <w:r>
              <w:rPr>
                <w:rFonts w:ascii="Times New Roman"/>
                <w:sz w:val="18"/>
              </w:rPr>
              <w:t>33.47%</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26.43%</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43.36%</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7"/>
              <w:jc w:val="right"/>
              <w:rPr>
                <w:rFonts w:ascii="Times New Roman" w:hAnsi="Times New Roman" w:cs="Times New Roman" w:eastAsia="Times New Roman" w:hint="default"/>
                <w:sz w:val="18"/>
                <w:szCs w:val="18"/>
              </w:rPr>
            </w:pPr>
            <w:r>
              <w:rPr>
                <w:rFonts w:ascii="Times New Roman"/>
                <w:sz w:val="18"/>
              </w:rPr>
              <w:t>-7.85%</w:t>
            </w:r>
          </w:p>
        </w:tc>
      </w:tr>
      <w:tr>
        <w:trPr>
          <w:trHeight w:val="402"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）其他智能设备</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392,507,186.86</w:t>
            </w:r>
          </w:p>
        </w:tc>
        <w:tc>
          <w:tcPr>
            <w:tcW w:w="1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213,546,923.66</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0" w:right="0"/>
              <w:jc w:val="left"/>
              <w:rPr>
                <w:rFonts w:ascii="Times New Roman" w:hAnsi="Times New Roman" w:cs="Times New Roman" w:eastAsia="Times New Roman" w:hint="default"/>
                <w:sz w:val="18"/>
                <w:szCs w:val="18"/>
              </w:rPr>
            </w:pPr>
            <w:r>
              <w:rPr>
                <w:rFonts w:ascii="Times New Roman"/>
                <w:sz w:val="18"/>
              </w:rPr>
              <w:t>45.59%</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2.69%</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21.70%</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z w:val="18"/>
              </w:rPr>
              <w:t>-8.51%</w:t>
            </w:r>
          </w:p>
        </w:tc>
      </w:tr>
      <w:tr>
        <w:trPr>
          <w:trHeight w:val="402"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、技术服务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3,658,458,767.70</w:t>
            </w:r>
          </w:p>
        </w:tc>
        <w:tc>
          <w:tcPr>
            <w:tcW w:w="1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2,125,815,591.75</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40" w:right="0"/>
              <w:jc w:val="left"/>
              <w:rPr>
                <w:rFonts w:ascii="Times New Roman" w:hAnsi="Times New Roman" w:cs="Times New Roman" w:eastAsia="Times New Roman" w:hint="default"/>
                <w:sz w:val="18"/>
                <w:szCs w:val="18"/>
              </w:rPr>
            </w:pPr>
            <w:r>
              <w:rPr>
                <w:rFonts w:ascii="Times New Roman"/>
                <w:sz w:val="18"/>
              </w:rPr>
              <w:t>41.89%</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16.78%</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13.18%</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1.85%</w:t>
            </w:r>
          </w:p>
        </w:tc>
      </w:tr>
      <w:tr>
        <w:trPr>
          <w:trHeight w:val="402"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52,919,502.36</w:t>
            </w:r>
          </w:p>
        </w:tc>
        <w:tc>
          <w:tcPr>
            <w:tcW w:w="1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32,659,716.54</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0" w:right="0"/>
              <w:jc w:val="left"/>
              <w:rPr>
                <w:rFonts w:ascii="Times New Roman" w:hAnsi="Times New Roman" w:cs="Times New Roman" w:eastAsia="Times New Roman" w:hint="default"/>
                <w:sz w:val="18"/>
                <w:szCs w:val="18"/>
              </w:rPr>
            </w:pPr>
            <w:r>
              <w:rPr>
                <w:rFonts w:ascii="Times New Roman"/>
                <w:sz w:val="18"/>
              </w:rPr>
              <w:t>38.28%</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2.06%</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z w:val="18"/>
              </w:rPr>
              <w:t>-8.99%</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7.49%</w:t>
            </w:r>
          </w:p>
        </w:tc>
      </w:tr>
      <w:tr>
        <w:trPr>
          <w:trHeight w:val="402"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6,496,265,096.84</w:t>
            </w:r>
          </w:p>
        </w:tc>
        <w:tc>
          <w:tcPr>
            <w:tcW w:w="1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3,963,780,374.34</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40" w:right="0"/>
              <w:jc w:val="left"/>
              <w:rPr>
                <w:rFonts w:ascii="Times New Roman" w:hAnsi="Times New Roman" w:cs="Times New Roman" w:eastAsia="Times New Roman" w:hint="default"/>
                <w:sz w:val="18"/>
                <w:szCs w:val="18"/>
              </w:rPr>
            </w:pPr>
            <w:r>
              <w:rPr>
                <w:rFonts w:ascii="Times New Roman"/>
                <w:sz w:val="18"/>
              </w:rPr>
              <w:t>38.98%</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19.00%</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23.87%</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7"/>
              <w:jc w:val="right"/>
              <w:rPr>
                <w:rFonts w:ascii="Times New Roman" w:hAnsi="Times New Roman" w:cs="Times New Roman" w:eastAsia="Times New Roman" w:hint="default"/>
                <w:sz w:val="18"/>
                <w:szCs w:val="18"/>
              </w:rPr>
            </w:pPr>
            <w:r>
              <w:rPr>
                <w:rFonts w:ascii="Times New Roman"/>
                <w:sz w:val="18"/>
              </w:rPr>
              <w:t>-2.40%</w:t>
            </w:r>
          </w:p>
        </w:tc>
      </w:tr>
      <w:tr>
        <w:trPr>
          <w:trHeight w:val="402" w:hRule="exact"/>
        </w:trPr>
        <w:tc>
          <w:tcPr>
            <w:tcW w:w="9747" w:type="dxa"/>
            <w:gridSpan w:val="7"/>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5,849,535,825.67</w:t>
            </w:r>
          </w:p>
        </w:tc>
        <w:tc>
          <w:tcPr>
            <w:tcW w:w="1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3,618,193,298.37</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40" w:right="0"/>
              <w:jc w:val="left"/>
              <w:rPr>
                <w:rFonts w:ascii="Times New Roman" w:hAnsi="Times New Roman" w:cs="Times New Roman" w:eastAsia="Times New Roman" w:hint="default"/>
                <w:sz w:val="18"/>
                <w:szCs w:val="18"/>
              </w:rPr>
            </w:pPr>
            <w:r>
              <w:rPr>
                <w:rFonts w:ascii="Times New Roman"/>
                <w:sz w:val="18"/>
              </w:rPr>
              <w:t>38.15%</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19.00%</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25.46%</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7"/>
              <w:jc w:val="right"/>
              <w:rPr>
                <w:rFonts w:ascii="Times New Roman" w:hAnsi="Times New Roman" w:cs="Times New Roman" w:eastAsia="Times New Roman" w:hint="default"/>
                <w:sz w:val="18"/>
                <w:szCs w:val="18"/>
              </w:rPr>
            </w:pPr>
            <w:r>
              <w:rPr>
                <w:rFonts w:ascii="Times New Roman"/>
                <w:sz w:val="18"/>
              </w:rPr>
              <w:t>-3.18%</w:t>
            </w:r>
          </w:p>
        </w:tc>
      </w:tr>
      <w:tr>
        <w:trPr>
          <w:trHeight w:val="402"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国际</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646,729,271.17</w:t>
            </w:r>
          </w:p>
        </w:tc>
        <w:tc>
          <w:tcPr>
            <w:tcW w:w="1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345,587,075.97</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0" w:right="0"/>
              <w:jc w:val="left"/>
              <w:rPr>
                <w:rFonts w:ascii="Times New Roman" w:hAnsi="Times New Roman" w:cs="Times New Roman" w:eastAsia="Times New Roman" w:hint="default"/>
                <w:sz w:val="18"/>
                <w:szCs w:val="18"/>
              </w:rPr>
            </w:pPr>
            <w:r>
              <w:rPr>
                <w:rFonts w:ascii="Times New Roman"/>
                <w:sz w:val="18"/>
              </w:rPr>
              <w:t>46.56%</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18.99%</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9.39%</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4.68%</w:t>
            </w:r>
          </w:p>
        </w:tc>
      </w:tr>
      <w:tr>
        <w:trPr>
          <w:trHeight w:val="402"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6,496,265,096.84</w:t>
            </w:r>
          </w:p>
        </w:tc>
        <w:tc>
          <w:tcPr>
            <w:tcW w:w="1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3,963,780,374.34</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40" w:right="0"/>
              <w:jc w:val="left"/>
              <w:rPr>
                <w:rFonts w:ascii="Times New Roman" w:hAnsi="Times New Roman" w:cs="Times New Roman" w:eastAsia="Times New Roman" w:hint="default"/>
                <w:sz w:val="18"/>
                <w:szCs w:val="18"/>
              </w:rPr>
            </w:pPr>
            <w:r>
              <w:rPr>
                <w:rFonts w:ascii="Times New Roman"/>
                <w:sz w:val="18"/>
              </w:rPr>
              <w:t>38.98%</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19.00%</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23.87%</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7"/>
              <w:jc w:val="right"/>
              <w:rPr>
                <w:rFonts w:ascii="Times New Roman" w:hAnsi="Times New Roman" w:cs="Times New Roman" w:eastAsia="Times New Roman" w:hint="default"/>
                <w:sz w:val="18"/>
                <w:szCs w:val="18"/>
              </w:rPr>
            </w:pPr>
            <w:r>
              <w:rPr>
                <w:rFonts w:ascii="Times New Roman"/>
                <w:sz w:val="18"/>
              </w:rPr>
              <w:t>-2.40%</w:t>
            </w:r>
          </w:p>
        </w:tc>
      </w:tr>
    </w:tbl>
    <w:p>
      <w:pPr>
        <w:pStyle w:val="BodyText"/>
        <w:spacing w:line="240" w:lineRule="auto" w:before="51"/>
        <w:ind w:left="212" w:right="0"/>
        <w:jc w:val="left"/>
      </w:pPr>
      <w:r>
        <w:rPr/>
        <w:t>行业分类情况说明：</w:t>
      </w:r>
    </w:p>
    <w:p>
      <w:pPr>
        <w:pStyle w:val="BodyText"/>
        <w:spacing w:line="240" w:lineRule="auto" w:before="115"/>
        <w:ind w:left="572" w:right="0"/>
        <w:jc w:val="left"/>
      </w:pPr>
      <w:r>
        <w:rPr/>
        <w:t>①智能金融营业收入</w:t>
      </w:r>
      <w:r>
        <w:rPr>
          <w:rFonts w:ascii="Times New Roman" w:hAnsi="Times New Roman" w:cs="Times New Roman" w:eastAsia="Times New Roman" w:hint="default"/>
        </w:rPr>
        <w:t>287,411.63</w:t>
      </w:r>
      <w:r>
        <w:rPr/>
        <w:t>万元，比上年同期增长</w:t>
      </w:r>
      <w:r>
        <w:rPr>
          <w:rFonts w:ascii="Times New Roman" w:hAnsi="Times New Roman" w:cs="Times New Roman" w:eastAsia="Times New Roman" w:hint="default"/>
        </w:rPr>
        <w:t>27.84%</w:t>
      </w:r>
      <w:r>
        <w:rPr/>
        <w:t>，主要是金融设备及财政领域收入增加；销售毛利率同比</w:t>
      </w:r>
    </w:p>
    <w:p>
      <w:pPr>
        <w:spacing w:after="0" w:line="240" w:lineRule="auto"/>
        <w:jc w:val="left"/>
        <w:sectPr>
          <w:type w:val="continuous"/>
          <w:pgSz w:w="11910" w:h="16840"/>
          <w:pgMar w:top="1100" w:bottom="1160" w:left="920" w:right="0"/>
        </w:sectPr>
      </w:pPr>
    </w:p>
    <w:p>
      <w:pPr>
        <w:spacing w:line="240" w:lineRule="auto" w:before="1"/>
        <w:rPr>
          <w:rFonts w:ascii="宋体" w:hAnsi="宋体" w:cs="宋体" w:eastAsia="宋体" w:hint="default"/>
          <w:sz w:val="22"/>
          <w:szCs w:val="22"/>
        </w:rPr>
      </w:pPr>
    </w:p>
    <w:p>
      <w:pPr>
        <w:pStyle w:val="BodyText"/>
        <w:spacing w:line="240" w:lineRule="auto" w:before="44"/>
        <w:ind w:right="1394"/>
        <w:jc w:val="left"/>
      </w:pPr>
      <w:r>
        <w:rPr/>
        <w:t>下降</w:t>
      </w:r>
      <w:r>
        <w:rPr>
          <w:rFonts w:ascii="Times New Roman" w:hAnsi="Times New Roman" w:cs="Times New Roman" w:eastAsia="Times New Roman" w:hint="default"/>
        </w:rPr>
        <w:t>5.99</w:t>
      </w:r>
      <w:r>
        <w:rPr/>
        <w:t>个百分点，主要是产品销售结构变化。</w:t>
      </w:r>
    </w:p>
    <w:p>
      <w:pPr>
        <w:pStyle w:val="BodyText"/>
        <w:spacing w:line="240" w:lineRule="auto" w:before="63"/>
        <w:ind w:left="472" w:right="0"/>
        <w:jc w:val="left"/>
      </w:pPr>
      <w:r>
        <w:rPr/>
        <w:t>②智能交通营业收入</w:t>
      </w:r>
      <w:r>
        <w:rPr>
          <w:rFonts w:ascii="Times New Roman" w:hAnsi="Times New Roman" w:cs="Times New Roman" w:eastAsia="Times New Roman" w:hint="default"/>
        </w:rPr>
        <w:t>30,554.85</w:t>
      </w:r>
      <w:r>
        <w:rPr/>
        <w:t>万元，比上年同期增长</w:t>
      </w:r>
      <w:r>
        <w:rPr>
          <w:rFonts w:ascii="Times New Roman" w:hAnsi="Times New Roman" w:cs="Times New Roman" w:eastAsia="Times New Roman" w:hint="default"/>
        </w:rPr>
        <w:t>2.92%</w:t>
      </w:r>
      <w:r>
        <w:rPr/>
        <w:t>，主要是智能交通项目结算同比增加；销售毛利率同比下降</w:t>
      </w:r>
    </w:p>
    <w:p>
      <w:pPr>
        <w:pStyle w:val="BodyText"/>
        <w:spacing w:line="300" w:lineRule="auto" w:before="63"/>
        <w:ind w:left="472" w:right="7289" w:hanging="360"/>
        <w:jc w:val="left"/>
      </w:pPr>
      <w:r>
        <w:rPr>
          <w:rFonts w:ascii="Times New Roman" w:hAnsi="Times New Roman" w:cs="Times New Roman" w:eastAsia="Times New Roman" w:hint="default"/>
        </w:rPr>
        <w:t>11.81</w:t>
      </w:r>
      <w:r>
        <w:rPr/>
        <w:t>个百分点，主要是产品销售结构变化。 产品分类情况说明：</w:t>
      </w:r>
    </w:p>
    <w:p>
      <w:pPr>
        <w:pStyle w:val="BodyText"/>
        <w:spacing w:line="300" w:lineRule="auto" w:before="31"/>
        <w:ind w:right="0" w:firstLine="360"/>
        <w:jc w:val="left"/>
      </w:pPr>
      <w:r>
        <w:rPr>
          <w:spacing w:val="-1"/>
        </w:rPr>
        <w:t>①智能金融设备营业收入</w:t>
      </w:r>
      <w:r>
        <w:rPr>
          <w:rFonts w:ascii="Times New Roman" w:hAnsi="Times New Roman" w:cs="Times New Roman" w:eastAsia="Times New Roman" w:hint="default"/>
          <w:spacing w:val="-1"/>
        </w:rPr>
        <w:t>239,237.96</w:t>
      </w:r>
      <w:r>
        <w:rPr>
          <w:spacing w:val="-1"/>
        </w:rPr>
        <w:t>万元，比上年同期增长</w:t>
      </w:r>
      <w:r>
        <w:rPr>
          <w:rFonts w:ascii="Times New Roman" w:hAnsi="Times New Roman" w:cs="Times New Roman" w:eastAsia="Times New Roman" w:hint="default"/>
          <w:spacing w:val="-1"/>
        </w:rPr>
        <w:t>26.43%</w:t>
      </w:r>
      <w:r>
        <w:rPr>
          <w:spacing w:val="-1"/>
        </w:rPr>
        <w:t>，主要是持续提升智能自助设备市场占比所致；销售</w:t>
      </w:r>
      <w:r>
        <w:rPr/>
        <w:t> 毛利率同比下降</w:t>
      </w:r>
      <w:r>
        <w:rPr>
          <w:rFonts w:ascii="Times New Roman" w:hAnsi="Times New Roman" w:cs="Times New Roman" w:eastAsia="Times New Roman" w:hint="default"/>
        </w:rPr>
        <w:t>7.85</w:t>
      </w:r>
      <w:r>
        <w:rPr/>
        <w:t>个百分点，主要是毛利率较低的智能非现设备营业收入增长幅度较大。</w:t>
      </w:r>
    </w:p>
    <w:p>
      <w:pPr>
        <w:pStyle w:val="BodyText"/>
        <w:spacing w:line="300" w:lineRule="auto" w:before="13"/>
        <w:ind w:right="0" w:firstLine="360"/>
        <w:jc w:val="left"/>
      </w:pPr>
      <w:r>
        <w:rPr>
          <w:spacing w:val="-1"/>
        </w:rPr>
        <w:t>②其他智能设备营业收入</w:t>
      </w:r>
      <w:r>
        <w:rPr>
          <w:rFonts w:ascii="Times New Roman" w:hAnsi="Times New Roman" w:cs="Times New Roman" w:eastAsia="Times New Roman" w:hint="default"/>
          <w:spacing w:val="-1"/>
        </w:rPr>
        <w:t>39,250.72</w:t>
      </w:r>
      <w:r>
        <w:rPr>
          <w:spacing w:val="-1"/>
        </w:rPr>
        <w:t>万元，比上年同期增长</w:t>
      </w:r>
      <w:r>
        <w:rPr>
          <w:rFonts w:ascii="Times New Roman" w:hAnsi="Times New Roman" w:cs="Times New Roman" w:eastAsia="Times New Roman" w:hint="default"/>
          <w:spacing w:val="-1"/>
        </w:rPr>
        <w:t>2.69%</w:t>
      </w:r>
      <w:r>
        <w:rPr>
          <w:spacing w:val="-1"/>
        </w:rPr>
        <w:t>，主要是智能交通项目结算同比增加；销售毛利率同比</w:t>
      </w:r>
      <w:r>
        <w:rPr/>
        <w:t> 下降</w:t>
      </w:r>
      <w:r>
        <w:rPr>
          <w:rFonts w:ascii="Times New Roman" w:hAnsi="Times New Roman" w:cs="Times New Roman" w:eastAsia="Times New Roman" w:hint="default"/>
        </w:rPr>
        <w:t>8.51</w:t>
      </w:r>
      <w:r>
        <w:rPr/>
        <w:t>个百分点，主要是产品销售结构变化。</w:t>
      </w:r>
    </w:p>
    <w:p>
      <w:pPr>
        <w:pStyle w:val="BodyText"/>
        <w:spacing w:line="240" w:lineRule="auto" w:before="51"/>
        <w:ind w:left="472" w:right="0"/>
        <w:jc w:val="left"/>
      </w:pPr>
      <w:r>
        <w:rPr/>
        <w:t>③其他营业收入</w:t>
      </w:r>
      <w:r>
        <w:rPr>
          <w:spacing w:val="-47"/>
        </w:rPr>
        <w:t> </w:t>
      </w:r>
      <w:r>
        <w:rPr>
          <w:rFonts w:ascii="Times New Roman" w:hAnsi="Times New Roman" w:cs="Times New Roman" w:eastAsia="Times New Roman" w:hint="default"/>
        </w:rPr>
        <w:t>5,291.95</w:t>
      </w:r>
      <w:r>
        <w:rPr>
          <w:rFonts w:ascii="Times New Roman" w:hAnsi="Times New Roman" w:cs="Times New Roman" w:eastAsia="Times New Roman" w:hint="default"/>
          <w:spacing w:val="-3"/>
        </w:rPr>
        <w:t> </w:t>
      </w:r>
      <w:r>
        <w:rPr/>
        <w:t>万元，比上年同期增长</w:t>
      </w:r>
      <w:r>
        <w:rPr>
          <w:spacing w:val="-47"/>
        </w:rPr>
        <w:t> </w:t>
      </w:r>
      <w:r>
        <w:rPr>
          <w:rFonts w:ascii="Times New Roman" w:hAnsi="Times New Roman" w:cs="Times New Roman" w:eastAsia="Times New Roman" w:hint="default"/>
        </w:rPr>
        <w:t>2.06%</w:t>
      </w:r>
      <w:r>
        <w:rPr/>
        <w:t>，销售毛利率同比上升</w:t>
      </w:r>
      <w:r>
        <w:rPr>
          <w:spacing w:val="-49"/>
        </w:rPr>
        <w:t> </w:t>
      </w:r>
      <w:r>
        <w:rPr>
          <w:rFonts w:ascii="Times New Roman" w:hAnsi="Times New Roman" w:cs="Times New Roman" w:eastAsia="Times New Roman" w:hint="default"/>
        </w:rPr>
        <w:t>7.49</w:t>
      </w:r>
      <w:r>
        <w:rPr>
          <w:rFonts w:ascii="Times New Roman" w:hAnsi="Times New Roman" w:cs="Times New Roman" w:eastAsia="Times New Roman" w:hint="default"/>
          <w:spacing w:val="-3"/>
        </w:rPr>
        <w:t> </w:t>
      </w:r>
      <w:r>
        <w:rPr/>
        <w:t>个百分点，主要是降本增效所致。</w:t>
      </w:r>
    </w:p>
    <w:p>
      <w:pPr>
        <w:pStyle w:val="BodyText"/>
        <w:spacing w:line="240" w:lineRule="auto" w:before="103"/>
        <w:ind w:right="1394"/>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年按报告期末口径调整后的主营业务数据</w:t>
      </w:r>
    </w:p>
    <w:p>
      <w:pPr>
        <w:pStyle w:val="BodyText"/>
        <w:spacing w:line="240" w:lineRule="auto" w:before="103"/>
        <w:ind w:right="1394"/>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6"/>
        <w:rPr>
          <w:rFonts w:ascii="宋体" w:hAnsi="宋体" w:cs="宋体" w:eastAsia="宋体" w:hint="default"/>
          <w:sz w:val="26"/>
          <w:szCs w:val="26"/>
        </w:rPr>
      </w:pPr>
    </w:p>
    <w:p>
      <w:pPr>
        <w:pStyle w:val="Heading5"/>
        <w:spacing w:line="240" w:lineRule="auto"/>
        <w:ind w:right="1394"/>
        <w:jc w:val="left"/>
        <w:rPr>
          <w:b w:val="0"/>
          <w:bCs w:val="0"/>
        </w:rPr>
      </w:pPr>
      <w:bookmarkStart w:name="（3）公司实物销售收入是否大于劳务收入" w:id="31"/>
      <w:bookmarkEnd w:id="31"/>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13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否</w:t>
      </w:r>
    </w:p>
    <w:p>
      <w:pPr>
        <w:spacing w:line="240" w:lineRule="auto" w:before="6"/>
        <w:rPr>
          <w:rFonts w:ascii="宋体" w:hAnsi="宋体" w:cs="宋体" w:eastAsia="宋体" w:hint="default"/>
          <w:sz w:val="26"/>
          <w:szCs w:val="26"/>
        </w:rPr>
      </w:pPr>
    </w:p>
    <w:p>
      <w:pPr>
        <w:pStyle w:val="Heading5"/>
        <w:spacing w:line="240" w:lineRule="auto"/>
        <w:ind w:right="1394"/>
        <w:jc w:val="left"/>
        <w:rPr>
          <w:b w:val="0"/>
          <w:bCs w:val="0"/>
        </w:rPr>
      </w:pPr>
      <w:bookmarkStart w:name="（4）公司已签订的重大销售合同截至本报告期的履行情况" w:id="32"/>
      <w:bookmarkEnd w:id="32"/>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13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9"/>
        <w:rPr>
          <w:rFonts w:ascii="宋体" w:hAnsi="宋体" w:cs="宋体" w:eastAsia="宋体" w:hint="default"/>
          <w:sz w:val="26"/>
          <w:szCs w:val="26"/>
        </w:rPr>
      </w:pPr>
    </w:p>
    <w:p>
      <w:pPr>
        <w:pStyle w:val="Heading5"/>
        <w:spacing w:line="240" w:lineRule="auto"/>
        <w:ind w:right="1394"/>
        <w:jc w:val="left"/>
        <w:rPr>
          <w:b w:val="0"/>
          <w:bCs w:val="0"/>
        </w:rPr>
      </w:pPr>
      <w:bookmarkStart w:name="（5）营业成本构成" w:id="33"/>
      <w:bookmarkEnd w:id="33"/>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right="1394"/>
        <w:jc w:val="left"/>
      </w:pPr>
      <w:r>
        <w:rPr/>
        <w:t>行业和产品分类</w:t>
      </w:r>
    </w:p>
    <w:p>
      <w:pPr>
        <w:pStyle w:val="BodyText"/>
        <w:spacing w:line="240" w:lineRule="auto" w:before="117"/>
        <w:ind w:left="0" w:right="1132"/>
        <w:jc w:val="right"/>
      </w:pPr>
      <w:r>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60"/>
        <w:gridCol w:w="1275"/>
        <w:gridCol w:w="1560"/>
        <w:gridCol w:w="1417"/>
        <w:gridCol w:w="1418"/>
        <w:gridCol w:w="1417"/>
        <w:gridCol w:w="924"/>
      </w:tblGrid>
      <w:tr>
        <w:trPr>
          <w:trHeight w:val="402" w:hRule="exact"/>
        </w:trPr>
        <w:tc>
          <w:tcPr>
            <w:tcW w:w="15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13"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27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7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8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92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9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560" w:type="dxa"/>
            <w:vMerge/>
            <w:tcBorders>
              <w:left w:val="single" w:sz="4" w:space="0" w:color="000000"/>
              <w:bottom w:val="single" w:sz="4" w:space="0" w:color="000000"/>
              <w:right w:val="single" w:sz="4" w:space="0" w:color="000000"/>
            </w:tcBorders>
            <w:shd w:val="clear" w:color="auto" w:fill="D2D2D2"/>
          </w:tcPr>
          <w:p>
            <w:pPr/>
          </w:p>
        </w:tc>
        <w:tc>
          <w:tcPr>
            <w:tcW w:w="1275" w:type="dxa"/>
            <w:vMerge/>
            <w:tcBorders>
              <w:left w:val="single" w:sz="4" w:space="0" w:color="000000"/>
              <w:bottom w:val="single" w:sz="4" w:space="0" w:color="000000"/>
              <w:right w:val="single" w:sz="4" w:space="0" w:color="000000"/>
            </w:tcBorders>
            <w:shd w:val="clear" w:color="auto" w:fill="D2D2D2"/>
          </w:tcPr>
          <w:p>
            <w:pP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2"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3"/>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92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智能金融</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营业成本</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1,819,521,627.23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45.90%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1,288,626,466.62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40.27%</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41.20%</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智能交通</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营业成本</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173,697,216.64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4.38%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133,701,244.47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4.18%</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29.91%</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智能安全</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营业成本</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1,522,028,446.13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38.40%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1,391,983,286.18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43.50%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9.34%</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智能便民</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营业成本</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376,023,660.78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9.49%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307,954,884.04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9.62%</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22.10%</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营业成本</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72,509,423.56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1.83%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77,649,351.04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2.43%</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-6.62%</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tabs>
                <w:tab w:pos="910" w:val="left" w:leader="none"/>
              </w:tabs>
              <w:spacing w:line="240" w:lineRule="auto" w:before="51"/>
              <w:ind w:left="459"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3,963,780,374.34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3,199,915,232.35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23.87%</w:t>
            </w:r>
          </w:p>
        </w:tc>
      </w:tr>
    </w:tbl>
    <w:p>
      <w:pPr>
        <w:pStyle w:val="BodyText"/>
        <w:spacing w:line="240" w:lineRule="auto" w:before="50"/>
        <w:ind w:left="0" w:right="1132"/>
        <w:jc w:val="right"/>
      </w:pPr>
      <w:r>
        <w:rPr/>
        <w:t>单位：元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561"/>
        <w:gridCol w:w="1275"/>
        <w:gridCol w:w="1560"/>
        <w:gridCol w:w="1417"/>
        <w:gridCol w:w="1418"/>
        <w:gridCol w:w="1399"/>
        <w:gridCol w:w="1010"/>
      </w:tblGrid>
      <w:tr>
        <w:trPr>
          <w:trHeight w:val="402" w:hRule="exact"/>
        </w:trPr>
        <w:tc>
          <w:tcPr>
            <w:tcW w:w="15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27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7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8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01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561" w:type="dxa"/>
            <w:vMerge/>
            <w:tcBorders>
              <w:left w:val="single" w:sz="4" w:space="0" w:color="000000"/>
              <w:bottom w:val="single" w:sz="4" w:space="0" w:color="000000"/>
              <w:right w:val="single" w:sz="4" w:space="0" w:color="000000"/>
            </w:tcBorders>
            <w:shd w:val="clear" w:color="auto" w:fill="D2D2D2"/>
          </w:tcPr>
          <w:p>
            <w:pPr/>
          </w:p>
        </w:tc>
        <w:tc>
          <w:tcPr>
            <w:tcW w:w="1275" w:type="dxa"/>
            <w:vMerge/>
            <w:tcBorders>
              <w:left w:val="single" w:sz="4" w:space="0" w:color="000000"/>
              <w:bottom w:val="single" w:sz="4" w:space="0" w:color="000000"/>
              <w:right w:val="single" w:sz="4" w:space="0" w:color="000000"/>
            </w:tcBorders>
            <w:shd w:val="clear" w:color="auto" w:fill="D2D2D2"/>
          </w:tcPr>
          <w:p>
            <w:pP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2"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62"/>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010"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、智能金融设备</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7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1,591,758,142.39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40.16%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1,110,350,944.47</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34.70%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43.36%</w:t>
            </w:r>
          </w:p>
        </w:tc>
      </w:tr>
      <w:tr>
        <w:trPr>
          <w:trHeight w:val="402" w:hRule="exact"/>
        </w:trPr>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、其他智能设备</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7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213,546,923.66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5.39%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175,464,023.43</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5.48%</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21.70%</w:t>
            </w:r>
          </w:p>
        </w:tc>
      </w:tr>
      <w:tr>
        <w:trPr>
          <w:trHeight w:val="402" w:hRule="exact"/>
        </w:trPr>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、技术服务</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7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2,125,815,591.75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53.63%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1,878,213,692.37</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58.70%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13.18%</w:t>
            </w:r>
          </w:p>
        </w:tc>
      </w:tr>
      <w:tr>
        <w:trPr>
          <w:trHeight w:val="400" w:hRule="exact"/>
        </w:trPr>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7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32,659,716.54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0.82%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35,886,572.08</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1.12%</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-8.99%</w:t>
            </w:r>
          </w:p>
        </w:tc>
      </w:tr>
    </w:tbl>
    <w:p>
      <w:pPr>
        <w:spacing w:after="0" w:line="240" w:lineRule="auto"/>
        <w:jc w:val="right"/>
        <w:rPr>
          <w:rFonts w:ascii="Times New Roman" w:hAnsi="Times New Roman" w:cs="Times New Roman" w:eastAsia="Times New Roman" w:hint="default"/>
          <w:sz w:val="18"/>
          <w:szCs w:val="18"/>
        </w:rPr>
        <w:sectPr>
          <w:pgSz w:w="11910" w:h="16840"/>
          <w:pgMar w:header="878" w:footer="978" w:top="1100" w:bottom="1160" w:left="1020" w:right="0"/>
        </w:sectPr>
      </w:pPr>
    </w:p>
    <w:p>
      <w:pPr>
        <w:spacing w:line="240" w:lineRule="auto" w:before="8"/>
        <w:rPr>
          <w:rFonts w:ascii="宋体" w:hAnsi="宋体" w:cs="宋体" w:eastAsia="宋体" w:hint="default"/>
          <w:sz w:val="24"/>
          <w:szCs w:val="24"/>
        </w:rPr>
      </w:pPr>
    </w:p>
    <w:tbl>
      <w:tblPr>
        <w:tblW w:w="0" w:type="auto"/>
        <w:jc w:val="left"/>
        <w:tblInd w:w="108" w:type="dxa"/>
        <w:tblLayout w:type="fixed"/>
        <w:tblCellMar>
          <w:top w:w="0" w:type="dxa"/>
          <w:left w:w="0" w:type="dxa"/>
          <w:bottom w:w="0" w:type="dxa"/>
          <w:right w:w="0" w:type="dxa"/>
        </w:tblCellMar>
        <w:tblLook w:val="01E0"/>
      </w:tblPr>
      <w:tblGrid>
        <w:gridCol w:w="1561"/>
        <w:gridCol w:w="1275"/>
        <w:gridCol w:w="1560"/>
        <w:gridCol w:w="1417"/>
        <w:gridCol w:w="1418"/>
        <w:gridCol w:w="1399"/>
        <w:gridCol w:w="1010"/>
      </w:tblGrid>
      <w:tr>
        <w:trPr>
          <w:trHeight w:val="402" w:hRule="exact"/>
        </w:trPr>
        <w:tc>
          <w:tcPr>
            <w:tcW w:w="1561" w:type="dxa"/>
            <w:tcBorders>
              <w:top w:val="single" w:sz="4" w:space="0" w:color="000000"/>
              <w:left w:val="single" w:sz="4" w:space="0" w:color="000000"/>
              <w:bottom w:val="single" w:sz="4" w:space="0" w:color="000000"/>
              <w:right w:val="single" w:sz="4" w:space="0" w:color="000000"/>
            </w:tcBorders>
          </w:tcPr>
          <w:p>
            <w:pPr>
              <w:pStyle w:val="TableParagraph"/>
              <w:tabs>
                <w:tab w:pos="909" w:val="left" w:leader="none"/>
              </w:tabs>
              <w:spacing w:line="240" w:lineRule="auto" w:before="50"/>
              <w:ind w:left="460"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66" w:right="0"/>
              <w:jc w:val="left"/>
              <w:rPr>
                <w:rFonts w:ascii="Times New Roman" w:hAnsi="Times New Roman" w:cs="Times New Roman" w:eastAsia="Times New Roman" w:hint="default"/>
                <w:sz w:val="18"/>
                <w:szCs w:val="18"/>
              </w:rPr>
            </w:pPr>
            <w:r>
              <w:rPr>
                <w:rFonts w:ascii="Times New Roman"/>
                <w:sz w:val="18"/>
              </w:rPr>
              <w:t>3,963,780,374.34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9" w:right="0"/>
              <w:jc w:val="left"/>
              <w:rPr>
                <w:rFonts w:ascii="Times New Roman" w:hAnsi="Times New Roman" w:cs="Times New Roman" w:eastAsia="Times New Roman" w:hint="default"/>
                <w:sz w:val="18"/>
                <w:szCs w:val="18"/>
              </w:rPr>
            </w:pPr>
            <w:r>
              <w:rPr>
                <w:rFonts w:ascii="Times New Roman"/>
                <w:sz w:val="18"/>
              </w:rPr>
              <w:t>100.00%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4" w:right="0"/>
              <w:jc w:val="left"/>
              <w:rPr>
                <w:rFonts w:ascii="Times New Roman" w:hAnsi="Times New Roman" w:cs="Times New Roman" w:eastAsia="Times New Roman" w:hint="default"/>
                <w:sz w:val="18"/>
                <w:szCs w:val="18"/>
              </w:rPr>
            </w:pPr>
            <w:r>
              <w:rPr>
                <w:rFonts w:ascii="Times New Roman"/>
                <w:sz w:val="18"/>
              </w:rPr>
              <w:t>3,199,915,232.35</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22" w:right="0"/>
              <w:jc w:val="left"/>
              <w:rPr>
                <w:rFonts w:ascii="Times New Roman" w:hAnsi="Times New Roman" w:cs="Times New Roman" w:eastAsia="Times New Roman" w:hint="default"/>
                <w:sz w:val="18"/>
                <w:szCs w:val="18"/>
              </w:rPr>
            </w:pPr>
            <w:r>
              <w:rPr>
                <w:rFonts w:ascii="Times New Roman"/>
                <w:sz w:val="18"/>
              </w:rPr>
              <w:t>100.00%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22" w:right="0"/>
              <w:jc w:val="left"/>
              <w:rPr>
                <w:rFonts w:ascii="Times New Roman" w:hAnsi="Times New Roman" w:cs="Times New Roman" w:eastAsia="Times New Roman" w:hint="default"/>
                <w:sz w:val="18"/>
                <w:szCs w:val="18"/>
              </w:rPr>
            </w:pPr>
            <w:r>
              <w:rPr>
                <w:rFonts w:ascii="Times New Roman"/>
                <w:sz w:val="18"/>
              </w:rPr>
              <w:t>23.87%</w:t>
            </w:r>
          </w:p>
        </w:tc>
      </w:tr>
    </w:tbl>
    <w:p>
      <w:pPr>
        <w:pStyle w:val="BodyText"/>
        <w:spacing w:line="240" w:lineRule="auto" w:before="51"/>
        <w:ind w:left="204" w:right="1394"/>
        <w:jc w:val="left"/>
      </w:pPr>
      <w:r>
        <w:rPr/>
        <w:t>智能金融设备相关成本构成说明：</w:t>
      </w:r>
    </w:p>
    <w:p>
      <w:pPr>
        <w:spacing w:line="240" w:lineRule="auto" w:before="1"/>
        <w:rPr>
          <w:rFonts w:ascii="宋体" w:hAnsi="宋体" w:cs="宋体" w:eastAsia="宋体" w:hint="default"/>
          <w:sz w:val="8"/>
          <w:szCs w:val="8"/>
        </w:rPr>
      </w:pPr>
    </w:p>
    <w:tbl>
      <w:tblPr>
        <w:tblW w:w="0" w:type="auto"/>
        <w:jc w:val="left"/>
        <w:tblInd w:w="163" w:type="dxa"/>
        <w:tblLayout w:type="fixed"/>
        <w:tblCellMar>
          <w:top w:w="0" w:type="dxa"/>
          <w:left w:w="0" w:type="dxa"/>
          <w:bottom w:w="0" w:type="dxa"/>
          <w:right w:w="0" w:type="dxa"/>
        </w:tblCellMar>
        <w:tblLook w:val="01E0"/>
      </w:tblPr>
      <w:tblGrid>
        <w:gridCol w:w="4133"/>
        <w:gridCol w:w="2584"/>
        <w:gridCol w:w="2812"/>
      </w:tblGrid>
      <w:tr>
        <w:trPr>
          <w:trHeight w:val="429" w:hRule="exact"/>
        </w:trPr>
        <w:tc>
          <w:tcPr>
            <w:tcW w:w="4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成本要素</w:t>
            </w:r>
          </w:p>
        </w:tc>
        <w:tc>
          <w:tcPr>
            <w:tcW w:w="2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9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8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right="1107"/>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45" w:hRule="exact"/>
        </w:trPr>
        <w:tc>
          <w:tcPr>
            <w:tcW w:w="4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宋体" w:hAnsi="宋体" w:cs="宋体" w:eastAsia="宋体" w:hint="default"/>
                <w:sz w:val="18"/>
                <w:szCs w:val="18"/>
              </w:rPr>
            </w:pPr>
            <w:r>
              <w:rPr>
                <w:rFonts w:ascii="宋体" w:hAnsi="宋体" w:cs="宋体" w:eastAsia="宋体" w:hint="default"/>
                <w:sz w:val="18"/>
                <w:szCs w:val="18"/>
              </w:rPr>
              <w:t>直接材料</w:t>
            </w:r>
          </w:p>
        </w:tc>
        <w:tc>
          <w:tcPr>
            <w:tcW w:w="2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1010" w:right="0"/>
              <w:jc w:val="left"/>
              <w:rPr>
                <w:rFonts w:ascii="Times New Roman" w:hAnsi="Times New Roman" w:cs="Times New Roman" w:eastAsia="Times New Roman" w:hint="default"/>
                <w:sz w:val="18"/>
                <w:szCs w:val="18"/>
              </w:rPr>
            </w:pPr>
            <w:r>
              <w:rPr>
                <w:rFonts w:ascii="Times New Roman"/>
                <w:sz w:val="18"/>
              </w:rPr>
              <w:t>91.73%</w:t>
            </w:r>
          </w:p>
        </w:tc>
        <w:tc>
          <w:tcPr>
            <w:tcW w:w="2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121"/>
              <w:jc w:val="right"/>
              <w:rPr>
                <w:rFonts w:ascii="Times New Roman" w:hAnsi="Times New Roman" w:cs="Times New Roman" w:eastAsia="Times New Roman" w:hint="default"/>
                <w:sz w:val="18"/>
                <w:szCs w:val="18"/>
              </w:rPr>
            </w:pPr>
            <w:r>
              <w:rPr>
                <w:rFonts w:ascii="Times New Roman"/>
                <w:spacing w:val="-1"/>
                <w:sz w:val="18"/>
              </w:rPr>
              <w:t>89.17%</w:t>
            </w:r>
          </w:p>
        </w:tc>
      </w:tr>
      <w:tr>
        <w:trPr>
          <w:trHeight w:val="429" w:hRule="exact"/>
        </w:trPr>
        <w:tc>
          <w:tcPr>
            <w:tcW w:w="4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直接人工</w:t>
            </w:r>
          </w:p>
        </w:tc>
        <w:tc>
          <w:tcPr>
            <w:tcW w:w="2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055" w:right="0"/>
              <w:jc w:val="left"/>
              <w:rPr>
                <w:rFonts w:ascii="Times New Roman" w:hAnsi="Times New Roman" w:cs="Times New Roman" w:eastAsia="Times New Roman" w:hint="default"/>
                <w:sz w:val="18"/>
                <w:szCs w:val="18"/>
              </w:rPr>
            </w:pPr>
            <w:r>
              <w:rPr>
                <w:rFonts w:ascii="Times New Roman"/>
                <w:sz w:val="18"/>
              </w:rPr>
              <w:t>3.51%</w:t>
            </w:r>
          </w:p>
        </w:tc>
        <w:tc>
          <w:tcPr>
            <w:tcW w:w="2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3" w:right="0"/>
              <w:jc w:val="center"/>
              <w:rPr>
                <w:rFonts w:ascii="Times New Roman" w:hAnsi="Times New Roman" w:cs="Times New Roman" w:eastAsia="Times New Roman" w:hint="default"/>
                <w:sz w:val="18"/>
                <w:szCs w:val="18"/>
              </w:rPr>
            </w:pPr>
            <w:r>
              <w:rPr>
                <w:rFonts w:ascii="Times New Roman"/>
                <w:sz w:val="18"/>
              </w:rPr>
              <w:t>4.04%</w:t>
            </w:r>
          </w:p>
        </w:tc>
      </w:tr>
      <w:tr>
        <w:trPr>
          <w:trHeight w:val="429" w:hRule="exact"/>
        </w:trPr>
        <w:tc>
          <w:tcPr>
            <w:tcW w:w="4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制造费用</w:t>
            </w:r>
          </w:p>
        </w:tc>
        <w:tc>
          <w:tcPr>
            <w:tcW w:w="2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055" w:right="0"/>
              <w:jc w:val="left"/>
              <w:rPr>
                <w:rFonts w:ascii="Times New Roman" w:hAnsi="Times New Roman" w:cs="Times New Roman" w:eastAsia="Times New Roman" w:hint="default"/>
                <w:sz w:val="18"/>
                <w:szCs w:val="18"/>
              </w:rPr>
            </w:pPr>
            <w:r>
              <w:rPr>
                <w:rFonts w:ascii="Times New Roman"/>
                <w:sz w:val="18"/>
              </w:rPr>
              <w:t>4.76%</w:t>
            </w:r>
          </w:p>
        </w:tc>
        <w:tc>
          <w:tcPr>
            <w:tcW w:w="2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3" w:right="0"/>
              <w:jc w:val="center"/>
              <w:rPr>
                <w:rFonts w:ascii="Times New Roman" w:hAnsi="Times New Roman" w:cs="Times New Roman" w:eastAsia="Times New Roman" w:hint="default"/>
                <w:sz w:val="18"/>
                <w:szCs w:val="18"/>
              </w:rPr>
            </w:pPr>
            <w:r>
              <w:rPr>
                <w:rFonts w:ascii="Times New Roman"/>
                <w:sz w:val="18"/>
              </w:rPr>
              <w:t>6.79%</w:t>
            </w:r>
          </w:p>
        </w:tc>
      </w:tr>
      <w:tr>
        <w:trPr>
          <w:trHeight w:val="445" w:hRule="exact"/>
        </w:trPr>
        <w:tc>
          <w:tcPr>
            <w:tcW w:w="4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964" w:right="0"/>
              <w:jc w:val="left"/>
              <w:rPr>
                <w:rFonts w:ascii="Times New Roman" w:hAnsi="Times New Roman" w:cs="Times New Roman" w:eastAsia="Times New Roman" w:hint="default"/>
                <w:sz w:val="18"/>
                <w:szCs w:val="18"/>
              </w:rPr>
            </w:pPr>
            <w:r>
              <w:rPr>
                <w:rFonts w:ascii="Times New Roman"/>
                <w:sz w:val="18"/>
              </w:rPr>
              <w:t>100.00%</w:t>
            </w:r>
          </w:p>
        </w:tc>
        <w:tc>
          <w:tcPr>
            <w:tcW w:w="2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75"/>
              <w:jc w:val="right"/>
              <w:rPr>
                <w:rFonts w:ascii="Times New Roman" w:hAnsi="Times New Roman" w:cs="Times New Roman" w:eastAsia="Times New Roman" w:hint="default"/>
                <w:sz w:val="18"/>
                <w:szCs w:val="18"/>
              </w:rPr>
            </w:pPr>
            <w:r>
              <w:rPr>
                <w:rFonts w:ascii="Times New Roman"/>
                <w:spacing w:val="-1"/>
                <w:sz w:val="18"/>
              </w:rPr>
              <w:t>100.00%</w:t>
            </w:r>
          </w:p>
        </w:tc>
      </w:tr>
    </w:tbl>
    <w:p>
      <w:pPr>
        <w:spacing w:line="240" w:lineRule="auto" w:before="9"/>
        <w:rPr>
          <w:rFonts w:ascii="宋体" w:hAnsi="宋体" w:cs="宋体" w:eastAsia="宋体" w:hint="default"/>
          <w:sz w:val="19"/>
          <w:szCs w:val="19"/>
        </w:rPr>
      </w:pPr>
    </w:p>
    <w:p>
      <w:pPr>
        <w:pStyle w:val="Heading5"/>
        <w:spacing w:line="240" w:lineRule="auto" w:before="37"/>
        <w:ind w:right="1394"/>
        <w:jc w:val="left"/>
        <w:rPr>
          <w:b w:val="0"/>
          <w:bCs w:val="0"/>
        </w:rPr>
      </w:pPr>
      <w:bookmarkStart w:name="（6）报告期内合并范围是否发生变动" w:id="34"/>
      <w:bookmarkEnd w:id="34"/>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13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否</w:t>
      </w:r>
    </w:p>
    <w:p>
      <w:pPr>
        <w:pStyle w:val="BodyText"/>
        <w:spacing w:line="300" w:lineRule="auto" w:before="103"/>
        <w:ind w:right="1132" w:firstLine="360"/>
        <w:jc w:val="both"/>
      </w:pPr>
      <w:r>
        <w:rPr/>
        <w:t>与上年度相比本年度新增合并单位</w:t>
      </w:r>
      <w:r>
        <w:rPr>
          <w:rFonts w:ascii="Times New Roman" w:hAnsi="Times New Roman" w:cs="Times New Roman" w:eastAsia="Times New Roman" w:hint="default"/>
        </w:rPr>
        <w:t>5</w:t>
      </w:r>
      <w:r>
        <w:rPr/>
        <w:t>家，减少合并单位</w:t>
      </w:r>
      <w:r>
        <w:rPr>
          <w:rFonts w:ascii="Times New Roman" w:hAnsi="Times New Roman" w:cs="Times New Roman" w:eastAsia="Times New Roman" w:hint="default"/>
        </w:rPr>
        <w:t>5</w:t>
      </w:r>
      <w:r>
        <w:rPr/>
        <w:t>家，原因为：新设</w:t>
      </w:r>
      <w:r>
        <w:rPr>
          <w:rFonts w:ascii="Times New Roman" w:hAnsi="Times New Roman" w:cs="Times New Roman" w:eastAsia="Times New Roman" w:hint="default"/>
        </w:rPr>
        <w:t>5</w:t>
      </w:r>
      <w:r>
        <w:rPr/>
        <w:t>家公司</w:t>
      </w:r>
      <w:r>
        <w:rPr>
          <w:rFonts w:ascii="Times New Roman" w:hAnsi="Times New Roman" w:cs="Times New Roman" w:eastAsia="Times New Roman" w:hint="default"/>
        </w:rPr>
        <w:t>-Denali System</w:t>
      </w:r>
      <w:r>
        <w:rPr>
          <w:rFonts w:ascii="Times New Roman" w:hAnsi="Times New Roman" w:cs="Times New Roman" w:eastAsia="Times New Roman" w:hint="default"/>
          <w:spacing w:val="-9"/>
        </w:rPr>
        <w:t> </w:t>
      </w:r>
      <w:r>
        <w:rPr>
          <w:rFonts w:ascii="Times New Roman" w:hAnsi="Times New Roman" w:cs="Times New Roman" w:eastAsia="Times New Roman" w:hint="default"/>
        </w:rPr>
        <w:t>CO.,Ltd.</w:t>
      </w:r>
      <w:r>
        <w:rPr/>
        <w:t>（德纳里系统 有限公司）、</w:t>
      </w:r>
      <w:r>
        <w:rPr>
          <w:rFonts w:ascii="Times New Roman" w:hAnsi="Times New Roman" w:cs="Times New Roman" w:eastAsia="Times New Roman" w:hint="default"/>
        </w:rPr>
        <w:t>Denali System</w:t>
      </w:r>
      <w:r>
        <w:rPr>
          <w:rFonts w:ascii="Times New Roman" w:hAnsi="Times New Roman" w:cs="Times New Roman" w:eastAsia="Times New Roman" w:hint="default"/>
          <w:spacing w:val="-5"/>
        </w:rPr>
        <w:t> </w:t>
      </w:r>
      <w:r>
        <w:rPr>
          <w:rFonts w:ascii="Times New Roman" w:hAnsi="Times New Roman" w:cs="Times New Roman" w:eastAsia="Times New Roman" w:hint="default"/>
        </w:rPr>
        <w:t>Inc</w:t>
      </w:r>
      <w:r>
        <w:rPr/>
        <w:t>、德纳里（广州）技术有限公司、宜昌金牛智慧职业技能培训学校有限责任公司和平顶山市 </w:t>
      </w:r>
      <w:r>
        <w:rPr>
          <w:spacing w:val="-1"/>
        </w:rPr>
        <w:t>鹰晟保安职业技能培训学校有限责任公司；注销</w:t>
      </w:r>
      <w:r>
        <w:rPr>
          <w:rFonts w:ascii="Times New Roman" w:hAnsi="Times New Roman" w:cs="Times New Roman" w:eastAsia="Times New Roman" w:hint="default"/>
          <w:spacing w:val="-1"/>
        </w:rPr>
        <w:t>4</w:t>
      </w:r>
      <w:r>
        <w:rPr>
          <w:spacing w:val="-1"/>
        </w:rPr>
        <w:t>家公司</w:t>
      </w:r>
      <w:r>
        <w:rPr>
          <w:rFonts w:ascii="Times New Roman" w:hAnsi="Times New Roman" w:cs="Times New Roman" w:eastAsia="Times New Roman" w:hint="default"/>
          <w:spacing w:val="-1"/>
        </w:rPr>
        <w:t>-</w:t>
      </w:r>
      <w:r>
        <w:rPr>
          <w:spacing w:val="-1"/>
        </w:rPr>
        <w:t>北京中科江南政易信息技术有限公司、石家庄瀚海信息技术有限公</w:t>
      </w:r>
      <w:r>
        <w:rPr>
          <w:spacing w:val="-88"/>
        </w:rPr>
        <w:t> </w:t>
      </w:r>
      <w:r>
        <w:rPr>
          <w:spacing w:val="-88"/>
        </w:rPr>
      </w:r>
      <w:r>
        <w:rPr>
          <w:spacing w:val="-2"/>
        </w:rPr>
        <w:t>司、广东榕通科技服务有限公司、</w:t>
      </w:r>
      <w:r>
        <w:rPr>
          <w:rFonts w:ascii="Times New Roman" w:hAnsi="Times New Roman" w:cs="Times New Roman" w:eastAsia="Times New Roman" w:hint="default"/>
          <w:spacing w:val="-2"/>
        </w:rPr>
        <w:t>GRG</w:t>
      </w:r>
      <w:r>
        <w:rPr>
          <w:rFonts w:ascii="Times New Roman" w:hAnsi="Times New Roman" w:cs="Times New Roman" w:eastAsia="Times New Roman" w:hint="default"/>
          <w:spacing w:val="12"/>
        </w:rPr>
        <w:t> </w:t>
      </w:r>
      <w:r>
        <w:rPr>
          <w:rFonts w:ascii="Times New Roman" w:hAnsi="Times New Roman" w:cs="Times New Roman" w:eastAsia="Times New Roman" w:hint="default"/>
          <w:spacing w:val="-1"/>
        </w:rPr>
        <w:t>Banking</w:t>
      </w:r>
      <w:r>
        <w:rPr>
          <w:rFonts w:ascii="Times New Roman" w:hAnsi="Times New Roman" w:cs="Times New Roman" w:eastAsia="Times New Roman" w:hint="default"/>
          <w:spacing w:val="10"/>
        </w:rPr>
        <w:t> </w:t>
      </w:r>
      <w:r>
        <w:rPr>
          <w:rFonts w:ascii="Times New Roman" w:hAnsi="Times New Roman" w:cs="Times New Roman" w:eastAsia="Times New Roman" w:hint="default"/>
          <w:spacing w:val="-2"/>
        </w:rPr>
        <w:t>Equipment</w:t>
      </w:r>
      <w:r>
        <w:rPr>
          <w:spacing w:val="-2"/>
        </w:rPr>
        <w:t>（</w:t>
      </w:r>
      <w:r>
        <w:rPr>
          <w:rFonts w:ascii="Times New Roman" w:hAnsi="Times New Roman" w:cs="Times New Roman" w:eastAsia="Times New Roman" w:hint="default"/>
          <w:spacing w:val="-2"/>
        </w:rPr>
        <w:t>HK</w:t>
      </w:r>
      <w:r>
        <w:rPr>
          <w:spacing w:val="-2"/>
        </w:rPr>
        <w:t>）</w:t>
      </w:r>
      <w:r>
        <w:rPr>
          <w:rFonts w:ascii="Times New Roman" w:hAnsi="Times New Roman" w:cs="Times New Roman" w:eastAsia="Times New Roman" w:hint="default"/>
          <w:spacing w:val="-2"/>
        </w:rPr>
        <w:t>Europe</w:t>
      </w:r>
      <w:r>
        <w:rPr>
          <w:spacing w:val="-2"/>
        </w:rPr>
        <w:t>，</w:t>
      </w:r>
      <w:r>
        <w:rPr>
          <w:rFonts w:ascii="Times New Roman" w:hAnsi="Times New Roman" w:cs="Times New Roman" w:eastAsia="Times New Roman" w:hint="default"/>
          <w:spacing w:val="-2"/>
        </w:rPr>
        <w:t>UAB.</w:t>
      </w:r>
      <w:r>
        <w:rPr>
          <w:spacing w:val="-2"/>
        </w:rPr>
        <w:t>（</w:t>
      </w:r>
      <w:r>
        <w:rPr>
          <w:rFonts w:ascii="Times New Roman" w:hAnsi="Times New Roman" w:cs="Times New Roman" w:eastAsia="Times New Roman" w:hint="default"/>
          <w:spacing w:val="-2"/>
        </w:rPr>
        <w:t>GRG</w:t>
      </w:r>
      <w:r>
        <w:rPr>
          <w:spacing w:val="-2"/>
        </w:rPr>
        <w:t>立陶宛）；退出</w:t>
      </w:r>
      <w:r>
        <w:rPr>
          <w:rFonts w:ascii="Times New Roman" w:hAnsi="Times New Roman" w:cs="Times New Roman" w:eastAsia="Times New Roman" w:hint="default"/>
          <w:spacing w:val="-2"/>
        </w:rPr>
        <w:t>1</w:t>
      </w:r>
      <w:r>
        <w:rPr>
          <w:spacing w:val="-2"/>
        </w:rPr>
        <w:t>家公司</w:t>
      </w:r>
      <w:r>
        <w:rPr>
          <w:rFonts w:ascii="Times New Roman" w:hAnsi="Times New Roman" w:cs="Times New Roman" w:eastAsia="Times New Roman" w:hint="default"/>
          <w:spacing w:val="-2"/>
        </w:rPr>
        <w:t>-</w:t>
      </w:r>
      <w:r>
        <w:rPr>
          <w:spacing w:val="-2"/>
        </w:rPr>
        <w:t>锡林郭勒盟</w:t>
      </w:r>
      <w:r>
        <w:rPr>
          <w:spacing w:val="-84"/>
        </w:rPr>
        <w:t> </w:t>
      </w:r>
      <w:r>
        <w:rPr/>
        <w:t>安逸物业服务有限责任公司。</w:t>
      </w:r>
    </w:p>
    <w:p>
      <w:pPr>
        <w:spacing w:line="240" w:lineRule="auto" w:before="1"/>
        <w:rPr>
          <w:rFonts w:ascii="宋体" w:hAnsi="宋体" w:cs="宋体" w:eastAsia="宋体" w:hint="default"/>
          <w:sz w:val="24"/>
          <w:szCs w:val="24"/>
        </w:rPr>
      </w:pPr>
    </w:p>
    <w:p>
      <w:pPr>
        <w:pStyle w:val="Heading5"/>
        <w:spacing w:line="240" w:lineRule="auto"/>
        <w:ind w:right="1394"/>
        <w:jc w:val="left"/>
        <w:rPr>
          <w:b w:val="0"/>
          <w:bCs w:val="0"/>
        </w:rPr>
      </w:pPr>
      <w:bookmarkStart w:name="（7）公司报告期内业务、产品或服务发生重大变化或调整有关情况" w:id="35"/>
      <w:bookmarkEnd w:id="35"/>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13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9"/>
        <w:rPr>
          <w:rFonts w:ascii="宋体" w:hAnsi="宋体" w:cs="宋体" w:eastAsia="宋体" w:hint="default"/>
          <w:sz w:val="26"/>
          <w:szCs w:val="26"/>
        </w:rPr>
      </w:pPr>
    </w:p>
    <w:p>
      <w:pPr>
        <w:pStyle w:val="Heading5"/>
        <w:spacing w:line="240" w:lineRule="auto"/>
        <w:ind w:right="1394"/>
        <w:jc w:val="left"/>
        <w:rPr>
          <w:b w:val="0"/>
          <w:bCs w:val="0"/>
        </w:rPr>
      </w:pPr>
      <w:bookmarkStart w:name="（8）主要销售客户和主要供应商情况" w:id="36"/>
      <w:bookmarkEnd w:id="36"/>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1394"/>
        <w:jc w:val="left"/>
      </w:pPr>
      <w:r>
        <w:rPr/>
        <w:t>公司主要销售客户情况</w:t>
      </w:r>
    </w:p>
    <w:p>
      <w:pPr>
        <w:spacing w:line="240" w:lineRule="auto" w:before="2"/>
        <w:rPr>
          <w:rFonts w:ascii="宋体" w:hAnsi="宋体" w:cs="宋体" w:eastAsia="宋体" w:hint="default"/>
          <w:sz w:val="8"/>
          <w:szCs w:val="8"/>
        </w:rPr>
      </w:pPr>
    </w:p>
    <w:tbl>
      <w:tblPr>
        <w:tblW w:w="0" w:type="auto"/>
        <w:jc w:val="left"/>
        <w:tblInd w:w="104" w:type="dxa"/>
        <w:tblLayout w:type="fixed"/>
        <w:tblCellMar>
          <w:top w:w="0" w:type="dxa"/>
          <w:left w:w="0" w:type="dxa"/>
          <w:bottom w:w="0" w:type="dxa"/>
          <w:right w:w="0" w:type="dxa"/>
        </w:tblCellMar>
        <w:tblLook w:val="01E0"/>
      </w:tblPr>
      <w:tblGrid>
        <w:gridCol w:w="4820"/>
        <w:gridCol w:w="4753"/>
      </w:tblGrid>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1,976,951,533.23</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Times New Roman" w:hAnsi="Times New Roman" w:cs="Times New Roman" w:eastAsia="Times New Roman" w:hint="default"/>
                <w:sz w:val="18"/>
                <w:szCs w:val="18"/>
              </w:rPr>
            </w:pPr>
            <w:r>
              <w:rPr>
                <w:rFonts w:ascii="Times New Roman"/>
                <w:spacing w:val="-1"/>
                <w:sz w:val="18"/>
              </w:rPr>
              <w:t>30.43%</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前五名客户销售额中关联方销售额占年度销售总额比例</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0"/>
        <w:ind w:right="1394"/>
        <w:jc w:val="left"/>
      </w:pPr>
      <w:r>
        <w:rPr/>
        <w:t>公司前</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1"/>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802"/>
        <w:gridCol w:w="3301"/>
        <w:gridCol w:w="2322"/>
        <w:gridCol w:w="3143"/>
      </w:tblGrid>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7"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7"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客户一</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496,717,594.69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Times New Roman" w:hAnsi="Times New Roman" w:cs="Times New Roman" w:eastAsia="Times New Roman" w:hint="default"/>
                <w:sz w:val="18"/>
                <w:szCs w:val="18"/>
              </w:rPr>
            </w:pPr>
            <w:r>
              <w:rPr>
                <w:rFonts w:ascii="Times New Roman"/>
                <w:sz w:val="18"/>
              </w:rPr>
              <w:t>7.65%</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客户二</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454,820,422.21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7.00%</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客户三</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428,780,361.28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Times New Roman" w:hAnsi="Times New Roman" w:cs="Times New Roman" w:eastAsia="Times New Roman" w:hint="default"/>
                <w:sz w:val="18"/>
                <w:szCs w:val="18"/>
              </w:rPr>
            </w:pPr>
            <w:r>
              <w:rPr>
                <w:rFonts w:ascii="Times New Roman"/>
                <w:sz w:val="18"/>
              </w:rPr>
              <w:t>6.60%</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客户四</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378,916,148.25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5.83%</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客户五</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217,717,006.80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Times New Roman" w:hAnsi="Times New Roman" w:cs="Times New Roman" w:eastAsia="Times New Roman" w:hint="default"/>
                <w:sz w:val="18"/>
                <w:szCs w:val="18"/>
              </w:rPr>
            </w:pPr>
            <w:r>
              <w:rPr>
                <w:rFonts w:ascii="Times New Roman"/>
                <w:sz w:val="18"/>
              </w:rPr>
              <w:t>3.35%</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1,976,951,533.23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30.43%</w:t>
            </w:r>
          </w:p>
        </w:tc>
      </w:tr>
    </w:tbl>
    <w:p>
      <w:pPr>
        <w:pStyle w:val="BodyText"/>
        <w:spacing w:line="240" w:lineRule="auto" w:before="50"/>
        <w:ind w:right="1394"/>
        <w:jc w:val="left"/>
      </w:pPr>
      <w:r>
        <w:rPr/>
        <w:t>主要客户其他情况说明</w:t>
      </w:r>
    </w:p>
    <w:p>
      <w:pPr>
        <w:pStyle w:val="BodyText"/>
        <w:spacing w:line="340" w:lineRule="auto" w:before="115"/>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 公司主要供应商情况</w:t>
      </w:r>
    </w:p>
    <w:p>
      <w:pPr>
        <w:spacing w:after="0" w:line="340" w:lineRule="auto"/>
        <w:jc w:val="left"/>
        <w:sectPr>
          <w:pgSz w:w="11910" w:h="16840"/>
          <w:pgMar w:header="878" w:footer="978" w:top="1100" w:bottom="1160" w:left="1020" w:right="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4678"/>
        <w:gridCol w:w="4890"/>
      </w:tblGrid>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4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280,019,209.00</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4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13.49%</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前五名供应商采购额中关联方采购额占年度采购总额比例</w:t>
            </w:r>
          </w:p>
        </w:tc>
        <w:tc>
          <w:tcPr>
            <w:tcW w:w="4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1394"/>
        <w:jc w:val="left"/>
      </w:pPr>
      <w:r>
        <w:rPr/>
        <w:t>公司前</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0"/>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935"/>
        <w:gridCol w:w="3168"/>
        <w:gridCol w:w="2322"/>
        <w:gridCol w:w="3143"/>
      </w:tblGrid>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序号</w:t>
            </w:r>
          </w:p>
        </w:tc>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1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57"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1</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供应商一</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97,595,111.65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4.70%</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2</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供应商二</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58,347,174.97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2.81%</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3</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供应商三</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45,640,836.46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2.20%</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4</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供应商四</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40,619,468.42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1.96%</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5</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供应商五</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37,816,617.50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1.82%</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280,019,209.00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13.49%</w:t>
            </w:r>
          </w:p>
        </w:tc>
      </w:tr>
    </w:tbl>
    <w:p>
      <w:pPr>
        <w:pStyle w:val="BodyText"/>
        <w:spacing w:line="240" w:lineRule="auto" w:before="51"/>
        <w:ind w:right="1394"/>
        <w:jc w:val="left"/>
      </w:pPr>
      <w:r>
        <w:rPr/>
        <w:t>主要供应商其他情况说明</w:t>
      </w:r>
    </w:p>
    <w:p>
      <w:pPr>
        <w:pStyle w:val="BodyText"/>
        <w:spacing w:line="240" w:lineRule="auto" w:before="117"/>
        <w:ind w:right="13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6"/>
        <w:rPr>
          <w:rFonts w:ascii="宋体" w:hAnsi="宋体" w:cs="宋体" w:eastAsia="宋体" w:hint="default"/>
          <w:sz w:val="26"/>
          <w:szCs w:val="26"/>
        </w:rPr>
      </w:pPr>
    </w:p>
    <w:p>
      <w:pPr>
        <w:pStyle w:val="Heading5"/>
        <w:spacing w:line="240" w:lineRule="auto"/>
        <w:ind w:right="1394"/>
        <w:jc w:val="left"/>
        <w:rPr>
          <w:b w:val="0"/>
          <w:bCs w:val="0"/>
        </w:rPr>
      </w:pPr>
      <w:bookmarkStart w:name="3、费用" w:id="37"/>
      <w:bookmarkEnd w:id="37"/>
      <w:r>
        <w:rPr>
          <w:b w:val="0"/>
          <w:bCs w:val="0"/>
        </w:rPr>
      </w:r>
      <w:r>
        <w:rPr>
          <w:rFonts w:ascii="Times New Roman" w:hAnsi="Times New Roman" w:cs="Times New Roman" w:eastAsia="Times New Roman" w:hint="default"/>
        </w:rPr>
        <w:t>3</w:t>
      </w:r>
      <w:r>
        <w:rPr/>
        <w:t>、费用</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0" w:right="1132"/>
        <w:jc w:val="right"/>
      </w:pPr>
      <w:r>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134"/>
        <w:gridCol w:w="1276"/>
        <w:gridCol w:w="1559"/>
        <w:gridCol w:w="1276"/>
        <w:gridCol w:w="4323"/>
      </w:tblGrid>
      <w:tr>
        <w:trPr>
          <w:trHeight w:val="402" w:hRule="exact"/>
        </w:trPr>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73"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43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720,007,038.32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714,652,647.71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0.75%</w:t>
            </w:r>
          </w:p>
        </w:tc>
        <w:tc>
          <w:tcPr>
            <w:tcW w:w="432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399,468,001.72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385,796,093.24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3.54%</w:t>
            </w:r>
          </w:p>
        </w:tc>
        <w:tc>
          <w:tcPr>
            <w:tcW w:w="432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-69,238,804.32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-57,408,791.20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-20.61%</w:t>
            </w:r>
          </w:p>
        </w:tc>
        <w:tc>
          <w:tcPr>
            <w:tcW w:w="4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主要是利息收入增加所致。</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537,938,006.45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359,029,719.13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49.83%</w:t>
            </w:r>
          </w:p>
        </w:tc>
        <w:tc>
          <w:tcPr>
            <w:tcW w:w="4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主要是加大研发投入所致。</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150,573,575.60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115,679,883.64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30.16%</w:t>
            </w:r>
          </w:p>
        </w:tc>
        <w:tc>
          <w:tcPr>
            <w:tcW w:w="4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主要是经营利润增加所致。</w:t>
            </w:r>
          </w:p>
        </w:tc>
      </w:tr>
    </w:tbl>
    <w:p>
      <w:pPr>
        <w:spacing w:line="240" w:lineRule="auto" w:before="9"/>
        <w:rPr>
          <w:rFonts w:ascii="宋体" w:hAnsi="宋体" w:cs="宋体" w:eastAsia="宋体" w:hint="default"/>
          <w:sz w:val="19"/>
          <w:szCs w:val="19"/>
        </w:rPr>
      </w:pPr>
    </w:p>
    <w:p>
      <w:pPr>
        <w:pStyle w:val="Heading5"/>
        <w:spacing w:line="240" w:lineRule="auto" w:before="37"/>
        <w:ind w:right="1394"/>
        <w:jc w:val="left"/>
        <w:rPr>
          <w:b w:val="0"/>
          <w:bCs w:val="0"/>
        </w:rPr>
      </w:pPr>
      <w:bookmarkStart w:name="4、研发投入" w:id="38"/>
      <w:bookmarkEnd w:id="38"/>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11"/>
        <w:rPr>
          <w:rFonts w:ascii="宋体" w:hAnsi="宋体" w:cs="宋体" w:eastAsia="宋体" w:hint="default"/>
          <w:b/>
          <w:bCs/>
          <w:sz w:val="26"/>
          <w:szCs w:val="26"/>
        </w:rPr>
      </w:pPr>
    </w:p>
    <w:p>
      <w:pPr>
        <w:pStyle w:val="BodyText"/>
        <w:spacing w:line="340" w:lineRule="auto"/>
        <w:ind w:left="472" w:right="1120"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w:t>
      </w:r>
      <w:r>
        <w:rPr>
          <w:spacing w:val="-2"/>
        </w:rPr>
        <w:t>一直以来，公司高度重视技术研发，把研发放在战略高度，坚持研发高投入，以市场为导向，不断开发新产品，完善核</w:t>
      </w:r>
    </w:p>
    <w:p>
      <w:pPr>
        <w:pStyle w:val="BodyText"/>
        <w:spacing w:line="360" w:lineRule="auto" w:before="1"/>
        <w:ind w:right="6614"/>
        <w:jc w:val="left"/>
      </w:pPr>
      <w:r>
        <w:rPr/>
        <w:t>心技术，升级产品结构，全面提升公司综合竞争力。 公司研发投入情况</w:t>
      </w:r>
    </w:p>
    <w:tbl>
      <w:tblPr>
        <w:tblW w:w="0" w:type="auto"/>
        <w:jc w:val="left"/>
        <w:tblInd w:w="109" w:type="dxa"/>
        <w:tblLayout w:type="fixed"/>
        <w:tblCellMar>
          <w:top w:w="0" w:type="dxa"/>
          <w:left w:w="0" w:type="dxa"/>
          <w:bottom w:w="0" w:type="dxa"/>
          <w:right w:w="0" w:type="dxa"/>
        </w:tblCellMar>
        <w:tblLook w:val="01E0"/>
      </w:tblPr>
      <w:tblGrid>
        <w:gridCol w:w="2835"/>
        <w:gridCol w:w="2552"/>
        <w:gridCol w:w="2410"/>
        <w:gridCol w:w="1771"/>
      </w:tblGrid>
      <w:tr>
        <w:trPr>
          <w:trHeight w:val="402"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0" w:right="0"/>
              <w:jc w:val="left"/>
              <w:rPr>
                <w:rFonts w:ascii="宋体" w:hAnsi="宋体" w:cs="宋体" w:eastAsia="宋体" w:hint="default"/>
                <w:sz w:val="18"/>
                <w:szCs w:val="18"/>
              </w:rPr>
            </w:pPr>
            <w:r>
              <w:rPr>
                <w:rFonts w:ascii="宋体" w:hAnsi="宋体" w:cs="宋体" w:eastAsia="宋体" w:hint="default"/>
                <w:sz w:val="18"/>
                <w:szCs w:val="18"/>
              </w:rPr>
              <w:t>变动比例</w:t>
            </w:r>
          </w:p>
        </w:tc>
      </w:tr>
      <w:tr>
        <w:trPr>
          <w:trHeight w:val="402"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1,306</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z w:val="18"/>
              </w:rPr>
              <w:t>1,224</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Times New Roman" w:hAnsi="Times New Roman" w:cs="Times New Roman" w:eastAsia="Times New Roman" w:hint="default"/>
                <w:sz w:val="18"/>
                <w:szCs w:val="18"/>
              </w:rPr>
            </w:pPr>
            <w:r>
              <w:rPr>
                <w:rFonts w:ascii="Times New Roman"/>
                <w:sz w:val="18"/>
              </w:rPr>
              <w:t>6.70%</w:t>
            </w:r>
          </w:p>
        </w:tc>
      </w:tr>
      <w:tr>
        <w:trPr>
          <w:trHeight w:val="402"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5.02%</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4.72%</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0.30%</w:t>
            </w:r>
          </w:p>
        </w:tc>
      </w:tr>
      <w:tr>
        <w:trPr>
          <w:trHeight w:val="402"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723,075,736.91</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453,373,163.06</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Times New Roman" w:hAnsi="Times New Roman" w:cs="Times New Roman" w:eastAsia="Times New Roman" w:hint="default"/>
                <w:sz w:val="18"/>
                <w:szCs w:val="18"/>
              </w:rPr>
            </w:pPr>
            <w:r>
              <w:rPr>
                <w:rFonts w:ascii="Times New Roman"/>
                <w:spacing w:val="-1"/>
                <w:sz w:val="18"/>
              </w:rPr>
              <w:t>59.49%</w:t>
            </w:r>
          </w:p>
        </w:tc>
      </w:tr>
      <w:tr>
        <w:trPr>
          <w:trHeight w:val="402"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11.13%</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8.31%</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2.82%</w:t>
            </w:r>
          </w:p>
        </w:tc>
      </w:tr>
      <w:tr>
        <w:trPr>
          <w:trHeight w:val="402"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研发投入资本化的金额（元）</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资本化研发投入占研发投入的比例</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0.00%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878" w:footer="978" w:top="1100" w:bottom="1160" w:left="1020" w:right="0"/>
        </w:sectPr>
      </w:pPr>
    </w:p>
    <w:p>
      <w:pPr>
        <w:spacing w:line="240" w:lineRule="auto" w:before="1"/>
        <w:rPr>
          <w:rFonts w:ascii="宋体" w:hAnsi="宋体" w:cs="宋体" w:eastAsia="宋体" w:hint="default"/>
          <w:sz w:val="22"/>
          <w:szCs w:val="22"/>
        </w:rPr>
      </w:pPr>
    </w:p>
    <w:p>
      <w:pPr>
        <w:pStyle w:val="BodyText"/>
        <w:spacing w:line="240" w:lineRule="auto" w:before="44"/>
        <w:ind w:right="1394"/>
        <w:jc w:val="left"/>
      </w:pPr>
      <w:r>
        <w:rPr/>
        <w:t>研发投入总额占营业收入的比重较上年发生显著变化的原因</w:t>
      </w:r>
    </w:p>
    <w:p>
      <w:pPr>
        <w:pStyle w:val="BodyText"/>
        <w:spacing w:line="340" w:lineRule="auto" w:before="115"/>
        <w:ind w:right="6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研发投入资本化率大幅变动的原因及其合理性说明</w:t>
      </w:r>
    </w:p>
    <w:p>
      <w:pPr>
        <w:pStyle w:val="BodyText"/>
        <w:spacing w:line="240" w:lineRule="auto" w:before="41"/>
        <w:ind w:right="13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6"/>
        <w:rPr>
          <w:rFonts w:ascii="宋体" w:hAnsi="宋体" w:cs="宋体" w:eastAsia="宋体" w:hint="default"/>
          <w:sz w:val="26"/>
          <w:szCs w:val="26"/>
        </w:rPr>
      </w:pPr>
    </w:p>
    <w:p>
      <w:pPr>
        <w:pStyle w:val="Heading5"/>
        <w:spacing w:line="240" w:lineRule="auto"/>
        <w:ind w:right="1394"/>
        <w:jc w:val="left"/>
        <w:rPr>
          <w:b w:val="0"/>
          <w:bCs w:val="0"/>
        </w:rPr>
      </w:pPr>
      <w:bookmarkStart w:name="5、现金流" w:id="39"/>
      <w:bookmarkEnd w:id="39"/>
      <w:r>
        <w:rPr>
          <w:b w:val="0"/>
          <w:bCs w:val="0"/>
        </w:rPr>
      </w:r>
      <w:r>
        <w:rPr>
          <w:rFonts w:ascii="Times New Roman" w:hAnsi="Times New Roman" w:cs="Times New Roman" w:eastAsia="Times New Roman" w:hint="default"/>
        </w:rPr>
        <w:t>5</w:t>
      </w:r>
      <w:r>
        <w:rPr/>
        <w:t>、现金流</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0" w:right="1132"/>
        <w:jc w:val="right"/>
      </w:pPr>
      <w:r>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694"/>
        <w:gridCol w:w="2693"/>
        <w:gridCol w:w="2410"/>
        <w:gridCol w:w="1771"/>
      </w:tblGrid>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20"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7,211,073,604.26</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6,424,895,345.26</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12.24%</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6,282,421,149.97</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5,457,961,537.05</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15.11%</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928,652,454.29</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966,933,808.21</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-3.96%</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6,276,183,287.84</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9,394,287,885.01</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-33.19%</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6,542,882,255.00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9,292,950,287.33</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-29.59%</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-266,698,967.16</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101,337,597.68</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-363.18%</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150,611,027.20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282,686,302.00</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-46.72%</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607,197,899.11</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830,243,060.00</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-26.87%</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-456,586,871.91</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-547,556,758.00</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16.61%</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217,968,316.27</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532,881,420.11</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-59.10%</w:t>
            </w:r>
          </w:p>
        </w:tc>
      </w:tr>
    </w:tbl>
    <w:p>
      <w:pPr>
        <w:pStyle w:val="BodyText"/>
        <w:spacing w:line="240" w:lineRule="auto" w:before="51"/>
        <w:ind w:right="1394"/>
        <w:jc w:val="left"/>
      </w:pPr>
      <w:r>
        <w:rPr/>
        <w:t>相关数据同比发生重大变动的主要影响因素说明</w:t>
      </w:r>
    </w:p>
    <w:p>
      <w:pPr>
        <w:pStyle w:val="BodyText"/>
        <w:spacing w:line="240" w:lineRule="auto" w:before="117"/>
        <w:ind w:right="13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pStyle w:val="BodyText"/>
        <w:spacing w:line="240" w:lineRule="auto" w:before="101"/>
        <w:ind w:left="472" w:right="1394"/>
        <w:jc w:val="left"/>
      </w:pPr>
      <w:r>
        <w:rPr/>
        <w:t>（</w:t>
      </w:r>
      <w:r>
        <w:rPr>
          <w:rFonts w:ascii="Times New Roman" w:hAnsi="Times New Roman" w:cs="Times New Roman" w:eastAsia="Times New Roman" w:hint="default"/>
        </w:rPr>
        <w:t>1</w:t>
      </w:r>
      <w:r>
        <w:rPr/>
        <w:t>）经营活动现金流量</w:t>
      </w:r>
    </w:p>
    <w:p>
      <w:pPr>
        <w:pStyle w:val="BodyText"/>
        <w:spacing w:line="300" w:lineRule="auto" w:before="63"/>
        <w:ind w:right="1124" w:firstLine="360"/>
        <w:jc w:val="left"/>
      </w:pPr>
      <w:r>
        <w:rPr>
          <w:rFonts w:ascii="Times New Roman" w:hAnsi="Times New Roman" w:cs="Times New Roman" w:eastAsia="Times New Roman" w:hint="default"/>
        </w:rPr>
        <w:t>2019</w:t>
      </w:r>
      <w:r>
        <w:rPr/>
        <w:t>年，公司经营活动产生的现金流量净额</w:t>
      </w:r>
      <w:r>
        <w:rPr>
          <w:rFonts w:ascii="Times New Roman" w:hAnsi="Times New Roman" w:cs="Times New Roman" w:eastAsia="Times New Roman" w:hint="default"/>
        </w:rPr>
        <w:t>92,865.25</w:t>
      </w:r>
      <w:r>
        <w:rPr/>
        <w:t>万元，比上年同期</w:t>
      </w:r>
      <w:r>
        <w:rPr>
          <w:rFonts w:ascii="Times New Roman" w:hAnsi="Times New Roman" w:cs="Times New Roman" w:eastAsia="Times New Roman" w:hint="default"/>
        </w:rPr>
        <w:t>96,693.38</w:t>
      </w:r>
      <w:r>
        <w:rPr/>
        <w:t>万元减少</w:t>
      </w:r>
      <w:r>
        <w:rPr>
          <w:rFonts w:ascii="Times New Roman" w:hAnsi="Times New Roman" w:cs="Times New Roman" w:eastAsia="Times New Roman" w:hint="default"/>
        </w:rPr>
        <w:t>3,828.13</w:t>
      </w:r>
      <w:r>
        <w:rPr/>
        <w:t>万元，同比减少幅度 为</w:t>
      </w:r>
      <w:r>
        <w:rPr>
          <w:rFonts w:ascii="Times New Roman" w:hAnsi="Times New Roman" w:cs="Times New Roman" w:eastAsia="Times New Roman" w:hint="default"/>
        </w:rPr>
        <w:t>3.96%</w:t>
      </w:r>
      <w:r>
        <w:rPr/>
        <w:t>，主要是公司规模扩大购买商品、接受劳务支付的现金和支付给职工以及为职工支付的现金增加所致。</w:t>
      </w:r>
    </w:p>
    <w:p>
      <w:pPr>
        <w:pStyle w:val="BodyText"/>
        <w:spacing w:line="240" w:lineRule="auto" w:before="13"/>
        <w:ind w:left="472" w:right="1394"/>
        <w:jc w:val="left"/>
      </w:pPr>
      <w:r>
        <w:rPr/>
        <w:t>（</w:t>
      </w:r>
      <w:r>
        <w:rPr>
          <w:rFonts w:ascii="Times New Roman" w:hAnsi="Times New Roman" w:cs="Times New Roman" w:eastAsia="Times New Roman" w:hint="default"/>
        </w:rPr>
        <w:t>2</w:t>
      </w:r>
      <w:r>
        <w:rPr/>
        <w:t>）投资活动现金流量</w:t>
      </w:r>
    </w:p>
    <w:p>
      <w:pPr>
        <w:pStyle w:val="BodyText"/>
        <w:spacing w:line="300" w:lineRule="auto" w:before="63"/>
        <w:ind w:right="1154" w:firstLine="360"/>
        <w:jc w:val="left"/>
      </w:pPr>
      <w:r>
        <w:rPr>
          <w:rFonts w:ascii="Times New Roman" w:hAnsi="Times New Roman" w:cs="Times New Roman" w:eastAsia="Times New Roman" w:hint="default"/>
        </w:rPr>
        <w:t>2019</w:t>
      </w:r>
      <w:r>
        <w:rPr/>
        <w:t>年，公司投资活动产生的现金流量净额</w:t>
      </w:r>
      <w:r>
        <w:rPr>
          <w:rFonts w:ascii="Times New Roman" w:hAnsi="Times New Roman" w:cs="Times New Roman" w:eastAsia="Times New Roman" w:hint="default"/>
        </w:rPr>
        <w:t>-26,669.90</w:t>
      </w:r>
      <w:r>
        <w:rPr/>
        <w:t>万元，比上年同期</w:t>
      </w:r>
      <w:r>
        <w:rPr>
          <w:rFonts w:ascii="Times New Roman" w:hAnsi="Times New Roman" w:cs="Times New Roman" w:eastAsia="Times New Roman" w:hint="default"/>
        </w:rPr>
        <w:t>10,133.76</w:t>
      </w:r>
      <w:r>
        <w:rPr/>
        <w:t>万元减少</w:t>
      </w:r>
      <w:r>
        <w:rPr>
          <w:rFonts w:ascii="Times New Roman" w:hAnsi="Times New Roman" w:cs="Times New Roman" w:eastAsia="Times New Roman" w:hint="default"/>
        </w:rPr>
        <w:t>36,803.66</w:t>
      </w:r>
      <w:r>
        <w:rPr/>
        <w:t>万元，同比减少幅 度为</w:t>
      </w:r>
      <w:r>
        <w:rPr>
          <w:rFonts w:ascii="Times New Roman" w:hAnsi="Times New Roman" w:cs="Times New Roman" w:eastAsia="Times New Roman" w:hint="default"/>
        </w:rPr>
        <w:t>363.18%</w:t>
      </w:r>
      <w:r>
        <w:rPr/>
        <w:t>，主要是收回委托理财同比减少所致。</w:t>
      </w:r>
    </w:p>
    <w:p>
      <w:pPr>
        <w:pStyle w:val="BodyText"/>
        <w:spacing w:line="240" w:lineRule="auto" w:before="13"/>
        <w:ind w:left="472" w:right="1394"/>
        <w:jc w:val="left"/>
      </w:pPr>
      <w:r>
        <w:rPr/>
        <w:t>（</w:t>
      </w:r>
      <w:r>
        <w:rPr>
          <w:rFonts w:ascii="Times New Roman" w:hAnsi="Times New Roman" w:cs="Times New Roman" w:eastAsia="Times New Roman" w:hint="default"/>
        </w:rPr>
        <w:t>3</w:t>
      </w:r>
      <w:r>
        <w:rPr/>
        <w:t>）筹资活动现金流量</w:t>
      </w:r>
    </w:p>
    <w:p>
      <w:pPr>
        <w:pStyle w:val="BodyText"/>
        <w:spacing w:line="240" w:lineRule="auto" w:before="63"/>
        <w:ind w:left="472" w:right="0"/>
        <w:jc w:val="left"/>
      </w:pPr>
      <w:r>
        <w:rPr>
          <w:rFonts w:ascii="Times New Roman" w:hAnsi="Times New Roman" w:cs="Times New Roman" w:eastAsia="Times New Roman" w:hint="default"/>
        </w:rPr>
        <w:t>2019</w:t>
      </w:r>
      <w:r>
        <w:rPr/>
        <w:t>年，筹资活动产生的现金流入为</w:t>
      </w:r>
      <w:r>
        <w:rPr>
          <w:rFonts w:ascii="Times New Roman" w:hAnsi="Times New Roman" w:cs="Times New Roman" w:eastAsia="Times New Roman" w:hint="default"/>
        </w:rPr>
        <w:t>15,061.10</w:t>
      </w:r>
      <w:r>
        <w:rPr/>
        <w:t>万元，比上年同期</w:t>
      </w:r>
      <w:r>
        <w:rPr>
          <w:rFonts w:ascii="Times New Roman" w:hAnsi="Times New Roman" w:cs="Times New Roman" w:eastAsia="Times New Roman" w:hint="default"/>
        </w:rPr>
        <w:t>28,268.63</w:t>
      </w:r>
      <w:r>
        <w:rPr/>
        <w:t>万元减少</w:t>
      </w:r>
      <w:r>
        <w:rPr>
          <w:rFonts w:ascii="Times New Roman" w:hAnsi="Times New Roman" w:cs="Times New Roman" w:eastAsia="Times New Roman" w:hint="default"/>
        </w:rPr>
        <w:t>13,207.53</w:t>
      </w:r>
      <w:r>
        <w:rPr/>
        <w:t>万元，同比减少幅度为</w:t>
      </w:r>
    </w:p>
    <w:p>
      <w:pPr>
        <w:pStyle w:val="BodyText"/>
        <w:spacing w:line="240" w:lineRule="auto" w:before="63"/>
        <w:ind w:right="1394"/>
        <w:jc w:val="left"/>
      </w:pPr>
      <w:r>
        <w:rPr>
          <w:rFonts w:ascii="Times New Roman" w:hAnsi="Times New Roman" w:cs="Times New Roman" w:eastAsia="Times New Roman" w:hint="default"/>
        </w:rPr>
        <w:t>46.72%</w:t>
      </w:r>
      <w:r>
        <w:rPr/>
        <w:t>，主要是取得借款收到的现金减少所致。</w:t>
      </w:r>
    </w:p>
    <w:p>
      <w:pPr>
        <w:pStyle w:val="BodyText"/>
        <w:spacing w:line="240" w:lineRule="auto" w:before="63"/>
        <w:ind w:left="472" w:right="0"/>
        <w:jc w:val="left"/>
      </w:pPr>
      <w:r>
        <w:rPr>
          <w:rFonts w:ascii="Times New Roman" w:hAnsi="Times New Roman" w:cs="Times New Roman" w:eastAsia="Times New Roman" w:hint="default"/>
        </w:rPr>
        <w:t>2019</w:t>
      </w:r>
      <w:r>
        <w:rPr/>
        <w:t>年，筹资活动产生的现金流出为</w:t>
      </w:r>
      <w:r>
        <w:rPr>
          <w:rFonts w:ascii="Times New Roman" w:hAnsi="Times New Roman" w:cs="Times New Roman" w:eastAsia="Times New Roman" w:hint="default"/>
        </w:rPr>
        <w:t>60,719.79</w:t>
      </w:r>
      <w:r>
        <w:rPr/>
        <w:t>万元，比上年同期</w:t>
      </w:r>
      <w:r>
        <w:rPr>
          <w:rFonts w:ascii="Times New Roman" w:hAnsi="Times New Roman" w:cs="Times New Roman" w:eastAsia="Times New Roman" w:hint="default"/>
        </w:rPr>
        <w:t>83,024.31</w:t>
      </w:r>
      <w:r>
        <w:rPr/>
        <w:t>万元减少</w:t>
      </w:r>
      <w:r>
        <w:rPr>
          <w:rFonts w:ascii="Times New Roman" w:hAnsi="Times New Roman" w:cs="Times New Roman" w:eastAsia="Times New Roman" w:hint="default"/>
        </w:rPr>
        <w:t>22,304.52</w:t>
      </w:r>
      <w:r>
        <w:rPr/>
        <w:t>万元，同比减少幅度为</w:t>
      </w:r>
    </w:p>
    <w:p>
      <w:pPr>
        <w:pStyle w:val="BodyText"/>
        <w:spacing w:line="240" w:lineRule="auto" w:before="63"/>
        <w:ind w:right="1394"/>
        <w:jc w:val="left"/>
      </w:pPr>
      <w:r>
        <w:rPr>
          <w:rFonts w:ascii="Times New Roman" w:hAnsi="Times New Roman" w:cs="Times New Roman" w:eastAsia="Times New Roman" w:hint="default"/>
        </w:rPr>
        <w:t>26.87%</w:t>
      </w:r>
      <w:r>
        <w:rPr/>
        <w:t>，主要是偿还债务支付的现金、分配股利、利润或偿付利息支付的现金减少所致。</w:t>
      </w:r>
    </w:p>
    <w:p>
      <w:pPr>
        <w:pStyle w:val="BodyText"/>
        <w:spacing w:line="319" w:lineRule="auto" w:before="103"/>
        <w:ind w:right="1155" w:firstLine="360"/>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年，公司筹资活动产生的现金流量净额</w:t>
      </w:r>
      <w:r>
        <w:rPr>
          <w:rFonts w:ascii="Times New Roman" w:hAnsi="Times New Roman" w:cs="Times New Roman" w:eastAsia="Times New Roman" w:hint="default"/>
        </w:rPr>
        <w:t>-45,658.69</w:t>
      </w:r>
      <w:r>
        <w:rPr>
          <w:rFonts w:ascii="Times New Roman" w:hAnsi="Times New Roman" w:cs="Times New Roman" w:eastAsia="Times New Roman" w:hint="default"/>
          <w:spacing w:val="-3"/>
        </w:rPr>
        <w:t> </w:t>
      </w:r>
      <w:r>
        <w:rPr/>
        <w:t>万元，比上年同期</w:t>
      </w:r>
      <w:r>
        <w:rPr>
          <w:rFonts w:ascii="Times New Roman" w:hAnsi="Times New Roman" w:cs="Times New Roman" w:eastAsia="Times New Roman" w:hint="default"/>
        </w:rPr>
        <w:t>-54,755.68</w:t>
      </w:r>
      <w:r>
        <w:rPr>
          <w:rFonts w:ascii="Times New Roman" w:hAnsi="Times New Roman" w:cs="Times New Roman" w:eastAsia="Times New Roman" w:hint="default"/>
          <w:spacing w:val="-5"/>
        </w:rPr>
        <w:t> </w:t>
      </w:r>
      <w:r>
        <w:rPr/>
        <w:t>万元增加</w:t>
      </w:r>
      <w:r>
        <w:rPr>
          <w:spacing w:val="-47"/>
        </w:rPr>
        <w:t> </w:t>
      </w:r>
      <w:r>
        <w:rPr>
          <w:rFonts w:ascii="Times New Roman" w:hAnsi="Times New Roman" w:cs="Times New Roman" w:eastAsia="Times New Roman" w:hint="default"/>
        </w:rPr>
        <w:t>9,096.99</w:t>
      </w:r>
      <w:r>
        <w:rPr>
          <w:rFonts w:ascii="Times New Roman" w:hAnsi="Times New Roman" w:cs="Times New Roman" w:eastAsia="Times New Roman" w:hint="default"/>
          <w:spacing w:val="-3"/>
        </w:rPr>
        <w:t> </w:t>
      </w:r>
      <w:r>
        <w:rPr/>
        <w:t>万元，同比增长 幅度为</w:t>
      </w:r>
      <w:r>
        <w:rPr>
          <w:spacing w:val="-46"/>
        </w:rPr>
        <w:t> </w:t>
      </w:r>
      <w:r>
        <w:rPr>
          <w:rFonts w:ascii="Times New Roman" w:hAnsi="Times New Roman" w:cs="Times New Roman" w:eastAsia="Times New Roman" w:hint="default"/>
        </w:rPr>
        <w:t>16.61%</w:t>
      </w:r>
      <w:r>
        <w:rPr/>
        <w:t>，主要是分配股利和偿还债务支付的现金减少所致。 报告期内公司经营活动产生的现金净流量与本年度净利润存在重大差异的原因说明</w:t>
      </w:r>
    </w:p>
    <w:p>
      <w:pPr>
        <w:pStyle w:val="BodyText"/>
        <w:spacing w:line="240" w:lineRule="auto" w:before="55"/>
        <w:ind w:right="13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394"/>
        <w:jc w:val="left"/>
        <w:rPr>
          <w:b w:val="0"/>
          <w:bCs w:val="0"/>
        </w:rPr>
      </w:pPr>
      <w:bookmarkStart w:name="三、非主营业务分析" w:id="40"/>
      <w:bookmarkEnd w:id="40"/>
      <w:r>
        <w:rPr>
          <w:b w:val="0"/>
          <w:bCs w:val="0"/>
        </w:rPr>
      </w:r>
      <w:r>
        <w:rPr/>
        <w:t>三、非主营业务分析</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3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after="0" w:line="240" w:lineRule="auto"/>
        <w:jc w:val="left"/>
        <w:sectPr>
          <w:pgSz w:w="11910" w:h="16840"/>
          <w:pgMar w:header="878" w:footer="978" w:top="1100" w:bottom="1160" w:left="1020" w:right="0"/>
        </w:sectPr>
      </w:pPr>
    </w:p>
    <w:p>
      <w:pPr>
        <w:spacing w:line="240" w:lineRule="auto" w:before="1"/>
        <w:rPr>
          <w:rFonts w:ascii="宋体" w:hAnsi="宋体" w:cs="宋体" w:eastAsia="宋体" w:hint="default"/>
          <w:sz w:val="22"/>
          <w:szCs w:val="22"/>
        </w:rPr>
      </w:pPr>
    </w:p>
    <w:p>
      <w:pPr>
        <w:pStyle w:val="BodyText"/>
        <w:spacing w:line="240" w:lineRule="auto" w:before="44"/>
        <w:ind w:left="0" w:right="1132"/>
        <w:jc w:val="right"/>
      </w:pPr>
      <w:r>
        <w:rPr/>
        <w:t>单位：元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60"/>
        <w:gridCol w:w="1701"/>
        <w:gridCol w:w="1417"/>
        <w:gridCol w:w="3260"/>
        <w:gridCol w:w="1631"/>
      </w:tblGrid>
      <w:tr>
        <w:trPr>
          <w:trHeight w:val="402"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71"/>
              <w:jc w:val="right"/>
              <w:rPr>
                <w:rFonts w:ascii="宋体" w:hAnsi="宋体" w:cs="宋体" w:eastAsia="宋体" w:hint="default"/>
                <w:sz w:val="18"/>
                <w:szCs w:val="18"/>
              </w:rPr>
            </w:pPr>
            <w:r>
              <w:rPr>
                <w:rFonts w:ascii="宋体" w:hAnsi="宋体" w:cs="宋体" w:eastAsia="宋体" w:hint="default"/>
                <w:sz w:val="18"/>
                <w:szCs w:val="18"/>
              </w:rPr>
              <w:t>占利润总额比例</w:t>
            </w:r>
          </w:p>
        </w:tc>
        <w:tc>
          <w:tcPr>
            <w:tcW w:w="3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形成原因说明</w:t>
            </w:r>
          </w:p>
        </w:tc>
        <w:tc>
          <w:tcPr>
            <w:tcW w:w="16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75,324,559.26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7.29%</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主要是委托理财的投资收益。</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-69,058,855.56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-6.68%</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主要是计提商誉减值和存货跌价损失。</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20,219,199.82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主要是违约金赔偿利得及其他。</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22,379,331.33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2.16%</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主要是流动资产处置损失。</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142,917,152.86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13.82%</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主要是政府补助。</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资产处置收益</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768,179.93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0.07%</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主要是资产处置利得。</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1"/>
        <w:rPr>
          <w:rFonts w:ascii="宋体" w:hAnsi="宋体" w:cs="宋体" w:eastAsia="宋体" w:hint="default"/>
          <w:sz w:val="18"/>
          <w:szCs w:val="18"/>
        </w:rPr>
      </w:pPr>
    </w:p>
    <w:p>
      <w:pPr>
        <w:pStyle w:val="Heading2"/>
        <w:spacing w:line="240" w:lineRule="auto" w:before="26"/>
        <w:ind w:right="1394"/>
        <w:jc w:val="left"/>
        <w:rPr>
          <w:b w:val="0"/>
          <w:bCs w:val="0"/>
        </w:rPr>
      </w:pPr>
      <w:bookmarkStart w:name="四、资产及负债状况分析" w:id="41"/>
      <w:bookmarkEnd w:id="41"/>
      <w:r>
        <w:rPr>
          <w:b w:val="0"/>
          <w:bCs w:val="0"/>
        </w:rPr>
      </w:r>
      <w:r>
        <w:rPr/>
        <w:t>四、资产及负债状况分析</w:t>
      </w:r>
      <w:r>
        <w:rPr>
          <w:b w:val="0"/>
          <w:bCs w:val="0"/>
        </w:rPr>
      </w:r>
    </w:p>
    <w:p>
      <w:pPr>
        <w:spacing w:line="240" w:lineRule="auto" w:before="6"/>
        <w:rPr>
          <w:rFonts w:ascii="宋体" w:hAnsi="宋体" w:cs="宋体" w:eastAsia="宋体" w:hint="default"/>
          <w:b/>
          <w:bCs/>
          <w:sz w:val="25"/>
          <w:szCs w:val="25"/>
        </w:rPr>
      </w:pPr>
    </w:p>
    <w:p>
      <w:pPr>
        <w:pStyle w:val="Heading5"/>
        <w:spacing w:line="240" w:lineRule="auto"/>
        <w:ind w:right="1394"/>
        <w:jc w:val="left"/>
        <w:rPr>
          <w:b w:val="0"/>
          <w:bCs w:val="0"/>
        </w:rPr>
      </w:pPr>
      <w:bookmarkStart w:name="1、资产构成重大变动情况" w:id="42"/>
      <w:bookmarkEnd w:id="42"/>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0" w:right="1132"/>
        <w:jc w:val="right"/>
      </w:pPr>
      <w:r>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60"/>
        <w:gridCol w:w="1417"/>
        <w:gridCol w:w="851"/>
        <w:gridCol w:w="1417"/>
        <w:gridCol w:w="709"/>
        <w:gridCol w:w="819"/>
        <w:gridCol w:w="2796"/>
      </w:tblGrid>
      <w:tr>
        <w:trPr>
          <w:trHeight w:val="402" w:hRule="exact"/>
        </w:trPr>
        <w:tc>
          <w:tcPr>
            <w:tcW w:w="1560" w:type="dxa"/>
            <w:vMerge w:val="restart"/>
            <w:tcBorders>
              <w:top w:val="single" w:sz="4" w:space="0" w:color="000000"/>
              <w:left w:val="single" w:sz="4" w:space="0" w:color="000000"/>
              <w:right w:val="single" w:sz="4" w:space="0" w:color="000000"/>
            </w:tcBorders>
            <w:shd w:val="clear" w:color="auto" w:fill="D2D2D2"/>
          </w:tcPr>
          <w:p>
            <w:pPr/>
          </w:p>
        </w:tc>
        <w:tc>
          <w:tcPr>
            <w:tcW w:w="22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年初</w:t>
            </w:r>
          </w:p>
        </w:tc>
        <w:tc>
          <w:tcPr>
            <w:tcW w:w="81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44"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852"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714" w:hRule="exact"/>
        </w:trPr>
        <w:tc>
          <w:tcPr>
            <w:tcW w:w="1560" w:type="dxa"/>
            <w:vMerge/>
            <w:tcBorders>
              <w:left w:val="single" w:sz="4" w:space="0" w:color="000000"/>
              <w:bottom w:val="single" w:sz="4" w:space="0" w:color="000000"/>
              <w:right w:val="single" w:sz="4" w:space="0" w:color="000000"/>
            </w:tcBorders>
            <w:shd w:val="clear" w:color="auto" w:fill="D2D2D2"/>
          </w:tcPr>
          <w:p>
            <w:pP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40" w:right="59"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79" w:right="78"/>
              <w:jc w:val="left"/>
              <w:rPr>
                <w:rFonts w:ascii="宋体" w:hAnsi="宋体" w:cs="宋体" w:eastAsia="宋体" w:hint="default"/>
                <w:sz w:val="18"/>
                <w:szCs w:val="18"/>
              </w:rPr>
            </w:pPr>
            <w:r>
              <w:rPr>
                <w:rFonts w:ascii="宋体" w:hAnsi="宋体" w:cs="宋体" w:eastAsia="宋体" w:hint="default"/>
                <w:sz w:val="18"/>
                <w:szCs w:val="18"/>
              </w:rPr>
              <w:t>占总资 产比例</w:t>
            </w:r>
          </w:p>
        </w:tc>
        <w:tc>
          <w:tcPr>
            <w:tcW w:w="819" w:type="dxa"/>
            <w:vMerge/>
            <w:tcBorders>
              <w:left w:val="single" w:sz="4" w:space="0" w:color="000000"/>
              <w:bottom w:val="single" w:sz="4" w:space="0" w:color="000000"/>
              <w:right w:val="single" w:sz="4" w:space="0" w:color="000000"/>
            </w:tcBorders>
            <w:shd w:val="clear" w:color="auto" w:fill="D2D2D2"/>
          </w:tcPr>
          <w:p>
            <w:pPr/>
          </w:p>
        </w:tc>
        <w:tc>
          <w:tcPr>
            <w:tcW w:w="2796"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4,482,916,067.61</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31.60%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4,249,788,473.33</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1" w:right="0"/>
              <w:jc w:val="center"/>
              <w:rPr>
                <w:rFonts w:ascii="Times New Roman" w:hAnsi="Times New Roman" w:cs="Times New Roman" w:eastAsia="Times New Roman" w:hint="default"/>
                <w:sz w:val="18"/>
                <w:szCs w:val="18"/>
              </w:rPr>
            </w:pPr>
            <w:r>
              <w:rPr>
                <w:rFonts w:ascii="Times New Roman"/>
                <w:sz w:val="18"/>
              </w:rPr>
              <w:t>31.62%</w:t>
            </w:r>
          </w:p>
        </w:tc>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-0.02%</w:t>
            </w:r>
          </w:p>
        </w:tc>
        <w:tc>
          <w:tcPr>
            <w:tcW w:w="279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1,518,071,334.24</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10.70%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1,311,545,965.04</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90" w:right="0"/>
              <w:jc w:val="center"/>
              <w:rPr>
                <w:rFonts w:ascii="Times New Roman" w:hAnsi="Times New Roman" w:cs="Times New Roman" w:eastAsia="Times New Roman" w:hint="default"/>
                <w:sz w:val="18"/>
                <w:szCs w:val="18"/>
              </w:rPr>
            </w:pPr>
            <w:r>
              <w:rPr>
                <w:rFonts w:ascii="Times New Roman"/>
                <w:sz w:val="18"/>
              </w:rPr>
              <w:t>9.76%</w:t>
            </w:r>
          </w:p>
        </w:tc>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0.94%</w:t>
            </w:r>
          </w:p>
        </w:tc>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61"/>
              <w:jc w:val="left"/>
              <w:rPr>
                <w:rFonts w:ascii="宋体" w:hAnsi="宋体" w:cs="宋体" w:eastAsia="宋体" w:hint="default"/>
                <w:sz w:val="18"/>
                <w:szCs w:val="18"/>
              </w:rPr>
            </w:pPr>
            <w:r>
              <w:rPr>
                <w:rFonts w:ascii="宋体" w:hAnsi="宋体" w:cs="宋体" w:eastAsia="宋体" w:hint="default"/>
                <w:sz w:val="18"/>
                <w:szCs w:val="18"/>
              </w:rPr>
              <w:t>主要是经营规模扩大，销售量增加 所致。</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1,918,033,202.60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1,864,961,109.68</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1" w:right="0"/>
              <w:jc w:val="center"/>
              <w:rPr>
                <w:rFonts w:ascii="Times New Roman" w:hAnsi="Times New Roman" w:cs="Times New Roman" w:eastAsia="Times New Roman" w:hint="default"/>
                <w:sz w:val="18"/>
                <w:szCs w:val="18"/>
              </w:rPr>
            </w:pPr>
            <w:r>
              <w:rPr>
                <w:rFonts w:ascii="Times New Roman"/>
                <w:sz w:val="18"/>
              </w:rPr>
              <w:t>13.88%</w:t>
            </w:r>
          </w:p>
        </w:tc>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-0.36%</w:t>
            </w:r>
          </w:p>
        </w:tc>
        <w:tc>
          <w:tcPr>
            <w:tcW w:w="27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49,303,525.51</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z w:val="18"/>
              </w:rPr>
              <w:t>0.35%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52,892,220.34</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90" w:right="0"/>
              <w:jc w:val="center"/>
              <w:rPr>
                <w:rFonts w:ascii="Times New Roman" w:hAnsi="Times New Roman" w:cs="Times New Roman" w:eastAsia="Times New Roman" w:hint="default"/>
                <w:sz w:val="18"/>
                <w:szCs w:val="18"/>
              </w:rPr>
            </w:pPr>
            <w:r>
              <w:rPr>
                <w:rFonts w:ascii="Times New Roman"/>
                <w:sz w:val="18"/>
              </w:rPr>
              <w:t>0.39%</w:t>
            </w:r>
          </w:p>
        </w:tc>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7"/>
              <w:jc w:val="right"/>
              <w:rPr>
                <w:rFonts w:ascii="Times New Roman" w:hAnsi="Times New Roman" w:cs="Times New Roman" w:eastAsia="Times New Roman" w:hint="default"/>
                <w:sz w:val="18"/>
                <w:szCs w:val="18"/>
              </w:rPr>
            </w:pPr>
            <w:r>
              <w:rPr>
                <w:rFonts w:ascii="Times New Roman"/>
                <w:sz w:val="18"/>
              </w:rPr>
              <w:t>-0.04%</w:t>
            </w:r>
          </w:p>
        </w:tc>
        <w:tc>
          <w:tcPr>
            <w:tcW w:w="27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639,896,064.55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626,464,621.74</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0" w:right="0"/>
              <w:jc w:val="center"/>
              <w:rPr>
                <w:rFonts w:ascii="Times New Roman" w:hAnsi="Times New Roman" w:cs="Times New Roman" w:eastAsia="Times New Roman" w:hint="default"/>
                <w:sz w:val="18"/>
                <w:szCs w:val="18"/>
              </w:rPr>
            </w:pPr>
            <w:r>
              <w:rPr>
                <w:rFonts w:ascii="Times New Roman"/>
                <w:sz w:val="18"/>
              </w:rPr>
              <w:t>4.66%</w:t>
            </w:r>
          </w:p>
        </w:tc>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-0.15%</w:t>
            </w:r>
          </w:p>
        </w:tc>
        <w:tc>
          <w:tcPr>
            <w:tcW w:w="27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1,116,170,777.39</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z w:val="18"/>
              </w:rPr>
              <w:t>7.87%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1,089,049,675.78</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90" w:right="0"/>
              <w:jc w:val="center"/>
              <w:rPr>
                <w:rFonts w:ascii="Times New Roman" w:hAnsi="Times New Roman" w:cs="Times New Roman" w:eastAsia="Times New Roman" w:hint="default"/>
                <w:sz w:val="18"/>
                <w:szCs w:val="18"/>
              </w:rPr>
            </w:pPr>
            <w:r>
              <w:rPr>
                <w:rFonts w:ascii="Times New Roman"/>
                <w:sz w:val="18"/>
              </w:rPr>
              <w:t>8.10%</w:t>
            </w:r>
          </w:p>
        </w:tc>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7"/>
              <w:jc w:val="right"/>
              <w:rPr>
                <w:rFonts w:ascii="Times New Roman" w:hAnsi="Times New Roman" w:cs="Times New Roman" w:eastAsia="Times New Roman" w:hint="default"/>
                <w:sz w:val="18"/>
                <w:szCs w:val="18"/>
              </w:rPr>
            </w:pPr>
            <w:r>
              <w:rPr>
                <w:rFonts w:ascii="Times New Roman"/>
                <w:sz w:val="18"/>
              </w:rPr>
              <w:t>-0.23%</w:t>
            </w:r>
          </w:p>
        </w:tc>
        <w:tc>
          <w:tcPr>
            <w:tcW w:w="279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15,468,910.33</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48,288,502.94</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90" w:right="0"/>
              <w:jc w:val="center"/>
              <w:rPr>
                <w:rFonts w:ascii="Times New Roman" w:hAnsi="Times New Roman" w:cs="Times New Roman" w:eastAsia="Times New Roman" w:hint="default"/>
                <w:sz w:val="18"/>
                <w:szCs w:val="18"/>
              </w:rPr>
            </w:pPr>
            <w:r>
              <w:rPr>
                <w:rFonts w:ascii="Times New Roman"/>
                <w:sz w:val="18"/>
              </w:rPr>
              <w:t>0.36%</w:t>
            </w:r>
          </w:p>
        </w:tc>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-0.25%</w:t>
            </w:r>
          </w:p>
        </w:tc>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61"/>
              <w:jc w:val="both"/>
              <w:rPr>
                <w:rFonts w:ascii="宋体" w:hAnsi="宋体" w:cs="宋体" w:eastAsia="宋体" w:hint="default"/>
                <w:sz w:val="18"/>
                <w:szCs w:val="18"/>
              </w:rPr>
            </w:pPr>
            <w:r>
              <w:rPr>
                <w:rFonts w:ascii="宋体" w:hAnsi="宋体" w:cs="宋体" w:eastAsia="宋体" w:hint="default"/>
                <w:sz w:val="18"/>
                <w:szCs w:val="18"/>
              </w:rPr>
              <w:t>主要是黄石金安物流园和新疆阿帕 奇的金融服务综合业务楼结转固定 资产。</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80,048,884.48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z w:val="18"/>
              </w:rPr>
              <w:t>0.56%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23,331,000.00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90" w:right="0"/>
              <w:jc w:val="center"/>
              <w:rPr>
                <w:rFonts w:ascii="Times New Roman" w:hAnsi="Times New Roman" w:cs="Times New Roman" w:eastAsia="Times New Roman" w:hint="default"/>
                <w:sz w:val="18"/>
                <w:szCs w:val="18"/>
              </w:rPr>
            </w:pPr>
            <w:r>
              <w:rPr>
                <w:rFonts w:ascii="Times New Roman"/>
                <w:sz w:val="18"/>
              </w:rPr>
              <w:t>0.17%</w:t>
            </w:r>
          </w:p>
        </w:tc>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0.39%</w:t>
            </w:r>
          </w:p>
        </w:tc>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主要是子公司经营规模扩张所致。</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0" w:right="0"/>
              <w:jc w:val="center"/>
              <w:rPr>
                <w:rFonts w:ascii="Times New Roman" w:hAnsi="Times New Roman" w:cs="Times New Roman" w:eastAsia="Times New Roman" w:hint="default"/>
                <w:sz w:val="18"/>
                <w:szCs w:val="18"/>
              </w:rPr>
            </w:pPr>
            <w:r>
              <w:rPr>
                <w:rFonts w:ascii="Times New Roman"/>
                <w:sz w:val="18"/>
              </w:rPr>
              <w:t>0.01%</w:t>
            </w:r>
          </w:p>
        </w:tc>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-0.01%</w:t>
            </w:r>
          </w:p>
        </w:tc>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主要是归还期初到期借款所致。</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1,391,850,000.00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z w:val="18"/>
              </w:rPr>
              <w:t>9.81%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1,570,929,605.39</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1" w:right="0"/>
              <w:jc w:val="center"/>
              <w:rPr>
                <w:rFonts w:ascii="Times New Roman" w:hAnsi="Times New Roman" w:cs="Times New Roman" w:eastAsia="Times New Roman" w:hint="default"/>
                <w:sz w:val="18"/>
                <w:szCs w:val="18"/>
              </w:rPr>
            </w:pPr>
            <w:r>
              <w:rPr>
                <w:rFonts w:ascii="Times New Roman"/>
                <w:sz w:val="18"/>
              </w:rPr>
              <w:t>11.69%</w:t>
            </w:r>
          </w:p>
        </w:tc>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7"/>
              <w:jc w:val="right"/>
              <w:rPr>
                <w:rFonts w:ascii="Times New Roman" w:hAnsi="Times New Roman" w:cs="Times New Roman" w:eastAsia="Times New Roman" w:hint="default"/>
                <w:sz w:val="18"/>
                <w:szCs w:val="18"/>
              </w:rPr>
            </w:pPr>
            <w:r>
              <w:rPr>
                <w:rFonts w:ascii="Times New Roman"/>
                <w:sz w:val="18"/>
              </w:rPr>
              <w:t>-1.88%</w:t>
            </w:r>
          </w:p>
        </w:tc>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主要是委托理财减少所致。</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84,575,000.00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0.60%</w:t>
            </w:r>
          </w:p>
        </w:tc>
        <w:tc>
          <w:tcPr>
            <w:tcW w:w="141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0.60%</w:t>
            </w:r>
          </w:p>
        </w:tc>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主要是应收账款质押借款所致。</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53,669,695.02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z w:val="18"/>
              </w:rPr>
              <w:t>0.38%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41,882,197.77</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90" w:right="0"/>
              <w:jc w:val="center"/>
              <w:rPr>
                <w:rFonts w:ascii="Times New Roman" w:hAnsi="Times New Roman" w:cs="Times New Roman" w:eastAsia="Times New Roman" w:hint="default"/>
                <w:sz w:val="18"/>
                <w:szCs w:val="18"/>
              </w:rPr>
            </w:pPr>
            <w:r>
              <w:rPr>
                <w:rFonts w:ascii="Times New Roman"/>
                <w:sz w:val="18"/>
              </w:rPr>
              <w:t>0.31%</w:t>
            </w:r>
          </w:p>
        </w:tc>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0.07%</w:t>
            </w:r>
          </w:p>
        </w:tc>
        <w:tc>
          <w:tcPr>
            <w:tcW w:w="27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73,618,822.56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78,257,942.56</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0" w:right="0"/>
              <w:jc w:val="center"/>
              <w:rPr>
                <w:rFonts w:ascii="Times New Roman" w:hAnsi="Times New Roman" w:cs="Times New Roman" w:eastAsia="Times New Roman" w:hint="default"/>
                <w:sz w:val="18"/>
                <w:szCs w:val="18"/>
              </w:rPr>
            </w:pPr>
            <w:r>
              <w:rPr>
                <w:rFonts w:ascii="Times New Roman"/>
                <w:sz w:val="18"/>
              </w:rPr>
              <w:t>0.58%</w:t>
            </w:r>
          </w:p>
        </w:tc>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-0.06%</w:t>
            </w:r>
          </w:p>
        </w:tc>
        <w:tc>
          <w:tcPr>
            <w:tcW w:w="27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978,696,782.44</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z w:val="18"/>
              </w:rPr>
              <w:t>6.90%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1,014,427,563.83</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90" w:right="0"/>
              <w:jc w:val="center"/>
              <w:rPr>
                <w:rFonts w:ascii="Times New Roman" w:hAnsi="Times New Roman" w:cs="Times New Roman" w:eastAsia="Times New Roman" w:hint="default"/>
                <w:sz w:val="18"/>
                <w:szCs w:val="18"/>
              </w:rPr>
            </w:pPr>
            <w:r>
              <w:rPr>
                <w:rFonts w:ascii="Times New Roman"/>
                <w:sz w:val="18"/>
              </w:rPr>
              <w:t>7.55%</w:t>
            </w:r>
          </w:p>
        </w:tc>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7"/>
              <w:jc w:val="right"/>
              <w:rPr>
                <w:rFonts w:ascii="Times New Roman" w:hAnsi="Times New Roman" w:cs="Times New Roman" w:eastAsia="Times New Roman" w:hint="default"/>
                <w:sz w:val="18"/>
                <w:szCs w:val="18"/>
              </w:rPr>
            </w:pPr>
            <w:r>
              <w:rPr>
                <w:rFonts w:ascii="Times New Roman"/>
                <w:sz w:val="18"/>
              </w:rPr>
              <w:t>-0.65%</w:t>
            </w:r>
          </w:p>
        </w:tc>
        <w:tc>
          <w:tcPr>
            <w:tcW w:w="2796" w:type="dxa"/>
            <w:tcBorders>
              <w:top w:val="single" w:sz="4" w:space="0" w:color="000000"/>
              <w:left w:val="single" w:sz="4" w:space="0" w:color="000000"/>
              <w:bottom w:val="single" w:sz="4" w:space="0" w:color="000000"/>
              <w:right w:val="single" w:sz="4" w:space="0" w:color="000000"/>
            </w:tcBorders>
          </w:tcPr>
          <w:p>
            <w:pPr/>
          </w:p>
        </w:tc>
      </w:tr>
      <w:tr>
        <w:trPr>
          <w:trHeight w:val="71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214,490,194.78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151,800,738.04</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0" w:right="0"/>
              <w:jc w:val="center"/>
              <w:rPr>
                <w:rFonts w:ascii="Times New Roman" w:hAnsi="Times New Roman" w:cs="Times New Roman" w:eastAsia="Times New Roman" w:hint="default"/>
                <w:sz w:val="18"/>
                <w:szCs w:val="18"/>
              </w:rPr>
            </w:pPr>
            <w:r>
              <w:rPr>
                <w:rFonts w:ascii="Times New Roman"/>
                <w:sz w:val="18"/>
              </w:rPr>
              <w:t>1.13%</w:t>
            </w:r>
          </w:p>
        </w:tc>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0.38%</w:t>
            </w:r>
          </w:p>
        </w:tc>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2" w:right="143"/>
              <w:jc w:val="left"/>
              <w:rPr>
                <w:rFonts w:ascii="宋体" w:hAnsi="宋体" w:cs="宋体" w:eastAsia="宋体" w:hint="default"/>
                <w:sz w:val="18"/>
                <w:szCs w:val="18"/>
              </w:rPr>
            </w:pPr>
            <w:r>
              <w:rPr>
                <w:rFonts w:ascii="宋体" w:hAnsi="宋体" w:cs="宋体" w:eastAsia="宋体" w:hint="default"/>
                <w:sz w:val="18"/>
                <w:szCs w:val="18"/>
              </w:rPr>
              <w:t>主要是购买新一代</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AI</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智能设备产</w:t>
            </w:r>
            <w:r>
              <w:rPr>
                <w:rFonts w:ascii="宋体" w:hAnsi="宋体" w:cs="宋体" w:eastAsia="宋体" w:hint="default"/>
                <w:w w:val="99"/>
                <w:sz w:val="18"/>
                <w:szCs w:val="18"/>
              </w:rPr>
              <w:t> </w:t>
            </w:r>
            <w:r>
              <w:rPr>
                <w:rFonts w:ascii="宋体" w:hAnsi="宋体" w:cs="宋体" w:eastAsia="宋体" w:hint="default"/>
                <w:sz w:val="18"/>
                <w:szCs w:val="18"/>
              </w:rPr>
              <w:t>业基地项目土地所致。</w:t>
            </w:r>
          </w:p>
        </w:tc>
      </w:tr>
    </w:tbl>
    <w:p>
      <w:pPr>
        <w:spacing w:after="0" w:line="300" w:lineRule="auto"/>
        <w:jc w:val="left"/>
        <w:rPr>
          <w:rFonts w:ascii="宋体" w:hAnsi="宋体" w:cs="宋体" w:eastAsia="宋体" w:hint="default"/>
          <w:sz w:val="18"/>
          <w:szCs w:val="18"/>
        </w:rPr>
        <w:sectPr>
          <w:pgSz w:w="11910" w:h="16840"/>
          <w:pgMar w:header="878" w:footer="978" w:top="1100" w:bottom="1160" w:left="1020" w:right="0"/>
        </w:sectPr>
      </w:pPr>
    </w:p>
    <w:p>
      <w:pPr>
        <w:spacing w:line="240" w:lineRule="auto" w:before="8"/>
        <w:rPr>
          <w:rFonts w:ascii="宋体" w:hAnsi="宋体" w:cs="宋体" w:eastAsia="宋体" w:hint="default"/>
          <w:sz w:val="24"/>
          <w:szCs w:val="24"/>
        </w:rPr>
      </w:pPr>
    </w:p>
    <w:tbl>
      <w:tblPr>
        <w:tblW w:w="0" w:type="auto"/>
        <w:jc w:val="left"/>
        <w:tblInd w:w="669" w:type="dxa"/>
        <w:tblLayout w:type="fixed"/>
        <w:tblCellMar>
          <w:top w:w="0" w:type="dxa"/>
          <w:left w:w="0" w:type="dxa"/>
          <w:bottom w:w="0" w:type="dxa"/>
          <w:right w:w="0" w:type="dxa"/>
        </w:tblCellMar>
        <w:tblLook w:val="01E0"/>
      </w:tblPr>
      <w:tblGrid>
        <w:gridCol w:w="1560"/>
        <w:gridCol w:w="1417"/>
        <w:gridCol w:w="851"/>
        <w:gridCol w:w="1417"/>
        <w:gridCol w:w="709"/>
        <w:gridCol w:w="819"/>
        <w:gridCol w:w="2796"/>
      </w:tblGrid>
      <w:tr>
        <w:trPr>
          <w:trHeight w:val="71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1,229,297,627.96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8.66%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906,570,668.31</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6.75%</w:t>
            </w:r>
          </w:p>
        </w:tc>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1.91%</w:t>
            </w:r>
          </w:p>
        </w:tc>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61"/>
              <w:jc w:val="left"/>
              <w:rPr>
                <w:rFonts w:ascii="宋体" w:hAnsi="宋体" w:cs="宋体" w:eastAsia="宋体" w:hint="default"/>
                <w:sz w:val="18"/>
                <w:szCs w:val="18"/>
              </w:rPr>
            </w:pPr>
            <w:r>
              <w:rPr>
                <w:rFonts w:ascii="宋体" w:hAnsi="宋体" w:cs="宋体" w:eastAsia="宋体" w:hint="default"/>
                <w:sz w:val="18"/>
                <w:szCs w:val="18"/>
              </w:rPr>
              <w:t>主要是追加神州控股投资及公允价 值变动所致。</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13,992,975.26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0.10%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18,091,297.30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0.13%</w:t>
            </w:r>
          </w:p>
        </w:tc>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-0.03%</w:t>
            </w:r>
          </w:p>
        </w:tc>
        <w:tc>
          <w:tcPr>
            <w:tcW w:w="279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178,288,094.95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106,681,293.96</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0.79%</w:t>
            </w:r>
          </w:p>
        </w:tc>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0.47%</w:t>
            </w:r>
          </w:p>
        </w:tc>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241"/>
              <w:jc w:val="left"/>
              <w:rPr>
                <w:rFonts w:ascii="宋体" w:hAnsi="宋体" w:cs="宋体" w:eastAsia="宋体" w:hint="default"/>
                <w:sz w:val="18"/>
                <w:szCs w:val="18"/>
              </w:rPr>
            </w:pPr>
            <w:r>
              <w:rPr>
                <w:rFonts w:ascii="宋体" w:hAnsi="宋体" w:cs="宋体" w:eastAsia="宋体" w:hint="default"/>
                <w:sz w:val="18"/>
                <w:szCs w:val="18"/>
              </w:rPr>
              <w:t>主要是期末开具承兑汇票增加所 致。</w:t>
            </w: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1,031,804,541.11</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7.27%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823,555,261.61</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6.13%</w:t>
            </w:r>
          </w:p>
        </w:tc>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1.14%</w:t>
            </w:r>
          </w:p>
        </w:tc>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主要是公司经营规模扩大，采购量 增加所致。</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520,368,165.15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3.67%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356,624,282.87</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2.65%</w:t>
            </w:r>
          </w:p>
        </w:tc>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1.02%</w:t>
            </w:r>
          </w:p>
        </w:tc>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主要是预提费用增加所致。</w:t>
            </w: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-274,439,306.85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-1.93%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-368,279,676.59</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-2.74%</w:t>
            </w:r>
          </w:p>
        </w:tc>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0.81%</w:t>
            </w:r>
          </w:p>
        </w:tc>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主要是其他权益工具投资公允价值 变动所致。</w:t>
            </w:r>
          </w:p>
        </w:tc>
      </w:tr>
    </w:tbl>
    <w:p>
      <w:pPr>
        <w:spacing w:line="240" w:lineRule="auto" w:before="9"/>
        <w:rPr>
          <w:rFonts w:ascii="宋体" w:hAnsi="宋体" w:cs="宋体" w:eastAsia="宋体" w:hint="default"/>
          <w:sz w:val="19"/>
          <w:szCs w:val="19"/>
        </w:rPr>
      </w:pPr>
    </w:p>
    <w:p>
      <w:pPr>
        <w:pStyle w:val="Heading5"/>
        <w:spacing w:line="240" w:lineRule="auto" w:before="37"/>
        <w:ind w:left="672" w:right="0"/>
        <w:jc w:val="left"/>
        <w:rPr>
          <w:b w:val="0"/>
          <w:bCs w:val="0"/>
        </w:rPr>
      </w:pPr>
      <w:bookmarkStart w:name="2、以公允价值计量的资产和负债" w:id="43"/>
      <w:bookmarkEnd w:id="43"/>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67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pStyle w:val="BodyText"/>
        <w:spacing w:line="240" w:lineRule="auto" w:before="103"/>
        <w:ind w:left="0" w:right="1132"/>
        <w:jc w:val="right"/>
      </w:pPr>
      <w:r>
        <w:rPr/>
        <w:t>单位：元</w:t>
      </w:r>
    </w:p>
    <w:p>
      <w:pPr>
        <w:spacing w:line="240" w:lineRule="auto" w:before="1"/>
        <w:rPr>
          <w:rFonts w:ascii="宋体" w:hAnsi="宋体" w:cs="宋体" w:eastAsia="宋体" w:hint="default"/>
          <w:sz w:val="8"/>
          <w:szCs w:val="8"/>
        </w:rPr>
      </w:pPr>
    </w:p>
    <w:tbl>
      <w:tblPr>
        <w:tblW w:w="0" w:type="auto"/>
        <w:jc w:val="left"/>
        <w:tblInd w:w="100" w:type="dxa"/>
        <w:tblLayout w:type="fixed"/>
        <w:tblCellMar>
          <w:top w:w="0" w:type="dxa"/>
          <w:left w:w="0" w:type="dxa"/>
          <w:bottom w:w="0" w:type="dxa"/>
          <w:right w:w="0" w:type="dxa"/>
        </w:tblCellMar>
        <w:tblLook w:val="01E0"/>
      </w:tblPr>
      <w:tblGrid>
        <w:gridCol w:w="1452"/>
        <w:gridCol w:w="1517"/>
        <w:gridCol w:w="756"/>
        <w:gridCol w:w="1476"/>
        <w:gridCol w:w="613"/>
        <w:gridCol w:w="1528"/>
        <w:gridCol w:w="1507"/>
        <w:gridCol w:w="408"/>
        <w:gridCol w:w="1518"/>
      </w:tblGrid>
      <w:tr>
        <w:trPr>
          <w:trHeight w:val="1258" w:hRule="exact"/>
        </w:trPr>
        <w:tc>
          <w:tcPr>
            <w:tcW w:w="1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8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7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101" w:right="102"/>
              <w:jc w:val="center"/>
              <w:rPr>
                <w:rFonts w:ascii="宋体" w:hAnsi="宋体" w:cs="宋体" w:eastAsia="宋体" w:hint="default"/>
                <w:sz w:val="18"/>
                <w:szCs w:val="18"/>
              </w:rPr>
            </w:pPr>
            <w:r>
              <w:rPr>
                <w:rFonts w:ascii="宋体" w:hAnsi="宋体" w:cs="宋体" w:eastAsia="宋体" w:hint="default"/>
                <w:sz w:val="18"/>
                <w:szCs w:val="18"/>
              </w:rPr>
              <w:t>本期公 允价值 变动损 益</w:t>
            </w:r>
          </w:p>
        </w:tc>
        <w:tc>
          <w:tcPr>
            <w:tcW w:w="1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24"/>
                <w:szCs w:val="24"/>
              </w:rPr>
            </w:pPr>
          </w:p>
          <w:p>
            <w:pPr>
              <w:pStyle w:val="TableParagraph"/>
              <w:spacing w:line="316" w:lineRule="auto"/>
              <w:ind w:left="193" w:right="102" w:hanging="92"/>
              <w:jc w:val="left"/>
              <w:rPr>
                <w:rFonts w:ascii="宋体" w:hAnsi="宋体" w:cs="宋体" w:eastAsia="宋体" w:hint="default"/>
                <w:sz w:val="18"/>
                <w:szCs w:val="18"/>
              </w:rPr>
            </w:pPr>
            <w:r>
              <w:rPr>
                <w:rFonts w:ascii="宋体" w:hAnsi="宋体" w:cs="宋体" w:eastAsia="宋体" w:hint="default"/>
                <w:sz w:val="18"/>
                <w:szCs w:val="18"/>
              </w:rPr>
              <w:t>计入权益的累计 公允价值变动</w:t>
            </w:r>
          </w:p>
        </w:tc>
        <w:tc>
          <w:tcPr>
            <w:tcW w:w="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121" w:right="120"/>
              <w:jc w:val="both"/>
              <w:rPr>
                <w:rFonts w:ascii="宋体" w:hAnsi="宋体" w:cs="宋体" w:eastAsia="宋体" w:hint="default"/>
                <w:sz w:val="18"/>
                <w:szCs w:val="18"/>
              </w:rPr>
            </w:pPr>
            <w:r>
              <w:rPr>
                <w:rFonts w:ascii="宋体" w:hAnsi="宋体" w:cs="宋体" w:eastAsia="宋体" w:hint="default"/>
                <w:sz w:val="18"/>
                <w:szCs w:val="18"/>
              </w:rPr>
              <w:t>本期 计提 的减 值</w:t>
            </w:r>
          </w:p>
        </w:tc>
        <w:tc>
          <w:tcPr>
            <w:tcW w:w="1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18" w:right="0"/>
              <w:jc w:val="left"/>
              <w:rPr>
                <w:rFonts w:ascii="宋体" w:hAnsi="宋体" w:cs="宋体" w:eastAsia="宋体" w:hint="default"/>
                <w:sz w:val="18"/>
                <w:szCs w:val="18"/>
              </w:rPr>
            </w:pPr>
            <w:r>
              <w:rPr>
                <w:rFonts w:ascii="宋体" w:hAnsi="宋体" w:cs="宋体" w:eastAsia="宋体" w:hint="default"/>
                <w:sz w:val="18"/>
                <w:szCs w:val="18"/>
              </w:rPr>
              <w:t>本期购买金额</w:t>
            </w:r>
          </w:p>
        </w:tc>
        <w:tc>
          <w:tcPr>
            <w:tcW w:w="1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本期出售金额</w:t>
            </w:r>
          </w:p>
        </w:tc>
        <w:tc>
          <w:tcPr>
            <w:tcW w:w="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109" w:right="107"/>
              <w:jc w:val="both"/>
              <w:rPr>
                <w:rFonts w:ascii="宋体" w:hAnsi="宋体" w:cs="宋体" w:eastAsia="宋体" w:hint="default"/>
                <w:sz w:val="18"/>
                <w:szCs w:val="18"/>
              </w:rPr>
            </w:pPr>
            <w:r>
              <w:rPr>
                <w:rFonts w:ascii="宋体" w:hAnsi="宋体" w:cs="宋体" w:eastAsia="宋体" w:hint="default"/>
                <w:sz w:val="18"/>
                <w:szCs w:val="18"/>
              </w:rPr>
              <w:t>其 他 变 动</w:t>
            </w:r>
          </w:p>
        </w:tc>
        <w:tc>
          <w:tcPr>
            <w:tcW w:w="15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83"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4" w:hRule="exact"/>
        </w:trPr>
        <w:tc>
          <w:tcPr>
            <w:tcW w:w="1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2" w:right="0"/>
              <w:jc w:val="left"/>
              <w:rPr>
                <w:rFonts w:ascii="宋体" w:hAnsi="宋体" w:cs="宋体" w:eastAsia="宋体" w:hint="default"/>
                <w:sz w:val="18"/>
                <w:szCs w:val="18"/>
              </w:rPr>
            </w:pPr>
            <w:r>
              <w:rPr>
                <w:rFonts w:ascii="宋体" w:hAnsi="宋体" w:cs="宋体" w:eastAsia="宋体" w:hint="default"/>
                <w:sz w:val="18"/>
                <w:szCs w:val="18"/>
              </w:rPr>
              <w:t>金融资产</w:t>
            </w:r>
          </w:p>
        </w:tc>
        <w:tc>
          <w:tcPr>
            <w:tcW w:w="9323" w:type="dxa"/>
            <w:gridSpan w:val="8"/>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946" w:hRule="exact"/>
        </w:trPr>
        <w:tc>
          <w:tcPr>
            <w:tcW w:w="1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10"/>
              <w:ind w:left="102" w:right="102"/>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交易性金融资 </w:t>
            </w:r>
            <w:r>
              <w:rPr>
                <w:rFonts w:ascii="宋体" w:hAnsi="宋体" w:cs="宋体" w:eastAsia="宋体" w:hint="default"/>
                <w:spacing w:val="-4"/>
                <w:sz w:val="18"/>
                <w:szCs w:val="18"/>
              </w:rPr>
              <w:t>产（不含衍生金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融资产）</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spacing w:val="-1"/>
                <w:sz w:val="18"/>
              </w:rPr>
              <w:t>1,570,929,605.39</w:t>
            </w:r>
          </w:p>
        </w:tc>
        <w:tc>
          <w:tcPr>
            <w:tcW w:w="75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613" w:type="dxa"/>
            <w:tcBorders>
              <w:top w:val="single" w:sz="4" w:space="0" w:color="000000"/>
              <w:left w:val="single" w:sz="4" w:space="0" w:color="000000"/>
              <w:bottom w:val="single" w:sz="4" w:space="0" w:color="000000"/>
              <w:right w:val="single" w:sz="4" w:space="0" w:color="000000"/>
            </w:tcBorders>
          </w:tcPr>
          <w:p>
            <w:pP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99"/>
              <w:jc w:val="right"/>
              <w:rPr>
                <w:rFonts w:ascii="Times New Roman" w:hAnsi="Times New Roman" w:cs="Times New Roman" w:eastAsia="Times New Roman" w:hint="default"/>
                <w:sz w:val="18"/>
                <w:szCs w:val="18"/>
              </w:rPr>
            </w:pPr>
            <w:r>
              <w:rPr>
                <w:rFonts w:ascii="Times New Roman"/>
                <w:spacing w:val="-1"/>
                <w:sz w:val="18"/>
              </w:rPr>
              <w:t>5,605,804,119.55</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9" w:right="0"/>
              <w:jc w:val="center"/>
              <w:rPr>
                <w:rFonts w:ascii="Times New Roman" w:hAnsi="Times New Roman" w:cs="Times New Roman" w:eastAsia="Times New Roman" w:hint="default"/>
                <w:sz w:val="18"/>
                <w:szCs w:val="18"/>
              </w:rPr>
            </w:pPr>
            <w:r>
              <w:rPr>
                <w:rFonts w:ascii="Times New Roman"/>
                <w:sz w:val="18"/>
              </w:rPr>
              <w:t>5,784,883,724.94</w:t>
            </w:r>
          </w:p>
        </w:tc>
        <w:tc>
          <w:tcPr>
            <w:tcW w:w="408" w:type="dxa"/>
            <w:tcBorders>
              <w:top w:val="single" w:sz="4" w:space="0" w:color="000000"/>
              <w:left w:val="single" w:sz="4" w:space="0" w:color="000000"/>
              <w:bottom w:val="single" w:sz="4" w:space="0" w:color="000000"/>
              <w:right w:val="single" w:sz="4" w:space="0" w:color="000000"/>
            </w:tcBorders>
          </w:tcPr>
          <w:p>
            <w:pP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0"/>
              <w:jc w:val="right"/>
              <w:rPr>
                <w:rFonts w:ascii="Times New Roman" w:hAnsi="Times New Roman" w:cs="Times New Roman" w:eastAsia="Times New Roman" w:hint="default"/>
                <w:sz w:val="18"/>
                <w:szCs w:val="18"/>
              </w:rPr>
            </w:pPr>
            <w:r>
              <w:rPr>
                <w:rFonts w:ascii="Times New Roman"/>
                <w:spacing w:val="-1"/>
                <w:sz w:val="18"/>
              </w:rPr>
              <w:t>1,391,850,000.00</w:t>
            </w:r>
          </w:p>
        </w:tc>
      </w:tr>
      <w:tr>
        <w:trPr>
          <w:trHeight w:val="322" w:hRule="exact"/>
        </w:trPr>
        <w:tc>
          <w:tcPr>
            <w:tcW w:w="1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衍生金融资产</w:t>
            </w:r>
          </w:p>
        </w:tc>
        <w:tc>
          <w:tcPr>
            <w:tcW w:w="1517"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613" w:type="dxa"/>
            <w:tcBorders>
              <w:top w:val="single" w:sz="4" w:space="0" w:color="000000"/>
              <w:left w:val="single" w:sz="4" w:space="0" w:color="000000"/>
              <w:bottom w:val="single" w:sz="4" w:space="0" w:color="000000"/>
              <w:right w:val="single" w:sz="4" w:space="0" w:color="000000"/>
            </w:tcBorders>
          </w:tcPr>
          <w:p>
            <w:pPr/>
          </w:p>
        </w:tc>
        <w:tc>
          <w:tcPr>
            <w:tcW w:w="1528" w:type="dxa"/>
            <w:tcBorders>
              <w:top w:val="single" w:sz="4" w:space="0" w:color="000000"/>
              <w:left w:val="single" w:sz="4" w:space="0" w:color="000000"/>
              <w:bottom w:val="single" w:sz="4" w:space="0" w:color="000000"/>
              <w:right w:val="single" w:sz="4" w:space="0" w:color="000000"/>
            </w:tcBorders>
          </w:tcPr>
          <w:p>
            <w:pPr/>
          </w:p>
        </w:tc>
        <w:tc>
          <w:tcPr>
            <w:tcW w:w="1507"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151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其他债权投资</w:t>
            </w:r>
          </w:p>
        </w:tc>
        <w:tc>
          <w:tcPr>
            <w:tcW w:w="1517"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613" w:type="dxa"/>
            <w:tcBorders>
              <w:top w:val="single" w:sz="4" w:space="0" w:color="000000"/>
              <w:left w:val="single" w:sz="4" w:space="0" w:color="000000"/>
              <w:bottom w:val="single" w:sz="4" w:space="0" w:color="000000"/>
              <w:right w:val="single" w:sz="4" w:space="0" w:color="000000"/>
            </w:tcBorders>
          </w:tcPr>
          <w:p>
            <w:pPr/>
          </w:p>
        </w:tc>
        <w:tc>
          <w:tcPr>
            <w:tcW w:w="1528" w:type="dxa"/>
            <w:tcBorders>
              <w:top w:val="single" w:sz="4" w:space="0" w:color="000000"/>
              <w:left w:val="single" w:sz="4" w:space="0" w:color="000000"/>
              <w:bottom w:val="single" w:sz="4" w:space="0" w:color="000000"/>
              <w:right w:val="single" w:sz="4" w:space="0" w:color="000000"/>
            </w:tcBorders>
          </w:tcPr>
          <w:p>
            <w:pPr/>
          </w:p>
        </w:tc>
        <w:tc>
          <w:tcPr>
            <w:tcW w:w="1507"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1518"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11"/>
              <w:ind w:left="102" w:right="121"/>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其他权益工具 投资</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906,570,668.31</w:t>
            </w:r>
          </w:p>
        </w:tc>
        <w:tc>
          <w:tcPr>
            <w:tcW w:w="75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-321,879,188.40</w:t>
            </w:r>
          </w:p>
        </w:tc>
        <w:tc>
          <w:tcPr>
            <w:tcW w:w="613" w:type="dxa"/>
            <w:tcBorders>
              <w:top w:val="single" w:sz="4" w:space="0" w:color="000000"/>
              <w:left w:val="single" w:sz="4" w:space="0" w:color="000000"/>
              <w:bottom w:val="single" w:sz="4" w:space="0" w:color="000000"/>
              <w:right w:val="single" w:sz="4" w:space="0" w:color="000000"/>
            </w:tcBorders>
          </w:tcPr>
          <w:p>
            <w:pP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199,837,272.41</w:t>
            </w:r>
          </w:p>
        </w:tc>
        <w:tc>
          <w:tcPr>
            <w:tcW w:w="1507"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1,229,297,627.96</w:t>
            </w:r>
          </w:p>
        </w:tc>
      </w:tr>
      <w:tr>
        <w:trPr>
          <w:trHeight w:val="322" w:hRule="exact"/>
        </w:trPr>
        <w:tc>
          <w:tcPr>
            <w:tcW w:w="1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应收款项融资</w:t>
            </w:r>
          </w:p>
        </w:tc>
        <w:tc>
          <w:tcPr>
            <w:tcW w:w="1517"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613" w:type="dxa"/>
            <w:tcBorders>
              <w:top w:val="single" w:sz="4" w:space="0" w:color="000000"/>
              <w:left w:val="single" w:sz="4" w:space="0" w:color="000000"/>
              <w:bottom w:val="single" w:sz="4" w:space="0" w:color="000000"/>
              <w:right w:val="single" w:sz="4" w:space="0" w:color="000000"/>
            </w:tcBorders>
          </w:tcPr>
          <w:p>
            <w:pP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84,575,000.00</w:t>
            </w:r>
          </w:p>
        </w:tc>
        <w:tc>
          <w:tcPr>
            <w:tcW w:w="1507"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84,575,000.00</w:t>
            </w:r>
          </w:p>
        </w:tc>
      </w:tr>
      <w:tr>
        <w:trPr>
          <w:trHeight w:val="322" w:hRule="exact"/>
        </w:trPr>
        <w:tc>
          <w:tcPr>
            <w:tcW w:w="1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金融资产小计</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2,477,500,273.70</w:t>
            </w:r>
          </w:p>
        </w:tc>
        <w:tc>
          <w:tcPr>
            <w:tcW w:w="75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18"/>
                <w:szCs w:val="18"/>
              </w:rPr>
            </w:pPr>
            <w:r>
              <w:rPr>
                <w:rFonts w:ascii="Times New Roman"/>
                <w:spacing w:val="-1"/>
                <w:sz w:val="18"/>
              </w:rPr>
              <w:t>-321,879,188.40</w:t>
            </w:r>
          </w:p>
        </w:tc>
        <w:tc>
          <w:tcPr>
            <w:tcW w:w="613" w:type="dxa"/>
            <w:tcBorders>
              <w:top w:val="single" w:sz="4" w:space="0" w:color="000000"/>
              <w:left w:val="single" w:sz="4" w:space="0" w:color="000000"/>
              <w:bottom w:val="single" w:sz="4" w:space="0" w:color="000000"/>
              <w:right w:val="single" w:sz="4" w:space="0" w:color="000000"/>
            </w:tcBorders>
          </w:tcPr>
          <w:p>
            <w:pP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pacing w:val="-1"/>
                <w:sz w:val="18"/>
              </w:rPr>
              <w:t>5,890,216,391.96</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9" w:right="0"/>
              <w:jc w:val="center"/>
              <w:rPr>
                <w:rFonts w:ascii="Times New Roman" w:hAnsi="Times New Roman" w:cs="Times New Roman" w:eastAsia="Times New Roman" w:hint="default"/>
                <w:sz w:val="18"/>
                <w:szCs w:val="18"/>
              </w:rPr>
            </w:pPr>
            <w:r>
              <w:rPr>
                <w:rFonts w:ascii="Times New Roman"/>
                <w:sz w:val="18"/>
              </w:rPr>
              <w:t>5,784,883,724.94</w:t>
            </w:r>
          </w:p>
        </w:tc>
        <w:tc>
          <w:tcPr>
            <w:tcW w:w="408" w:type="dxa"/>
            <w:tcBorders>
              <w:top w:val="single" w:sz="4" w:space="0" w:color="000000"/>
              <w:left w:val="single" w:sz="4" w:space="0" w:color="000000"/>
              <w:bottom w:val="single" w:sz="4" w:space="0" w:color="000000"/>
              <w:right w:val="single" w:sz="4" w:space="0" w:color="000000"/>
            </w:tcBorders>
          </w:tcPr>
          <w:p>
            <w:pP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2,705,722,627.96</w:t>
            </w:r>
          </w:p>
        </w:tc>
      </w:tr>
      <w:tr>
        <w:trPr>
          <w:trHeight w:val="322" w:hRule="exact"/>
        </w:trPr>
        <w:tc>
          <w:tcPr>
            <w:tcW w:w="1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517"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613" w:type="dxa"/>
            <w:tcBorders>
              <w:top w:val="single" w:sz="4" w:space="0" w:color="000000"/>
              <w:left w:val="single" w:sz="4" w:space="0" w:color="000000"/>
              <w:bottom w:val="single" w:sz="4" w:space="0" w:color="000000"/>
              <w:right w:val="single" w:sz="4" w:space="0" w:color="000000"/>
            </w:tcBorders>
          </w:tcPr>
          <w:p>
            <w:pPr/>
          </w:p>
        </w:tc>
        <w:tc>
          <w:tcPr>
            <w:tcW w:w="1528" w:type="dxa"/>
            <w:tcBorders>
              <w:top w:val="single" w:sz="4" w:space="0" w:color="000000"/>
              <w:left w:val="single" w:sz="4" w:space="0" w:color="000000"/>
              <w:bottom w:val="single" w:sz="4" w:space="0" w:color="000000"/>
              <w:right w:val="single" w:sz="4" w:space="0" w:color="000000"/>
            </w:tcBorders>
          </w:tcPr>
          <w:p>
            <w:pPr/>
          </w:p>
        </w:tc>
        <w:tc>
          <w:tcPr>
            <w:tcW w:w="1507"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1518" w:type="dxa"/>
            <w:tcBorders>
              <w:top w:val="single" w:sz="4" w:space="0" w:color="000000"/>
              <w:left w:val="single" w:sz="4" w:space="0" w:color="000000"/>
              <w:bottom w:val="single" w:sz="4" w:space="0" w:color="000000"/>
              <w:right w:val="single" w:sz="4" w:space="0" w:color="000000"/>
            </w:tcBorders>
          </w:tcPr>
          <w:p>
            <w:pPr/>
          </w:p>
        </w:tc>
      </w:tr>
      <w:tr>
        <w:trPr>
          <w:trHeight w:val="636" w:hRule="exact"/>
        </w:trPr>
        <w:tc>
          <w:tcPr>
            <w:tcW w:w="1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2"/>
              <w:ind w:left="102" w:right="258"/>
              <w:jc w:val="left"/>
              <w:rPr>
                <w:rFonts w:ascii="宋体" w:hAnsi="宋体" w:cs="宋体" w:eastAsia="宋体" w:hint="default"/>
                <w:sz w:val="18"/>
                <w:szCs w:val="18"/>
              </w:rPr>
            </w:pPr>
            <w:r>
              <w:rPr>
                <w:rFonts w:ascii="宋体" w:hAnsi="宋体" w:cs="宋体" w:eastAsia="宋体" w:hint="default"/>
                <w:sz w:val="18"/>
                <w:szCs w:val="18"/>
              </w:rPr>
              <w:t>生产性生物资 产</w:t>
            </w:r>
          </w:p>
        </w:tc>
        <w:tc>
          <w:tcPr>
            <w:tcW w:w="1517"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613" w:type="dxa"/>
            <w:tcBorders>
              <w:top w:val="single" w:sz="4" w:space="0" w:color="000000"/>
              <w:left w:val="single" w:sz="4" w:space="0" w:color="000000"/>
              <w:bottom w:val="single" w:sz="4" w:space="0" w:color="000000"/>
              <w:right w:val="single" w:sz="4" w:space="0" w:color="000000"/>
            </w:tcBorders>
          </w:tcPr>
          <w:p>
            <w:pPr/>
          </w:p>
        </w:tc>
        <w:tc>
          <w:tcPr>
            <w:tcW w:w="1528" w:type="dxa"/>
            <w:tcBorders>
              <w:top w:val="single" w:sz="4" w:space="0" w:color="000000"/>
              <w:left w:val="single" w:sz="4" w:space="0" w:color="000000"/>
              <w:bottom w:val="single" w:sz="4" w:space="0" w:color="000000"/>
              <w:right w:val="single" w:sz="4" w:space="0" w:color="000000"/>
            </w:tcBorders>
          </w:tcPr>
          <w:p>
            <w:pPr/>
          </w:p>
        </w:tc>
        <w:tc>
          <w:tcPr>
            <w:tcW w:w="1507"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151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17"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613" w:type="dxa"/>
            <w:tcBorders>
              <w:top w:val="single" w:sz="4" w:space="0" w:color="000000"/>
              <w:left w:val="single" w:sz="4" w:space="0" w:color="000000"/>
              <w:bottom w:val="single" w:sz="4" w:space="0" w:color="000000"/>
              <w:right w:val="single" w:sz="4" w:space="0" w:color="000000"/>
            </w:tcBorders>
          </w:tcPr>
          <w:p>
            <w:pPr/>
          </w:p>
        </w:tc>
        <w:tc>
          <w:tcPr>
            <w:tcW w:w="1528" w:type="dxa"/>
            <w:tcBorders>
              <w:top w:val="single" w:sz="4" w:space="0" w:color="000000"/>
              <w:left w:val="single" w:sz="4" w:space="0" w:color="000000"/>
              <w:bottom w:val="single" w:sz="4" w:space="0" w:color="000000"/>
              <w:right w:val="single" w:sz="4" w:space="0" w:color="000000"/>
            </w:tcBorders>
          </w:tcPr>
          <w:p>
            <w:pPr/>
          </w:p>
        </w:tc>
        <w:tc>
          <w:tcPr>
            <w:tcW w:w="1507"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151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02"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2,477,500,273.70</w:t>
            </w:r>
          </w:p>
        </w:tc>
        <w:tc>
          <w:tcPr>
            <w:tcW w:w="75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pacing w:val="-1"/>
                <w:sz w:val="18"/>
              </w:rPr>
              <w:t>-321,879,188.40</w:t>
            </w:r>
          </w:p>
        </w:tc>
        <w:tc>
          <w:tcPr>
            <w:tcW w:w="613" w:type="dxa"/>
            <w:tcBorders>
              <w:top w:val="single" w:sz="4" w:space="0" w:color="000000"/>
              <w:left w:val="single" w:sz="4" w:space="0" w:color="000000"/>
              <w:bottom w:val="single" w:sz="4" w:space="0" w:color="000000"/>
              <w:right w:val="single" w:sz="4" w:space="0" w:color="000000"/>
            </w:tcBorders>
          </w:tcPr>
          <w:p>
            <w:pP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5,890,216,391.96</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9" w:right="0"/>
              <w:jc w:val="center"/>
              <w:rPr>
                <w:rFonts w:ascii="Times New Roman" w:hAnsi="Times New Roman" w:cs="Times New Roman" w:eastAsia="Times New Roman" w:hint="default"/>
                <w:sz w:val="18"/>
                <w:szCs w:val="18"/>
              </w:rPr>
            </w:pPr>
            <w:r>
              <w:rPr>
                <w:rFonts w:ascii="Times New Roman"/>
                <w:sz w:val="18"/>
              </w:rPr>
              <w:t>5,784,883,724.94</w:t>
            </w:r>
          </w:p>
        </w:tc>
        <w:tc>
          <w:tcPr>
            <w:tcW w:w="408" w:type="dxa"/>
            <w:tcBorders>
              <w:top w:val="single" w:sz="4" w:space="0" w:color="000000"/>
              <w:left w:val="single" w:sz="4" w:space="0" w:color="000000"/>
              <w:bottom w:val="single" w:sz="4" w:space="0" w:color="000000"/>
              <w:right w:val="single" w:sz="4" w:space="0" w:color="000000"/>
            </w:tcBorders>
          </w:tcPr>
          <w:p>
            <w:pP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2,705,722,627.96</w:t>
            </w:r>
          </w:p>
        </w:tc>
      </w:tr>
      <w:tr>
        <w:trPr>
          <w:trHeight w:val="322" w:hRule="exact"/>
        </w:trPr>
        <w:tc>
          <w:tcPr>
            <w:tcW w:w="1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517"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613" w:type="dxa"/>
            <w:tcBorders>
              <w:top w:val="single" w:sz="4" w:space="0" w:color="000000"/>
              <w:left w:val="single" w:sz="4" w:space="0" w:color="000000"/>
              <w:bottom w:val="single" w:sz="4" w:space="0" w:color="000000"/>
              <w:right w:val="single" w:sz="4" w:space="0" w:color="000000"/>
            </w:tcBorders>
          </w:tcPr>
          <w:p>
            <w:pPr/>
          </w:p>
        </w:tc>
        <w:tc>
          <w:tcPr>
            <w:tcW w:w="1528" w:type="dxa"/>
            <w:tcBorders>
              <w:top w:val="single" w:sz="4" w:space="0" w:color="000000"/>
              <w:left w:val="single" w:sz="4" w:space="0" w:color="000000"/>
              <w:bottom w:val="single" w:sz="4" w:space="0" w:color="000000"/>
              <w:right w:val="single" w:sz="4" w:space="0" w:color="000000"/>
            </w:tcBorders>
          </w:tcPr>
          <w:p>
            <w:pPr/>
          </w:p>
        </w:tc>
        <w:tc>
          <w:tcPr>
            <w:tcW w:w="1507"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151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2"/>
        <w:ind w:left="672" w:right="0"/>
        <w:jc w:val="left"/>
      </w:pPr>
      <w:r>
        <w:rPr/>
        <w:t>报告期内公司主要资产计量属性是否发生重大变化</w:t>
      </w:r>
    </w:p>
    <w:p>
      <w:pPr>
        <w:pStyle w:val="BodyText"/>
        <w:spacing w:line="240" w:lineRule="auto" w:before="115"/>
        <w:ind w:left="672"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否</w:t>
      </w:r>
    </w:p>
    <w:p>
      <w:pPr>
        <w:spacing w:line="240" w:lineRule="auto" w:before="9"/>
        <w:rPr>
          <w:rFonts w:ascii="宋体" w:hAnsi="宋体" w:cs="宋体" w:eastAsia="宋体" w:hint="default"/>
          <w:sz w:val="26"/>
          <w:szCs w:val="26"/>
        </w:rPr>
      </w:pPr>
    </w:p>
    <w:p>
      <w:pPr>
        <w:pStyle w:val="Heading5"/>
        <w:spacing w:line="240" w:lineRule="auto"/>
        <w:ind w:left="672" w:right="0"/>
        <w:jc w:val="left"/>
        <w:rPr>
          <w:b w:val="0"/>
          <w:bCs w:val="0"/>
        </w:rPr>
      </w:pPr>
      <w:bookmarkStart w:name="3、截至报告期末的资产权利受限情况" w:id="44"/>
      <w:bookmarkEnd w:id="44"/>
      <w:r>
        <w:rPr>
          <w:b w:val="0"/>
          <w:bCs w:val="0"/>
        </w:rPr>
      </w: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0" w:right="1132"/>
        <w:jc w:val="right"/>
      </w:pPr>
      <w:r>
        <w:rPr/>
        <w:t>单位：元</w:t>
      </w:r>
    </w:p>
    <w:p>
      <w:pPr>
        <w:spacing w:after="0" w:line="240" w:lineRule="auto"/>
        <w:jc w:val="right"/>
        <w:sectPr>
          <w:pgSz w:w="11910" w:h="16840"/>
          <w:pgMar w:header="878" w:footer="978" w:top="1100" w:bottom="1160" w:left="460" w:right="0"/>
        </w:sectPr>
      </w:pPr>
    </w:p>
    <w:p>
      <w:pPr>
        <w:spacing w:line="240" w:lineRule="auto" w:before="8"/>
        <w:rPr>
          <w:rFonts w:ascii="宋体" w:hAnsi="宋体" w:cs="宋体" w:eastAsia="宋体" w:hint="default"/>
          <w:sz w:val="24"/>
          <w:szCs w:val="24"/>
        </w:rPr>
      </w:pPr>
    </w:p>
    <w:tbl>
      <w:tblPr>
        <w:tblW w:w="0" w:type="auto"/>
        <w:jc w:val="left"/>
        <w:tblInd w:w="569" w:type="dxa"/>
        <w:tblLayout w:type="fixed"/>
        <w:tblCellMar>
          <w:top w:w="0" w:type="dxa"/>
          <w:left w:w="0" w:type="dxa"/>
          <w:bottom w:w="0" w:type="dxa"/>
          <w:right w:w="0" w:type="dxa"/>
        </w:tblCellMar>
        <w:tblLook w:val="01E0"/>
      </w:tblPr>
      <w:tblGrid>
        <w:gridCol w:w="3327"/>
        <w:gridCol w:w="2485"/>
        <w:gridCol w:w="3756"/>
      </w:tblGrid>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24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96"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7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货币资金</w:t>
            </w:r>
          </w:p>
        </w:tc>
        <w:tc>
          <w:tcPr>
            <w:tcW w:w="2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30,878,640.12</w:t>
            </w:r>
          </w:p>
        </w:tc>
        <w:tc>
          <w:tcPr>
            <w:tcW w:w="3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银行保证金、履约保证金和财政监管资金</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应收票据</w:t>
            </w:r>
          </w:p>
        </w:tc>
        <w:tc>
          <w:tcPr>
            <w:tcW w:w="2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12,045,319.30</w:t>
            </w:r>
          </w:p>
        </w:tc>
        <w:tc>
          <w:tcPr>
            <w:tcW w:w="3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银行质押</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应收款项融资</w:t>
            </w:r>
          </w:p>
        </w:tc>
        <w:tc>
          <w:tcPr>
            <w:tcW w:w="2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84,575,000.00</w:t>
            </w:r>
          </w:p>
        </w:tc>
        <w:tc>
          <w:tcPr>
            <w:tcW w:w="3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银行质押</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2"/>
              <w:jc w:val="center"/>
              <w:rPr>
                <w:rFonts w:ascii="宋体" w:hAnsi="宋体" w:cs="宋体" w:eastAsia="宋体" w:hint="default"/>
                <w:sz w:val="18"/>
                <w:szCs w:val="18"/>
              </w:rPr>
            </w:pPr>
            <w:r>
              <w:rPr>
                <w:rFonts w:ascii="宋体" w:hAnsi="宋体" w:cs="宋体" w:eastAsia="宋体" w:hint="default"/>
                <w:sz w:val="18"/>
                <w:szCs w:val="18"/>
              </w:rPr>
              <w:t>合计</w:t>
            </w:r>
          </w:p>
        </w:tc>
        <w:tc>
          <w:tcPr>
            <w:tcW w:w="2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127,498,959.42</w:t>
            </w:r>
          </w:p>
        </w:tc>
        <w:tc>
          <w:tcPr>
            <w:tcW w:w="37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0"/>
        <w:rPr>
          <w:rFonts w:ascii="宋体" w:hAnsi="宋体" w:cs="宋体" w:eastAsia="宋体" w:hint="default"/>
          <w:sz w:val="18"/>
          <w:szCs w:val="18"/>
        </w:rPr>
      </w:pPr>
    </w:p>
    <w:p>
      <w:pPr>
        <w:pStyle w:val="Heading2"/>
        <w:spacing w:line="240" w:lineRule="auto" w:before="26"/>
        <w:ind w:left="572" w:right="0"/>
        <w:jc w:val="left"/>
        <w:rPr>
          <w:b w:val="0"/>
          <w:bCs w:val="0"/>
        </w:rPr>
      </w:pPr>
      <w:bookmarkStart w:name="五、投资状况分析" w:id="45"/>
      <w:bookmarkEnd w:id="45"/>
      <w:r>
        <w:rPr>
          <w:b w:val="0"/>
          <w:bCs w:val="0"/>
        </w:rPr>
      </w:r>
      <w:r>
        <w:rPr/>
        <w:t>五、投资状况分析</w:t>
      </w:r>
      <w:r>
        <w:rPr>
          <w:b w:val="0"/>
          <w:bCs w:val="0"/>
        </w:rPr>
      </w:r>
    </w:p>
    <w:p>
      <w:pPr>
        <w:spacing w:line="240" w:lineRule="auto" w:before="6"/>
        <w:rPr>
          <w:rFonts w:ascii="宋体" w:hAnsi="宋体" w:cs="宋体" w:eastAsia="宋体" w:hint="default"/>
          <w:b/>
          <w:bCs/>
          <w:sz w:val="25"/>
          <w:szCs w:val="25"/>
        </w:rPr>
      </w:pPr>
    </w:p>
    <w:p>
      <w:pPr>
        <w:pStyle w:val="Heading5"/>
        <w:spacing w:line="240" w:lineRule="auto"/>
        <w:ind w:left="572" w:right="0"/>
        <w:jc w:val="left"/>
        <w:rPr>
          <w:b w:val="0"/>
          <w:bCs w:val="0"/>
        </w:rPr>
      </w:pPr>
      <w:bookmarkStart w:name="1、总体情况" w:id="46"/>
      <w:bookmarkEnd w:id="46"/>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left="57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2"/>
        <w:rPr>
          <w:rFonts w:ascii="宋体" w:hAnsi="宋体" w:cs="宋体" w:eastAsia="宋体" w:hint="default"/>
          <w:sz w:val="7"/>
          <w:szCs w:val="7"/>
        </w:rPr>
      </w:pPr>
    </w:p>
    <w:tbl>
      <w:tblPr>
        <w:tblW w:w="0" w:type="auto"/>
        <w:jc w:val="left"/>
        <w:tblInd w:w="569" w:type="dxa"/>
        <w:tblLayout w:type="fixed"/>
        <w:tblCellMar>
          <w:top w:w="0" w:type="dxa"/>
          <w:left w:w="0" w:type="dxa"/>
          <w:bottom w:w="0" w:type="dxa"/>
          <w:right w:w="0" w:type="dxa"/>
        </w:tblCellMar>
        <w:tblLook w:val="01E0"/>
      </w:tblPr>
      <w:tblGrid>
        <w:gridCol w:w="3188"/>
        <w:gridCol w:w="3190"/>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8"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29" w:right="0"/>
              <w:jc w:val="left"/>
              <w:rPr>
                <w:rFonts w:ascii="Times New Roman" w:hAnsi="Times New Roman" w:cs="Times New Roman" w:eastAsia="Times New Roman" w:hint="default"/>
                <w:sz w:val="18"/>
                <w:szCs w:val="18"/>
              </w:rPr>
            </w:pPr>
            <w:r>
              <w:rPr>
                <w:rFonts w:ascii="Times New Roman"/>
                <w:sz w:val="18"/>
              </w:rPr>
              <w:t>448,564,892.14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33" w:right="0"/>
              <w:jc w:val="left"/>
              <w:rPr>
                <w:rFonts w:ascii="Times New Roman" w:hAnsi="Times New Roman" w:cs="Times New Roman" w:eastAsia="Times New Roman" w:hint="default"/>
                <w:sz w:val="18"/>
                <w:szCs w:val="18"/>
              </w:rPr>
            </w:pPr>
            <w:r>
              <w:rPr>
                <w:rFonts w:ascii="Times New Roman"/>
                <w:sz w:val="18"/>
              </w:rPr>
              <w:t>722,609,612.81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-37.92%</w:t>
            </w:r>
          </w:p>
        </w:tc>
      </w:tr>
    </w:tbl>
    <w:p>
      <w:pPr>
        <w:spacing w:line="240" w:lineRule="auto" w:before="8"/>
        <w:rPr>
          <w:rFonts w:ascii="宋体" w:hAnsi="宋体" w:cs="宋体" w:eastAsia="宋体" w:hint="default"/>
          <w:sz w:val="19"/>
          <w:szCs w:val="19"/>
        </w:rPr>
      </w:pPr>
    </w:p>
    <w:p>
      <w:pPr>
        <w:pStyle w:val="Heading5"/>
        <w:spacing w:line="240" w:lineRule="auto" w:before="37"/>
        <w:ind w:left="572" w:right="0"/>
        <w:jc w:val="left"/>
        <w:rPr>
          <w:b w:val="0"/>
          <w:bCs w:val="0"/>
        </w:rPr>
      </w:pPr>
      <w:bookmarkStart w:name="2、报告期内获取的重大的股权投资情况" w:id="47"/>
      <w:bookmarkEnd w:id="47"/>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57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pStyle w:val="BodyText"/>
        <w:spacing w:line="240" w:lineRule="auto" w:before="103"/>
        <w:ind w:left="0" w:right="1132"/>
        <w:jc w:val="right"/>
      </w:pPr>
      <w:r>
        <w:rPr/>
        <w:t>单位：元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BodyText"/>
        <w:spacing w:line="240" w:lineRule="auto" w:before="44"/>
        <w:ind w:left="0" w:right="616"/>
        <w:jc w:val="right"/>
      </w:pPr>
      <w:r>
        <w:rPr/>
        <w:pict>
          <v:shape style="position:absolute;margin-left:33.009998pt;margin-top:-83.278275pt;width:529.5pt;height:216.8pt;mso-position-horizontal-relative:page;mso-position-vertical-relative:paragraph;z-index:10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653"/>
                    <w:gridCol w:w="1134"/>
                    <w:gridCol w:w="425"/>
                    <w:gridCol w:w="992"/>
                    <w:gridCol w:w="341"/>
                    <w:gridCol w:w="425"/>
                    <w:gridCol w:w="935"/>
                    <w:gridCol w:w="426"/>
                    <w:gridCol w:w="708"/>
                    <w:gridCol w:w="709"/>
                    <w:gridCol w:w="284"/>
                    <w:gridCol w:w="1191"/>
                    <w:gridCol w:w="283"/>
                    <w:gridCol w:w="468"/>
                    <w:gridCol w:w="1601"/>
                  </w:tblGrid>
                  <w:tr>
                    <w:trPr>
                      <w:trHeight w:val="1650" w:hRule="exact"/>
                    </w:trPr>
                    <w:tc>
                      <w:tcPr>
                        <w:tcW w:w="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0" w:right="51"/>
                          <w:jc w:val="center"/>
                          <w:rPr>
                            <w:rFonts w:ascii="宋体" w:hAnsi="宋体" w:cs="宋体" w:eastAsia="宋体" w:hint="default"/>
                            <w:sz w:val="18"/>
                            <w:szCs w:val="18"/>
                          </w:rPr>
                        </w:pPr>
                        <w:r>
                          <w:rPr>
                            <w:rFonts w:ascii="宋体" w:hAnsi="宋体" w:cs="宋体" w:eastAsia="宋体" w:hint="default"/>
                            <w:sz w:val="18"/>
                            <w:szCs w:val="18"/>
                          </w:rPr>
                          <w:t>被投资 公司名 称</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主要业务</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 w:right="26"/>
                          <w:jc w:val="left"/>
                          <w:rPr>
                            <w:rFonts w:ascii="宋体" w:hAnsi="宋体" w:cs="宋体" w:eastAsia="宋体" w:hint="default"/>
                            <w:sz w:val="18"/>
                            <w:szCs w:val="18"/>
                          </w:rPr>
                        </w:pPr>
                        <w:r>
                          <w:rPr>
                            <w:rFonts w:ascii="宋体" w:hAnsi="宋体" w:cs="宋体" w:eastAsia="宋体" w:hint="default"/>
                            <w:sz w:val="18"/>
                            <w:szCs w:val="18"/>
                          </w:rPr>
                          <w:t>投资 方式</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投资金额</w:t>
                        </w:r>
                      </w:p>
                    </w:tc>
                    <w:tc>
                      <w:tcPr>
                        <w:tcW w:w="3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4" w:right="75"/>
                          <w:jc w:val="both"/>
                          <w:rPr>
                            <w:rFonts w:ascii="宋体" w:hAnsi="宋体" w:cs="宋体" w:eastAsia="宋体" w:hint="default"/>
                            <w:sz w:val="18"/>
                            <w:szCs w:val="18"/>
                          </w:rPr>
                        </w:pPr>
                        <w:r>
                          <w:rPr>
                            <w:rFonts w:ascii="宋体" w:hAnsi="宋体" w:cs="宋体" w:eastAsia="宋体" w:hint="default"/>
                            <w:sz w:val="18"/>
                            <w:szCs w:val="18"/>
                          </w:rPr>
                          <w:t>持 股 比 例</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5" w:right="27"/>
                          <w:jc w:val="left"/>
                          <w:rPr>
                            <w:rFonts w:ascii="宋体" w:hAnsi="宋体" w:cs="宋体" w:eastAsia="宋体" w:hint="default"/>
                            <w:sz w:val="18"/>
                            <w:szCs w:val="18"/>
                          </w:rPr>
                        </w:pPr>
                        <w:r>
                          <w:rPr>
                            <w:rFonts w:ascii="宋体" w:hAnsi="宋体" w:cs="宋体" w:eastAsia="宋体" w:hint="default"/>
                            <w:sz w:val="18"/>
                            <w:szCs w:val="18"/>
                          </w:rPr>
                          <w:t>资金 来源</w:t>
                        </w: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合作方</w:t>
                        </w:r>
                      </w:p>
                    </w:tc>
                    <w:tc>
                      <w:tcPr>
                        <w:tcW w:w="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9" w:right="25"/>
                          <w:jc w:val="left"/>
                          <w:rPr>
                            <w:rFonts w:ascii="宋体" w:hAnsi="宋体" w:cs="宋体" w:eastAsia="宋体" w:hint="default"/>
                            <w:sz w:val="18"/>
                            <w:szCs w:val="18"/>
                          </w:rPr>
                        </w:pPr>
                        <w:r>
                          <w:rPr>
                            <w:rFonts w:ascii="宋体" w:hAnsi="宋体" w:cs="宋体" w:eastAsia="宋体" w:hint="default"/>
                            <w:sz w:val="18"/>
                            <w:szCs w:val="18"/>
                          </w:rPr>
                          <w:t>投资 期限</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58" w:right="78" w:hanging="180"/>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8" w:right="79"/>
                          <w:jc w:val="center"/>
                          <w:rPr>
                            <w:rFonts w:ascii="宋体" w:hAnsi="宋体" w:cs="宋体" w:eastAsia="宋体" w:hint="default"/>
                            <w:sz w:val="18"/>
                            <w:szCs w:val="18"/>
                          </w:rPr>
                        </w:pPr>
                        <w:r>
                          <w:rPr>
                            <w:rFonts w:ascii="宋体" w:hAnsi="宋体" w:cs="宋体" w:eastAsia="宋体" w:hint="default"/>
                            <w:sz w:val="18"/>
                            <w:szCs w:val="18"/>
                          </w:rPr>
                          <w:t>截至资 产负债 表日的 进展情 况</w:t>
                        </w:r>
                      </w:p>
                    </w:tc>
                    <w:tc>
                      <w:tcPr>
                        <w:tcW w:w="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6" w:right="46"/>
                          <w:jc w:val="both"/>
                          <w:rPr>
                            <w:rFonts w:ascii="宋体" w:hAnsi="宋体" w:cs="宋体" w:eastAsia="宋体" w:hint="default"/>
                            <w:sz w:val="18"/>
                            <w:szCs w:val="18"/>
                          </w:rPr>
                        </w:pPr>
                        <w:r>
                          <w:rPr>
                            <w:rFonts w:ascii="宋体" w:hAnsi="宋体" w:cs="宋体" w:eastAsia="宋体" w:hint="default"/>
                            <w:sz w:val="18"/>
                            <w:szCs w:val="18"/>
                          </w:rPr>
                          <w:t>预 计 收 益</w:t>
                        </w:r>
                      </w:p>
                    </w:tc>
                    <w:tc>
                      <w:tcPr>
                        <w:tcW w:w="1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本期投资盈亏</w:t>
                        </w:r>
                      </w:p>
                    </w:tc>
                    <w:tc>
                      <w:tcPr>
                        <w:tcW w:w="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7" w:right="44"/>
                          <w:jc w:val="both"/>
                          <w:rPr>
                            <w:rFonts w:ascii="宋体" w:hAnsi="宋体" w:cs="宋体" w:eastAsia="宋体" w:hint="default"/>
                            <w:sz w:val="18"/>
                            <w:szCs w:val="18"/>
                          </w:rPr>
                        </w:pPr>
                        <w:r>
                          <w:rPr>
                            <w:rFonts w:ascii="宋体" w:hAnsi="宋体" w:cs="宋体" w:eastAsia="宋体" w:hint="default"/>
                            <w:sz w:val="18"/>
                            <w:szCs w:val="18"/>
                          </w:rPr>
                          <w:t>是 否 涉 诉</w:t>
                        </w:r>
                      </w:p>
                    </w:tc>
                    <w:tc>
                      <w:tcPr>
                        <w:tcW w:w="4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9" w:right="46"/>
                          <w:jc w:val="left"/>
                          <w:rPr>
                            <w:rFonts w:ascii="宋体" w:hAnsi="宋体" w:cs="宋体" w:eastAsia="宋体" w:hint="default"/>
                            <w:sz w:val="18"/>
                            <w:szCs w:val="18"/>
                          </w:rPr>
                        </w:pPr>
                        <w:r>
                          <w:rPr>
                            <w:rFonts w:ascii="宋体" w:hAnsi="宋体" w:cs="宋体" w:eastAsia="宋体" w:hint="default"/>
                            <w:sz w:val="18"/>
                            <w:szCs w:val="18"/>
                          </w:rPr>
                          <w:t>披露 日期</w:t>
                        </w:r>
                      </w:p>
                    </w:tc>
                    <w:tc>
                      <w:tcPr>
                        <w:tcW w:w="16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2274" w:hRule="exact"/>
                    </w:trPr>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20"/>
                          <w:jc w:val="both"/>
                          <w:rPr>
                            <w:rFonts w:ascii="宋体" w:hAnsi="宋体" w:cs="宋体" w:eastAsia="宋体" w:hint="default"/>
                            <w:sz w:val="18"/>
                            <w:szCs w:val="18"/>
                          </w:rPr>
                        </w:pPr>
                        <w:r>
                          <w:rPr>
                            <w:rFonts w:ascii="宋体" w:hAnsi="宋体" w:cs="宋体" w:eastAsia="宋体" w:hint="default"/>
                            <w:sz w:val="18"/>
                            <w:szCs w:val="18"/>
                          </w:rPr>
                          <w:t>深</w:t>
                        </w:r>
                        <w:r>
                          <w:rPr>
                            <w:rFonts w:ascii="宋体" w:hAnsi="宋体" w:cs="宋体" w:eastAsia="宋体" w:hint="default"/>
                            <w:spacing w:val="-62"/>
                            <w:sz w:val="18"/>
                            <w:szCs w:val="18"/>
                          </w:rPr>
                          <w:t> </w:t>
                        </w:r>
                        <w:r>
                          <w:rPr>
                            <w:rFonts w:ascii="宋体" w:hAnsi="宋体" w:cs="宋体" w:eastAsia="宋体" w:hint="default"/>
                            <w:sz w:val="18"/>
                            <w:szCs w:val="18"/>
                          </w:rPr>
                          <w:t>圳</w:t>
                        </w:r>
                        <w:r>
                          <w:rPr>
                            <w:rFonts w:ascii="宋体" w:hAnsi="宋体" w:cs="宋体" w:eastAsia="宋体" w:hint="default"/>
                            <w:spacing w:val="-62"/>
                            <w:sz w:val="18"/>
                            <w:szCs w:val="18"/>
                          </w:rPr>
                          <w:t> </w:t>
                        </w:r>
                        <w:r>
                          <w:rPr>
                            <w:rFonts w:ascii="宋体" w:hAnsi="宋体" w:cs="宋体" w:eastAsia="宋体" w:hint="default"/>
                            <w:sz w:val="18"/>
                            <w:szCs w:val="18"/>
                          </w:rPr>
                          <w:t>市</w:t>
                        </w:r>
                        <w:r>
                          <w:rPr>
                            <w:rFonts w:ascii="宋体" w:hAnsi="宋体" w:cs="宋体" w:eastAsia="宋体" w:hint="default"/>
                            <w:sz w:val="18"/>
                            <w:szCs w:val="18"/>
                          </w:rPr>
                          <w:t> 创</w:t>
                        </w:r>
                        <w:r>
                          <w:rPr>
                            <w:rFonts w:ascii="宋体" w:hAnsi="宋体" w:cs="宋体" w:eastAsia="宋体" w:hint="default"/>
                            <w:spacing w:val="-62"/>
                            <w:sz w:val="18"/>
                            <w:szCs w:val="18"/>
                          </w:rPr>
                          <w:t> </w:t>
                        </w:r>
                        <w:r>
                          <w:rPr>
                            <w:rFonts w:ascii="宋体" w:hAnsi="宋体" w:cs="宋体" w:eastAsia="宋体" w:hint="default"/>
                            <w:sz w:val="18"/>
                            <w:szCs w:val="18"/>
                          </w:rPr>
                          <w:t>自</w:t>
                        </w:r>
                        <w:r>
                          <w:rPr>
                            <w:rFonts w:ascii="宋体" w:hAnsi="宋体" w:cs="宋体" w:eastAsia="宋体" w:hint="default"/>
                            <w:spacing w:val="-62"/>
                            <w:sz w:val="18"/>
                            <w:szCs w:val="18"/>
                          </w:rPr>
                          <w:t> </w:t>
                        </w:r>
                        <w:r>
                          <w:rPr>
                            <w:rFonts w:ascii="宋体" w:hAnsi="宋体" w:cs="宋体" w:eastAsia="宋体" w:hint="default"/>
                            <w:sz w:val="18"/>
                            <w:szCs w:val="18"/>
                          </w:rPr>
                          <w:t>技</w:t>
                        </w:r>
                        <w:r>
                          <w:rPr>
                            <w:rFonts w:ascii="宋体" w:hAnsi="宋体" w:cs="宋体" w:eastAsia="宋体" w:hint="default"/>
                            <w:sz w:val="18"/>
                            <w:szCs w:val="18"/>
                          </w:rPr>
                          <w:t> 术</w:t>
                        </w:r>
                        <w:r>
                          <w:rPr>
                            <w:rFonts w:ascii="宋体" w:hAnsi="宋体" w:cs="宋体" w:eastAsia="宋体" w:hint="default"/>
                            <w:spacing w:val="-62"/>
                            <w:sz w:val="18"/>
                            <w:szCs w:val="18"/>
                          </w:rPr>
                          <w:t> </w:t>
                        </w:r>
                        <w:r>
                          <w:rPr>
                            <w:rFonts w:ascii="宋体" w:hAnsi="宋体" w:cs="宋体" w:eastAsia="宋体" w:hint="default"/>
                            <w:sz w:val="18"/>
                            <w:szCs w:val="18"/>
                          </w:rPr>
                          <w:t>有</w:t>
                        </w:r>
                        <w:r>
                          <w:rPr>
                            <w:rFonts w:ascii="宋体" w:hAnsi="宋体" w:cs="宋体" w:eastAsia="宋体" w:hint="default"/>
                            <w:spacing w:val="-62"/>
                            <w:sz w:val="18"/>
                            <w:szCs w:val="18"/>
                          </w:rPr>
                          <w:t> </w:t>
                        </w:r>
                        <w:r>
                          <w:rPr>
                            <w:rFonts w:ascii="宋体" w:hAnsi="宋体" w:cs="宋体" w:eastAsia="宋体" w:hint="default"/>
                            <w:sz w:val="18"/>
                            <w:szCs w:val="18"/>
                          </w:rPr>
                          <w:t>限</w:t>
                        </w:r>
                        <w:r>
                          <w:rPr>
                            <w:rFonts w:ascii="宋体" w:hAnsi="宋体" w:cs="宋体" w:eastAsia="宋体" w:hint="default"/>
                            <w:sz w:val="18"/>
                            <w:szCs w:val="18"/>
                          </w:rPr>
                          <w:t> 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18"/>
                          <w:jc w:val="both"/>
                          <w:rPr>
                            <w:rFonts w:ascii="宋体" w:hAnsi="宋体" w:cs="宋体" w:eastAsia="宋体" w:hint="default"/>
                            <w:sz w:val="18"/>
                            <w:szCs w:val="18"/>
                          </w:rPr>
                        </w:pPr>
                        <w:r>
                          <w:rPr>
                            <w:rFonts w:ascii="宋体" w:hAnsi="宋体" w:cs="宋体" w:eastAsia="宋体" w:hint="default"/>
                            <w:sz w:val="18"/>
                            <w:szCs w:val="18"/>
                          </w:rPr>
                          <w:t>卡</w:t>
                        </w:r>
                        <w:r>
                          <w:rPr>
                            <w:rFonts w:ascii="宋体" w:hAnsi="宋体" w:cs="宋体" w:eastAsia="宋体" w:hint="default"/>
                            <w:spacing w:val="-45"/>
                            <w:sz w:val="18"/>
                            <w:szCs w:val="18"/>
                          </w:rPr>
                          <w:t> </w:t>
                        </w:r>
                        <w:r>
                          <w:rPr>
                            <w:rFonts w:ascii="宋体" w:hAnsi="宋体" w:cs="宋体" w:eastAsia="宋体" w:hint="default"/>
                            <w:sz w:val="18"/>
                            <w:szCs w:val="18"/>
                          </w:rPr>
                          <w:t>座</w:t>
                        </w:r>
                        <w:r>
                          <w:rPr>
                            <w:rFonts w:ascii="宋体" w:hAnsi="宋体" w:cs="宋体" w:eastAsia="宋体" w:hint="default"/>
                            <w:spacing w:val="-47"/>
                            <w:sz w:val="18"/>
                            <w:szCs w:val="18"/>
                          </w:rPr>
                          <w:t> </w:t>
                        </w:r>
                        <w:r>
                          <w:rPr>
                            <w:rFonts w:ascii="宋体" w:hAnsi="宋体" w:cs="宋体" w:eastAsia="宋体" w:hint="default"/>
                            <w:sz w:val="18"/>
                            <w:szCs w:val="18"/>
                          </w:rPr>
                          <w:t>、</w:t>
                        </w:r>
                        <w:r>
                          <w:rPr>
                            <w:rFonts w:ascii="宋体" w:hAnsi="宋体" w:cs="宋体" w:eastAsia="宋体" w:hint="default"/>
                            <w:spacing w:val="-45"/>
                            <w:sz w:val="18"/>
                            <w:szCs w:val="18"/>
                          </w:rPr>
                          <w:t> </w:t>
                        </w:r>
                        <w:r>
                          <w:rPr>
                            <w:rFonts w:ascii="宋体" w:hAnsi="宋体" w:cs="宋体" w:eastAsia="宋体" w:hint="default"/>
                            <w:sz w:val="18"/>
                            <w:szCs w:val="18"/>
                          </w:rPr>
                          <w:t>读</w:t>
                        </w:r>
                        <w:r>
                          <w:rPr>
                            <w:rFonts w:ascii="宋体" w:hAnsi="宋体" w:cs="宋体" w:eastAsia="宋体" w:hint="default"/>
                            <w:spacing w:val="-47"/>
                            <w:sz w:val="18"/>
                            <w:szCs w:val="18"/>
                          </w:rPr>
                          <w:t> </w:t>
                        </w:r>
                        <w:r>
                          <w:rPr>
                            <w:rFonts w:ascii="宋体" w:hAnsi="宋体" w:cs="宋体" w:eastAsia="宋体" w:hint="default"/>
                            <w:sz w:val="18"/>
                            <w:szCs w:val="18"/>
                          </w:rPr>
                          <w:t>卡</w:t>
                        </w:r>
                        <w:r>
                          <w:rPr>
                            <w:rFonts w:ascii="宋体" w:hAnsi="宋体" w:cs="宋体" w:eastAsia="宋体" w:hint="default"/>
                            <w:sz w:val="18"/>
                            <w:szCs w:val="18"/>
                          </w:rPr>
                          <w:t> 器、发卡器、 电</w:t>
                        </w:r>
                        <w:r>
                          <w:rPr>
                            <w:rFonts w:ascii="宋体" w:hAnsi="宋体" w:cs="宋体" w:eastAsia="宋体" w:hint="default"/>
                            <w:spacing w:val="-45"/>
                            <w:sz w:val="18"/>
                            <w:szCs w:val="18"/>
                          </w:rPr>
                          <w:t> </w:t>
                        </w:r>
                        <w:r>
                          <w:rPr>
                            <w:rFonts w:ascii="宋体" w:hAnsi="宋体" w:cs="宋体" w:eastAsia="宋体" w:hint="default"/>
                            <w:sz w:val="18"/>
                            <w:szCs w:val="18"/>
                          </w:rPr>
                          <w:t>子</w:t>
                        </w:r>
                        <w:r>
                          <w:rPr>
                            <w:rFonts w:ascii="宋体" w:hAnsi="宋体" w:cs="宋体" w:eastAsia="宋体" w:hint="default"/>
                            <w:spacing w:val="-47"/>
                            <w:sz w:val="18"/>
                            <w:szCs w:val="18"/>
                          </w:rPr>
                          <w:t> </w:t>
                        </w:r>
                        <w:r>
                          <w:rPr>
                            <w:rFonts w:ascii="宋体" w:hAnsi="宋体" w:cs="宋体" w:eastAsia="宋体" w:hint="default"/>
                            <w:sz w:val="18"/>
                            <w:szCs w:val="18"/>
                          </w:rPr>
                          <w:t>终</w:t>
                        </w:r>
                        <w:r>
                          <w:rPr>
                            <w:rFonts w:ascii="宋体" w:hAnsi="宋体" w:cs="宋体" w:eastAsia="宋体" w:hint="default"/>
                            <w:spacing w:val="-45"/>
                            <w:sz w:val="18"/>
                            <w:szCs w:val="18"/>
                          </w:rPr>
                          <w:t> </w:t>
                        </w:r>
                        <w:r>
                          <w:rPr>
                            <w:rFonts w:ascii="宋体" w:hAnsi="宋体" w:cs="宋体" w:eastAsia="宋体" w:hint="default"/>
                            <w:sz w:val="18"/>
                            <w:szCs w:val="18"/>
                          </w:rPr>
                          <w:t>端</w:t>
                        </w:r>
                        <w:r>
                          <w:rPr>
                            <w:rFonts w:ascii="宋体" w:hAnsi="宋体" w:cs="宋体" w:eastAsia="宋体" w:hint="default"/>
                            <w:spacing w:val="-47"/>
                            <w:sz w:val="18"/>
                            <w:szCs w:val="18"/>
                          </w:rPr>
                          <w:t> </w:t>
                        </w:r>
                        <w:r>
                          <w:rPr>
                            <w:rFonts w:ascii="宋体" w:hAnsi="宋体" w:cs="宋体" w:eastAsia="宋体" w:hint="default"/>
                            <w:sz w:val="18"/>
                            <w:szCs w:val="18"/>
                          </w:rPr>
                          <w:t>设</w:t>
                        </w:r>
                        <w:r>
                          <w:rPr>
                            <w:rFonts w:ascii="宋体" w:hAnsi="宋体" w:cs="宋体" w:eastAsia="宋体" w:hint="default"/>
                            <w:sz w:val="18"/>
                            <w:szCs w:val="18"/>
                          </w:rPr>
                          <w:t> 备</w:t>
                        </w:r>
                        <w:r>
                          <w:rPr>
                            <w:rFonts w:ascii="宋体" w:hAnsi="宋体" w:cs="宋体" w:eastAsia="宋体" w:hint="default"/>
                            <w:spacing w:val="-45"/>
                            <w:sz w:val="18"/>
                            <w:szCs w:val="18"/>
                          </w:rPr>
                          <w:t> </w:t>
                        </w:r>
                        <w:r>
                          <w:rPr>
                            <w:rFonts w:ascii="宋体" w:hAnsi="宋体" w:cs="宋体" w:eastAsia="宋体" w:hint="default"/>
                            <w:sz w:val="18"/>
                            <w:szCs w:val="18"/>
                          </w:rPr>
                          <w:t>及</w:t>
                        </w:r>
                        <w:r>
                          <w:rPr>
                            <w:rFonts w:ascii="宋体" w:hAnsi="宋体" w:cs="宋体" w:eastAsia="宋体" w:hint="default"/>
                            <w:spacing w:val="-47"/>
                            <w:sz w:val="18"/>
                            <w:szCs w:val="18"/>
                          </w:rPr>
                          <w:t> </w:t>
                        </w:r>
                        <w:r>
                          <w:rPr>
                            <w:rFonts w:ascii="宋体" w:hAnsi="宋体" w:cs="宋体" w:eastAsia="宋体" w:hint="default"/>
                            <w:sz w:val="18"/>
                            <w:szCs w:val="18"/>
                          </w:rPr>
                          <w:t>配</w:t>
                        </w:r>
                        <w:r>
                          <w:rPr>
                            <w:rFonts w:ascii="宋体" w:hAnsi="宋体" w:cs="宋体" w:eastAsia="宋体" w:hint="default"/>
                            <w:spacing w:val="-45"/>
                            <w:sz w:val="18"/>
                            <w:szCs w:val="18"/>
                          </w:rPr>
                          <w:t> </w:t>
                        </w:r>
                        <w:r>
                          <w:rPr>
                            <w:rFonts w:ascii="宋体" w:hAnsi="宋体" w:cs="宋体" w:eastAsia="宋体" w:hint="default"/>
                            <w:sz w:val="18"/>
                            <w:szCs w:val="18"/>
                          </w:rPr>
                          <w:t>件</w:t>
                        </w:r>
                        <w:r>
                          <w:rPr>
                            <w:rFonts w:ascii="宋体" w:hAnsi="宋体" w:cs="宋体" w:eastAsia="宋体" w:hint="default"/>
                            <w:spacing w:val="-47"/>
                            <w:sz w:val="18"/>
                            <w:szCs w:val="18"/>
                          </w:rPr>
                          <w:t> </w:t>
                        </w:r>
                        <w:r>
                          <w:rPr>
                            <w:rFonts w:ascii="宋体" w:hAnsi="宋体" w:cs="宋体" w:eastAsia="宋体" w:hint="default"/>
                            <w:sz w:val="18"/>
                            <w:szCs w:val="18"/>
                          </w:rPr>
                          <w:t>的</w:t>
                        </w:r>
                        <w:r>
                          <w:rPr>
                            <w:rFonts w:ascii="宋体" w:hAnsi="宋体" w:cs="宋体" w:eastAsia="宋体" w:hint="default"/>
                            <w:sz w:val="18"/>
                            <w:szCs w:val="18"/>
                          </w:rPr>
                          <w:t> 生产与销售</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8"/>
                          <w:jc w:val="center"/>
                          <w:rPr>
                            <w:rFonts w:ascii="宋体" w:hAnsi="宋体" w:cs="宋体" w:eastAsia="宋体" w:hint="default"/>
                            <w:sz w:val="18"/>
                            <w:szCs w:val="18"/>
                          </w:rPr>
                        </w:pPr>
                        <w:r>
                          <w:rPr>
                            <w:rFonts w:ascii="宋体" w:hAnsi="宋体" w:cs="宋体" w:eastAsia="宋体" w:hint="default"/>
                            <w:sz w:val="18"/>
                            <w:szCs w:val="18"/>
                          </w:rPr>
                          <w:t>收购</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34"/>
                          <w:jc w:val="center"/>
                          <w:rPr>
                            <w:rFonts w:ascii="Times New Roman" w:hAnsi="Times New Roman" w:cs="Times New Roman" w:eastAsia="Times New Roman" w:hint="default"/>
                            <w:sz w:val="18"/>
                            <w:szCs w:val="18"/>
                          </w:rPr>
                        </w:pPr>
                        <w:r>
                          <w:rPr>
                            <w:rFonts w:ascii="Times New Roman"/>
                            <w:sz w:val="18"/>
                          </w:rPr>
                          <w:t>141,960,000</w:t>
                        </w:r>
                      </w:p>
                    </w:tc>
                    <w:tc>
                      <w:tcPr>
                        <w:tcW w:w="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30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20"/>
                          <w:jc w:val="left"/>
                          <w:rPr>
                            <w:rFonts w:ascii="宋体" w:hAnsi="宋体" w:cs="宋体" w:eastAsia="宋体" w:hint="default"/>
                            <w:sz w:val="18"/>
                            <w:szCs w:val="18"/>
                          </w:rPr>
                        </w:pPr>
                        <w:r>
                          <w:rPr>
                            <w:rFonts w:ascii="宋体" w:hAnsi="宋体" w:cs="宋体" w:eastAsia="宋体" w:hint="default"/>
                            <w:spacing w:val="4"/>
                            <w:sz w:val="18"/>
                            <w:szCs w:val="18"/>
                          </w:rPr>
                          <w:t>自有</w:t>
                        </w:r>
                        <w:r>
                          <w:rPr>
                            <w:rFonts w:ascii="宋体" w:hAnsi="宋体" w:cs="宋体" w:eastAsia="宋体" w:hint="default"/>
                            <w:sz w:val="18"/>
                            <w:szCs w:val="18"/>
                          </w:rPr>
                          <w:t> 资金</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0"/>
                          <w:jc w:val="both"/>
                          <w:rPr>
                            <w:rFonts w:ascii="宋体" w:hAnsi="宋体" w:cs="宋体" w:eastAsia="宋体" w:hint="default"/>
                            <w:sz w:val="18"/>
                            <w:szCs w:val="18"/>
                          </w:rPr>
                        </w:pPr>
                        <w:r>
                          <w:rPr>
                            <w:rFonts w:ascii="宋体" w:hAnsi="宋体" w:cs="宋体" w:eastAsia="宋体" w:hint="default"/>
                            <w:spacing w:val="-5"/>
                            <w:sz w:val="18"/>
                            <w:szCs w:val="18"/>
                          </w:rPr>
                          <w:t>王朝晖、李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翔、冯彬、 </w:t>
                        </w:r>
                        <w:r>
                          <w:rPr>
                            <w:rFonts w:ascii="宋体" w:hAnsi="宋体" w:cs="宋体" w:eastAsia="宋体" w:hint="default"/>
                            <w:spacing w:val="-5"/>
                            <w:sz w:val="18"/>
                            <w:szCs w:val="18"/>
                          </w:rPr>
                          <w:t>海玉芳、深</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圳</w:t>
                        </w:r>
                        <w:r>
                          <w:rPr>
                            <w:rFonts w:ascii="宋体" w:hAnsi="宋体" w:cs="宋体" w:eastAsia="宋体" w:hint="default"/>
                            <w:spacing w:val="-38"/>
                            <w:sz w:val="18"/>
                            <w:szCs w:val="18"/>
                          </w:rPr>
                          <w:t> </w:t>
                        </w:r>
                        <w:r>
                          <w:rPr>
                            <w:rFonts w:ascii="宋体" w:hAnsi="宋体" w:cs="宋体" w:eastAsia="宋体" w:hint="default"/>
                            <w:sz w:val="18"/>
                            <w:szCs w:val="18"/>
                          </w:rPr>
                          <w:t>市</w:t>
                        </w:r>
                        <w:r>
                          <w:rPr>
                            <w:rFonts w:ascii="宋体" w:hAnsi="宋体" w:cs="宋体" w:eastAsia="宋体" w:hint="default"/>
                            <w:spacing w:val="-38"/>
                            <w:sz w:val="18"/>
                            <w:szCs w:val="18"/>
                          </w:rPr>
                          <w:t> </w:t>
                        </w:r>
                        <w:r>
                          <w:rPr>
                            <w:rFonts w:ascii="宋体" w:hAnsi="宋体" w:cs="宋体" w:eastAsia="宋体" w:hint="default"/>
                            <w:sz w:val="18"/>
                            <w:szCs w:val="18"/>
                          </w:rPr>
                          <w:t>创</w:t>
                        </w:r>
                        <w:r>
                          <w:rPr>
                            <w:rFonts w:ascii="宋体" w:hAnsi="宋体" w:cs="宋体" w:eastAsia="宋体" w:hint="default"/>
                            <w:spacing w:val="-38"/>
                            <w:sz w:val="18"/>
                            <w:szCs w:val="18"/>
                          </w:rPr>
                          <w:t> </w:t>
                        </w:r>
                        <w:r>
                          <w:rPr>
                            <w:rFonts w:ascii="宋体" w:hAnsi="宋体" w:cs="宋体" w:eastAsia="宋体" w:hint="default"/>
                            <w:sz w:val="18"/>
                            <w:szCs w:val="18"/>
                          </w:rPr>
                          <w:t>自</w:t>
                        </w:r>
                        <w:r>
                          <w:rPr>
                            <w:rFonts w:ascii="宋体" w:hAnsi="宋体" w:cs="宋体" w:eastAsia="宋体" w:hint="default"/>
                            <w:sz w:val="18"/>
                            <w:szCs w:val="18"/>
                          </w:rPr>
                          <w:t> 成</w:t>
                        </w:r>
                        <w:r>
                          <w:rPr>
                            <w:rFonts w:ascii="宋体" w:hAnsi="宋体" w:cs="宋体" w:eastAsia="宋体" w:hint="default"/>
                            <w:spacing w:val="-38"/>
                            <w:sz w:val="18"/>
                            <w:szCs w:val="18"/>
                          </w:rPr>
                          <w:t> </w:t>
                        </w:r>
                        <w:r>
                          <w:rPr>
                            <w:rFonts w:ascii="宋体" w:hAnsi="宋体" w:cs="宋体" w:eastAsia="宋体" w:hint="default"/>
                            <w:sz w:val="18"/>
                            <w:szCs w:val="18"/>
                          </w:rPr>
                          <w:t>长</w:t>
                        </w:r>
                        <w:r>
                          <w:rPr>
                            <w:rFonts w:ascii="宋体" w:hAnsi="宋体" w:cs="宋体" w:eastAsia="宋体" w:hint="default"/>
                            <w:spacing w:val="-38"/>
                            <w:sz w:val="18"/>
                            <w:szCs w:val="18"/>
                          </w:rPr>
                          <w:t> </w:t>
                        </w:r>
                        <w:r>
                          <w:rPr>
                            <w:rFonts w:ascii="宋体" w:hAnsi="宋体" w:cs="宋体" w:eastAsia="宋体" w:hint="default"/>
                            <w:sz w:val="18"/>
                            <w:szCs w:val="18"/>
                          </w:rPr>
                          <w:t>投</w:t>
                        </w:r>
                        <w:r>
                          <w:rPr>
                            <w:rFonts w:ascii="宋体" w:hAnsi="宋体" w:cs="宋体" w:eastAsia="宋体" w:hint="default"/>
                            <w:spacing w:val="-38"/>
                            <w:sz w:val="18"/>
                            <w:szCs w:val="18"/>
                          </w:rPr>
                          <w:t> </w:t>
                        </w:r>
                        <w:r>
                          <w:rPr>
                            <w:rFonts w:ascii="宋体" w:hAnsi="宋体" w:cs="宋体" w:eastAsia="宋体" w:hint="default"/>
                            <w:sz w:val="18"/>
                            <w:szCs w:val="18"/>
                          </w:rPr>
                          <w:t>资</w:t>
                        </w:r>
                        <w:r>
                          <w:rPr>
                            <w:rFonts w:ascii="宋体" w:hAnsi="宋体" w:cs="宋体" w:eastAsia="宋体" w:hint="default"/>
                            <w:sz w:val="18"/>
                            <w:szCs w:val="18"/>
                          </w:rPr>
                          <w:t> </w:t>
                        </w:r>
                        <w:r>
                          <w:rPr>
                            <w:rFonts w:ascii="宋体" w:hAnsi="宋体" w:cs="宋体" w:eastAsia="宋体" w:hint="default"/>
                            <w:spacing w:val="-5"/>
                            <w:sz w:val="18"/>
                            <w:szCs w:val="18"/>
                          </w:rPr>
                          <w:t>企业（有限</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合伙）</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
                          <w:jc w:val="center"/>
                          <w:rPr>
                            <w:rFonts w:ascii="宋体" w:hAnsi="宋体" w:cs="宋体" w:eastAsia="宋体" w:hint="default"/>
                            <w:sz w:val="18"/>
                            <w:szCs w:val="18"/>
                          </w:rPr>
                        </w:pPr>
                        <w:r>
                          <w:rPr>
                            <w:rFonts w:ascii="宋体" w:hAnsi="宋体" w:cs="宋体" w:eastAsia="宋体" w:hint="default"/>
                            <w:sz w:val="18"/>
                            <w:szCs w:val="18"/>
                          </w:rPr>
                          <w:t>长期</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20"/>
                          <w:jc w:val="both"/>
                          <w:rPr>
                            <w:rFonts w:ascii="宋体" w:hAnsi="宋体" w:cs="宋体" w:eastAsia="宋体" w:hint="default"/>
                            <w:sz w:val="18"/>
                            <w:szCs w:val="18"/>
                          </w:rPr>
                        </w:pPr>
                        <w:r>
                          <w:rPr>
                            <w:rFonts w:ascii="宋体" w:hAnsi="宋体" w:cs="宋体" w:eastAsia="宋体" w:hint="default"/>
                            <w:spacing w:val="-17"/>
                            <w:sz w:val="18"/>
                            <w:szCs w:val="18"/>
                          </w:rPr>
                          <w:t>卡座、读</w:t>
                        </w:r>
                        <w:r>
                          <w:rPr>
                            <w:rFonts w:ascii="宋体" w:hAnsi="宋体" w:cs="宋体" w:eastAsia="宋体" w:hint="default"/>
                            <w:sz w:val="18"/>
                            <w:szCs w:val="18"/>
                          </w:rPr>
                          <w:t> </w:t>
                        </w:r>
                        <w:r>
                          <w:rPr>
                            <w:rFonts w:ascii="宋体" w:hAnsi="宋体" w:cs="宋体" w:eastAsia="宋体" w:hint="default"/>
                            <w:spacing w:val="-17"/>
                            <w:sz w:val="18"/>
                            <w:szCs w:val="18"/>
                          </w:rPr>
                          <w:t>卡器、发</w:t>
                        </w:r>
                        <w:r>
                          <w:rPr>
                            <w:rFonts w:ascii="宋体" w:hAnsi="宋体" w:cs="宋体" w:eastAsia="宋体" w:hint="default"/>
                            <w:sz w:val="18"/>
                            <w:szCs w:val="18"/>
                          </w:rPr>
                          <w:t> </w:t>
                        </w:r>
                        <w:r>
                          <w:rPr>
                            <w:rFonts w:ascii="宋体" w:hAnsi="宋体" w:cs="宋体" w:eastAsia="宋体" w:hint="default"/>
                            <w:spacing w:val="-17"/>
                            <w:sz w:val="18"/>
                            <w:szCs w:val="18"/>
                          </w:rPr>
                          <w:t>卡器、电</w:t>
                        </w:r>
                        <w:r>
                          <w:rPr>
                            <w:rFonts w:ascii="宋体" w:hAnsi="宋体" w:cs="宋体" w:eastAsia="宋体" w:hint="default"/>
                            <w:sz w:val="18"/>
                            <w:szCs w:val="18"/>
                          </w:rPr>
                          <w:t> 子 终</w:t>
                        </w:r>
                        <w:r>
                          <w:rPr>
                            <w:rFonts w:ascii="宋体" w:hAnsi="宋体" w:cs="宋体" w:eastAsia="宋体" w:hint="default"/>
                            <w:spacing w:val="-68"/>
                            <w:sz w:val="18"/>
                            <w:szCs w:val="18"/>
                          </w:rPr>
                          <w:t> </w:t>
                        </w:r>
                        <w:r>
                          <w:rPr>
                            <w:rFonts w:ascii="宋体" w:hAnsi="宋体" w:cs="宋体" w:eastAsia="宋体" w:hint="default"/>
                            <w:sz w:val="18"/>
                            <w:szCs w:val="18"/>
                          </w:rPr>
                          <w:t>端</w:t>
                        </w:r>
                        <w:r>
                          <w:rPr>
                            <w:rFonts w:ascii="宋体" w:hAnsi="宋体" w:cs="宋体" w:eastAsia="宋体" w:hint="default"/>
                            <w:sz w:val="18"/>
                            <w:szCs w:val="18"/>
                          </w:rPr>
                          <w:t> 设 备</w:t>
                        </w:r>
                        <w:r>
                          <w:rPr>
                            <w:rFonts w:ascii="宋体" w:hAnsi="宋体" w:cs="宋体" w:eastAsia="宋体" w:hint="default"/>
                            <w:spacing w:val="-68"/>
                            <w:sz w:val="18"/>
                            <w:szCs w:val="18"/>
                          </w:rPr>
                          <w:t> </w:t>
                        </w:r>
                        <w:r>
                          <w:rPr>
                            <w:rFonts w:ascii="宋体" w:hAnsi="宋体" w:cs="宋体" w:eastAsia="宋体" w:hint="default"/>
                            <w:sz w:val="18"/>
                            <w:szCs w:val="18"/>
                          </w:rPr>
                          <w:t>及</w:t>
                        </w:r>
                        <w:r>
                          <w:rPr>
                            <w:rFonts w:ascii="宋体" w:hAnsi="宋体" w:cs="宋体" w:eastAsia="宋体" w:hint="default"/>
                            <w:sz w:val="18"/>
                            <w:szCs w:val="18"/>
                          </w:rPr>
                          <w:t> 配件</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w:t>
                        </w:r>
                      </w:p>
                      <w:p>
                        <w:pPr>
                          <w:pStyle w:val="TableParagraph"/>
                          <w:spacing w:line="309" w:lineRule="auto" w:before="63"/>
                          <w:ind w:left="23" w:right="21"/>
                          <w:jc w:val="both"/>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月完成 工 商</w:t>
                        </w:r>
                        <w:r>
                          <w:rPr>
                            <w:rFonts w:ascii="宋体" w:hAnsi="宋体" w:cs="宋体" w:eastAsia="宋体" w:hint="default"/>
                            <w:spacing w:val="-68"/>
                            <w:sz w:val="18"/>
                            <w:szCs w:val="18"/>
                          </w:rPr>
                          <w:t> </w:t>
                        </w:r>
                        <w:r>
                          <w:rPr>
                            <w:rFonts w:ascii="宋体" w:hAnsi="宋体" w:cs="宋体" w:eastAsia="宋体" w:hint="default"/>
                            <w:sz w:val="18"/>
                            <w:szCs w:val="18"/>
                          </w:rPr>
                          <w:t>变</w:t>
                        </w:r>
                        <w:r>
                          <w:rPr>
                            <w:rFonts w:ascii="宋体" w:hAnsi="宋体" w:cs="宋体" w:eastAsia="宋体" w:hint="default"/>
                            <w:sz w:val="18"/>
                            <w:szCs w:val="18"/>
                          </w:rPr>
                          <w:t> 更登记</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6"/>
                          <w:jc w:val="center"/>
                          <w:rPr>
                            <w:rFonts w:ascii="Times New Roman" w:hAnsi="Times New Roman" w:cs="Times New Roman" w:eastAsia="Times New Roman" w:hint="default"/>
                            <w:sz w:val="18"/>
                            <w:szCs w:val="18"/>
                          </w:rPr>
                        </w:pPr>
                        <w:r>
                          <w:rPr>
                            <w:rFonts w:ascii="Times New Roman"/>
                            <w:sz w:val="18"/>
                          </w:rPr>
                          <w:t>20,345,071.04</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68"/>
                          <w:jc w:val="right"/>
                          <w:rPr>
                            <w:rFonts w:ascii="宋体" w:hAnsi="宋体" w:cs="宋体" w:eastAsia="宋体" w:hint="default"/>
                            <w:sz w:val="18"/>
                            <w:szCs w:val="18"/>
                          </w:rPr>
                        </w:pPr>
                        <w:r>
                          <w:rPr>
                            <w:rFonts w:ascii="宋体" w:hAnsi="宋体" w:cs="宋体" w:eastAsia="宋体" w:hint="default"/>
                            <w:sz w:val="18"/>
                            <w:szCs w:val="18"/>
                          </w:rPr>
                          <w:t>是</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刊登在《证券时报</w:t>
                        </w:r>
                      </w:p>
                      <w:p>
                        <w:pPr>
                          <w:pStyle w:val="TableParagraph"/>
                          <w:tabs>
                            <w:tab w:pos="479" w:val="left" w:leader="none"/>
                            <w:tab w:pos="932" w:val="left" w:leader="none"/>
                            <w:tab w:pos="1388" w:val="left" w:leader="none"/>
                          </w:tabs>
                          <w:spacing w:line="312" w:lineRule="exact" w:before="37"/>
                          <w:ind w:left="23" w:right="20"/>
                          <w:jc w:val="left"/>
                          <w:rPr>
                            <w:rFonts w:ascii="宋体" w:hAnsi="宋体" w:cs="宋体" w:eastAsia="宋体" w:hint="default"/>
                            <w:sz w:val="18"/>
                            <w:szCs w:val="18"/>
                          </w:rPr>
                        </w:pPr>
                        <w:r>
                          <w:rPr>
                            <w:rFonts w:ascii="宋体" w:hAnsi="宋体" w:cs="宋体" w:eastAsia="宋体" w:hint="default"/>
                            <w:spacing w:val="-9"/>
                            <w:sz w:val="18"/>
                            <w:szCs w:val="18"/>
                          </w:rPr>
                          <w:t>《中国证券报》及巨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潮</w:t>
                          <w:tab/>
                          <w:t>资</w:t>
                          <w:tab/>
                          <w:t>讯</w:t>
                          <w:tab/>
                          <w:t>网 </w:t>
                        </w:r>
                        <w:hyperlink r:id="rId10">
                          <w:r>
                            <w:rPr>
                              <w:rFonts w:ascii="Times New Roman" w:hAnsi="Times New Roman" w:cs="Times New Roman" w:eastAsia="Times New Roman" w:hint="default"/>
                              <w:sz w:val="18"/>
                              <w:szCs w:val="18"/>
                            </w:rPr>
                            <w:t>www.cninfo.com.cn</w:t>
                          </w:r>
                        </w:hyperlink>
                        <w:r>
                          <w:rPr>
                            <w:rFonts w:ascii="Times New Roman" w:hAnsi="Times New Roman" w:cs="Times New Roman" w:eastAsia="Times New Roman" w:hint="default"/>
                            <w:sz w:val="18"/>
                            <w:szCs w:val="18"/>
                          </w:rPr>
                          <w:t> </w:t>
                        </w:r>
                        <w:r>
                          <w:rPr>
                            <w:rFonts w:ascii="宋体" w:hAnsi="宋体" w:cs="宋体" w:eastAsia="宋体" w:hint="default"/>
                            <w:spacing w:val="10"/>
                            <w:sz w:val="18"/>
                            <w:szCs w:val="18"/>
                          </w:rPr>
                          <w:t>上的</w:t>
                        </w:r>
                        <w:r>
                          <w:rPr>
                            <w:rFonts w:ascii="宋体" w:hAnsi="宋体" w:cs="宋体" w:eastAsia="宋体" w:hint="default"/>
                            <w:spacing w:val="-67"/>
                            <w:sz w:val="18"/>
                            <w:szCs w:val="18"/>
                          </w:rPr>
                          <w:t> </w:t>
                        </w:r>
                        <w:r>
                          <w:rPr>
                            <w:rFonts w:ascii="宋体" w:hAnsi="宋体" w:cs="宋体" w:eastAsia="宋体" w:hint="default"/>
                            <w:sz w:val="18"/>
                            <w:szCs w:val="18"/>
                          </w:rPr>
                          <w:t>临</w:t>
                        </w:r>
                        <w:r>
                          <w:rPr>
                            <w:rFonts w:ascii="宋体" w:hAnsi="宋体" w:cs="宋体" w:eastAsia="宋体" w:hint="default"/>
                            <w:spacing w:val="-24"/>
                            <w:sz w:val="18"/>
                            <w:szCs w:val="18"/>
                          </w:rPr>
                          <w:t> </w:t>
                        </w:r>
                        <w:r>
                          <w:rPr>
                            <w:rFonts w:ascii="Times New Roman" w:hAnsi="Times New Roman" w:cs="Times New Roman" w:eastAsia="Times New Roman" w:hint="default"/>
                            <w:sz w:val="18"/>
                            <w:szCs w:val="18"/>
                          </w:rPr>
                          <w:t>2019-012</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号公告</w:t>
                        </w:r>
                      </w:p>
                    </w:tc>
                  </w:tr>
                  <w:tr>
                    <w:trPr>
                      <w:trHeight w:val="402" w:hRule="exact"/>
                    </w:trPr>
                    <w:tc>
                      <w:tcPr>
                        <w:tcW w:w="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141,960,000</w:t>
                        </w:r>
                      </w:p>
                    </w:tc>
                    <w:tc>
                      <w:tcPr>
                        <w:tcW w:w="3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20,345,071.04</w:t>
                        </w:r>
                      </w:p>
                    </w:tc>
                    <w:tc>
                      <w:tcPr>
                        <w:tcW w:w="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75"/>
                          <w:jc w:val="right"/>
                          <w:rPr>
                            <w:rFonts w:ascii="Times New Roman" w:hAnsi="Times New Roman" w:cs="Times New Roman" w:eastAsia="Times New Roman" w:hint="default"/>
                            <w:sz w:val="18"/>
                            <w:szCs w:val="18"/>
                          </w:rPr>
                        </w:pPr>
                        <w:r>
                          <w:rPr>
                            <w:rFonts w:ascii="Times New Roman"/>
                            <w:sz w:val="18"/>
                          </w:rPr>
                          <w:t>--</w:t>
                        </w:r>
                      </w:p>
                    </w:tc>
                    <w:tc>
                      <w:tcPr>
                        <w:tcW w:w="4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6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2"/>
          <w:szCs w:val="22"/>
        </w:rPr>
      </w:pPr>
    </w:p>
    <w:p>
      <w:pPr>
        <w:pStyle w:val="Heading5"/>
        <w:spacing w:line="240" w:lineRule="auto" w:before="37"/>
        <w:ind w:left="572" w:right="0"/>
        <w:jc w:val="left"/>
        <w:rPr>
          <w:b w:val="0"/>
          <w:bCs w:val="0"/>
        </w:rPr>
      </w:pPr>
      <w:bookmarkStart w:name="3、报告期内正在进行的重大的非股权投资情况" w:id="48"/>
      <w:bookmarkEnd w:id="48"/>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left="57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9"/>
        <w:rPr>
          <w:rFonts w:ascii="宋体" w:hAnsi="宋体" w:cs="宋体" w:eastAsia="宋体" w:hint="default"/>
          <w:sz w:val="26"/>
          <w:szCs w:val="26"/>
        </w:rPr>
      </w:pPr>
    </w:p>
    <w:p>
      <w:pPr>
        <w:pStyle w:val="Heading5"/>
        <w:spacing w:line="240" w:lineRule="auto"/>
        <w:ind w:left="572" w:right="0"/>
        <w:jc w:val="left"/>
        <w:rPr>
          <w:b w:val="0"/>
          <w:bCs w:val="0"/>
        </w:rPr>
      </w:pPr>
      <w:bookmarkStart w:name="4、以公允价值计量的金融资产" w:id="49"/>
      <w:bookmarkEnd w:id="49"/>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57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pStyle w:val="BodyText"/>
        <w:spacing w:line="240" w:lineRule="auto" w:before="101"/>
        <w:ind w:left="0" w:right="1132"/>
        <w:jc w:val="right"/>
      </w:pPr>
      <w:r>
        <w:rPr/>
        <w:t>单位：元</w:t>
      </w:r>
    </w:p>
    <w:p>
      <w:pPr>
        <w:spacing w:line="240" w:lineRule="auto" w:before="3"/>
        <w:rPr>
          <w:rFonts w:ascii="宋体" w:hAnsi="宋体" w:cs="宋体" w:eastAsia="宋体" w:hint="default"/>
          <w:sz w:val="8"/>
          <w:szCs w:val="8"/>
        </w:rPr>
      </w:pPr>
    </w:p>
    <w:tbl>
      <w:tblPr>
        <w:tblW w:w="0" w:type="auto"/>
        <w:jc w:val="left"/>
        <w:tblInd w:w="355" w:type="dxa"/>
        <w:tblLayout w:type="fixed"/>
        <w:tblCellMar>
          <w:top w:w="0" w:type="dxa"/>
          <w:left w:w="0" w:type="dxa"/>
          <w:bottom w:w="0" w:type="dxa"/>
          <w:right w:w="0" w:type="dxa"/>
        </w:tblCellMar>
        <w:tblLook w:val="01E0"/>
      </w:tblPr>
      <w:tblGrid>
        <w:gridCol w:w="426"/>
        <w:gridCol w:w="1417"/>
        <w:gridCol w:w="1134"/>
        <w:gridCol w:w="1418"/>
        <w:gridCol w:w="1349"/>
        <w:gridCol w:w="1333"/>
        <w:gridCol w:w="600"/>
        <w:gridCol w:w="1560"/>
        <w:gridCol w:w="828"/>
      </w:tblGrid>
      <w:tr>
        <w:trPr>
          <w:trHeight w:val="400" w:hRule="exact"/>
        </w:trPr>
        <w:tc>
          <w:tcPr>
            <w:tcW w:w="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7"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63" w:right="0"/>
              <w:jc w:val="left"/>
              <w:rPr>
                <w:rFonts w:ascii="宋体" w:hAnsi="宋体" w:cs="宋体" w:eastAsia="宋体" w:hint="default"/>
                <w:sz w:val="18"/>
                <w:szCs w:val="18"/>
              </w:rPr>
            </w:pPr>
            <w:r>
              <w:rPr>
                <w:rFonts w:ascii="宋体" w:hAnsi="宋体" w:cs="宋体" w:eastAsia="宋体" w:hint="default"/>
                <w:sz w:val="18"/>
                <w:szCs w:val="18"/>
              </w:rPr>
              <w:t>初始投资成本</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2" w:right="0"/>
              <w:jc w:val="left"/>
              <w:rPr>
                <w:rFonts w:ascii="宋体" w:hAnsi="宋体" w:cs="宋体" w:eastAsia="宋体" w:hint="default"/>
                <w:sz w:val="18"/>
                <w:szCs w:val="18"/>
              </w:rPr>
            </w:pPr>
            <w:r>
              <w:rPr>
                <w:rFonts w:ascii="宋体" w:hAnsi="宋体" w:cs="宋体" w:eastAsia="宋体" w:hint="default"/>
                <w:sz w:val="18"/>
                <w:szCs w:val="18"/>
              </w:rPr>
              <w:t>本期公允价</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5" w:right="0"/>
              <w:jc w:val="left"/>
              <w:rPr>
                <w:rFonts w:ascii="宋体" w:hAnsi="宋体" w:cs="宋体" w:eastAsia="宋体" w:hint="default"/>
                <w:sz w:val="18"/>
                <w:szCs w:val="18"/>
              </w:rPr>
            </w:pPr>
            <w:r>
              <w:rPr>
                <w:rFonts w:ascii="宋体" w:hAnsi="宋体" w:cs="宋体" w:eastAsia="宋体" w:hint="default"/>
                <w:sz w:val="18"/>
                <w:szCs w:val="18"/>
              </w:rPr>
              <w:t>计入权益的累计</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9" w:right="0"/>
              <w:jc w:val="left"/>
              <w:rPr>
                <w:rFonts w:ascii="宋体" w:hAnsi="宋体" w:cs="宋体" w:eastAsia="宋体" w:hint="default"/>
                <w:sz w:val="18"/>
                <w:szCs w:val="18"/>
              </w:rPr>
            </w:pPr>
            <w:r>
              <w:rPr>
                <w:rFonts w:ascii="宋体" w:hAnsi="宋体" w:cs="宋体" w:eastAsia="宋体" w:hint="default"/>
                <w:sz w:val="18"/>
                <w:szCs w:val="18"/>
              </w:rPr>
              <w:t>报告期内购入金</w:t>
            </w:r>
          </w:p>
        </w:tc>
        <w:tc>
          <w:tcPr>
            <w:tcW w:w="13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2" w:right="0"/>
              <w:jc w:val="left"/>
              <w:rPr>
                <w:rFonts w:ascii="宋体" w:hAnsi="宋体" w:cs="宋体" w:eastAsia="宋体" w:hint="default"/>
                <w:sz w:val="18"/>
                <w:szCs w:val="18"/>
              </w:rPr>
            </w:pPr>
            <w:r>
              <w:rPr>
                <w:rFonts w:ascii="宋体" w:hAnsi="宋体" w:cs="宋体" w:eastAsia="宋体" w:hint="default"/>
                <w:sz w:val="18"/>
                <w:szCs w:val="18"/>
              </w:rPr>
              <w:t>报告期内售出金</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6" w:right="0"/>
              <w:jc w:val="left"/>
              <w:rPr>
                <w:rFonts w:ascii="宋体" w:hAnsi="宋体" w:cs="宋体" w:eastAsia="宋体" w:hint="default"/>
                <w:sz w:val="18"/>
                <w:szCs w:val="18"/>
              </w:rPr>
            </w:pPr>
            <w:r>
              <w:rPr>
                <w:rFonts w:ascii="宋体" w:hAnsi="宋体" w:cs="宋体" w:eastAsia="宋体" w:hint="default"/>
                <w:sz w:val="18"/>
                <w:szCs w:val="18"/>
              </w:rPr>
              <w:t>累计投</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14" w:right="0"/>
              <w:jc w:val="left"/>
              <w:rPr>
                <w:rFonts w:ascii="宋体" w:hAnsi="宋体" w:cs="宋体" w:eastAsia="宋体" w:hint="default"/>
                <w:sz w:val="18"/>
                <w:szCs w:val="18"/>
              </w:rPr>
            </w:pPr>
            <w:r>
              <w:rPr>
                <w:rFonts w:ascii="宋体" w:hAnsi="宋体" w:cs="宋体" w:eastAsia="宋体" w:hint="default"/>
                <w:sz w:val="18"/>
                <w:szCs w:val="18"/>
              </w:rPr>
              <w:t>期末金额</w:t>
            </w:r>
          </w:p>
        </w:tc>
        <w:tc>
          <w:tcPr>
            <w:tcW w:w="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0" w:right="0"/>
              <w:jc w:val="left"/>
              <w:rPr>
                <w:rFonts w:ascii="宋体" w:hAnsi="宋体" w:cs="宋体" w:eastAsia="宋体" w:hint="default"/>
                <w:sz w:val="18"/>
                <w:szCs w:val="18"/>
              </w:rPr>
            </w:pPr>
            <w:r>
              <w:rPr>
                <w:rFonts w:ascii="宋体" w:hAnsi="宋体" w:cs="宋体" w:eastAsia="宋体" w:hint="default"/>
                <w:sz w:val="18"/>
                <w:szCs w:val="18"/>
              </w:rPr>
              <w:t>资金来源</w:t>
            </w:r>
          </w:p>
        </w:tc>
      </w:tr>
    </w:tbl>
    <w:p>
      <w:pPr>
        <w:spacing w:after="0" w:line="240" w:lineRule="auto"/>
        <w:jc w:val="left"/>
        <w:rPr>
          <w:rFonts w:ascii="宋体" w:hAnsi="宋体" w:cs="宋体" w:eastAsia="宋体" w:hint="default"/>
          <w:sz w:val="18"/>
          <w:szCs w:val="18"/>
        </w:rPr>
        <w:sectPr>
          <w:pgSz w:w="11910" w:h="16840"/>
          <w:pgMar w:header="878" w:footer="978" w:top="1100" w:bottom="1160" w:left="560" w:right="0"/>
        </w:sectPr>
      </w:pPr>
    </w:p>
    <w:p>
      <w:pPr>
        <w:spacing w:line="240" w:lineRule="auto" w:before="8"/>
        <w:rPr>
          <w:rFonts w:ascii="宋体" w:hAnsi="宋体" w:cs="宋体" w:eastAsia="宋体" w:hint="default"/>
          <w:sz w:val="24"/>
          <w:szCs w:val="24"/>
        </w:rPr>
      </w:pPr>
    </w:p>
    <w:tbl>
      <w:tblPr>
        <w:tblW w:w="0" w:type="auto"/>
        <w:jc w:val="left"/>
        <w:tblInd w:w="115" w:type="dxa"/>
        <w:tblLayout w:type="fixed"/>
        <w:tblCellMar>
          <w:top w:w="0" w:type="dxa"/>
          <w:left w:w="0" w:type="dxa"/>
          <w:bottom w:w="0" w:type="dxa"/>
          <w:right w:w="0" w:type="dxa"/>
        </w:tblCellMar>
        <w:tblLook w:val="01E0"/>
      </w:tblPr>
      <w:tblGrid>
        <w:gridCol w:w="426"/>
        <w:gridCol w:w="1417"/>
        <w:gridCol w:w="1134"/>
        <w:gridCol w:w="1418"/>
        <w:gridCol w:w="1349"/>
        <w:gridCol w:w="1333"/>
        <w:gridCol w:w="600"/>
        <w:gridCol w:w="1560"/>
        <w:gridCol w:w="828"/>
      </w:tblGrid>
      <w:tr>
        <w:trPr>
          <w:trHeight w:val="362" w:hRule="exact"/>
        </w:trPr>
        <w:tc>
          <w:tcPr>
            <w:tcW w:w="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7" w:right="0"/>
              <w:jc w:val="left"/>
              <w:rPr>
                <w:rFonts w:ascii="宋体" w:hAnsi="宋体" w:cs="宋体" w:eastAsia="宋体" w:hint="default"/>
                <w:sz w:val="18"/>
                <w:szCs w:val="18"/>
              </w:rPr>
            </w:pPr>
            <w:r>
              <w:rPr>
                <w:rFonts w:ascii="宋体" w:hAnsi="宋体" w:cs="宋体" w:eastAsia="宋体" w:hint="default"/>
                <w:sz w:val="18"/>
                <w:szCs w:val="18"/>
              </w:rPr>
              <w:t>类别</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2"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63" w:right="0"/>
              <w:jc w:val="left"/>
              <w:rPr>
                <w:rFonts w:ascii="宋体" w:hAnsi="宋体" w:cs="宋体" w:eastAsia="宋体" w:hint="default"/>
                <w:sz w:val="18"/>
                <w:szCs w:val="18"/>
              </w:rPr>
            </w:pPr>
            <w:r>
              <w:rPr>
                <w:rFonts w:ascii="宋体" w:hAnsi="宋体" w:cs="宋体" w:eastAsia="宋体" w:hint="default"/>
                <w:sz w:val="18"/>
                <w:szCs w:val="18"/>
              </w:rPr>
              <w:t>公允价值变动</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额</w:t>
            </w:r>
          </w:p>
        </w:tc>
        <w:tc>
          <w:tcPr>
            <w:tcW w:w="13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额</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6" w:right="0"/>
              <w:jc w:val="left"/>
              <w:rPr>
                <w:rFonts w:ascii="宋体" w:hAnsi="宋体" w:cs="宋体" w:eastAsia="宋体" w:hint="default"/>
                <w:sz w:val="18"/>
                <w:szCs w:val="18"/>
              </w:rPr>
            </w:pPr>
            <w:r>
              <w:rPr>
                <w:rFonts w:ascii="宋体" w:hAnsi="宋体" w:cs="宋体" w:eastAsia="宋体" w:hint="default"/>
                <w:sz w:val="18"/>
                <w:szCs w:val="18"/>
              </w:rPr>
              <w:t>资收益</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2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股票</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1,297,627,543.95</w:t>
            </w:r>
          </w:p>
        </w:tc>
        <w:tc>
          <w:tcPr>
            <w:tcW w:w="11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2" w:right="0"/>
              <w:jc w:val="left"/>
              <w:rPr>
                <w:rFonts w:ascii="Times New Roman" w:hAnsi="Times New Roman" w:cs="Times New Roman" w:eastAsia="Times New Roman" w:hint="default"/>
                <w:sz w:val="18"/>
                <w:szCs w:val="18"/>
              </w:rPr>
            </w:pPr>
            <w:r>
              <w:rPr>
                <w:rFonts w:ascii="Times New Roman"/>
                <w:sz w:val="18"/>
              </w:rPr>
              <w:t>-321,879,188.40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199,837,272.41</w:t>
            </w:r>
          </w:p>
        </w:tc>
        <w:tc>
          <w:tcPr>
            <w:tcW w:w="1333"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1,175,585,627.96</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48"/>
              <w:jc w:val="center"/>
              <w:rPr>
                <w:rFonts w:ascii="宋体" w:hAnsi="宋体" w:cs="宋体" w:eastAsia="宋体" w:hint="default"/>
                <w:sz w:val="18"/>
                <w:szCs w:val="18"/>
              </w:rPr>
            </w:pPr>
            <w:r>
              <w:rPr>
                <w:rFonts w:ascii="宋体" w:hAnsi="宋体" w:cs="宋体" w:eastAsia="宋体" w:hint="default"/>
                <w:sz w:val="18"/>
                <w:szCs w:val="18"/>
              </w:rPr>
              <w:t>自有资金</w:t>
            </w:r>
          </w:p>
        </w:tc>
      </w:tr>
      <w:tr>
        <w:trPr>
          <w:trHeight w:val="402" w:hRule="exact"/>
        </w:trPr>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基金</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30,030,800.00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33"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30,030,800.00</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8"/>
              <w:jc w:val="center"/>
              <w:rPr>
                <w:rFonts w:ascii="宋体" w:hAnsi="宋体" w:cs="宋体" w:eastAsia="宋体" w:hint="default"/>
                <w:sz w:val="18"/>
                <w:szCs w:val="18"/>
              </w:rPr>
            </w:pPr>
            <w:r>
              <w:rPr>
                <w:rFonts w:ascii="宋体" w:hAnsi="宋体" w:cs="宋体" w:eastAsia="宋体" w:hint="default"/>
                <w:sz w:val="18"/>
                <w:szCs w:val="18"/>
              </w:rPr>
              <w:t>自有资金</w:t>
            </w:r>
          </w:p>
        </w:tc>
      </w:tr>
      <w:tr>
        <w:trPr>
          <w:trHeight w:val="402" w:hRule="exact"/>
        </w:trPr>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1,594,610,805.39</w:t>
            </w:r>
          </w:p>
        </w:tc>
        <w:tc>
          <w:tcPr>
            <w:tcW w:w="11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5,690,379,119.55</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6" w:right="0"/>
              <w:jc w:val="center"/>
              <w:rPr>
                <w:rFonts w:ascii="Times New Roman" w:hAnsi="Times New Roman" w:cs="Times New Roman" w:eastAsia="Times New Roman" w:hint="default"/>
                <w:sz w:val="18"/>
                <w:szCs w:val="18"/>
              </w:rPr>
            </w:pPr>
            <w:r>
              <w:rPr>
                <w:rFonts w:ascii="Times New Roman"/>
                <w:sz w:val="18"/>
              </w:rPr>
              <w:t>5,784,883,724.94</w:t>
            </w:r>
          </w:p>
        </w:tc>
        <w:tc>
          <w:tcPr>
            <w:tcW w:w="60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1,500,106,200.00</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48"/>
              <w:jc w:val="center"/>
              <w:rPr>
                <w:rFonts w:ascii="宋体" w:hAnsi="宋体" w:cs="宋体" w:eastAsia="宋体" w:hint="default"/>
                <w:sz w:val="18"/>
                <w:szCs w:val="18"/>
              </w:rPr>
            </w:pPr>
            <w:r>
              <w:rPr>
                <w:rFonts w:ascii="宋体" w:hAnsi="宋体" w:cs="宋体" w:eastAsia="宋体" w:hint="default"/>
                <w:sz w:val="18"/>
                <w:szCs w:val="18"/>
              </w:rPr>
              <w:t>自有资金</w:t>
            </w:r>
          </w:p>
        </w:tc>
      </w:tr>
      <w:tr>
        <w:trPr>
          <w:trHeight w:val="402" w:hRule="exact"/>
        </w:trPr>
        <w:tc>
          <w:tcPr>
            <w:tcW w:w="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2,922,269,149.34</w:t>
            </w:r>
          </w:p>
        </w:tc>
        <w:tc>
          <w:tcPr>
            <w:tcW w:w="11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2" w:right="0"/>
              <w:jc w:val="left"/>
              <w:rPr>
                <w:rFonts w:ascii="Times New Roman" w:hAnsi="Times New Roman" w:cs="Times New Roman" w:eastAsia="Times New Roman" w:hint="default"/>
                <w:sz w:val="18"/>
                <w:szCs w:val="18"/>
              </w:rPr>
            </w:pPr>
            <w:r>
              <w:rPr>
                <w:rFonts w:ascii="Times New Roman"/>
                <w:sz w:val="18"/>
              </w:rPr>
              <w:t>-321,879,188.40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5,890,216,391.96</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 w:right="0"/>
              <w:jc w:val="center"/>
              <w:rPr>
                <w:rFonts w:ascii="Times New Roman" w:hAnsi="Times New Roman" w:cs="Times New Roman" w:eastAsia="Times New Roman" w:hint="default"/>
                <w:sz w:val="18"/>
                <w:szCs w:val="18"/>
              </w:rPr>
            </w:pPr>
            <w:r>
              <w:rPr>
                <w:rFonts w:ascii="Times New Roman"/>
                <w:sz w:val="18"/>
              </w:rPr>
              <w:t>5,784,883,724.94</w:t>
            </w:r>
          </w:p>
        </w:tc>
        <w:tc>
          <w:tcPr>
            <w:tcW w:w="60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2,705,722,627.96</w:t>
            </w:r>
          </w:p>
        </w:tc>
        <w:tc>
          <w:tcPr>
            <w:tcW w:w="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0"/>
        <w:rPr>
          <w:rFonts w:ascii="宋体" w:hAnsi="宋体" w:cs="宋体" w:eastAsia="宋体" w:hint="default"/>
          <w:sz w:val="19"/>
          <w:szCs w:val="19"/>
        </w:rPr>
      </w:pPr>
    </w:p>
    <w:p>
      <w:pPr>
        <w:pStyle w:val="Heading5"/>
        <w:spacing w:line="240" w:lineRule="auto" w:before="37"/>
        <w:ind w:left="332" w:right="0"/>
        <w:jc w:val="left"/>
        <w:rPr>
          <w:b w:val="0"/>
          <w:bCs w:val="0"/>
        </w:rPr>
      </w:pPr>
      <w:bookmarkStart w:name="5、募集资金使用情况" w:id="50"/>
      <w:bookmarkEnd w:id="50"/>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left="33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6"/>
        <w:rPr>
          <w:rFonts w:ascii="宋体" w:hAnsi="宋体" w:cs="宋体" w:eastAsia="宋体" w:hint="default"/>
          <w:sz w:val="26"/>
          <w:szCs w:val="26"/>
        </w:rPr>
      </w:pPr>
    </w:p>
    <w:p>
      <w:pPr>
        <w:pStyle w:val="Heading5"/>
        <w:spacing w:line="240" w:lineRule="auto"/>
        <w:ind w:left="332" w:right="0"/>
        <w:jc w:val="left"/>
        <w:rPr>
          <w:b w:val="0"/>
          <w:bCs w:val="0"/>
        </w:rPr>
      </w:pPr>
      <w:bookmarkStart w:name="（1）募集资金总体使用情况" w:id="51"/>
      <w:bookmarkEnd w:id="51"/>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33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pStyle w:val="BodyText"/>
        <w:spacing w:line="240" w:lineRule="auto" w:before="103"/>
        <w:ind w:left="0" w:right="1132"/>
        <w:jc w:val="right"/>
      </w:pPr>
      <w:r>
        <w:rPr/>
        <w:t>单位：万元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8"/>
          <w:szCs w:val="18"/>
        </w:rPr>
      </w:pPr>
    </w:p>
    <w:p>
      <w:pPr>
        <w:pStyle w:val="BodyText"/>
        <w:spacing w:line="240" w:lineRule="auto" w:before="44"/>
        <w:ind w:left="0" w:right="1144"/>
        <w:jc w:val="right"/>
      </w:pPr>
      <w:r>
        <w:rPr/>
        <w:pict>
          <v:shape style="position:absolute;margin-left:56.459999pt;margin-top:-176.747299pt;width:478.95pt;height:292.2pt;mso-position-horizontal-relative:page;mso-position-vertical-relative:paragraph;z-index:10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709"/>
                    <w:gridCol w:w="709"/>
                    <w:gridCol w:w="992"/>
                    <w:gridCol w:w="851"/>
                    <w:gridCol w:w="992"/>
                    <w:gridCol w:w="962"/>
                    <w:gridCol w:w="940"/>
                    <w:gridCol w:w="800"/>
                    <w:gridCol w:w="938"/>
                    <w:gridCol w:w="1038"/>
                    <w:gridCol w:w="633"/>
                  </w:tblGrid>
                  <w:tr>
                    <w:trPr>
                      <w:trHeight w:val="1378" w:hRule="exact"/>
                    </w:trPr>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7" w:lineRule="auto" w:before="51"/>
                          <w:ind w:left="169" w:right="168"/>
                          <w:jc w:val="left"/>
                          <w:rPr>
                            <w:rFonts w:ascii="宋体" w:hAnsi="宋体" w:cs="宋体" w:eastAsia="宋体" w:hint="default"/>
                            <w:sz w:val="18"/>
                            <w:szCs w:val="18"/>
                          </w:rPr>
                        </w:pPr>
                        <w:r>
                          <w:rPr>
                            <w:rFonts w:ascii="宋体" w:hAnsi="宋体" w:cs="宋体" w:eastAsia="宋体" w:hint="default"/>
                            <w:sz w:val="18"/>
                            <w:szCs w:val="18"/>
                          </w:rPr>
                          <w:t>募集 年份</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7" w:lineRule="auto" w:before="51"/>
                          <w:ind w:left="168" w:right="169"/>
                          <w:jc w:val="left"/>
                          <w:rPr>
                            <w:rFonts w:ascii="宋体" w:hAnsi="宋体" w:cs="宋体" w:eastAsia="宋体" w:hint="default"/>
                            <w:sz w:val="18"/>
                            <w:szCs w:val="18"/>
                          </w:rPr>
                        </w:pPr>
                        <w:r>
                          <w:rPr>
                            <w:rFonts w:ascii="宋体" w:hAnsi="宋体" w:cs="宋体" w:eastAsia="宋体" w:hint="default"/>
                            <w:sz w:val="18"/>
                            <w:szCs w:val="18"/>
                          </w:rPr>
                          <w:t>募集 方式</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7" w:lineRule="auto" w:before="51"/>
                          <w:ind w:left="311" w:right="129"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0" w:right="58"/>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38" w:lineRule="auto" w:before="51"/>
                          <w:ind w:left="40" w:right="40"/>
                          <w:jc w:val="center"/>
                          <w:rPr>
                            <w:rFonts w:ascii="宋体" w:hAnsi="宋体" w:cs="宋体" w:eastAsia="宋体" w:hint="default"/>
                            <w:sz w:val="18"/>
                            <w:szCs w:val="18"/>
                          </w:rPr>
                        </w:pPr>
                        <w:r>
                          <w:rPr>
                            <w:rFonts w:ascii="宋体" w:hAnsi="宋体" w:cs="宋体" w:eastAsia="宋体" w:hint="default"/>
                            <w:sz w:val="18"/>
                            <w:szCs w:val="18"/>
                          </w:rPr>
                          <w:t>已累计使用 募集资金 总额</w:t>
                        </w:r>
                      </w:p>
                    </w:tc>
                    <w:tc>
                      <w:tcPr>
                        <w:tcW w:w="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25"/>
                          <w:jc w:val="both"/>
                          <w:rPr>
                            <w:rFonts w:ascii="宋体" w:hAnsi="宋体" w:cs="宋体" w:eastAsia="宋体" w:hint="default"/>
                            <w:sz w:val="18"/>
                            <w:szCs w:val="18"/>
                          </w:rPr>
                        </w:pPr>
                        <w:r>
                          <w:rPr>
                            <w:rFonts w:ascii="宋体" w:hAnsi="宋体" w:cs="宋体" w:eastAsia="宋体" w:hint="default"/>
                            <w:sz w:val="18"/>
                            <w:szCs w:val="18"/>
                          </w:rPr>
                          <w:t>报告期内变 更用途的募 集资金总额</w:t>
                        </w:r>
                      </w:p>
                    </w:tc>
                    <w:tc>
                      <w:tcPr>
                        <w:tcW w:w="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4" w:right="103"/>
                          <w:jc w:val="center"/>
                          <w:rPr>
                            <w:rFonts w:ascii="宋体" w:hAnsi="宋体" w:cs="宋体" w:eastAsia="宋体" w:hint="default"/>
                            <w:sz w:val="18"/>
                            <w:szCs w:val="18"/>
                          </w:rPr>
                        </w:pPr>
                        <w:r>
                          <w:rPr>
                            <w:rFonts w:ascii="宋体" w:hAnsi="宋体" w:cs="宋体" w:eastAsia="宋体" w:hint="default"/>
                            <w:sz w:val="18"/>
                            <w:szCs w:val="18"/>
                          </w:rPr>
                          <w:t>累计变更 用途的募 集资金</w:t>
                        </w:r>
                      </w:p>
                      <w:p>
                        <w:pPr>
                          <w:pStyle w:val="TableParagraph"/>
                          <w:spacing w:line="240" w:lineRule="auto" w:before="57"/>
                          <w:ind w:right="1"/>
                          <w:jc w:val="center"/>
                          <w:rPr>
                            <w:rFonts w:ascii="宋体" w:hAnsi="宋体" w:cs="宋体" w:eastAsia="宋体" w:hint="default"/>
                            <w:sz w:val="18"/>
                            <w:szCs w:val="18"/>
                          </w:rPr>
                        </w:pPr>
                        <w:r>
                          <w:rPr>
                            <w:rFonts w:ascii="宋体" w:hAnsi="宋体" w:cs="宋体" w:eastAsia="宋体" w:hint="default"/>
                            <w:sz w:val="18"/>
                            <w:szCs w:val="18"/>
                          </w:rPr>
                          <w:t>总额</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5" w:right="32"/>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9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4" w:right="101"/>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1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4" w:right="62"/>
                          <w:jc w:val="center"/>
                          <w:rPr>
                            <w:rFonts w:ascii="宋体" w:hAnsi="宋体" w:cs="宋体" w:eastAsia="宋体" w:hint="default"/>
                            <w:sz w:val="18"/>
                            <w:szCs w:val="18"/>
                          </w:rPr>
                        </w:pPr>
                        <w:r>
                          <w:rPr>
                            <w:rFonts w:ascii="宋体" w:hAnsi="宋体" w:cs="宋体" w:eastAsia="宋体" w:hint="default"/>
                            <w:sz w:val="18"/>
                            <w:szCs w:val="18"/>
                          </w:rPr>
                          <w:t>尚未使用募 集资金用途 及去向</w:t>
                        </w:r>
                      </w:p>
                    </w:tc>
                    <w:tc>
                      <w:tcPr>
                        <w:tcW w:w="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1" w:right="40"/>
                          <w:jc w:val="both"/>
                          <w:rPr>
                            <w:rFonts w:ascii="宋体" w:hAnsi="宋体" w:cs="宋体" w:eastAsia="宋体" w:hint="default"/>
                            <w:sz w:val="18"/>
                            <w:szCs w:val="18"/>
                          </w:rPr>
                        </w:pPr>
                        <w:r>
                          <w:rPr>
                            <w:rFonts w:ascii="宋体" w:hAnsi="宋体" w:cs="宋体" w:eastAsia="宋体" w:hint="default"/>
                            <w:sz w:val="18"/>
                            <w:szCs w:val="18"/>
                          </w:rPr>
                          <w:t>闲置两 年以上 募集资 金金额</w:t>
                        </w:r>
                      </w:p>
                    </w:tc>
                  </w:tr>
                  <w:tr>
                    <w:trPr>
                      <w:trHeight w:val="1338"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24" w:right="133"/>
                          <w:jc w:val="left"/>
                          <w:rPr>
                            <w:rFonts w:ascii="宋体" w:hAnsi="宋体" w:cs="宋体" w:eastAsia="宋体" w:hint="default"/>
                            <w:sz w:val="18"/>
                            <w:szCs w:val="18"/>
                          </w:rPr>
                        </w:pPr>
                        <w:r>
                          <w:rPr>
                            <w:rFonts w:ascii="宋体" w:hAnsi="宋体" w:cs="宋体" w:eastAsia="宋体" w:hint="default"/>
                            <w:sz w:val="18"/>
                            <w:szCs w:val="18"/>
                          </w:rPr>
                          <w:t>非公开 发行</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311,552.98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15,133.91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166,579.28</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131,506.08</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145,506.08</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46.70%</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71" w:right="0"/>
                          <w:jc w:val="center"/>
                          <w:rPr>
                            <w:rFonts w:ascii="Times New Roman" w:hAnsi="Times New Roman" w:cs="Times New Roman" w:eastAsia="Times New Roman" w:hint="default"/>
                            <w:sz w:val="18"/>
                            <w:szCs w:val="18"/>
                          </w:rPr>
                        </w:pPr>
                        <w:r>
                          <w:rPr>
                            <w:rFonts w:ascii="Times New Roman"/>
                            <w:sz w:val="18"/>
                          </w:rPr>
                          <w:t>163,914.61</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103"/>
                          <w:jc w:val="both"/>
                          <w:rPr>
                            <w:rFonts w:ascii="宋体" w:hAnsi="宋体" w:cs="宋体" w:eastAsia="宋体" w:hint="default"/>
                            <w:sz w:val="18"/>
                            <w:szCs w:val="18"/>
                          </w:rPr>
                        </w:pPr>
                        <w:r>
                          <w:rPr>
                            <w:rFonts w:ascii="宋体" w:hAnsi="宋体" w:cs="宋体" w:eastAsia="宋体" w:hint="default"/>
                            <w:sz w:val="18"/>
                            <w:szCs w:val="18"/>
                          </w:rPr>
                          <w:t>尚未使用的 募集资金存 放于募集资 金专户</w:t>
                        </w:r>
                      </w:p>
                    </w:tc>
                    <w:tc>
                      <w:tcPr>
                        <w:tcW w:w="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37" w:right="0"/>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311,552.98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15,133.91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166,579.28</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131,506.08</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145,506.08</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46.70%</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center"/>
                          <w:rPr>
                            <w:rFonts w:ascii="Times New Roman" w:hAnsi="Times New Roman" w:cs="Times New Roman" w:eastAsia="Times New Roman" w:hint="default"/>
                            <w:sz w:val="18"/>
                            <w:szCs w:val="18"/>
                          </w:rPr>
                        </w:pPr>
                        <w:r>
                          <w:rPr>
                            <w:rFonts w:ascii="Times New Roman"/>
                            <w:sz w:val="18"/>
                          </w:rPr>
                          <w:t>163,914.61</w:t>
                        </w:r>
                      </w:p>
                    </w:tc>
                    <w:tc>
                      <w:tcPr>
                        <w:tcW w:w="1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9564"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2314" w:hRule="exact"/>
                    </w:trPr>
                    <w:tc>
                      <w:tcPr>
                        <w:tcW w:w="9564" w:type="dxa"/>
                        <w:gridSpan w:val="11"/>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2" w:right="74" w:firstLine="360"/>
                          <w:jc w:val="left"/>
                          <w:rPr>
                            <w:rFonts w:ascii="Times New Roman" w:hAnsi="Times New Roman" w:cs="Times New Roman" w:eastAsia="Times New Roman" w:hint="default"/>
                            <w:sz w:val="18"/>
                            <w:szCs w:val="18"/>
                          </w:rPr>
                        </w:pPr>
                        <w:r>
                          <w:rPr>
                            <w:rFonts w:ascii="宋体" w:hAnsi="宋体" w:cs="宋体" w:eastAsia="宋体" w:hint="default"/>
                            <w:sz w:val="18"/>
                            <w:szCs w:val="18"/>
                          </w:rPr>
                          <w:t>经中国证券监督管理委员会核准（证监许可【</w:t>
                        </w:r>
                        <w:r>
                          <w:rPr>
                            <w:rFonts w:ascii="Times New Roman" w:hAnsi="Times New Roman" w:cs="Times New Roman" w:eastAsia="Times New Roman" w:hint="default"/>
                            <w:sz w:val="18"/>
                            <w:szCs w:val="18"/>
                          </w:rPr>
                          <w:t>2015</w:t>
                        </w:r>
                        <w:r>
                          <w:rPr>
                            <w:rFonts w:ascii="宋体" w:hAnsi="宋体" w:cs="宋体" w:eastAsia="宋体" w:hint="default"/>
                            <w:sz w:val="18"/>
                            <w:szCs w:val="18"/>
                          </w:rPr>
                          <w:t>】</w:t>
                        </w:r>
                        <w:r>
                          <w:rPr>
                            <w:rFonts w:ascii="Times New Roman" w:hAnsi="Times New Roman" w:cs="Times New Roman" w:eastAsia="Times New Roman" w:hint="default"/>
                            <w:sz w:val="18"/>
                            <w:szCs w:val="18"/>
                          </w:rPr>
                          <w:t>3135</w:t>
                        </w:r>
                        <w:r>
                          <w:rPr>
                            <w:rFonts w:ascii="Times New Roman" w:hAnsi="Times New Roman" w:cs="Times New Roman" w:eastAsia="Times New Roman" w:hint="default"/>
                            <w:spacing w:val="-11"/>
                            <w:sz w:val="18"/>
                            <w:szCs w:val="18"/>
                          </w:rPr>
                          <w:t> </w:t>
                        </w:r>
                        <w:r>
                          <w:rPr>
                            <w:rFonts w:ascii="宋体" w:hAnsi="宋体" w:cs="宋体" w:eastAsia="宋体" w:hint="default"/>
                            <w:spacing w:val="-3"/>
                            <w:sz w:val="18"/>
                            <w:szCs w:val="18"/>
                          </w:rPr>
                          <w:t>号），公司非公开发行</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182,820,000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股人民币普通股（</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股 股票，发行价格为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17.16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股，募集资金总额为人民币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3,137,191,200.00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元，扣除与发行有关的费用人民币</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21,661,435.10</w:t>
                        </w:r>
                      </w:p>
                      <w:p>
                        <w:pPr>
                          <w:pStyle w:val="TableParagraph"/>
                          <w:spacing w:line="240" w:lineRule="auto" w:before="13"/>
                          <w:ind w:left="22" w:right="0"/>
                          <w:jc w:val="both"/>
                          <w:rPr>
                            <w:rFonts w:ascii="宋体" w:hAnsi="宋体" w:cs="宋体" w:eastAsia="宋体" w:hint="default"/>
                            <w:sz w:val="18"/>
                            <w:szCs w:val="18"/>
                          </w:rPr>
                        </w:pPr>
                        <w:r>
                          <w:rPr>
                            <w:rFonts w:ascii="宋体" w:hAnsi="宋体" w:cs="宋体" w:eastAsia="宋体" w:hint="default"/>
                            <w:sz w:val="18"/>
                            <w:szCs w:val="18"/>
                          </w:rPr>
                          <w:t>元，公司实际募集资金净额为人民币</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3,115,529,764.90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w:t>
                        </w:r>
                      </w:p>
                      <w:p>
                        <w:pPr>
                          <w:pStyle w:val="TableParagraph"/>
                          <w:spacing w:line="240" w:lineRule="auto" w:before="103"/>
                          <w:ind w:left="382"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日，公司募集资金使用情况为：用于补充流动资金</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1,155,239,764.90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元，置换先期自筹资金投入</w:t>
                        </w:r>
                      </w:p>
                      <w:p>
                        <w:pPr>
                          <w:pStyle w:val="TableParagraph"/>
                          <w:spacing w:line="300" w:lineRule="auto" w:before="63"/>
                          <w:ind w:left="22" w:right="20"/>
                          <w:jc w:val="both"/>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81,645,397.82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元，直接投入募集资金项目</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428,907,652.74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元，合计已使用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1,665,792,815.46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元。截至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 </w:t>
                        </w:r>
                        <w:r>
                          <w:rPr>
                            <w:rFonts w:ascii="宋体" w:hAnsi="宋体" w:cs="宋体" w:eastAsia="宋体" w:hint="default"/>
                            <w:spacing w:val="-3"/>
                            <w:sz w:val="18"/>
                            <w:szCs w:val="18"/>
                          </w:rPr>
                          <w:t>日，公司募集资金专户余额为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1,639,146,142.95</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元（包含银行理财产品余额</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700,000,000.00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元、募集资金银行存款利息收入 </w:t>
                        </w:r>
                        <w:r>
                          <w:rPr>
                            <w:rFonts w:ascii="Times New Roman" w:hAnsi="Times New Roman" w:cs="Times New Roman" w:eastAsia="Times New Roman" w:hint="default"/>
                            <w:sz w:val="18"/>
                            <w:szCs w:val="18"/>
                          </w:rPr>
                          <w:t>68,237,760.49 </w:t>
                        </w:r>
                        <w:r>
                          <w:rPr>
                            <w:rFonts w:ascii="宋体" w:hAnsi="宋体" w:cs="宋体" w:eastAsia="宋体" w:hint="default"/>
                            <w:sz w:val="18"/>
                            <w:szCs w:val="18"/>
                          </w:rPr>
                          <w:t>元和理财收益 </w:t>
                        </w:r>
                        <w:r>
                          <w:rPr>
                            <w:rFonts w:ascii="Times New Roman" w:hAnsi="Times New Roman" w:cs="Times New Roman" w:eastAsia="Times New Roman" w:hint="default"/>
                            <w:sz w:val="18"/>
                            <w:szCs w:val="18"/>
                          </w:rPr>
                          <w:t>121,171,433.02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元）。</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pStyle w:val="Heading5"/>
        <w:spacing w:line="240" w:lineRule="auto" w:before="37"/>
        <w:ind w:left="332" w:right="0"/>
        <w:jc w:val="left"/>
        <w:rPr>
          <w:b w:val="0"/>
          <w:bCs w:val="0"/>
        </w:rPr>
      </w:pPr>
      <w:bookmarkStart w:name="（2）募集资金承诺项目情况" w:id="52"/>
      <w:bookmarkEnd w:id="52"/>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33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pStyle w:val="BodyText"/>
        <w:spacing w:line="240" w:lineRule="auto" w:before="103"/>
        <w:ind w:left="0" w:right="1132"/>
        <w:jc w:val="right"/>
      </w:pPr>
      <w:r>
        <w:rPr/>
        <w:t>单位：万元</w:t>
      </w:r>
    </w:p>
    <w:p>
      <w:pPr>
        <w:spacing w:line="240" w:lineRule="auto" w:before="2"/>
        <w:rPr>
          <w:rFonts w:ascii="宋体" w:hAnsi="宋体" w:cs="宋体" w:eastAsia="宋体" w:hint="default"/>
          <w:sz w:val="8"/>
          <w:szCs w:val="8"/>
        </w:rPr>
      </w:pPr>
    </w:p>
    <w:tbl>
      <w:tblPr>
        <w:tblW w:w="0" w:type="auto"/>
        <w:jc w:val="left"/>
        <w:tblInd w:w="329" w:type="dxa"/>
        <w:tblLayout w:type="fixed"/>
        <w:tblCellMar>
          <w:top w:w="0" w:type="dxa"/>
          <w:left w:w="0" w:type="dxa"/>
          <w:bottom w:w="0" w:type="dxa"/>
          <w:right w:w="0" w:type="dxa"/>
        </w:tblCellMar>
        <w:tblLook w:val="01E0"/>
      </w:tblPr>
      <w:tblGrid>
        <w:gridCol w:w="1770"/>
        <w:gridCol w:w="779"/>
        <w:gridCol w:w="995"/>
        <w:gridCol w:w="992"/>
        <w:gridCol w:w="851"/>
        <w:gridCol w:w="1134"/>
        <w:gridCol w:w="763"/>
        <w:gridCol w:w="576"/>
        <w:gridCol w:w="645"/>
        <w:gridCol w:w="603"/>
        <w:gridCol w:w="636"/>
      </w:tblGrid>
      <w:tr>
        <w:trPr>
          <w:trHeight w:val="356" w:hRule="exact"/>
        </w:trPr>
        <w:tc>
          <w:tcPr>
            <w:tcW w:w="1770"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承诺投资项目和超募</w:t>
            </w:r>
          </w:p>
        </w:tc>
        <w:tc>
          <w:tcPr>
            <w:tcW w:w="779"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是否已变</w:t>
            </w:r>
          </w:p>
        </w:tc>
        <w:tc>
          <w:tcPr>
            <w:tcW w:w="995"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49"/>
              <w:ind w:right="41"/>
              <w:jc w:val="right"/>
              <w:rPr>
                <w:rFonts w:ascii="宋体" w:hAnsi="宋体" w:cs="宋体" w:eastAsia="宋体" w:hint="default"/>
                <w:sz w:val="18"/>
                <w:szCs w:val="18"/>
              </w:rPr>
            </w:pPr>
            <w:r>
              <w:rPr>
                <w:rFonts w:ascii="宋体" w:hAnsi="宋体" w:cs="宋体" w:eastAsia="宋体" w:hint="default"/>
                <w:sz w:val="18"/>
                <w:szCs w:val="18"/>
              </w:rPr>
              <w:t>募集资金承</w:t>
            </w:r>
          </w:p>
        </w:tc>
        <w:tc>
          <w:tcPr>
            <w:tcW w:w="992"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调整后投资</w:t>
            </w:r>
          </w:p>
        </w:tc>
        <w:tc>
          <w:tcPr>
            <w:tcW w:w="851"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本报告期</w:t>
            </w:r>
          </w:p>
        </w:tc>
        <w:tc>
          <w:tcPr>
            <w:tcW w:w="1134"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截至期末累</w:t>
            </w:r>
          </w:p>
        </w:tc>
        <w:tc>
          <w:tcPr>
            <w:tcW w:w="763"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49"/>
              <w:ind w:right="104"/>
              <w:jc w:val="right"/>
              <w:rPr>
                <w:rFonts w:ascii="宋体" w:hAnsi="宋体" w:cs="宋体" w:eastAsia="宋体" w:hint="default"/>
                <w:sz w:val="18"/>
                <w:szCs w:val="18"/>
              </w:rPr>
            </w:pPr>
            <w:r>
              <w:rPr>
                <w:rFonts w:ascii="宋体" w:hAnsi="宋体" w:cs="宋体" w:eastAsia="宋体" w:hint="default"/>
                <w:sz w:val="18"/>
                <w:szCs w:val="18"/>
              </w:rPr>
              <w:t>截至期</w:t>
            </w:r>
          </w:p>
        </w:tc>
        <w:tc>
          <w:tcPr>
            <w:tcW w:w="576"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49"/>
              <w:ind w:right="102"/>
              <w:jc w:val="right"/>
              <w:rPr>
                <w:rFonts w:ascii="宋体" w:hAnsi="宋体" w:cs="宋体" w:eastAsia="宋体" w:hint="default"/>
                <w:sz w:val="18"/>
                <w:szCs w:val="18"/>
              </w:rPr>
            </w:pPr>
            <w:r>
              <w:rPr>
                <w:rFonts w:ascii="宋体" w:hAnsi="宋体" w:cs="宋体" w:eastAsia="宋体" w:hint="default"/>
                <w:sz w:val="18"/>
                <w:szCs w:val="18"/>
              </w:rPr>
              <w:t>项目</w:t>
            </w:r>
          </w:p>
        </w:tc>
        <w:tc>
          <w:tcPr>
            <w:tcW w:w="645"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49"/>
              <w:ind w:right="46"/>
              <w:jc w:val="right"/>
              <w:rPr>
                <w:rFonts w:ascii="宋体" w:hAnsi="宋体" w:cs="宋体" w:eastAsia="宋体" w:hint="default"/>
                <w:sz w:val="18"/>
                <w:szCs w:val="18"/>
              </w:rPr>
            </w:pPr>
            <w:r>
              <w:rPr>
                <w:rFonts w:ascii="宋体" w:hAnsi="宋体" w:cs="宋体" w:eastAsia="宋体" w:hint="default"/>
                <w:sz w:val="18"/>
                <w:szCs w:val="18"/>
              </w:rPr>
              <w:t>本报告</w:t>
            </w:r>
          </w:p>
        </w:tc>
        <w:tc>
          <w:tcPr>
            <w:tcW w:w="603"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是否达</w:t>
            </w:r>
          </w:p>
        </w:tc>
        <w:tc>
          <w:tcPr>
            <w:tcW w:w="636"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项目可</w:t>
            </w:r>
          </w:p>
        </w:tc>
      </w:tr>
      <w:tr>
        <w:trPr>
          <w:trHeight w:val="317" w:hRule="exact"/>
        </w:trPr>
        <w:tc>
          <w:tcPr>
            <w:tcW w:w="17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资金投向</w:t>
            </w:r>
          </w:p>
        </w:tc>
        <w:tc>
          <w:tcPr>
            <w:tcW w:w="77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115" w:right="0"/>
              <w:jc w:val="left"/>
              <w:rPr>
                <w:rFonts w:ascii="宋体" w:hAnsi="宋体" w:cs="宋体" w:eastAsia="宋体" w:hint="default"/>
                <w:sz w:val="18"/>
                <w:szCs w:val="18"/>
              </w:rPr>
            </w:pPr>
            <w:r>
              <w:rPr>
                <w:rFonts w:ascii="宋体" w:hAnsi="宋体" w:cs="宋体" w:eastAsia="宋体" w:hint="default"/>
                <w:sz w:val="18"/>
                <w:szCs w:val="18"/>
              </w:rPr>
              <w:t>更项目</w:t>
            </w:r>
          </w:p>
        </w:tc>
        <w:tc>
          <w:tcPr>
            <w:tcW w:w="9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41"/>
              <w:jc w:val="right"/>
              <w:rPr>
                <w:rFonts w:ascii="宋体" w:hAnsi="宋体" w:cs="宋体" w:eastAsia="宋体" w:hint="default"/>
                <w:sz w:val="18"/>
                <w:szCs w:val="18"/>
              </w:rPr>
            </w:pPr>
            <w:r>
              <w:rPr>
                <w:rFonts w:ascii="宋体" w:hAnsi="宋体" w:cs="宋体" w:eastAsia="宋体" w:hint="default"/>
                <w:sz w:val="18"/>
                <w:szCs w:val="18"/>
              </w:rPr>
              <w:t>诺投资总额</w:t>
            </w:r>
          </w:p>
        </w:tc>
        <w:tc>
          <w:tcPr>
            <w:tcW w:w="9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总额</w:t>
            </w:r>
            <w:r>
              <w:rPr>
                <w:rFonts w:ascii="Times New Roman" w:hAnsi="Times New Roman" w:cs="Times New Roman" w:eastAsia="Times New Roman" w:hint="default"/>
                <w:sz w:val="18"/>
                <w:szCs w:val="18"/>
              </w:rPr>
              <w:t>(1)</w:t>
            </w:r>
          </w:p>
        </w:tc>
        <w:tc>
          <w:tcPr>
            <w:tcW w:w="8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投入金额</w:t>
            </w:r>
          </w:p>
        </w:tc>
        <w:tc>
          <w:tcPr>
            <w:tcW w:w="113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计投入金额</w:t>
            </w:r>
          </w:p>
        </w:tc>
        <w:tc>
          <w:tcPr>
            <w:tcW w:w="76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104"/>
              <w:jc w:val="right"/>
              <w:rPr>
                <w:rFonts w:ascii="宋体" w:hAnsi="宋体" w:cs="宋体" w:eastAsia="宋体" w:hint="default"/>
                <w:sz w:val="18"/>
                <w:szCs w:val="18"/>
              </w:rPr>
            </w:pPr>
            <w:r>
              <w:rPr>
                <w:rFonts w:ascii="宋体" w:hAnsi="宋体" w:cs="宋体" w:eastAsia="宋体" w:hint="default"/>
                <w:sz w:val="18"/>
                <w:szCs w:val="18"/>
              </w:rPr>
              <w:t>末投资</w:t>
            </w:r>
          </w:p>
        </w:tc>
        <w:tc>
          <w:tcPr>
            <w:tcW w:w="57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102"/>
              <w:jc w:val="right"/>
              <w:rPr>
                <w:rFonts w:ascii="宋体" w:hAnsi="宋体" w:cs="宋体" w:eastAsia="宋体" w:hint="default"/>
                <w:sz w:val="18"/>
                <w:szCs w:val="18"/>
              </w:rPr>
            </w:pPr>
            <w:r>
              <w:rPr>
                <w:rFonts w:ascii="宋体" w:hAnsi="宋体" w:cs="宋体" w:eastAsia="宋体" w:hint="default"/>
                <w:sz w:val="18"/>
                <w:szCs w:val="18"/>
              </w:rPr>
              <w:t>达到</w:t>
            </w:r>
          </w:p>
        </w:tc>
        <w:tc>
          <w:tcPr>
            <w:tcW w:w="64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46"/>
              <w:jc w:val="right"/>
              <w:rPr>
                <w:rFonts w:ascii="宋体" w:hAnsi="宋体" w:cs="宋体" w:eastAsia="宋体" w:hint="default"/>
                <w:sz w:val="18"/>
                <w:szCs w:val="18"/>
              </w:rPr>
            </w:pPr>
            <w:r>
              <w:rPr>
                <w:rFonts w:ascii="宋体" w:hAnsi="宋体" w:cs="宋体" w:eastAsia="宋体" w:hint="default"/>
                <w:sz w:val="18"/>
                <w:szCs w:val="18"/>
              </w:rPr>
              <w:t>期实现</w:t>
            </w:r>
          </w:p>
        </w:tc>
        <w:tc>
          <w:tcPr>
            <w:tcW w:w="60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到预计</w:t>
            </w:r>
          </w:p>
        </w:tc>
        <w:tc>
          <w:tcPr>
            <w:tcW w:w="6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行性是</w:t>
            </w:r>
          </w:p>
        </w:tc>
      </w:tr>
      <w:tr>
        <w:trPr>
          <w:trHeight w:val="312" w:hRule="exact"/>
        </w:trPr>
        <w:tc>
          <w:tcPr>
            <w:tcW w:w="1770" w:type="dxa"/>
            <w:tcBorders>
              <w:top w:val="nil" w:sz="6" w:space="0" w:color="auto"/>
              <w:left w:val="single" w:sz="4" w:space="0" w:color="000000"/>
              <w:bottom w:val="nil" w:sz="6" w:space="0" w:color="auto"/>
              <w:right w:val="single" w:sz="4" w:space="0" w:color="000000"/>
            </w:tcBorders>
            <w:shd w:val="clear" w:color="auto" w:fill="D2D2D2"/>
          </w:tcPr>
          <w:p>
            <w:pPr/>
          </w:p>
        </w:tc>
        <w:tc>
          <w:tcPr>
            <w:tcW w:w="77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
              <w:ind w:left="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含部分</w:t>
            </w:r>
          </w:p>
        </w:tc>
        <w:tc>
          <w:tcPr>
            <w:tcW w:w="995" w:type="dxa"/>
            <w:tcBorders>
              <w:top w:val="nil" w:sz="6" w:space="0" w:color="auto"/>
              <w:left w:val="single" w:sz="4" w:space="0" w:color="000000"/>
              <w:bottom w:val="nil" w:sz="6" w:space="0" w:color="auto"/>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shd w:val="clear" w:color="auto" w:fill="D2D2D2"/>
          </w:tcPr>
          <w:p>
            <w:pPr/>
          </w:p>
        </w:tc>
        <w:tc>
          <w:tcPr>
            <w:tcW w:w="851" w:type="dxa"/>
            <w:tcBorders>
              <w:top w:val="nil" w:sz="6" w:space="0" w:color="auto"/>
              <w:left w:val="single" w:sz="4" w:space="0" w:color="000000"/>
              <w:bottom w:val="nil" w:sz="6" w:space="0" w:color="auto"/>
              <w:right w:val="single" w:sz="4" w:space="0" w:color="000000"/>
            </w:tcBorders>
            <w:shd w:val="clear" w:color="auto" w:fill="D2D2D2"/>
          </w:tcPr>
          <w:p>
            <w:pPr/>
          </w:p>
        </w:tc>
        <w:tc>
          <w:tcPr>
            <w:tcW w:w="113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7"/>
              <w:ind w:left="3" w:right="0"/>
              <w:jc w:val="center"/>
              <w:rPr>
                <w:rFonts w:ascii="Times New Roman" w:hAnsi="Times New Roman" w:cs="Times New Roman" w:eastAsia="Times New Roman" w:hint="default"/>
                <w:sz w:val="18"/>
                <w:szCs w:val="18"/>
              </w:rPr>
            </w:pPr>
            <w:r>
              <w:rPr>
                <w:rFonts w:ascii="Times New Roman"/>
                <w:sz w:val="18"/>
              </w:rPr>
              <w:t>(2)</w:t>
            </w:r>
          </w:p>
        </w:tc>
        <w:tc>
          <w:tcPr>
            <w:tcW w:w="76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
              <w:ind w:right="88"/>
              <w:jc w:val="right"/>
              <w:rPr>
                <w:rFonts w:ascii="Times New Roman" w:hAnsi="Times New Roman" w:cs="Times New Roman" w:eastAsia="Times New Roman" w:hint="default"/>
                <w:sz w:val="18"/>
                <w:szCs w:val="18"/>
              </w:rPr>
            </w:pPr>
            <w:r>
              <w:rPr>
                <w:rFonts w:ascii="宋体" w:hAnsi="宋体" w:cs="宋体" w:eastAsia="宋体" w:hint="default"/>
                <w:sz w:val="18"/>
                <w:szCs w:val="18"/>
              </w:rPr>
              <w:t>进度</w:t>
            </w:r>
            <w:r>
              <w:rPr>
                <w:rFonts w:ascii="Times New Roman" w:hAnsi="Times New Roman" w:cs="Times New Roman" w:eastAsia="Times New Roman" w:hint="default"/>
                <w:sz w:val="18"/>
                <w:szCs w:val="18"/>
              </w:rPr>
              <w:t>(3)</w:t>
            </w:r>
          </w:p>
        </w:tc>
        <w:tc>
          <w:tcPr>
            <w:tcW w:w="57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
              <w:ind w:right="102"/>
              <w:jc w:val="right"/>
              <w:rPr>
                <w:rFonts w:ascii="宋体" w:hAnsi="宋体" w:cs="宋体" w:eastAsia="宋体" w:hint="default"/>
                <w:sz w:val="18"/>
                <w:szCs w:val="18"/>
              </w:rPr>
            </w:pPr>
            <w:r>
              <w:rPr>
                <w:rFonts w:ascii="宋体" w:hAnsi="宋体" w:cs="宋体" w:eastAsia="宋体" w:hint="default"/>
                <w:sz w:val="18"/>
                <w:szCs w:val="18"/>
              </w:rPr>
              <w:t>预定</w:t>
            </w:r>
          </w:p>
        </w:tc>
        <w:tc>
          <w:tcPr>
            <w:tcW w:w="64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
              <w:ind w:right="46"/>
              <w:jc w:val="right"/>
              <w:rPr>
                <w:rFonts w:ascii="宋体" w:hAnsi="宋体" w:cs="宋体" w:eastAsia="宋体" w:hint="default"/>
                <w:sz w:val="18"/>
                <w:szCs w:val="18"/>
              </w:rPr>
            </w:pPr>
            <w:r>
              <w:rPr>
                <w:rFonts w:ascii="宋体" w:hAnsi="宋体" w:cs="宋体" w:eastAsia="宋体" w:hint="default"/>
                <w:sz w:val="18"/>
                <w:szCs w:val="18"/>
              </w:rPr>
              <w:t>的效益</w:t>
            </w:r>
          </w:p>
        </w:tc>
        <w:tc>
          <w:tcPr>
            <w:tcW w:w="60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效益</w:t>
            </w:r>
          </w:p>
        </w:tc>
        <w:tc>
          <w:tcPr>
            <w:tcW w:w="6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否发生</w:t>
            </w:r>
          </w:p>
        </w:tc>
      </w:tr>
      <w:tr>
        <w:trPr>
          <w:trHeight w:val="312" w:hRule="exact"/>
        </w:trPr>
        <w:tc>
          <w:tcPr>
            <w:tcW w:w="1770" w:type="dxa"/>
            <w:tcBorders>
              <w:top w:val="nil" w:sz="6" w:space="0" w:color="auto"/>
              <w:left w:val="single" w:sz="4" w:space="0" w:color="000000"/>
              <w:bottom w:val="nil" w:sz="6" w:space="0" w:color="auto"/>
              <w:right w:val="single" w:sz="4" w:space="0" w:color="000000"/>
            </w:tcBorders>
            <w:shd w:val="clear" w:color="auto" w:fill="D2D2D2"/>
          </w:tcPr>
          <w:p>
            <w:pPr/>
          </w:p>
        </w:tc>
        <w:tc>
          <w:tcPr>
            <w:tcW w:w="77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
              <w:ind w:left="17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变更</w:t>
            </w:r>
            <w:r>
              <w:rPr>
                <w:rFonts w:ascii="Times New Roman" w:hAnsi="Times New Roman" w:cs="Times New Roman" w:eastAsia="Times New Roman" w:hint="default"/>
                <w:sz w:val="18"/>
                <w:szCs w:val="18"/>
              </w:rPr>
              <w:t>)</w:t>
            </w:r>
          </w:p>
        </w:tc>
        <w:tc>
          <w:tcPr>
            <w:tcW w:w="995" w:type="dxa"/>
            <w:tcBorders>
              <w:top w:val="nil" w:sz="6" w:space="0" w:color="auto"/>
              <w:left w:val="single" w:sz="4" w:space="0" w:color="000000"/>
              <w:bottom w:val="nil" w:sz="6" w:space="0" w:color="auto"/>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shd w:val="clear" w:color="auto" w:fill="D2D2D2"/>
          </w:tcPr>
          <w:p>
            <w:pPr/>
          </w:p>
        </w:tc>
        <w:tc>
          <w:tcPr>
            <w:tcW w:w="851" w:type="dxa"/>
            <w:tcBorders>
              <w:top w:val="nil" w:sz="6" w:space="0" w:color="auto"/>
              <w:left w:val="single" w:sz="4" w:space="0" w:color="000000"/>
              <w:bottom w:val="nil" w:sz="6" w:space="0" w:color="auto"/>
              <w:right w:val="single" w:sz="4" w:space="0" w:color="000000"/>
            </w:tcBorders>
            <w:shd w:val="clear" w:color="auto" w:fill="D2D2D2"/>
          </w:tcPr>
          <w:p>
            <w:pPr/>
          </w:p>
        </w:tc>
        <w:tc>
          <w:tcPr>
            <w:tcW w:w="1134" w:type="dxa"/>
            <w:tcBorders>
              <w:top w:val="nil" w:sz="6" w:space="0" w:color="auto"/>
              <w:left w:val="single" w:sz="4" w:space="0" w:color="000000"/>
              <w:bottom w:val="nil" w:sz="6" w:space="0" w:color="auto"/>
              <w:right w:val="single" w:sz="4" w:space="0" w:color="000000"/>
            </w:tcBorders>
            <w:shd w:val="clear" w:color="auto" w:fill="D2D2D2"/>
          </w:tcPr>
          <w:p>
            <w:pPr/>
          </w:p>
        </w:tc>
        <w:tc>
          <w:tcPr>
            <w:tcW w:w="76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
              <w:ind w:right="47"/>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(2)/(1)</w:t>
            </w:r>
          </w:p>
        </w:tc>
        <w:tc>
          <w:tcPr>
            <w:tcW w:w="57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
              <w:ind w:right="102"/>
              <w:jc w:val="right"/>
              <w:rPr>
                <w:rFonts w:ascii="宋体" w:hAnsi="宋体" w:cs="宋体" w:eastAsia="宋体" w:hint="default"/>
                <w:sz w:val="18"/>
                <w:szCs w:val="18"/>
              </w:rPr>
            </w:pPr>
            <w:r>
              <w:rPr>
                <w:rFonts w:ascii="宋体" w:hAnsi="宋体" w:cs="宋体" w:eastAsia="宋体" w:hint="default"/>
                <w:sz w:val="18"/>
                <w:szCs w:val="18"/>
              </w:rPr>
              <w:t>可使</w:t>
            </w:r>
          </w:p>
        </w:tc>
        <w:tc>
          <w:tcPr>
            <w:tcW w:w="645" w:type="dxa"/>
            <w:tcBorders>
              <w:top w:val="nil" w:sz="6" w:space="0" w:color="auto"/>
              <w:left w:val="single" w:sz="4" w:space="0" w:color="000000"/>
              <w:bottom w:val="nil" w:sz="6" w:space="0" w:color="auto"/>
              <w:right w:val="single" w:sz="4" w:space="0" w:color="000000"/>
            </w:tcBorders>
            <w:shd w:val="clear" w:color="auto" w:fill="D2D2D2"/>
          </w:tcPr>
          <w:p>
            <w:pPr/>
          </w:p>
        </w:tc>
        <w:tc>
          <w:tcPr>
            <w:tcW w:w="603" w:type="dxa"/>
            <w:tcBorders>
              <w:top w:val="nil" w:sz="6" w:space="0" w:color="auto"/>
              <w:left w:val="single" w:sz="4" w:space="0" w:color="000000"/>
              <w:bottom w:val="nil" w:sz="6" w:space="0" w:color="auto"/>
              <w:right w:val="single" w:sz="4" w:space="0" w:color="000000"/>
            </w:tcBorders>
            <w:shd w:val="clear" w:color="auto" w:fill="D2D2D2"/>
          </w:tcPr>
          <w:p>
            <w:pPr/>
          </w:p>
        </w:tc>
        <w:tc>
          <w:tcPr>
            <w:tcW w:w="6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重大变</w:t>
            </w:r>
          </w:p>
        </w:tc>
      </w:tr>
      <w:tr>
        <w:trPr>
          <w:trHeight w:val="352" w:hRule="exact"/>
        </w:trPr>
        <w:tc>
          <w:tcPr>
            <w:tcW w:w="1770"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 w:type="dxa"/>
            <w:tcBorders>
              <w:top w:val="nil" w:sz="6" w:space="0" w:color="auto"/>
              <w:left w:val="single" w:sz="4" w:space="0" w:color="000000"/>
              <w:bottom w:val="single" w:sz="4" w:space="0" w:color="000000"/>
              <w:right w:val="single" w:sz="4" w:space="0" w:color="000000"/>
            </w:tcBorders>
            <w:shd w:val="clear" w:color="auto" w:fill="D2D2D2"/>
          </w:tcPr>
          <w:p>
            <w:pPr/>
          </w:p>
        </w:tc>
        <w:tc>
          <w:tcPr>
            <w:tcW w:w="995" w:type="dxa"/>
            <w:tcBorders>
              <w:top w:val="nil" w:sz="6" w:space="0" w:color="auto"/>
              <w:left w:val="single" w:sz="4" w:space="0" w:color="000000"/>
              <w:bottom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single" w:sz="4" w:space="0" w:color="000000"/>
              <w:right w:val="single" w:sz="4" w:space="0" w:color="000000"/>
            </w:tcBorders>
            <w:shd w:val="clear" w:color="auto" w:fill="D2D2D2"/>
          </w:tcPr>
          <w:p>
            <w:pPr/>
          </w:p>
        </w:tc>
        <w:tc>
          <w:tcPr>
            <w:tcW w:w="851"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576"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5"/>
              <w:ind w:right="102"/>
              <w:jc w:val="right"/>
              <w:rPr>
                <w:rFonts w:ascii="宋体" w:hAnsi="宋体" w:cs="宋体" w:eastAsia="宋体" w:hint="default"/>
                <w:sz w:val="18"/>
                <w:szCs w:val="18"/>
              </w:rPr>
            </w:pPr>
            <w:r>
              <w:rPr>
                <w:rFonts w:ascii="宋体" w:hAnsi="宋体" w:cs="宋体" w:eastAsia="宋体" w:hint="default"/>
                <w:sz w:val="18"/>
                <w:szCs w:val="18"/>
              </w:rPr>
              <w:t>用状</w:t>
            </w:r>
          </w:p>
        </w:tc>
        <w:tc>
          <w:tcPr>
            <w:tcW w:w="645" w:type="dxa"/>
            <w:tcBorders>
              <w:top w:val="nil" w:sz="6" w:space="0" w:color="auto"/>
              <w:left w:val="single" w:sz="4" w:space="0" w:color="000000"/>
              <w:bottom w:val="single" w:sz="4" w:space="0" w:color="000000"/>
              <w:right w:val="single" w:sz="4" w:space="0" w:color="000000"/>
            </w:tcBorders>
            <w:shd w:val="clear" w:color="auto" w:fill="D2D2D2"/>
          </w:tcPr>
          <w:p>
            <w:pPr/>
          </w:p>
        </w:tc>
        <w:tc>
          <w:tcPr>
            <w:tcW w:w="603" w:type="dxa"/>
            <w:tcBorders>
              <w:top w:val="nil" w:sz="6" w:space="0" w:color="auto"/>
              <w:left w:val="single" w:sz="4" w:space="0" w:color="000000"/>
              <w:bottom w:val="single" w:sz="4" w:space="0" w:color="000000"/>
              <w:right w:val="single" w:sz="4" w:space="0" w:color="000000"/>
            </w:tcBorders>
            <w:shd w:val="clear" w:color="auto" w:fill="D2D2D2"/>
          </w:tcPr>
          <w:p>
            <w:pPr/>
          </w:p>
        </w:tc>
        <w:tc>
          <w:tcPr>
            <w:tcW w:w="636"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化</w:t>
            </w:r>
          </w:p>
        </w:tc>
      </w:tr>
    </w:tbl>
    <w:p>
      <w:pPr>
        <w:spacing w:after="0" w:line="240" w:lineRule="auto"/>
        <w:jc w:val="center"/>
        <w:rPr>
          <w:rFonts w:ascii="宋体" w:hAnsi="宋体" w:cs="宋体" w:eastAsia="宋体" w:hint="default"/>
          <w:sz w:val="18"/>
          <w:szCs w:val="18"/>
        </w:rPr>
        <w:sectPr>
          <w:footerReference w:type="default" r:id="rId13"/>
          <w:pgSz w:w="11910" w:h="16840"/>
          <w:pgMar w:footer="978" w:header="878" w:top="1100" w:bottom="1160" w:left="800" w:right="0"/>
          <w:pgNumType w:start="30"/>
        </w:sectPr>
      </w:pPr>
    </w:p>
    <w:p>
      <w:pPr>
        <w:spacing w:line="240" w:lineRule="auto" w:before="11"/>
        <w:rPr>
          <w:rFonts w:ascii="Times New Roman" w:hAnsi="Times New Roman" w:cs="Times New Roman" w:eastAsia="Times New Roman" w:hint="default"/>
          <w:sz w:val="27"/>
          <w:szCs w:val="27"/>
        </w:rPr>
      </w:pPr>
    </w:p>
    <w:tbl>
      <w:tblPr>
        <w:tblW w:w="0" w:type="auto"/>
        <w:jc w:val="left"/>
        <w:tblInd w:w="109" w:type="dxa"/>
        <w:tblLayout w:type="fixed"/>
        <w:tblCellMar>
          <w:top w:w="0" w:type="dxa"/>
          <w:left w:w="0" w:type="dxa"/>
          <w:bottom w:w="0" w:type="dxa"/>
          <w:right w:w="0" w:type="dxa"/>
        </w:tblCellMar>
        <w:tblLook w:val="01E0"/>
      </w:tblPr>
      <w:tblGrid>
        <w:gridCol w:w="1770"/>
        <w:gridCol w:w="779"/>
        <w:gridCol w:w="995"/>
        <w:gridCol w:w="992"/>
        <w:gridCol w:w="851"/>
        <w:gridCol w:w="1134"/>
        <w:gridCol w:w="763"/>
        <w:gridCol w:w="576"/>
        <w:gridCol w:w="645"/>
        <w:gridCol w:w="603"/>
        <w:gridCol w:w="636"/>
      </w:tblGrid>
      <w:tr>
        <w:trPr>
          <w:trHeight w:val="674"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9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193" w:right="102" w:hanging="92"/>
              <w:jc w:val="left"/>
              <w:rPr>
                <w:rFonts w:ascii="宋体" w:hAnsi="宋体" w:cs="宋体" w:eastAsia="宋体" w:hint="default"/>
                <w:sz w:val="18"/>
                <w:szCs w:val="18"/>
              </w:rPr>
            </w:pPr>
            <w:r>
              <w:rPr>
                <w:rFonts w:ascii="宋体" w:hAnsi="宋体" w:cs="宋体" w:eastAsia="宋体" w:hint="default"/>
                <w:sz w:val="18"/>
                <w:szCs w:val="18"/>
              </w:rPr>
              <w:t>态日 期</w:t>
            </w:r>
          </w:p>
        </w:tc>
        <w:tc>
          <w:tcPr>
            <w:tcW w:w="64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0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9744"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、建设广州金融外包 服务总部平台</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部分变更</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36,029.00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22,029.00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412.07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12,150.30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55.16%</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p>
        </w:tc>
        <w:tc>
          <w:tcPr>
            <w:tcW w:w="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不适用</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、建设区域金融外包 服务平台</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部分变更</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28,493.92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2,170.64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25,268.52</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88.68%</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不适用</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、补充流动资金</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115,523.98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115,523.98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115,523.98</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不适用</w:t>
            </w:r>
          </w:p>
        </w:tc>
        <w:tc>
          <w:tcPr>
            <w:tcW w:w="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不适用</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、智能便民项目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14,000.00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6,562.25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7,647.54</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54.63%</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tc>
        <w:tc>
          <w:tcPr>
            <w:tcW w:w="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不适用</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06"/>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、新一代</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AI</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智能设</w:t>
            </w:r>
            <w:r>
              <w:rPr>
                <w:rFonts w:ascii="宋体" w:hAnsi="宋体" w:cs="宋体" w:eastAsia="宋体" w:hint="default"/>
                <w:w w:val="99"/>
                <w:sz w:val="18"/>
                <w:szCs w:val="18"/>
              </w:rPr>
              <w:t> </w:t>
            </w:r>
            <w:r>
              <w:rPr>
                <w:rFonts w:ascii="宋体" w:hAnsi="宋体" w:cs="宋体" w:eastAsia="宋体" w:hint="default"/>
                <w:sz w:val="18"/>
                <w:szCs w:val="18"/>
              </w:rPr>
              <w:t>备产业基地项目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60,506.08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5,956.95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5,956.95</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9.85%</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p>
        </w:tc>
        <w:tc>
          <w:tcPr>
            <w:tcW w:w="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不适用</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62" w:hRule="exact"/>
        </w:trPr>
        <w:tc>
          <w:tcPr>
            <w:tcW w:w="177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、广电运通四期核心</w:t>
            </w:r>
          </w:p>
        </w:tc>
        <w:tc>
          <w:tcPr>
            <w:tcW w:w="779" w:type="dxa"/>
            <w:tcBorders>
              <w:top w:val="single" w:sz="4" w:space="0" w:color="000000"/>
              <w:left w:val="single" w:sz="4" w:space="0" w:color="000000"/>
              <w:bottom w:val="nil" w:sz="6" w:space="0" w:color="auto"/>
              <w:right w:val="single" w:sz="4" w:space="0" w:color="000000"/>
            </w:tcBorders>
          </w:tcPr>
          <w:p>
            <w:pPr/>
          </w:p>
        </w:tc>
        <w:tc>
          <w:tcPr>
            <w:tcW w:w="995"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763" w:type="dxa"/>
            <w:tcBorders>
              <w:top w:val="single" w:sz="4" w:space="0" w:color="000000"/>
              <w:left w:val="single" w:sz="4" w:space="0" w:color="000000"/>
              <w:bottom w:val="nil" w:sz="6" w:space="0" w:color="auto"/>
              <w:right w:val="single" w:sz="4" w:space="0" w:color="000000"/>
            </w:tcBorders>
          </w:tcPr>
          <w:p>
            <w:pPr/>
          </w:p>
        </w:tc>
        <w:tc>
          <w:tcPr>
            <w:tcW w:w="576" w:type="dxa"/>
            <w:tcBorders>
              <w:top w:val="single" w:sz="4" w:space="0" w:color="000000"/>
              <w:left w:val="single" w:sz="4" w:space="0" w:color="000000"/>
              <w:bottom w:val="nil" w:sz="6" w:space="0" w:color="auto"/>
              <w:right w:val="single" w:sz="4" w:space="0" w:color="000000"/>
            </w:tcBorders>
          </w:tcPr>
          <w:p>
            <w:pPr/>
          </w:p>
        </w:tc>
        <w:tc>
          <w:tcPr>
            <w:tcW w:w="645" w:type="dxa"/>
            <w:tcBorders>
              <w:top w:val="single" w:sz="4" w:space="0" w:color="000000"/>
              <w:left w:val="single" w:sz="4" w:space="0" w:color="000000"/>
              <w:bottom w:val="nil" w:sz="6" w:space="0" w:color="auto"/>
              <w:right w:val="single" w:sz="4" w:space="0" w:color="000000"/>
            </w:tcBorders>
          </w:tcPr>
          <w:p>
            <w:pPr/>
          </w:p>
        </w:tc>
        <w:tc>
          <w:tcPr>
            <w:tcW w:w="603" w:type="dxa"/>
            <w:tcBorders>
              <w:top w:val="single" w:sz="4" w:space="0" w:color="000000"/>
              <w:left w:val="single" w:sz="4" w:space="0" w:color="000000"/>
              <w:bottom w:val="nil" w:sz="6" w:space="0" w:color="auto"/>
              <w:right w:val="single" w:sz="4" w:space="0" w:color="000000"/>
            </w:tcBorders>
          </w:tcPr>
          <w:p>
            <w:pPr/>
          </w:p>
        </w:tc>
        <w:tc>
          <w:tcPr>
            <w:tcW w:w="63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77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技术产业化升级扩建</w:t>
            </w:r>
          </w:p>
        </w:tc>
        <w:tc>
          <w:tcPr>
            <w:tcW w:w="77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995"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2"/>
              <w:jc w:val="right"/>
              <w:rPr>
                <w:rFonts w:ascii="Times New Roman" w:hAnsi="Times New Roman" w:cs="Times New Roman" w:eastAsia="Times New Roman" w:hint="default"/>
                <w:sz w:val="18"/>
                <w:szCs w:val="18"/>
              </w:rPr>
            </w:pPr>
            <w:r>
              <w:rPr>
                <w:rFonts w:ascii="Times New Roman"/>
                <w:spacing w:val="-1"/>
                <w:sz w:val="18"/>
              </w:rPr>
              <w:t>5,000.00</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1"/>
              <w:jc w:val="right"/>
              <w:rPr>
                <w:rFonts w:ascii="Times New Roman" w:hAnsi="Times New Roman" w:cs="Times New Roman" w:eastAsia="Times New Roman" w:hint="default"/>
                <w:sz w:val="18"/>
                <w:szCs w:val="18"/>
              </w:rPr>
            </w:pPr>
            <w:r>
              <w:rPr>
                <w:rFonts w:ascii="Times New Roman"/>
                <w:spacing w:val="-1"/>
                <w:sz w:val="18"/>
              </w:rPr>
              <w:t>32.00</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z w:val="18"/>
              </w:rPr>
              <w:t>32.00</w:t>
            </w:r>
          </w:p>
        </w:tc>
        <w:tc>
          <w:tcPr>
            <w:tcW w:w="763"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z w:val="18"/>
              </w:rPr>
              <w:t>0.64%</w:t>
            </w:r>
          </w:p>
        </w:tc>
        <w:tc>
          <w:tcPr>
            <w:tcW w:w="57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4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p>
        </w:tc>
        <w:tc>
          <w:tcPr>
            <w:tcW w:w="60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
              <w:jc w:val="center"/>
              <w:rPr>
                <w:rFonts w:ascii="宋体" w:hAnsi="宋体" w:cs="宋体" w:eastAsia="宋体" w:hint="default"/>
                <w:sz w:val="18"/>
                <w:szCs w:val="18"/>
              </w:rPr>
            </w:pPr>
            <w:r>
              <w:rPr>
                <w:rFonts w:ascii="宋体" w:hAnsi="宋体" w:cs="宋体" w:eastAsia="宋体" w:hint="default"/>
                <w:sz w:val="18"/>
                <w:szCs w:val="18"/>
              </w:rPr>
              <w:t>不适用</w:t>
            </w: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52" w:hRule="exact"/>
        </w:trPr>
        <w:tc>
          <w:tcPr>
            <w:tcW w:w="177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779" w:type="dxa"/>
            <w:tcBorders>
              <w:top w:val="nil" w:sz="6" w:space="0" w:color="auto"/>
              <w:left w:val="single" w:sz="4" w:space="0" w:color="000000"/>
              <w:bottom w:val="single" w:sz="4" w:space="0" w:color="000000"/>
              <w:right w:val="single" w:sz="4" w:space="0" w:color="000000"/>
            </w:tcBorders>
          </w:tcPr>
          <w:p>
            <w:pPr/>
          </w:p>
        </w:tc>
        <w:tc>
          <w:tcPr>
            <w:tcW w:w="995"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763" w:type="dxa"/>
            <w:tcBorders>
              <w:top w:val="nil" w:sz="6" w:space="0" w:color="auto"/>
              <w:left w:val="single" w:sz="4" w:space="0" w:color="000000"/>
              <w:bottom w:val="single" w:sz="4" w:space="0" w:color="000000"/>
              <w:right w:val="single" w:sz="4" w:space="0" w:color="000000"/>
            </w:tcBorders>
          </w:tcPr>
          <w:p>
            <w:pPr/>
          </w:p>
        </w:tc>
        <w:tc>
          <w:tcPr>
            <w:tcW w:w="576" w:type="dxa"/>
            <w:tcBorders>
              <w:top w:val="nil" w:sz="6" w:space="0" w:color="auto"/>
              <w:left w:val="single" w:sz="4" w:space="0" w:color="000000"/>
              <w:bottom w:val="single" w:sz="4" w:space="0" w:color="000000"/>
              <w:right w:val="single" w:sz="4" w:space="0" w:color="000000"/>
            </w:tcBorders>
          </w:tcPr>
          <w:p>
            <w:pPr/>
          </w:p>
        </w:tc>
        <w:tc>
          <w:tcPr>
            <w:tcW w:w="645" w:type="dxa"/>
            <w:tcBorders>
              <w:top w:val="nil" w:sz="6" w:space="0" w:color="auto"/>
              <w:left w:val="single" w:sz="4" w:space="0" w:color="000000"/>
              <w:bottom w:val="single" w:sz="4" w:space="0" w:color="000000"/>
              <w:right w:val="single" w:sz="4" w:space="0" w:color="000000"/>
            </w:tcBorders>
          </w:tcPr>
          <w:p>
            <w:pPr/>
          </w:p>
        </w:tc>
        <w:tc>
          <w:tcPr>
            <w:tcW w:w="603" w:type="dxa"/>
            <w:tcBorders>
              <w:top w:val="nil" w:sz="6" w:space="0" w:color="auto"/>
              <w:left w:val="single" w:sz="4" w:space="0" w:color="000000"/>
              <w:bottom w:val="single" w:sz="4" w:space="0" w:color="000000"/>
              <w:right w:val="single" w:sz="4" w:space="0" w:color="000000"/>
            </w:tcBorders>
          </w:tcPr>
          <w:p>
            <w:pPr/>
          </w:p>
        </w:tc>
        <w:tc>
          <w:tcPr>
            <w:tcW w:w="636" w:type="dxa"/>
            <w:tcBorders>
              <w:top w:val="nil" w:sz="6" w:space="0" w:color="auto"/>
              <w:left w:val="single" w:sz="4" w:space="0" w:color="000000"/>
              <w:bottom w:val="single" w:sz="4" w:space="0" w:color="000000"/>
              <w:right w:val="single" w:sz="4" w:space="0" w:color="000000"/>
            </w:tcBorders>
          </w:tcPr>
          <w:p>
            <w:pP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、广电运通人工智能 深圳创新中心</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66,000.00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p>
        </w:tc>
        <w:tc>
          <w:tcPr>
            <w:tcW w:w="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不适用</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311,552.98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311,552.98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15,133.91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166,579.28</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9744"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79"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64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归还银行贷款</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9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6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补充流动资金</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99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6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6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9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311,552.98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311,552.98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15,133.91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166,579.28</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362" w:hRule="exact"/>
        </w:trPr>
        <w:tc>
          <w:tcPr>
            <w:tcW w:w="1770"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4" w:type="dxa"/>
            <w:gridSpan w:val="10"/>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、广州金融外包服务总部平台主体工程和内部装修都已经完成，达到可使用状态，已经暂估结转为</w:t>
            </w:r>
          </w:p>
        </w:tc>
      </w:tr>
      <w:tr>
        <w:trPr>
          <w:trHeight w:val="327" w:hRule="exact"/>
        </w:trPr>
        <w:tc>
          <w:tcPr>
            <w:tcW w:w="17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18"/>
                <w:szCs w:val="18"/>
              </w:rPr>
            </w:pPr>
            <w:r>
              <w:rPr>
                <w:rFonts w:ascii="宋体" w:hAnsi="宋体" w:cs="宋体" w:eastAsia="宋体" w:hint="default"/>
                <w:sz w:val="18"/>
                <w:szCs w:val="18"/>
              </w:rPr>
              <w:t>未达到计划进度或预</w:t>
            </w:r>
          </w:p>
        </w:tc>
        <w:tc>
          <w:tcPr>
            <w:tcW w:w="7974" w:type="dxa"/>
            <w:gridSpan w:val="10"/>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固定资产，尚有部分工程款未结算。</w:t>
            </w:r>
          </w:p>
        </w:tc>
      </w:tr>
      <w:tr>
        <w:trPr>
          <w:trHeight w:val="327" w:hRule="exact"/>
        </w:trPr>
        <w:tc>
          <w:tcPr>
            <w:tcW w:w="17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计收益的情况和原因</w:t>
            </w:r>
          </w:p>
        </w:tc>
        <w:tc>
          <w:tcPr>
            <w:tcW w:w="7974" w:type="dxa"/>
            <w:gridSpan w:val="10"/>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、受押运公司改制进度低于预期及收购竞争加剧的影响，押运公司收购进度低于预期，导致收购押</w:t>
            </w:r>
          </w:p>
        </w:tc>
      </w:tr>
      <w:tr>
        <w:trPr>
          <w:trHeight w:val="317" w:hRule="exact"/>
        </w:trPr>
        <w:tc>
          <w:tcPr>
            <w:tcW w:w="17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31" w:lineRule="exact"/>
              <w:ind w:left="22"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974" w:type="dxa"/>
            <w:gridSpan w:val="10"/>
            <w:tcBorders>
              <w:top w:val="nil" w:sz="6" w:space="0" w:color="auto"/>
              <w:left w:val="single" w:sz="4" w:space="0" w:color="000000"/>
              <w:bottom w:val="nil" w:sz="6" w:space="0" w:color="auto"/>
              <w:right w:val="single" w:sz="4" w:space="0" w:color="000000"/>
            </w:tcBorders>
          </w:tcPr>
          <w:p>
            <w:pPr>
              <w:pStyle w:val="TableParagraph"/>
              <w:spacing w:line="240" w:lineRule="auto" w:before="15"/>
              <w:ind w:left="23" w:right="0"/>
              <w:jc w:val="left"/>
              <w:rPr>
                <w:rFonts w:ascii="宋体" w:hAnsi="宋体" w:cs="宋体" w:eastAsia="宋体" w:hint="default"/>
                <w:sz w:val="18"/>
                <w:szCs w:val="18"/>
              </w:rPr>
            </w:pPr>
            <w:r>
              <w:rPr>
                <w:rFonts w:ascii="宋体" w:hAnsi="宋体" w:cs="宋体" w:eastAsia="宋体" w:hint="default"/>
                <w:sz w:val="18"/>
                <w:szCs w:val="18"/>
              </w:rPr>
              <w:t>运公司后的相关配套投入进度有所放缓，从而影响了区域金融外包服务平台建设的进度，实际投入与</w:t>
            </w:r>
          </w:p>
        </w:tc>
      </w:tr>
      <w:tr>
        <w:trPr>
          <w:trHeight w:val="358" w:hRule="exact"/>
        </w:trPr>
        <w:tc>
          <w:tcPr>
            <w:tcW w:w="1770"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4" w:type="dxa"/>
            <w:gridSpan w:val="10"/>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预期进度有所差异。</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15"/>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974"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未发生该情况。</w:t>
            </w:r>
          </w:p>
        </w:tc>
      </w:tr>
      <w:tr>
        <w:trPr>
          <w:trHeight w:val="804"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95"/>
              <w:ind w:left="22" w:right="22"/>
              <w:jc w:val="left"/>
              <w:rPr>
                <w:rFonts w:ascii="宋体" w:hAnsi="宋体" w:cs="宋体" w:eastAsia="宋体" w:hint="default"/>
                <w:sz w:val="18"/>
                <w:szCs w:val="18"/>
              </w:rPr>
            </w:pPr>
            <w:r>
              <w:rPr>
                <w:rFonts w:ascii="宋体" w:hAnsi="宋体" w:cs="宋体" w:eastAsia="宋体" w:hint="default"/>
                <w:spacing w:val="-9"/>
                <w:sz w:val="18"/>
                <w:szCs w:val="18"/>
              </w:rPr>
              <w:t>超募资金的金额、用途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及使用进展情况</w:t>
            </w:r>
          </w:p>
        </w:tc>
        <w:tc>
          <w:tcPr>
            <w:tcW w:w="7974"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60"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4"/>
              <w:ind w:left="22" w:right="115"/>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974"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115"/>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974"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0"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募集资金投资项目先</w:t>
            </w:r>
          </w:p>
        </w:tc>
        <w:tc>
          <w:tcPr>
            <w:tcW w:w="7974"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bl>
    <w:p>
      <w:pPr>
        <w:spacing w:after="0" w:line="240" w:lineRule="auto"/>
        <w:jc w:val="left"/>
        <w:rPr>
          <w:rFonts w:ascii="宋体" w:hAnsi="宋体" w:cs="宋体" w:eastAsia="宋体" w:hint="default"/>
          <w:sz w:val="18"/>
          <w:szCs w:val="18"/>
        </w:rPr>
        <w:sectPr>
          <w:pgSz w:w="11910" w:h="16840"/>
          <w:pgMar w:header="878" w:footer="978" w:top="1100" w:bottom="1160" w:left="102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09" w:type="dxa"/>
        <w:tblLayout w:type="fixed"/>
        <w:tblCellMar>
          <w:top w:w="0" w:type="dxa"/>
          <w:left w:w="0" w:type="dxa"/>
          <w:bottom w:w="0" w:type="dxa"/>
          <w:right w:w="0" w:type="dxa"/>
        </w:tblCellMar>
        <w:tblLook w:val="01E0"/>
      </w:tblPr>
      <w:tblGrid>
        <w:gridCol w:w="1770"/>
        <w:gridCol w:w="7974"/>
      </w:tblGrid>
      <w:tr>
        <w:trPr>
          <w:trHeight w:val="1026"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期投入及置换情况</w:t>
            </w:r>
          </w:p>
        </w:tc>
        <w:tc>
          <w:tcPr>
            <w:tcW w:w="7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用募集资金置换预先已投入募集资金投资项目的自筹资金</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8,164.54</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万元</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其中：建设广州金融外包服务</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平台先期投入</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2,714.41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万元，建设区域金融外包服务平台先期投入</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5,450.13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万元，上述募集资金置换</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日完成，两个项目置换金额与预先投入的自筹资金数额一致。</w:t>
            </w:r>
          </w:p>
        </w:tc>
      </w:tr>
      <w:tr>
        <w:trPr>
          <w:trHeight w:val="1177"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316" w:lineRule="auto"/>
              <w:ind w:left="22" w:right="115"/>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804"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95"/>
              <w:ind w:left="22" w:right="115"/>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115"/>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pacing w:val="7"/>
                <w:sz w:val="18"/>
                <w:szCs w:val="18"/>
              </w:rPr>
              <w:t>截至</w:t>
            </w:r>
            <w:r>
              <w:rPr>
                <w:rFonts w:ascii="宋体" w:hAnsi="宋体" w:cs="宋体" w:eastAsia="宋体" w:hint="default"/>
                <w:spacing w:val="-30"/>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3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月</w:t>
            </w:r>
            <w:r>
              <w:rPr>
                <w:rFonts w:ascii="宋体" w:hAnsi="宋体" w:cs="宋体" w:eastAsia="宋体" w:hint="default"/>
                <w:spacing w:val="-30"/>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3"/>
                <w:sz w:val="18"/>
                <w:szCs w:val="18"/>
              </w:rPr>
              <w:t> </w:t>
            </w:r>
            <w:r>
              <w:rPr>
                <w:rFonts w:ascii="宋体" w:hAnsi="宋体" w:cs="宋体" w:eastAsia="宋体" w:hint="default"/>
                <w:spacing w:val="7"/>
                <w:sz w:val="18"/>
                <w:szCs w:val="18"/>
              </w:rPr>
              <w:t>日，</w:t>
            </w:r>
            <w:r>
              <w:rPr>
                <w:rFonts w:ascii="宋体" w:hAnsi="宋体" w:cs="宋体" w:eastAsia="宋体" w:hint="default"/>
                <w:spacing w:val="-74"/>
                <w:sz w:val="18"/>
                <w:szCs w:val="18"/>
              </w:rPr>
              <w:t> </w:t>
            </w:r>
            <w:r>
              <w:rPr>
                <w:rFonts w:ascii="宋体" w:hAnsi="宋体" w:cs="宋体" w:eastAsia="宋体" w:hint="default"/>
                <w:spacing w:val="13"/>
                <w:sz w:val="18"/>
                <w:szCs w:val="18"/>
              </w:rPr>
              <w:t>尚未使用的募集资金为</w:t>
            </w:r>
            <w:r>
              <w:rPr>
                <w:rFonts w:ascii="宋体" w:hAnsi="宋体" w:cs="宋体" w:eastAsia="宋体" w:hint="default"/>
                <w:spacing w:val="30"/>
                <w:sz w:val="18"/>
                <w:szCs w:val="18"/>
              </w:rPr>
              <w:t> </w:t>
            </w:r>
            <w:r>
              <w:rPr>
                <w:rFonts w:ascii="Times New Roman" w:hAnsi="Times New Roman" w:cs="Times New Roman" w:eastAsia="Times New Roman" w:hint="default"/>
                <w:sz w:val="18"/>
                <w:szCs w:val="18"/>
              </w:rPr>
              <w:t>1,639,146,142.95</w:t>
            </w:r>
            <w:r>
              <w:rPr>
                <w:rFonts w:ascii="Times New Roman" w:hAnsi="Times New Roman" w:cs="Times New Roman" w:eastAsia="Times New Roman" w:hint="default"/>
                <w:spacing w:val="13"/>
                <w:sz w:val="18"/>
                <w:szCs w:val="18"/>
              </w:rPr>
              <w:t> </w:t>
            </w:r>
            <w:r>
              <w:rPr>
                <w:rFonts w:ascii="宋体" w:hAnsi="宋体" w:cs="宋体" w:eastAsia="宋体" w:hint="default"/>
                <w:spacing w:val="7"/>
                <w:sz w:val="18"/>
                <w:szCs w:val="18"/>
              </w:rPr>
              <w:t>元（</w:t>
            </w:r>
            <w:r>
              <w:rPr>
                <w:rFonts w:ascii="宋体" w:hAnsi="宋体" w:cs="宋体" w:eastAsia="宋体" w:hint="default"/>
                <w:spacing w:val="-74"/>
                <w:sz w:val="18"/>
                <w:szCs w:val="18"/>
              </w:rPr>
              <w:t> </w:t>
            </w:r>
            <w:r>
              <w:rPr>
                <w:rFonts w:ascii="宋体" w:hAnsi="宋体" w:cs="宋体" w:eastAsia="宋体" w:hint="default"/>
                <w:spacing w:val="13"/>
                <w:sz w:val="18"/>
                <w:szCs w:val="18"/>
              </w:rPr>
              <w:t>包含银行理财产品余额</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700,000,000.00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元），存放于募集资金专户中。</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15"/>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300" w:lineRule="auto" w:before="50"/>
        <w:ind w:right="1129" w:firstLine="360"/>
        <w:jc w:val="both"/>
      </w:pPr>
      <w:r>
        <w:rPr/>
        <w:t>注</w:t>
      </w:r>
      <w:r>
        <w:rPr>
          <w:spacing w:val="-51"/>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w:t>
      </w:r>
      <w:r>
        <w:rPr/>
        <w:t>广州金融外包服务总部平台</w:t>
      </w:r>
      <w:r>
        <w:rPr>
          <w:rFonts w:ascii="Times New Roman" w:hAnsi="Times New Roman" w:cs="Times New Roman" w:eastAsia="Times New Roman" w:hint="default"/>
        </w:rPr>
        <w:t>”</w:t>
      </w:r>
      <w:r>
        <w:rPr/>
        <w:t>并不直接产生收入和利润，但通过项目实施</w:t>
      </w:r>
      <w:r>
        <w:rPr>
          <w:rFonts w:ascii="Times New Roman" w:hAnsi="Times New Roman" w:cs="Times New Roman" w:eastAsia="Times New Roman" w:hint="default"/>
        </w:rPr>
        <w:t>,</w:t>
      </w:r>
      <w:r>
        <w:rPr/>
        <w:t>可逐步形成全国</w:t>
      </w:r>
      <w:r>
        <w:rPr>
          <w:spacing w:val="-51"/>
        </w:rPr>
        <w:t> </w:t>
      </w:r>
      <w:r>
        <w:rPr>
          <w:rFonts w:ascii="Times New Roman" w:hAnsi="Times New Roman" w:cs="Times New Roman" w:eastAsia="Times New Roman" w:hint="default"/>
        </w:rPr>
        <w:t>ATM</w:t>
      </w:r>
      <w:r>
        <w:rPr>
          <w:rFonts w:ascii="Times New Roman" w:hAnsi="Times New Roman" w:cs="Times New Roman" w:eastAsia="Times New Roman" w:hint="default"/>
          <w:spacing w:val="-3"/>
        </w:rPr>
        <w:t> </w:t>
      </w:r>
      <w:r>
        <w:rPr/>
        <w:t>外包服务的统筹 管理体系，优化区域金融外包服务平台的资源配置，进一步提升公司管理水平及管理效率，支撑公司稳步扩大在</w:t>
      </w:r>
      <w:r>
        <w:rPr>
          <w:spacing w:val="-60"/>
        </w:rPr>
        <w:t> </w:t>
      </w:r>
      <w:r>
        <w:rPr>
          <w:rFonts w:ascii="Times New Roman" w:hAnsi="Times New Roman" w:cs="Times New Roman" w:eastAsia="Times New Roman" w:hint="default"/>
        </w:rPr>
        <w:t>ATM</w:t>
      </w:r>
      <w:r>
        <w:rPr>
          <w:rFonts w:ascii="Times New Roman" w:hAnsi="Times New Roman" w:cs="Times New Roman" w:eastAsia="Times New Roman" w:hint="default"/>
          <w:spacing w:val="-14"/>
        </w:rPr>
        <w:t> </w:t>
      </w:r>
      <w:r>
        <w:rPr/>
        <w:t>外包 服务的市场占有率，间接对公司的财务状况及经营成果产生积极影响，为公司未来稳定持续增长打下坚实基础。</w:t>
      </w:r>
    </w:p>
    <w:p>
      <w:pPr>
        <w:pStyle w:val="BodyText"/>
        <w:spacing w:line="240" w:lineRule="auto" w:before="72"/>
        <w:ind w:left="472" w:right="1394"/>
        <w:jc w:val="left"/>
      </w:pPr>
      <w:r>
        <w:rPr/>
        <w:t>注</w:t>
      </w:r>
      <w:r>
        <w:rPr>
          <w:spacing w:val="-45"/>
        </w:rPr>
        <w:t> </w:t>
      </w:r>
      <w:r>
        <w:rPr>
          <w:rFonts w:ascii="Times New Roman" w:hAnsi="Times New Roman" w:cs="Times New Roman" w:eastAsia="Times New Roman" w:hint="default"/>
        </w:rPr>
        <w:t>2</w:t>
      </w:r>
      <w:r>
        <w:rPr/>
        <w:t>：截至</w:t>
      </w:r>
      <w:r>
        <w:rPr>
          <w:spacing w:val="-47"/>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日，因区域金融外包服务平台项目尚在建设过程中，故尚未实现预计收益。</w:t>
      </w:r>
    </w:p>
    <w:p>
      <w:pPr>
        <w:pStyle w:val="BodyText"/>
        <w:spacing w:line="240" w:lineRule="auto" w:before="103"/>
        <w:ind w:left="472" w:right="0"/>
        <w:jc w:val="left"/>
      </w:pPr>
      <w:r>
        <w:rPr/>
        <w:t>注</w:t>
      </w:r>
      <w:r>
        <w:rPr>
          <w:spacing w:val="-55"/>
        </w:rPr>
        <w:t> </w:t>
      </w:r>
      <w:r>
        <w:rPr>
          <w:rFonts w:ascii="Times New Roman" w:hAnsi="Times New Roman" w:cs="Times New Roman" w:eastAsia="Times New Roman" w:hint="default"/>
        </w:rPr>
        <w:t>3</w:t>
      </w:r>
      <w:r>
        <w:rPr/>
        <w:t>：</w:t>
      </w:r>
      <w:r>
        <w:rPr>
          <w:rFonts w:ascii="Times New Roman" w:hAnsi="Times New Roman" w:cs="Times New Roman" w:eastAsia="Times New Roman" w:hint="default"/>
        </w:rPr>
        <w:t>“</w:t>
      </w:r>
      <w:r>
        <w:rPr/>
        <w:t>智能便民项目</w:t>
      </w:r>
      <w:r>
        <w:rPr>
          <w:rFonts w:ascii="Times New Roman" w:hAnsi="Times New Roman" w:cs="Times New Roman" w:eastAsia="Times New Roman" w:hint="default"/>
        </w:rPr>
        <w:t>”</w:t>
      </w:r>
      <w:r>
        <w:rPr/>
        <w:t>建设期为四年，全面建成后，可实现年平均营业收入约</w:t>
      </w:r>
      <w:r>
        <w:rPr>
          <w:spacing w:val="-55"/>
        </w:rPr>
        <w:t> </w:t>
      </w:r>
      <w:r>
        <w:rPr>
          <w:rFonts w:ascii="Times New Roman" w:hAnsi="Times New Roman" w:cs="Times New Roman" w:eastAsia="Times New Roman" w:hint="default"/>
        </w:rPr>
        <w:t>15</w:t>
      </w:r>
      <w:r>
        <w:rPr>
          <w:rFonts w:ascii="Times New Roman" w:hAnsi="Times New Roman" w:cs="Times New Roman" w:eastAsia="Times New Roman" w:hint="default"/>
          <w:spacing w:val="-11"/>
        </w:rPr>
        <w:t> </w:t>
      </w:r>
      <w:r>
        <w:rPr/>
        <w:t>亿元、年平均净利润约</w:t>
      </w:r>
      <w:r>
        <w:rPr>
          <w:spacing w:val="-57"/>
        </w:rPr>
        <w:t> </w:t>
      </w:r>
      <w:r>
        <w:rPr>
          <w:rFonts w:ascii="Times New Roman" w:hAnsi="Times New Roman" w:cs="Times New Roman" w:eastAsia="Times New Roman" w:hint="default"/>
        </w:rPr>
        <w:t>9,000</w:t>
      </w:r>
      <w:r>
        <w:rPr>
          <w:rFonts w:ascii="Times New Roman" w:hAnsi="Times New Roman" w:cs="Times New Roman" w:eastAsia="Times New Roman" w:hint="default"/>
          <w:spacing w:val="-11"/>
        </w:rPr>
        <w:t> </w:t>
      </w:r>
      <w:r>
        <w:rPr>
          <w:spacing w:val="-3"/>
        </w:rPr>
        <w:t>万元。截</w:t>
      </w:r>
    </w:p>
    <w:p>
      <w:pPr>
        <w:pStyle w:val="BodyText"/>
        <w:spacing w:line="240" w:lineRule="auto" w:before="63"/>
        <w:ind w:right="1394"/>
        <w:jc w:val="left"/>
      </w:pPr>
      <w:r>
        <w:rPr/>
        <w:t>至</w:t>
      </w:r>
      <w:r>
        <w:rPr>
          <w:spacing w:val="-4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45"/>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日，因智能便民项目尚在建设过程中，故尚未实现预计收益。</w:t>
      </w:r>
    </w:p>
    <w:p>
      <w:pPr>
        <w:pStyle w:val="BodyText"/>
        <w:spacing w:line="240" w:lineRule="auto" w:before="101"/>
        <w:ind w:left="472" w:right="1394"/>
        <w:jc w:val="left"/>
      </w:pPr>
      <w:r>
        <w:rPr/>
        <w:t>注</w:t>
      </w:r>
      <w:r>
        <w:rPr>
          <w:spacing w:val="-46"/>
        </w:rPr>
        <w:t> </w:t>
      </w:r>
      <w:r>
        <w:rPr>
          <w:rFonts w:ascii="Times New Roman" w:hAnsi="Times New Roman" w:cs="Times New Roman" w:eastAsia="Times New Roman" w:hint="default"/>
        </w:rPr>
        <w:t>4</w:t>
      </w:r>
      <w:r>
        <w:rPr/>
        <w:t>：新一代</w:t>
      </w:r>
      <w:r>
        <w:rPr>
          <w:spacing w:val="-48"/>
        </w:rPr>
        <w:t> </w:t>
      </w:r>
      <w:r>
        <w:rPr>
          <w:rFonts w:ascii="Times New Roman" w:hAnsi="Times New Roman" w:cs="Times New Roman" w:eastAsia="Times New Roman" w:hint="default"/>
        </w:rPr>
        <w:t>AI</w:t>
      </w:r>
      <w:r>
        <w:rPr>
          <w:rFonts w:ascii="Times New Roman" w:hAnsi="Times New Roman" w:cs="Times New Roman" w:eastAsia="Times New Roman" w:hint="default"/>
          <w:spacing w:val="-1"/>
        </w:rPr>
        <w:t> </w:t>
      </w:r>
      <w:r>
        <w:rPr/>
        <w:t>智能设备产业基地项目尚处于前期筹建阶段，故未产生相关收益。</w:t>
      </w:r>
    </w:p>
    <w:p>
      <w:pPr>
        <w:pStyle w:val="BodyText"/>
        <w:spacing w:line="340" w:lineRule="auto" w:before="103"/>
        <w:ind w:left="472" w:right="3059"/>
        <w:jc w:val="left"/>
      </w:pPr>
      <w:r>
        <w:rPr/>
        <w:t>注</w:t>
      </w:r>
      <w:r>
        <w:rPr>
          <w:spacing w:val="-45"/>
        </w:rPr>
        <w:t> </w:t>
      </w:r>
      <w:r>
        <w:rPr>
          <w:rFonts w:ascii="Times New Roman" w:hAnsi="Times New Roman" w:cs="Times New Roman" w:eastAsia="Times New Roman" w:hint="default"/>
        </w:rPr>
        <w:t>5</w:t>
      </w:r>
      <w:r>
        <w:rPr/>
        <w:t>：广电运通四期核心技术产业化升级扩建项目尚处于前期筹建阶段，故未产生相关收益。 注</w:t>
      </w:r>
      <w:r>
        <w:rPr>
          <w:spacing w:val="-44"/>
        </w:rPr>
        <w:t> </w:t>
      </w:r>
      <w:r>
        <w:rPr>
          <w:rFonts w:ascii="Times New Roman" w:hAnsi="Times New Roman" w:cs="Times New Roman" w:eastAsia="Times New Roman" w:hint="default"/>
        </w:rPr>
        <w:t>6</w:t>
      </w:r>
      <w:r>
        <w:rPr/>
        <w:t>：广电运通人工智能深圳创新中心项目尚处于前期筹建阶段，故未产生相关收益。</w:t>
      </w:r>
    </w:p>
    <w:p>
      <w:pPr>
        <w:spacing w:line="240" w:lineRule="auto" w:before="1"/>
        <w:rPr>
          <w:rFonts w:ascii="宋体" w:hAnsi="宋体" w:cs="宋体" w:eastAsia="宋体" w:hint="default"/>
          <w:sz w:val="20"/>
          <w:szCs w:val="20"/>
        </w:rPr>
      </w:pPr>
    </w:p>
    <w:p>
      <w:pPr>
        <w:pStyle w:val="Heading5"/>
        <w:spacing w:line="240" w:lineRule="auto"/>
        <w:ind w:right="1394"/>
        <w:jc w:val="left"/>
        <w:rPr>
          <w:b w:val="0"/>
          <w:bCs w:val="0"/>
        </w:rPr>
      </w:pPr>
      <w:bookmarkStart w:name="（3）募集资金变更项目情况" w:id="53"/>
      <w:bookmarkEnd w:id="53"/>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204" w:right="13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1"/>
        </w:rPr>
        <w:t> </w:t>
      </w:r>
      <w:r>
        <w:rPr/>
        <w:t>不适用</w:t>
      </w:r>
    </w:p>
    <w:p>
      <w:pPr>
        <w:pStyle w:val="BodyText"/>
        <w:spacing w:line="240" w:lineRule="auto" w:before="103"/>
        <w:ind w:left="0" w:right="1132"/>
        <w:jc w:val="right"/>
      </w:pPr>
      <w:r>
        <w:rPr/>
        <w:t>单位：万元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957"/>
        <w:gridCol w:w="958"/>
        <w:gridCol w:w="957"/>
        <w:gridCol w:w="958"/>
        <w:gridCol w:w="957"/>
        <w:gridCol w:w="956"/>
        <w:gridCol w:w="791"/>
        <w:gridCol w:w="1122"/>
        <w:gridCol w:w="957"/>
        <w:gridCol w:w="957"/>
      </w:tblGrid>
      <w:tr>
        <w:trPr>
          <w:trHeight w:val="1338"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82" w:right="22" w:hanging="360"/>
              <w:jc w:val="left"/>
              <w:rPr>
                <w:rFonts w:ascii="宋体" w:hAnsi="宋体" w:cs="宋体" w:eastAsia="宋体" w:hint="default"/>
                <w:sz w:val="18"/>
                <w:szCs w:val="18"/>
              </w:rPr>
            </w:pPr>
            <w:r>
              <w:rPr>
                <w:rFonts w:ascii="宋体" w:hAnsi="宋体" w:cs="宋体" w:eastAsia="宋体" w:hint="default"/>
                <w:sz w:val="18"/>
                <w:szCs w:val="18"/>
              </w:rPr>
              <w:t>变更后的项 目</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03" w:right="23" w:hanging="180"/>
              <w:jc w:val="left"/>
              <w:rPr>
                <w:rFonts w:ascii="宋体" w:hAnsi="宋体" w:cs="宋体" w:eastAsia="宋体" w:hint="default"/>
                <w:sz w:val="18"/>
                <w:szCs w:val="18"/>
              </w:rPr>
            </w:pPr>
            <w:r>
              <w:rPr>
                <w:rFonts w:ascii="宋体" w:hAnsi="宋体" w:cs="宋体" w:eastAsia="宋体" w:hint="default"/>
                <w:sz w:val="18"/>
                <w:szCs w:val="18"/>
              </w:rPr>
              <w:t>对应的原承 诺项目</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11"/>
              <w:ind w:left="23" w:right="22"/>
              <w:jc w:val="center"/>
              <w:rPr>
                <w:rFonts w:ascii="Times New Roman" w:hAnsi="Times New Roman" w:cs="Times New Roman" w:eastAsia="Times New Roman" w:hint="default"/>
                <w:sz w:val="18"/>
                <w:szCs w:val="18"/>
              </w:rPr>
            </w:pPr>
            <w:r>
              <w:rPr>
                <w:rFonts w:ascii="宋体" w:hAnsi="宋体" w:cs="宋体" w:eastAsia="宋体" w:hint="default"/>
                <w:sz w:val="18"/>
                <w:szCs w:val="18"/>
              </w:rPr>
              <w:t>变更后项目 拟投入募集 资金总额 </w:t>
            </w:r>
            <w:r>
              <w:rPr>
                <w:rFonts w:ascii="Times New Roman" w:hAnsi="Times New Roman" w:cs="Times New Roman" w:eastAsia="Times New Roman" w:hint="default"/>
                <w:sz w:val="18"/>
                <w:szCs w:val="18"/>
              </w:rPr>
              <w:t>(1)</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3" w:right="22"/>
              <w:jc w:val="left"/>
              <w:rPr>
                <w:rFonts w:ascii="宋体" w:hAnsi="宋体" w:cs="宋体" w:eastAsia="宋体" w:hint="default"/>
                <w:sz w:val="18"/>
                <w:szCs w:val="18"/>
              </w:rPr>
            </w:pPr>
            <w:r>
              <w:rPr>
                <w:rFonts w:ascii="宋体" w:hAnsi="宋体" w:cs="宋体" w:eastAsia="宋体" w:hint="default"/>
                <w:sz w:val="18"/>
                <w:szCs w:val="18"/>
              </w:rPr>
              <w:t>本报告期实 际投入金额</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3" w:right="22"/>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截至期末实 际累计投入 金额</w:t>
            </w:r>
            <w:r>
              <w:rPr>
                <w:rFonts w:ascii="Times New Roman" w:hAnsi="Times New Roman" w:cs="Times New Roman" w:eastAsia="Times New Roman" w:hint="default"/>
                <w:sz w:val="18"/>
                <w:szCs w:val="18"/>
              </w:rPr>
              <w:t>(2)</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38" w:lineRule="auto" w:before="50"/>
              <w:ind w:left="23" w:right="20"/>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截至期末投 资进度 </w:t>
            </w:r>
            <w:r>
              <w:rPr>
                <w:rFonts w:ascii="Times New Roman" w:hAnsi="Times New Roman" w:cs="Times New Roman" w:eastAsia="Times New Roman" w:hint="default"/>
                <w:sz w:val="18"/>
                <w:szCs w:val="18"/>
              </w:rPr>
              <w:t>(3)=(2)/(1)</w:t>
            </w:r>
          </w:p>
        </w:tc>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0" w:right="29"/>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1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96" w:right="104" w:hanging="92"/>
              <w:jc w:val="left"/>
              <w:rPr>
                <w:rFonts w:ascii="宋体" w:hAnsi="宋体" w:cs="宋体" w:eastAsia="宋体" w:hint="default"/>
                <w:sz w:val="18"/>
                <w:szCs w:val="18"/>
              </w:rPr>
            </w:pPr>
            <w:r>
              <w:rPr>
                <w:rFonts w:ascii="宋体" w:hAnsi="宋体" w:cs="宋体" w:eastAsia="宋体" w:hint="default"/>
                <w:sz w:val="18"/>
                <w:szCs w:val="18"/>
              </w:rPr>
              <w:t>本报告期实 现的效益</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02" w:right="22" w:hanging="180"/>
              <w:jc w:val="left"/>
              <w:rPr>
                <w:rFonts w:ascii="宋体" w:hAnsi="宋体" w:cs="宋体" w:eastAsia="宋体" w:hint="default"/>
                <w:sz w:val="18"/>
                <w:szCs w:val="18"/>
              </w:rPr>
            </w:pPr>
            <w:r>
              <w:rPr>
                <w:rFonts w:ascii="宋体" w:hAnsi="宋体" w:cs="宋体" w:eastAsia="宋体" w:hint="default"/>
                <w:sz w:val="18"/>
                <w:szCs w:val="18"/>
              </w:rPr>
              <w:t>是否达到预 计效益</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3" w:right="22"/>
              <w:jc w:val="center"/>
              <w:rPr>
                <w:rFonts w:ascii="宋体" w:hAnsi="宋体" w:cs="宋体" w:eastAsia="宋体" w:hint="default"/>
                <w:sz w:val="18"/>
                <w:szCs w:val="18"/>
              </w:rPr>
            </w:pPr>
            <w:r>
              <w:rPr>
                <w:rFonts w:ascii="宋体" w:hAnsi="宋体" w:cs="宋体" w:eastAsia="宋体" w:hint="default"/>
                <w:sz w:val="18"/>
                <w:szCs w:val="18"/>
              </w:rPr>
              <w:t>变更后的项 目可行性是 否发生重大 变化</w:t>
            </w:r>
          </w:p>
        </w:tc>
      </w:tr>
      <w:tr>
        <w:trPr>
          <w:trHeight w:val="1066" w:hRule="exact"/>
        </w:trPr>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300" w:lineRule="auto"/>
              <w:ind w:left="293" w:right="20" w:hanging="272"/>
              <w:jc w:val="left"/>
              <w:rPr>
                <w:rFonts w:ascii="宋体" w:hAnsi="宋体" w:cs="宋体" w:eastAsia="宋体" w:hint="default"/>
                <w:sz w:val="18"/>
                <w:szCs w:val="18"/>
              </w:rPr>
            </w:pPr>
            <w:r>
              <w:rPr>
                <w:rFonts w:ascii="Times New Roman" w:hAnsi="Times New Roman" w:cs="Times New Roman" w:eastAsia="Times New Roman" w:hint="default"/>
                <w:spacing w:val="-15"/>
                <w:sz w:val="18"/>
                <w:szCs w:val="18"/>
              </w:rPr>
              <w:t>1</w:t>
            </w:r>
            <w:r>
              <w:rPr>
                <w:rFonts w:ascii="宋体" w:hAnsi="宋体" w:cs="宋体" w:eastAsia="宋体" w:hint="default"/>
                <w:spacing w:val="-15"/>
                <w:sz w:val="18"/>
                <w:szCs w:val="18"/>
              </w:rPr>
              <w:t>、智能便民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项目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0"/>
              <w:ind w:left="23" w:right="23"/>
              <w:jc w:val="both"/>
              <w:rPr>
                <w:rFonts w:ascii="宋体" w:hAnsi="宋体" w:cs="宋体" w:eastAsia="宋体" w:hint="default"/>
                <w:sz w:val="18"/>
                <w:szCs w:val="18"/>
              </w:rPr>
            </w:pPr>
            <w:r>
              <w:rPr>
                <w:rFonts w:ascii="宋体" w:hAnsi="宋体" w:cs="宋体" w:eastAsia="宋体" w:hint="default"/>
                <w:sz w:val="18"/>
                <w:szCs w:val="18"/>
              </w:rPr>
              <w:t>建设广州金 融外包服务 总部平台</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14,000.00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6,562.25</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7,647.54</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54.63%</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5" w:right="0"/>
              <w:jc w:val="center"/>
              <w:rPr>
                <w:rFonts w:ascii="宋体" w:hAnsi="宋体" w:cs="宋体" w:eastAsia="宋体" w:hint="default"/>
                <w:sz w:val="18"/>
                <w:szCs w:val="18"/>
              </w:rPr>
            </w:pPr>
            <w:r>
              <w:rPr>
                <w:rFonts w:ascii="宋体" w:hAnsi="宋体" w:cs="宋体" w:eastAsia="宋体" w:hint="default"/>
                <w:sz w:val="18"/>
                <w:szCs w:val="18"/>
              </w:rPr>
              <w:t>见第四节五、</w:t>
            </w:r>
          </w:p>
          <w:p>
            <w:pPr>
              <w:pStyle w:val="TableParagraph"/>
              <w:spacing w:line="338" w:lineRule="auto" w:before="76"/>
              <w:ind w:left="196" w:right="19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 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left="20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1338" w:hRule="exact"/>
        </w:trPr>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2" w:right="22" w:hanging="1"/>
              <w:jc w:val="center"/>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、新一代 </w:t>
            </w:r>
            <w:r>
              <w:rPr>
                <w:rFonts w:ascii="Times New Roman" w:hAnsi="Times New Roman" w:cs="Times New Roman" w:eastAsia="Times New Roman" w:hint="default"/>
                <w:sz w:val="18"/>
                <w:szCs w:val="18"/>
              </w:rPr>
              <w:t>AI</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智能设</w:t>
            </w:r>
            <w:r>
              <w:rPr>
                <w:rFonts w:ascii="宋体" w:hAnsi="宋体" w:cs="宋体" w:eastAsia="宋体" w:hint="default"/>
                <w:w w:val="99"/>
                <w:sz w:val="18"/>
                <w:szCs w:val="18"/>
              </w:rPr>
              <w:t> </w:t>
            </w:r>
            <w:r>
              <w:rPr>
                <w:rFonts w:ascii="宋体" w:hAnsi="宋体" w:cs="宋体" w:eastAsia="宋体" w:hint="default"/>
                <w:sz w:val="18"/>
                <w:szCs w:val="18"/>
              </w:rPr>
              <w:t>备产业基地</w:t>
            </w:r>
            <w:r>
              <w:rPr>
                <w:rFonts w:ascii="宋体" w:hAnsi="宋体" w:cs="宋体" w:eastAsia="宋体" w:hint="default"/>
                <w:w w:val="99"/>
                <w:sz w:val="18"/>
                <w:szCs w:val="18"/>
              </w:rPr>
              <w:t> </w:t>
            </w:r>
            <w:r>
              <w:rPr>
                <w:rFonts w:ascii="宋体" w:hAnsi="宋体" w:cs="宋体" w:eastAsia="宋体" w:hint="default"/>
                <w:sz w:val="18"/>
                <w:szCs w:val="18"/>
              </w:rPr>
              <w:t>项目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23"/>
              <w:jc w:val="center"/>
              <w:rPr>
                <w:rFonts w:ascii="宋体" w:hAnsi="宋体" w:cs="宋体" w:eastAsia="宋体" w:hint="default"/>
                <w:sz w:val="18"/>
                <w:szCs w:val="18"/>
              </w:rPr>
            </w:pPr>
            <w:r>
              <w:rPr>
                <w:rFonts w:ascii="宋体" w:hAnsi="宋体" w:cs="宋体" w:eastAsia="宋体" w:hint="default"/>
                <w:sz w:val="18"/>
                <w:szCs w:val="18"/>
              </w:rPr>
              <w:t>建设区域金 融外包服务 平台</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60,506.08</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5,956.95</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5,956.95</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9.85%</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15" w:right="0"/>
              <w:jc w:val="center"/>
              <w:rPr>
                <w:rFonts w:ascii="宋体" w:hAnsi="宋体" w:cs="宋体" w:eastAsia="宋体" w:hint="default"/>
                <w:sz w:val="18"/>
                <w:szCs w:val="18"/>
              </w:rPr>
            </w:pPr>
            <w:r>
              <w:rPr>
                <w:rFonts w:ascii="宋体" w:hAnsi="宋体" w:cs="宋体" w:eastAsia="宋体" w:hint="default"/>
                <w:sz w:val="18"/>
                <w:szCs w:val="18"/>
              </w:rPr>
              <w:t>见第四节五、</w:t>
            </w:r>
          </w:p>
          <w:p>
            <w:pPr>
              <w:pStyle w:val="TableParagraph"/>
              <w:spacing w:line="338" w:lineRule="auto" w:before="76"/>
              <w:ind w:left="196" w:right="19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 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2" w:hRule="exact"/>
        </w:trPr>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71"/>
              <w:ind w:left="22" w:right="20"/>
              <w:jc w:val="left"/>
              <w:rPr>
                <w:rFonts w:ascii="宋体" w:hAnsi="宋体" w:cs="宋体" w:eastAsia="宋体" w:hint="default"/>
                <w:sz w:val="18"/>
                <w:szCs w:val="18"/>
              </w:rPr>
            </w:pPr>
            <w:r>
              <w:rPr>
                <w:rFonts w:ascii="Times New Roman" w:hAnsi="Times New Roman" w:cs="Times New Roman" w:eastAsia="Times New Roman" w:hint="default"/>
                <w:spacing w:val="-15"/>
                <w:sz w:val="18"/>
                <w:szCs w:val="18"/>
              </w:rPr>
              <w:t>3</w:t>
            </w:r>
            <w:r>
              <w:rPr>
                <w:rFonts w:ascii="宋体" w:hAnsi="宋体" w:cs="宋体" w:eastAsia="宋体" w:hint="default"/>
                <w:spacing w:val="-15"/>
                <w:sz w:val="18"/>
                <w:szCs w:val="18"/>
              </w:rPr>
              <w:t>、广电运通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四期核心技</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3" w:right="23"/>
              <w:jc w:val="left"/>
              <w:rPr>
                <w:rFonts w:ascii="宋体" w:hAnsi="宋体" w:cs="宋体" w:eastAsia="宋体" w:hint="default"/>
                <w:sz w:val="18"/>
                <w:szCs w:val="18"/>
              </w:rPr>
            </w:pPr>
            <w:r>
              <w:rPr>
                <w:rFonts w:ascii="宋体" w:hAnsi="宋体" w:cs="宋体" w:eastAsia="宋体" w:hint="default"/>
                <w:sz w:val="18"/>
                <w:szCs w:val="18"/>
              </w:rPr>
              <w:t>建设区域金 融外包服务</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32.00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0.64%</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5" w:right="0"/>
              <w:jc w:val="center"/>
              <w:rPr>
                <w:rFonts w:ascii="宋体" w:hAnsi="宋体" w:cs="宋体" w:eastAsia="宋体" w:hint="default"/>
                <w:sz w:val="18"/>
                <w:szCs w:val="18"/>
              </w:rPr>
            </w:pPr>
            <w:r>
              <w:rPr>
                <w:rFonts w:ascii="宋体" w:hAnsi="宋体" w:cs="宋体" w:eastAsia="宋体" w:hint="default"/>
                <w:sz w:val="18"/>
                <w:szCs w:val="18"/>
              </w:rPr>
              <w:t>见第四节五、</w:t>
            </w:r>
          </w:p>
          <w:p>
            <w:pPr>
              <w:pStyle w:val="TableParagraph"/>
              <w:spacing w:line="240" w:lineRule="auto" w:before="76"/>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pgSz w:w="11910" w:h="16840"/>
          <w:pgMar w:header="878" w:footer="978" w:top="1100" w:bottom="1160" w:left="102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09" w:type="dxa"/>
        <w:tblLayout w:type="fixed"/>
        <w:tblCellMar>
          <w:top w:w="0" w:type="dxa"/>
          <w:left w:w="0" w:type="dxa"/>
          <w:bottom w:w="0" w:type="dxa"/>
          <w:right w:w="0" w:type="dxa"/>
        </w:tblCellMar>
        <w:tblLook w:val="01E0"/>
      </w:tblPr>
      <w:tblGrid>
        <w:gridCol w:w="957"/>
        <w:gridCol w:w="958"/>
        <w:gridCol w:w="957"/>
        <w:gridCol w:w="958"/>
        <w:gridCol w:w="957"/>
        <w:gridCol w:w="956"/>
        <w:gridCol w:w="791"/>
        <w:gridCol w:w="1122"/>
        <w:gridCol w:w="957"/>
        <w:gridCol w:w="957"/>
      </w:tblGrid>
      <w:tr>
        <w:trPr>
          <w:trHeight w:val="674" w:hRule="exact"/>
        </w:trPr>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2" w:right="22"/>
              <w:jc w:val="left"/>
              <w:rPr>
                <w:rFonts w:ascii="宋体" w:hAnsi="宋体" w:cs="宋体" w:eastAsia="宋体" w:hint="default"/>
                <w:sz w:val="18"/>
                <w:szCs w:val="18"/>
              </w:rPr>
            </w:pPr>
            <w:r>
              <w:rPr>
                <w:rFonts w:ascii="宋体" w:hAnsi="宋体" w:cs="宋体" w:eastAsia="宋体" w:hint="default"/>
                <w:sz w:val="18"/>
                <w:szCs w:val="18"/>
              </w:rPr>
              <w:t>术产业化升 级扩建项目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平台</w:t>
            </w: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791" w:type="dxa"/>
            <w:tcBorders>
              <w:top w:val="single" w:sz="4" w:space="0" w:color="000000"/>
              <w:left w:val="single" w:sz="4" w:space="0" w:color="000000"/>
              <w:bottom w:val="single" w:sz="4" w:space="0" w:color="000000"/>
              <w:right w:val="single" w:sz="4" w:space="0" w:color="000000"/>
            </w:tcBorders>
          </w:tcPr>
          <w:p>
            <w:pP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r>
      <w:tr>
        <w:trPr>
          <w:trHeight w:val="1066" w:hRule="exact"/>
        </w:trPr>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72"/>
              <w:ind w:left="22" w:right="20"/>
              <w:jc w:val="both"/>
              <w:rPr>
                <w:rFonts w:ascii="宋体" w:hAnsi="宋体" w:cs="宋体" w:eastAsia="宋体" w:hint="default"/>
                <w:sz w:val="18"/>
                <w:szCs w:val="18"/>
              </w:rPr>
            </w:pPr>
            <w:r>
              <w:rPr>
                <w:rFonts w:ascii="Times New Roman" w:hAnsi="Times New Roman" w:cs="Times New Roman" w:eastAsia="Times New Roman" w:hint="default"/>
                <w:spacing w:val="-15"/>
                <w:sz w:val="18"/>
                <w:szCs w:val="18"/>
              </w:rPr>
              <w:t>4</w:t>
            </w:r>
            <w:r>
              <w:rPr>
                <w:rFonts w:ascii="宋体" w:hAnsi="宋体" w:cs="宋体" w:eastAsia="宋体" w:hint="default"/>
                <w:spacing w:val="-15"/>
                <w:sz w:val="18"/>
                <w:szCs w:val="18"/>
              </w:rPr>
              <w:t>、广电运通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人工智能深 圳创新中心</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2"/>
              <w:ind w:left="23" w:right="23"/>
              <w:jc w:val="center"/>
              <w:rPr>
                <w:rFonts w:ascii="宋体" w:hAnsi="宋体" w:cs="宋体" w:eastAsia="宋体" w:hint="default"/>
                <w:sz w:val="18"/>
                <w:szCs w:val="18"/>
              </w:rPr>
            </w:pPr>
            <w:r>
              <w:rPr>
                <w:rFonts w:ascii="宋体" w:hAnsi="宋体" w:cs="宋体" w:eastAsia="宋体" w:hint="default"/>
                <w:sz w:val="18"/>
                <w:szCs w:val="18"/>
              </w:rPr>
              <w:t>建设区域金 融外包服务 平台</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66,000.00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458" w:right="0"/>
              <w:jc w:val="left"/>
              <w:rPr>
                <w:rFonts w:ascii="Times New Roman" w:hAnsi="Times New Roman" w:cs="Times New Roman" w:eastAsia="Times New Roman" w:hint="default"/>
                <w:sz w:val="18"/>
                <w:szCs w:val="18"/>
              </w:rPr>
            </w:pPr>
            <w:r>
              <w:rPr>
                <w:rFonts w:ascii="Times New Roman"/>
                <w:sz w:val="18"/>
              </w:rPr>
              <w:t>0.00%</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5" w:right="0"/>
              <w:jc w:val="center"/>
              <w:rPr>
                <w:rFonts w:ascii="宋体" w:hAnsi="宋体" w:cs="宋体" w:eastAsia="宋体" w:hint="default"/>
                <w:sz w:val="18"/>
                <w:szCs w:val="18"/>
              </w:rPr>
            </w:pPr>
            <w:r>
              <w:rPr>
                <w:rFonts w:ascii="宋体" w:hAnsi="宋体" w:cs="宋体" w:eastAsia="宋体" w:hint="default"/>
                <w:sz w:val="18"/>
                <w:szCs w:val="18"/>
              </w:rPr>
              <w:t>见第四节五、</w:t>
            </w:r>
          </w:p>
          <w:p>
            <w:pPr>
              <w:pStyle w:val="TableParagraph"/>
              <w:spacing w:line="340" w:lineRule="auto" w:before="76"/>
              <w:ind w:left="196" w:right="19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 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不适用</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145,506.08</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12,551.20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13,636.49</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415" w:right="0"/>
              <w:jc w:val="left"/>
              <w:rPr>
                <w:rFonts w:ascii="Times New Roman" w:hAnsi="Times New Roman" w:cs="Times New Roman" w:eastAsia="Times New Roman" w:hint="default"/>
                <w:sz w:val="18"/>
                <w:szCs w:val="18"/>
              </w:rPr>
            </w:pPr>
            <w:r>
              <w:rPr>
                <w:rFonts w:ascii="Times New Roman"/>
                <w:sz w:val="18"/>
              </w:rPr>
              <w:t>--</w:t>
            </w:r>
          </w:p>
        </w:tc>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383" w:hRule="exact"/>
        </w:trPr>
        <w:tc>
          <w:tcPr>
            <w:tcW w:w="2872" w:type="dxa"/>
            <w:gridSpan w:val="3"/>
            <w:tcBorders>
              <w:top w:val="single" w:sz="4" w:space="0" w:color="000000"/>
              <w:left w:val="single" w:sz="4" w:space="0" w:color="000000"/>
              <w:bottom w:val="nil" w:sz="6" w:space="0" w:color="auto"/>
              <w:right w:val="single" w:sz="4" w:space="0" w:color="000000"/>
            </w:tcBorders>
            <w:shd w:val="clear" w:color="auto" w:fill="D2D2D2"/>
          </w:tcPr>
          <w:p>
            <w:pPr/>
          </w:p>
        </w:tc>
        <w:tc>
          <w:tcPr>
            <w:tcW w:w="6698" w:type="dxa"/>
            <w:gridSpan w:val="7"/>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、智能便民项目</w:t>
            </w:r>
          </w:p>
        </w:tc>
      </w:tr>
      <w:tr>
        <w:trPr>
          <w:trHeight w:val="331" w:hRule="exact"/>
        </w:trPr>
        <w:tc>
          <w:tcPr>
            <w:tcW w:w="2872" w:type="dxa"/>
            <w:gridSpan w:val="3"/>
            <w:tcBorders>
              <w:top w:val="nil" w:sz="6" w:space="0" w:color="auto"/>
              <w:left w:val="single" w:sz="4" w:space="0" w:color="000000"/>
              <w:bottom w:val="nil" w:sz="6" w:space="0" w:color="auto"/>
              <w:right w:val="single" w:sz="4" w:space="0" w:color="000000"/>
            </w:tcBorders>
            <w:shd w:val="clear" w:color="auto" w:fill="D2D2D2"/>
          </w:tcPr>
          <w:p>
            <w:pPr/>
          </w:p>
        </w:tc>
        <w:tc>
          <w:tcPr>
            <w:tcW w:w="6698"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before="26"/>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）变更原因：原</w:t>
            </w:r>
            <w:r>
              <w:rPr>
                <w:rFonts w:ascii="Times New Roman" w:hAnsi="Times New Roman" w:cs="Times New Roman" w:eastAsia="Times New Roman" w:hint="default"/>
                <w:sz w:val="18"/>
                <w:szCs w:val="18"/>
              </w:rPr>
              <w:t>“</w:t>
            </w:r>
            <w:r>
              <w:rPr>
                <w:rFonts w:ascii="宋体" w:hAnsi="宋体" w:cs="宋体" w:eastAsia="宋体" w:hint="default"/>
                <w:sz w:val="18"/>
                <w:szCs w:val="18"/>
              </w:rPr>
              <w:t>建设广州金融外包服务总部平台</w:t>
            </w:r>
            <w:r>
              <w:rPr>
                <w:rFonts w:ascii="Times New Roman" w:hAnsi="Times New Roman" w:cs="Times New Roman" w:eastAsia="Times New Roman" w:hint="default"/>
                <w:sz w:val="18"/>
                <w:szCs w:val="18"/>
              </w:rPr>
              <w:t>”</w:t>
            </w:r>
            <w:r>
              <w:rPr>
                <w:rFonts w:ascii="宋体" w:hAnsi="宋体" w:cs="宋体" w:eastAsia="宋体" w:hint="default"/>
                <w:sz w:val="18"/>
                <w:szCs w:val="18"/>
              </w:rPr>
              <w:t>项目募集资金投资金额为</w:t>
            </w:r>
          </w:p>
        </w:tc>
      </w:tr>
      <w:tr>
        <w:trPr>
          <w:trHeight w:val="312" w:hRule="exact"/>
        </w:trPr>
        <w:tc>
          <w:tcPr>
            <w:tcW w:w="2872" w:type="dxa"/>
            <w:gridSpan w:val="3"/>
            <w:tcBorders>
              <w:top w:val="nil" w:sz="6" w:space="0" w:color="auto"/>
              <w:left w:val="single" w:sz="4" w:space="0" w:color="000000"/>
              <w:bottom w:val="nil" w:sz="6" w:space="0" w:color="auto"/>
              <w:right w:val="single" w:sz="4" w:space="0" w:color="000000"/>
            </w:tcBorders>
            <w:shd w:val="clear" w:color="auto" w:fill="D2D2D2"/>
          </w:tcPr>
          <w:p>
            <w:pPr/>
          </w:p>
        </w:tc>
        <w:tc>
          <w:tcPr>
            <w:tcW w:w="6698"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36,029.00</w:t>
            </w:r>
            <w:r>
              <w:rPr>
                <w:rFonts w:ascii="Times New Roman" w:hAnsi="Times New Roman" w:cs="Times New Roman" w:eastAsia="Times New Roman" w:hint="default"/>
                <w:spacing w:val="-1"/>
                <w:sz w:val="18"/>
                <w:szCs w:val="18"/>
              </w:rPr>
              <w:t> </w:t>
            </w:r>
            <w:r>
              <w:rPr>
                <w:rFonts w:ascii="宋体" w:hAnsi="宋体" w:cs="宋体" w:eastAsia="宋体" w:hint="default"/>
                <w:spacing w:val="-7"/>
                <w:sz w:val="18"/>
                <w:szCs w:val="18"/>
              </w:rPr>
              <w:t>万元，截至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日累计投入</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10,983.23</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万元。该项目主体工程和</w:t>
            </w:r>
          </w:p>
        </w:tc>
      </w:tr>
      <w:tr>
        <w:trPr>
          <w:trHeight w:val="308" w:hRule="exact"/>
        </w:trPr>
        <w:tc>
          <w:tcPr>
            <w:tcW w:w="2872" w:type="dxa"/>
            <w:gridSpan w:val="3"/>
            <w:tcBorders>
              <w:top w:val="nil" w:sz="6" w:space="0" w:color="auto"/>
              <w:left w:val="single" w:sz="4" w:space="0" w:color="000000"/>
              <w:bottom w:val="nil" w:sz="6" w:space="0" w:color="auto"/>
              <w:right w:val="single" w:sz="4" w:space="0" w:color="000000"/>
            </w:tcBorders>
            <w:shd w:val="clear" w:color="auto" w:fill="D2D2D2"/>
          </w:tcPr>
          <w:p>
            <w:pPr/>
          </w:p>
        </w:tc>
        <w:tc>
          <w:tcPr>
            <w:tcW w:w="6698"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内部装修都已基本完成，达到可使用状态，预计未来将剩余部分募集资金。为进一步</w:t>
            </w:r>
          </w:p>
        </w:tc>
      </w:tr>
      <w:tr>
        <w:trPr>
          <w:trHeight w:val="316" w:hRule="exact"/>
        </w:trPr>
        <w:tc>
          <w:tcPr>
            <w:tcW w:w="2872" w:type="dxa"/>
            <w:gridSpan w:val="3"/>
            <w:tcBorders>
              <w:top w:val="nil" w:sz="6" w:space="0" w:color="auto"/>
              <w:left w:val="single" w:sz="4" w:space="0" w:color="000000"/>
              <w:bottom w:val="nil" w:sz="6" w:space="0" w:color="auto"/>
              <w:right w:val="single" w:sz="4" w:space="0" w:color="000000"/>
            </w:tcBorders>
            <w:shd w:val="clear" w:color="auto" w:fill="D2D2D2"/>
          </w:tcPr>
          <w:p>
            <w:pPr/>
          </w:p>
        </w:tc>
        <w:tc>
          <w:tcPr>
            <w:tcW w:w="6698"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提高募集资金使用效率，公司变更部分募集资金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亿元用于投资建设</w:t>
            </w:r>
            <w:r>
              <w:rPr>
                <w:rFonts w:ascii="Times New Roman" w:hAnsi="Times New Roman" w:cs="Times New Roman" w:eastAsia="Times New Roman" w:hint="default"/>
                <w:sz w:val="18"/>
                <w:szCs w:val="18"/>
              </w:rPr>
              <w:t>“</w:t>
            </w:r>
            <w:r>
              <w:rPr>
                <w:rFonts w:ascii="宋体" w:hAnsi="宋体" w:cs="宋体" w:eastAsia="宋体" w:hint="default"/>
                <w:sz w:val="18"/>
                <w:szCs w:val="18"/>
              </w:rPr>
              <w:t>智能便民项</w:t>
            </w:r>
          </w:p>
        </w:tc>
      </w:tr>
      <w:tr>
        <w:trPr>
          <w:trHeight w:val="312" w:hRule="exact"/>
        </w:trPr>
        <w:tc>
          <w:tcPr>
            <w:tcW w:w="2872" w:type="dxa"/>
            <w:gridSpan w:val="3"/>
            <w:tcBorders>
              <w:top w:val="nil" w:sz="6" w:space="0" w:color="auto"/>
              <w:left w:val="single" w:sz="4" w:space="0" w:color="000000"/>
              <w:bottom w:val="nil" w:sz="6" w:space="0" w:color="auto"/>
              <w:right w:val="single" w:sz="4" w:space="0" w:color="000000"/>
            </w:tcBorders>
            <w:shd w:val="clear" w:color="auto" w:fill="D2D2D2"/>
          </w:tcPr>
          <w:p>
            <w:pPr/>
          </w:p>
        </w:tc>
        <w:tc>
          <w:tcPr>
            <w:tcW w:w="6698"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3"/>
                <w:sz w:val="18"/>
                <w:szCs w:val="18"/>
              </w:rPr>
              <w:t>目</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，设立智能便民项目公司</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运通购快</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，深入打造便民惠民的智能互联平台。项目实</w:t>
            </w:r>
          </w:p>
        </w:tc>
      </w:tr>
      <w:tr>
        <w:trPr>
          <w:trHeight w:val="327" w:hRule="exact"/>
        </w:trPr>
        <w:tc>
          <w:tcPr>
            <w:tcW w:w="2872" w:type="dxa"/>
            <w:gridSpan w:val="3"/>
            <w:tcBorders>
              <w:top w:val="nil" w:sz="6" w:space="0" w:color="auto"/>
              <w:left w:val="single" w:sz="4" w:space="0" w:color="000000"/>
              <w:bottom w:val="nil" w:sz="6" w:space="0" w:color="auto"/>
              <w:right w:val="single" w:sz="4" w:space="0" w:color="000000"/>
            </w:tcBorders>
            <w:shd w:val="clear" w:color="auto" w:fill="D2D2D2"/>
          </w:tcPr>
          <w:p>
            <w:pPr/>
          </w:p>
        </w:tc>
        <w:tc>
          <w:tcPr>
            <w:tcW w:w="6698"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施主体由公司全资子公司广州银通变更为运通购快。</w:t>
            </w:r>
          </w:p>
        </w:tc>
      </w:tr>
      <w:tr>
        <w:trPr>
          <w:trHeight w:val="336" w:hRule="exact"/>
        </w:trPr>
        <w:tc>
          <w:tcPr>
            <w:tcW w:w="2872" w:type="dxa"/>
            <w:gridSpan w:val="3"/>
            <w:tcBorders>
              <w:top w:val="nil" w:sz="6" w:space="0" w:color="auto"/>
              <w:left w:val="single" w:sz="4" w:space="0" w:color="000000"/>
              <w:bottom w:val="nil" w:sz="6" w:space="0" w:color="auto"/>
              <w:right w:val="single" w:sz="4" w:space="0" w:color="000000"/>
            </w:tcBorders>
            <w:shd w:val="clear" w:color="auto" w:fill="D2D2D2"/>
          </w:tcPr>
          <w:p>
            <w:pPr/>
          </w:p>
        </w:tc>
        <w:tc>
          <w:tcPr>
            <w:tcW w:w="6698"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38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）决策程序及信息披露情况说明：公司于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23</w:t>
            </w:r>
          </w:p>
        </w:tc>
      </w:tr>
      <w:tr>
        <w:trPr>
          <w:trHeight w:val="312" w:hRule="exact"/>
        </w:trPr>
        <w:tc>
          <w:tcPr>
            <w:tcW w:w="2872" w:type="dxa"/>
            <w:gridSpan w:val="3"/>
            <w:tcBorders>
              <w:top w:val="nil" w:sz="6" w:space="0" w:color="auto"/>
              <w:left w:val="single" w:sz="4" w:space="0" w:color="000000"/>
              <w:bottom w:val="nil" w:sz="6" w:space="0" w:color="auto"/>
              <w:right w:val="single" w:sz="4" w:space="0" w:color="000000"/>
            </w:tcBorders>
            <w:shd w:val="clear" w:color="auto" w:fill="D2D2D2"/>
          </w:tcPr>
          <w:p>
            <w:pPr/>
          </w:p>
        </w:tc>
        <w:tc>
          <w:tcPr>
            <w:tcW w:w="6698"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日召开公司第五届董事会第四次会议和</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年度股东大会审议通过了《关于变更部</w:t>
            </w:r>
          </w:p>
        </w:tc>
      </w:tr>
      <w:tr>
        <w:trPr>
          <w:trHeight w:val="312" w:hRule="exact"/>
        </w:trPr>
        <w:tc>
          <w:tcPr>
            <w:tcW w:w="2872" w:type="dxa"/>
            <w:gridSpan w:val="3"/>
            <w:tcBorders>
              <w:top w:val="nil" w:sz="6" w:space="0" w:color="auto"/>
              <w:left w:val="single" w:sz="4" w:space="0" w:color="000000"/>
              <w:bottom w:val="nil" w:sz="6" w:space="0" w:color="auto"/>
              <w:right w:val="single" w:sz="4" w:space="0" w:color="000000"/>
            </w:tcBorders>
            <w:shd w:val="clear" w:color="auto" w:fill="D2D2D2"/>
          </w:tcPr>
          <w:p>
            <w:pPr/>
          </w:p>
        </w:tc>
        <w:tc>
          <w:tcPr>
            <w:tcW w:w="6698"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分募集资金用途及设立智能便民项目公司的议案》，同意公司变更部分募集资金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p>
        </w:tc>
      </w:tr>
      <w:tr>
        <w:trPr>
          <w:trHeight w:val="312" w:hRule="exact"/>
        </w:trPr>
        <w:tc>
          <w:tcPr>
            <w:tcW w:w="2872" w:type="dxa"/>
            <w:gridSpan w:val="3"/>
            <w:tcBorders>
              <w:top w:val="nil" w:sz="6" w:space="0" w:color="auto"/>
              <w:left w:val="single" w:sz="4" w:space="0" w:color="000000"/>
              <w:bottom w:val="nil" w:sz="6" w:space="0" w:color="auto"/>
              <w:right w:val="single" w:sz="4" w:space="0" w:color="000000"/>
            </w:tcBorders>
            <w:shd w:val="clear" w:color="auto" w:fill="D2D2D2"/>
          </w:tcPr>
          <w:p>
            <w:pPr/>
          </w:p>
        </w:tc>
        <w:tc>
          <w:tcPr>
            <w:tcW w:w="6698"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亿元用于投资建设</w:t>
            </w:r>
            <w:r>
              <w:rPr>
                <w:rFonts w:ascii="Times New Roman" w:hAnsi="Times New Roman" w:cs="Times New Roman" w:eastAsia="Times New Roman" w:hint="default"/>
                <w:sz w:val="18"/>
                <w:szCs w:val="18"/>
              </w:rPr>
              <w:t>“</w:t>
            </w:r>
            <w:r>
              <w:rPr>
                <w:rFonts w:ascii="宋体" w:hAnsi="宋体" w:cs="宋体" w:eastAsia="宋体" w:hint="default"/>
                <w:sz w:val="18"/>
                <w:szCs w:val="18"/>
              </w:rPr>
              <w:t>智能便民项目</w:t>
            </w:r>
            <w:r>
              <w:rPr>
                <w:rFonts w:ascii="Times New Roman" w:hAnsi="Times New Roman" w:cs="Times New Roman" w:eastAsia="Times New Roman" w:hint="default"/>
                <w:sz w:val="18"/>
                <w:szCs w:val="18"/>
              </w:rPr>
              <w:t>”</w:t>
            </w:r>
            <w:r>
              <w:rPr>
                <w:rFonts w:ascii="宋体" w:hAnsi="宋体" w:cs="宋体" w:eastAsia="宋体" w:hint="default"/>
                <w:sz w:val="18"/>
                <w:szCs w:val="18"/>
              </w:rPr>
              <w:t>，设立智能便民项目公司</w:t>
            </w:r>
            <w:r>
              <w:rPr>
                <w:rFonts w:ascii="Times New Roman" w:hAnsi="Times New Roman" w:cs="Times New Roman" w:eastAsia="Times New Roman" w:hint="default"/>
                <w:sz w:val="18"/>
                <w:szCs w:val="18"/>
              </w:rPr>
              <w:t>“</w:t>
            </w:r>
            <w:r>
              <w:rPr>
                <w:rFonts w:ascii="宋体" w:hAnsi="宋体" w:cs="宋体" w:eastAsia="宋体" w:hint="default"/>
                <w:sz w:val="18"/>
                <w:szCs w:val="18"/>
              </w:rPr>
              <w:t>运通购快</w:t>
            </w:r>
            <w:r>
              <w:rPr>
                <w:rFonts w:ascii="Times New Roman" w:hAnsi="Times New Roman" w:cs="Times New Roman" w:eastAsia="Times New Roman" w:hint="default"/>
                <w:sz w:val="18"/>
                <w:szCs w:val="18"/>
              </w:rPr>
              <w:t>”</w:t>
            </w:r>
            <w:r>
              <w:rPr>
                <w:rFonts w:ascii="宋体" w:hAnsi="宋体" w:cs="宋体" w:eastAsia="宋体" w:hint="default"/>
                <w:sz w:val="18"/>
                <w:szCs w:val="18"/>
              </w:rPr>
              <w:t>，深入打造便</w:t>
            </w:r>
          </w:p>
        </w:tc>
      </w:tr>
      <w:tr>
        <w:trPr>
          <w:trHeight w:val="312" w:hRule="exact"/>
        </w:trPr>
        <w:tc>
          <w:tcPr>
            <w:tcW w:w="2872" w:type="dxa"/>
            <w:gridSpan w:val="3"/>
            <w:tcBorders>
              <w:top w:val="nil" w:sz="6" w:space="0" w:color="auto"/>
              <w:left w:val="single" w:sz="4" w:space="0" w:color="000000"/>
              <w:bottom w:val="nil" w:sz="6" w:space="0" w:color="auto"/>
              <w:right w:val="single" w:sz="4" w:space="0" w:color="000000"/>
            </w:tcBorders>
            <w:shd w:val="clear" w:color="auto" w:fill="D2D2D2"/>
          </w:tcPr>
          <w:p>
            <w:pPr/>
          </w:p>
        </w:tc>
        <w:tc>
          <w:tcPr>
            <w:tcW w:w="6698"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民惠民的智能互联平台。</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月，运通购快成立，注册资本</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 </w:t>
            </w:r>
            <w:r>
              <w:rPr>
                <w:rFonts w:ascii="宋体" w:hAnsi="宋体" w:cs="宋体" w:eastAsia="宋体" w:hint="default"/>
                <w:spacing w:val="-3"/>
                <w:sz w:val="18"/>
                <w:szCs w:val="18"/>
              </w:rPr>
              <w:t>亿元，深圳银通持</w:t>
            </w:r>
          </w:p>
        </w:tc>
      </w:tr>
      <w:tr>
        <w:trPr>
          <w:trHeight w:val="312" w:hRule="exact"/>
        </w:trPr>
        <w:tc>
          <w:tcPr>
            <w:tcW w:w="2872" w:type="dxa"/>
            <w:gridSpan w:val="3"/>
            <w:tcBorders>
              <w:top w:val="nil" w:sz="6" w:space="0" w:color="auto"/>
              <w:left w:val="single" w:sz="4" w:space="0" w:color="000000"/>
              <w:bottom w:val="nil" w:sz="6" w:space="0" w:color="auto"/>
              <w:right w:val="single" w:sz="4" w:space="0" w:color="000000"/>
            </w:tcBorders>
            <w:shd w:val="clear" w:color="auto" w:fill="D2D2D2"/>
          </w:tcPr>
          <w:p>
            <w:pPr/>
          </w:p>
        </w:tc>
        <w:tc>
          <w:tcPr>
            <w:tcW w:w="6698"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有其</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股权，湖南中谷科技股份有限公司持有其</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股权。（详见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p>
        </w:tc>
      </w:tr>
      <w:tr>
        <w:trPr>
          <w:trHeight w:val="312" w:hRule="exact"/>
        </w:trPr>
        <w:tc>
          <w:tcPr>
            <w:tcW w:w="2872" w:type="dxa"/>
            <w:gridSpan w:val="3"/>
            <w:tcBorders>
              <w:top w:val="nil" w:sz="6" w:space="0" w:color="auto"/>
              <w:left w:val="single" w:sz="4" w:space="0" w:color="000000"/>
              <w:bottom w:val="nil" w:sz="6" w:space="0" w:color="auto"/>
              <w:right w:val="single" w:sz="4" w:space="0" w:color="000000"/>
            </w:tcBorders>
            <w:shd w:val="clear" w:color="auto" w:fill="D2D2D2"/>
          </w:tcPr>
          <w:p>
            <w:pPr/>
          </w:p>
        </w:tc>
        <w:tc>
          <w:tcPr>
            <w:tcW w:w="6698"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日公司刊登于《证券时报》和巨潮资讯网</w:t>
            </w:r>
            <w:r>
              <w:rPr>
                <w:rFonts w:ascii="宋体" w:hAnsi="宋体" w:cs="宋体" w:eastAsia="宋体" w:hint="default"/>
                <w:spacing w:val="-47"/>
                <w:sz w:val="18"/>
                <w:szCs w:val="18"/>
              </w:rPr>
              <w:t> </w:t>
            </w:r>
            <w:hyperlink r:id="rId10">
              <w:r>
                <w:rPr>
                  <w:rFonts w:ascii="Times New Roman" w:hAnsi="Times New Roman" w:cs="Times New Roman" w:eastAsia="Times New Roman" w:hint="default"/>
                  <w:sz w:val="18"/>
                  <w:szCs w:val="18"/>
                </w:rPr>
                <w:t>www.cninfo.com.cn</w:t>
              </w:r>
            </w:hyperlink>
          </w:p>
        </w:tc>
      </w:tr>
      <w:tr>
        <w:trPr>
          <w:trHeight w:val="327" w:hRule="exact"/>
        </w:trPr>
        <w:tc>
          <w:tcPr>
            <w:tcW w:w="2872" w:type="dxa"/>
            <w:gridSpan w:val="3"/>
            <w:tcBorders>
              <w:top w:val="nil" w:sz="6" w:space="0" w:color="auto"/>
              <w:left w:val="single" w:sz="4" w:space="0" w:color="000000"/>
              <w:bottom w:val="nil" w:sz="6" w:space="0" w:color="auto"/>
              <w:right w:val="single" w:sz="4" w:space="0" w:color="000000"/>
            </w:tcBorders>
            <w:shd w:val="clear" w:color="auto" w:fill="D2D2D2"/>
          </w:tcPr>
          <w:p>
            <w:pPr/>
          </w:p>
        </w:tc>
        <w:tc>
          <w:tcPr>
            <w:tcW w:w="6698"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上的相关公告）</w:t>
            </w:r>
          </w:p>
        </w:tc>
      </w:tr>
      <w:tr>
        <w:trPr>
          <w:trHeight w:val="358" w:hRule="exact"/>
        </w:trPr>
        <w:tc>
          <w:tcPr>
            <w:tcW w:w="2872" w:type="dxa"/>
            <w:gridSpan w:val="3"/>
            <w:tcBorders>
              <w:top w:val="nil" w:sz="6" w:space="0" w:color="auto"/>
              <w:left w:val="single" w:sz="4" w:space="0" w:color="000000"/>
              <w:bottom w:val="nil" w:sz="6" w:space="0" w:color="auto"/>
              <w:right w:val="single" w:sz="4" w:space="0" w:color="000000"/>
            </w:tcBorders>
            <w:shd w:val="clear" w:color="auto" w:fill="D2D2D2"/>
          </w:tcPr>
          <w:p>
            <w:pPr/>
          </w:p>
        </w:tc>
        <w:tc>
          <w:tcPr>
            <w:tcW w:w="6698"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、新一代</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AI</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智能设备产业基地项目</w:t>
            </w:r>
          </w:p>
        </w:tc>
      </w:tr>
      <w:tr>
        <w:trPr>
          <w:trHeight w:val="320" w:hRule="exact"/>
        </w:trPr>
        <w:tc>
          <w:tcPr>
            <w:tcW w:w="2872" w:type="dxa"/>
            <w:gridSpan w:val="3"/>
            <w:tcBorders>
              <w:top w:val="nil" w:sz="6" w:space="0" w:color="auto"/>
              <w:left w:val="single" w:sz="4" w:space="0" w:color="000000"/>
              <w:bottom w:val="nil" w:sz="6" w:space="0" w:color="auto"/>
              <w:right w:val="single" w:sz="4" w:space="0" w:color="000000"/>
            </w:tcBorders>
            <w:shd w:val="clear" w:color="auto" w:fill="D2D2D2"/>
          </w:tcPr>
          <w:p>
            <w:pPr/>
          </w:p>
        </w:tc>
        <w:tc>
          <w:tcPr>
            <w:tcW w:w="6698"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before="26"/>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）变更原因：原</w:t>
            </w:r>
            <w:r>
              <w:rPr>
                <w:rFonts w:ascii="Times New Roman" w:hAnsi="Times New Roman" w:cs="Times New Roman" w:eastAsia="Times New Roman" w:hint="default"/>
                <w:sz w:val="18"/>
                <w:szCs w:val="18"/>
              </w:rPr>
              <w:t>“</w:t>
            </w:r>
            <w:r>
              <w:rPr>
                <w:rFonts w:ascii="宋体" w:hAnsi="宋体" w:cs="宋体" w:eastAsia="宋体" w:hint="default"/>
                <w:sz w:val="18"/>
                <w:szCs w:val="18"/>
              </w:rPr>
              <w:t>建设区域金融外包服务平台</w:t>
            </w:r>
            <w:r>
              <w:rPr>
                <w:rFonts w:ascii="Times New Roman" w:hAnsi="Times New Roman" w:cs="Times New Roman" w:eastAsia="Times New Roman" w:hint="default"/>
                <w:sz w:val="18"/>
                <w:szCs w:val="18"/>
              </w:rPr>
              <w:t>”</w:t>
            </w:r>
            <w:r>
              <w:rPr>
                <w:rFonts w:ascii="宋体" w:hAnsi="宋体" w:cs="宋体" w:eastAsia="宋体" w:hint="default"/>
                <w:sz w:val="18"/>
                <w:szCs w:val="18"/>
              </w:rPr>
              <w:t>项目募集资金投资金额为</w:t>
            </w:r>
          </w:p>
        </w:tc>
      </w:tr>
      <w:tr>
        <w:trPr>
          <w:trHeight w:val="312" w:hRule="exact"/>
        </w:trPr>
        <w:tc>
          <w:tcPr>
            <w:tcW w:w="2872" w:type="dxa"/>
            <w:gridSpan w:val="3"/>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31" w:lineRule="exact"/>
              <w:ind w:left="22" w:right="0"/>
              <w:jc w:val="left"/>
              <w:rPr>
                <w:rFonts w:ascii="宋体" w:hAnsi="宋体" w:cs="宋体" w:eastAsia="宋体" w:hint="default"/>
                <w:sz w:val="18"/>
                <w:szCs w:val="18"/>
              </w:rPr>
            </w:pPr>
            <w:r>
              <w:rPr>
                <w:rFonts w:ascii="宋体" w:hAnsi="宋体" w:cs="宋体" w:eastAsia="宋体" w:hint="default"/>
                <w:spacing w:val="-5"/>
                <w:sz w:val="18"/>
                <w:szCs w:val="18"/>
              </w:rPr>
              <w:t>变更原因、决策程序及信息披露情况</w:t>
            </w:r>
          </w:p>
        </w:tc>
        <w:tc>
          <w:tcPr>
            <w:tcW w:w="6698"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before="1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160,000.00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日累计投入</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23,097.88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万元。为顺应公司人工</w:t>
            </w:r>
          </w:p>
        </w:tc>
      </w:tr>
      <w:tr>
        <w:trPr>
          <w:trHeight w:val="323" w:hRule="exact"/>
        </w:trPr>
        <w:tc>
          <w:tcPr>
            <w:tcW w:w="2872" w:type="dxa"/>
            <w:gridSpan w:val="3"/>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5"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说明</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8"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before="17"/>
              <w:ind w:left="23" w:right="0"/>
              <w:jc w:val="left"/>
              <w:rPr>
                <w:rFonts w:ascii="宋体" w:hAnsi="宋体" w:cs="宋体" w:eastAsia="宋体" w:hint="default"/>
                <w:sz w:val="18"/>
                <w:szCs w:val="18"/>
              </w:rPr>
            </w:pPr>
            <w:r>
              <w:rPr>
                <w:rFonts w:ascii="宋体" w:hAnsi="宋体" w:cs="宋体" w:eastAsia="宋体" w:hint="default"/>
                <w:sz w:val="18"/>
                <w:szCs w:val="18"/>
              </w:rPr>
              <w:t>智能发展战略，进一步提高募集资金使用效率，公司变更部分募集资金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60,506.08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w:t>
            </w:r>
          </w:p>
        </w:tc>
      </w:tr>
      <w:tr>
        <w:trPr>
          <w:trHeight w:val="312" w:hRule="exact"/>
        </w:trPr>
        <w:tc>
          <w:tcPr>
            <w:tcW w:w="2872" w:type="dxa"/>
            <w:gridSpan w:val="3"/>
            <w:tcBorders>
              <w:top w:val="nil" w:sz="6" w:space="0" w:color="auto"/>
              <w:left w:val="single" w:sz="4" w:space="0" w:color="000000"/>
              <w:bottom w:val="nil" w:sz="6" w:space="0" w:color="auto"/>
              <w:right w:val="single" w:sz="4" w:space="0" w:color="000000"/>
            </w:tcBorders>
            <w:shd w:val="clear" w:color="auto" w:fill="D2D2D2"/>
          </w:tcPr>
          <w:p>
            <w:pPr/>
          </w:p>
        </w:tc>
        <w:tc>
          <w:tcPr>
            <w:tcW w:w="6698"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元用于投资建设</w:t>
            </w:r>
            <w:r>
              <w:rPr>
                <w:rFonts w:ascii="Times New Roman" w:hAnsi="Times New Roman" w:cs="Times New Roman" w:eastAsia="Times New Roman" w:hint="default"/>
                <w:sz w:val="18"/>
                <w:szCs w:val="18"/>
              </w:rPr>
              <w:t>“</w:t>
            </w:r>
            <w:r>
              <w:rPr>
                <w:rFonts w:ascii="宋体" w:hAnsi="宋体" w:cs="宋体" w:eastAsia="宋体" w:hint="default"/>
                <w:sz w:val="18"/>
                <w:szCs w:val="18"/>
              </w:rPr>
              <w:t>新一代</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AI</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智能设备产业基地项目</w:t>
            </w:r>
            <w:r>
              <w:rPr>
                <w:rFonts w:ascii="Times New Roman" w:hAnsi="Times New Roman" w:cs="Times New Roman" w:eastAsia="Times New Roman" w:hint="default"/>
                <w:sz w:val="18"/>
                <w:szCs w:val="18"/>
              </w:rPr>
              <w:t>”</w:t>
            </w:r>
            <w:r>
              <w:rPr>
                <w:rFonts w:ascii="宋体" w:hAnsi="宋体" w:cs="宋体" w:eastAsia="宋体" w:hint="default"/>
                <w:sz w:val="18"/>
                <w:szCs w:val="18"/>
              </w:rPr>
              <w:t>。项目实施主体由公司全资子公</w:t>
            </w:r>
          </w:p>
        </w:tc>
      </w:tr>
      <w:tr>
        <w:trPr>
          <w:trHeight w:val="327" w:hRule="exact"/>
        </w:trPr>
        <w:tc>
          <w:tcPr>
            <w:tcW w:w="2872" w:type="dxa"/>
            <w:gridSpan w:val="3"/>
            <w:tcBorders>
              <w:top w:val="nil" w:sz="6" w:space="0" w:color="auto"/>
              <w:left w:val="single" w:sz="4" w:space="0" w:color="000000"/>
              <w:bottom w:val="nil" w:sz="6" w:space="0" w:color="auto"/>
              <w:right w:val="single" w:sz="4" w:space="0" w:color="000000"/>
            </w:tcBorders>
            <w:shd w:val="clear" w:color="auto" w:fill="D2D2D2"/>
          </w:tcPr>
          <w:p>
            <w:pPr/>
          </w:p>
        </w:tc>
        <w:tc>
          <w:tcPr>
            <w:tcW w:w="6698"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司广州银通变更为广电运通。</w:t>
            </w:r>
          </w:p>
        </w:tc>
      </w:tr>
      <w:tr>
        <w:trPr>
          <w:trHeight w:val="336" w:hRule="exact"/>
        </w:trPr>
        <w:tc>
          <w:tcPr>
            <w:tcW w:w="2872" w:type="dxa"/>
            <w:gridSpan w:val="3"/>
            <w:tcBorders>
              <w:top w:val="nil" w:sz="6" w:space="0" w:color="auto"/>
              <w:left w:val="single" w:sz="4" w:space="0" w:color="000000"/>
              <w:bottom w:val="nil" w:sz="6" w:space="0" w:color="auto"/>
              <w:right w:val="single" w:sz="4" w:space="0" w:color="000000"/>
            </w:tcBorders>
            <w:shd w:val="clear" w:color="auto" w:fill="D2D2D2"/>
          </w:tcPr>
          <w:p>
            <w:pPr/>
          </w:p>
        </w:tc>
        <w:tc>
          <w:tcPr>
            <w:tcW w:w="6698"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38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）决策程序及信息披露情况说明：公司于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r>
      <w:tr>
        <w:trPr>
          <w:trHeight w:val="312" w:hRule="exact"/>
        </w:trPr>
        <w:tc>
          <w:tcPr>
            <w:tcW w:w="2872" w:type="dxa"/>
            <w:gridSpan w:val="3"/>
            <w:tcBorders>
              <w:top w:val="nil" w:sz="6" w:space="0" w:color="auto"/>
              <w:left w:val="single" w:sz="4" w:space="0" w:color="000000"/>
              <w:bottom w:val="nil" w:sz="6" w:space="0" w:color="auto"/>
              <w:right w:val="single" w:sz="4" w:space="0" w:color="000000"/>
            </w:tcBorders>
            <w:shd w:val="clear" w:color="auto" w:fill="D2D2D2"/>
          </w:tcPr>
          <w:p>
            <w:pPr/>
          </w:p>
        </w:tc>
        <w:tc>
          <w:tcPr>
            <w:tcW w:w="6698"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日召开第五届董事会第十八次（临时）会议和</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年第一次临时股东大会审议通过</w:t>
            </w:r>
          </w:p>
        </w:tc>
      </w:tr>
      <w:tr>
        <w:trPr>
          <w:trHeight w:val="312" w:hRule="exact"/>
        </w:trPr>
        <w:tc>
          <w:tcPr>
            <w:tcW w:w="2872" w:type="dxa"/>
            <w:gridSpan w:val="3"/>
            <w:tcBorders>
              <w:top w:val="nil" w:sz="6" w:space="0" w:color="auto"/>
              <w:left w:val="single" w:sz="4" w:space="0" w:color="000000"/>
              <w:bottom w:val="nil" w:sz="6" w:space="0" w:color="auto"/>
              <w:right w:val="single" w:sz="4" w:space="0" w:color="000000"/>
            </w:tcBorders>
            <w:shd w:val="clear" w:color="auto" w:fill="D2D2D2"/>
          </w:tcPr>
          <w:p>
            <w:pPr/>
          </w:p>
        </w:tc>
        <w:tc>
          <w:tcPr>
            <w:tcW w:w="6698"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了《关于变更部分募集资金用途的议案》，同意公司变更部分募集资金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60,506.08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w:t>
            </w:r>
          </w:p>
        </w:tc>
      </w:tr>
      <w:tr>
        <w:trPr>
          <w:trHeight w:val="312" w:hRule="exact"/>
        </w:trPr>
        <w:tc>
          <w:tcPr>
            <w:tcW w:w="2872" w:type="dxa"/>
            <w:gridSpan w:val="3"/>
            <w:tcBorders>
              <w:top w:val="nil" w:sz="6" w:space="0" w:color="auto"/>
              <w:left w:val="single" w:sz="4" w:space="0" w:color="000000"/>
              <w:bottom w:val="nil" w:sz="6" w:space="0" w:color="auto"/>
              <w:right w:val="single" w:sz="4" w:space="0" w:color="000000"/>
            </w:tcBorders>
            <w:shd w:val="clear" w:color="auto" w:fill="D2D2D2"/>
          </w:tcPr>
          <w:p>
            <w:pPr/>
          </w:p>
        </w:tc>
        <w:tc>
          <w:tcPr>
            <w:tcW w:w="6698"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元投资建设</w:t>
            </w:r>
            <w:r>
              <w:rPr>
                <w:rFonts w:ascii="Times New Roman" w:hAnsi="Times New Roman" w:cs="Times New Roman" w:eastAsia="Times New Roman" w:hint="default"/>
                <w:sz w:val="18"/>
                <w:szCs w:val="18"/>
              </w:rPr>
              <w:t>“</w:t>
            </w:r>
            <w:r>
              <w:rPr>
                <w:rFonts w:ascii="宋体" w:hAnsi="宋体" w:cs="宋体" w:eastAsia="宋体" w:hint="default"/>
                <w:sz w:val="18"/>
                <w:szCs w:val="18"/>
              </w:rPr>
              <w:t>新一代</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AI </w:t>
            </w:r>
            <w:r>
              <w:rPr>
                <w:rFonts w:ascii="宋体" w:hAnsi="宋体" w:cs="宋体" w:eastAsia="宋体" w:hint="default"/>
                <w:spacing w:val="-3"/>
                <w:sz w:val="18"/>
                <w:szCs w:val="18"/>
              </w:rPr>
              <w:t>智能设备产业基地项目</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。（详见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日、</w:t>
            </w:r>
            <w:r>
              <w:rPr>
                <w:rFonts w:ascii="Times New Roman" w:hAnsi="Times New Roman" w:cs="Times New Roman" w:eastAsia="Times New Roman" w:hint="default"/>
                <w:spacing w:val="-6"/>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312" w:hRule="exact"/>
        </w:trPr>
        <w:tc>
          <w:tcPr>
            <w:tcW w:w="2872" w:type="dxa"/>
            <w:gridSpan w:val="3"/>
            <w:tcBorders>
              <w:top w:val="nil" w:sz="6" w:space="0" w:color="auto"/>
              <w:left w:val="single" w:sz="4" w:space="0" w:color="000000"/>
              <w:bottom w:val="nil" w:sz="6" w:space="0" w:color="auto"/>
              <w:right w:val="single" w:sz="4" w:space="0" w:color="000000"/>
            </w:tcBorders>
            <w:shd w:val="clear" w:color="auto" w:fill="D2D2D2"/>
          </w:tcPr>
          <w:p>
            <w:pPr/>
          </w:p>
        </w:tc>
        <w:tc>
          <w:tcPr>
            <w:tcW w:w="6698"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公司刊登于《证券时报》《中国证券报》及巨潮资讯网</w:t>
            </w:r>
            <w:r>
              <w:rPr>
                <w:rFonts w:ascii="宋体" w:hAnsi="宋体" w:cs="宋体" w:eastAsia="宋体" w:hint="default"/>
                <w:spacing w:val="-50"/>
                <w:sz w:val="18"/>
                <w:szCs w:val="18"/>
              </w:rPr>
              <w:t> </w:t>
            </w:r>
            <w:hyperlink r:id="rId10">
              <w:r>
                <w:rPr>
                  <w:rFonts w:ascii="Times New Roman" w:hAnsi="Times New Roman" w:cs="Times New Roman" w:eastAsia="Times New Roman" w:hint="default"/>
                  <w:sz w:val="18"/>
                  <w:szCs w:val="18"/>
                </w:rPr>
                <w:t>www.cninfo.com.cn</w:t>
              </w:r>
            </w:hyperlink>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上的相关</w:t>
            </w:r>
          </w:p>
        </w:tc>
      </w:tr>
      <w:tr>
        <w:trPr>
          <w:trHeight w:val="327" w:hRule="exact"/>
        </w:trPr>
        <w:tc>
          <w:tcPr>
            <w:tcW w:w="2872" w:type="dxa"/>
            <w:gridSpan w:val="3"/>
            <w:tcBorders>
              <w:top w:val="nil" w:sz="6" w:space="0" w:color="auto"/>
              <w:left w:val="single" w:sz="4" w:space="0" w:color="000000"/>
              <w:bottom w:val="nil" w:sz="6" w:space="0" w:color="auto"/>
              <w:right w:val="single" w:sz="4" w:space="0" w:color="000000"/>
            </w:tcBorders>
            <w:shd w:val="clear" w:color="auto" w:fill="D2D2D2"/>
          </w:tcPr>
          <w:p>
            <w:pPr/>
          </w:p>
        </w:tc>
        <w:tc>
          <w:tcPr>
            <w:tcW w:w="6698"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公告）</w:t>
            </w:r>
          </w:p>
        </w:tc>
      </w:tr>
      <w:tr>
        <w:trPr>
          <w:trHeight w:val="358" w:hRule="exact"/>
        </w:trPr>
        <w:tc>
          <w:tcPr>
            <w:tcW w:w="2872" w:type="dxa"/>
            <w:gridSpan w:val="3"/>
            <w:tcBorders>
              <w:top w:val="nil" w:sz="6" w:space="0" w:color="auto"/>
              <w:left w:val="single" w:sz="4" w:space="0" w:color="000000"/>
              <w:bottom w:val="nil" w:sz="6" w:space="0" w:color="auto"/>
              <w:right w:val="single" w:sz="4" w:space="0" w:color="000000"/>
            </w:tcBorders>
            <w:shd w:val="clear" w:color="auto" w:fill="D2D2D2"/>
          </w:tcPr>
          <w:p>
            <w:pPr/>
          </w:p>
        </w:tc>
        <w:tc>
          <w:tcPr>
            <w:tcW w:w="6698"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、广电运通四期核心技术产业化升级扩建项目</w:t>
            </w:r>
          </w:p>
        </w:tc>
      </w:tr>
      <w:tr>
        <w:trPr>
          <w:trHeight w:val="331" w:hRule="exact"/>
        </w:trPr>
        <w:tc>
          <w:tcPr>
            <w:tcW w:w="2872" w:type="dxa"/>
            <w:gridSpan w:val="3"/>
            <w:tcBorders>
              <w:top w:val="nil" w:sz="6" w:space="0" w:color="auto"/>
              <w:left w:val="single" w:sz="4" w:space="0" w:color="000000"/>
              <w:bottom w:val="nil" w:sz="6" w:space="0" w:color="auto"/>
              <w:right w:val="single" w:sz="4" w:space="0" w:color="000000"/>
            </w:tcBorders>
            <w:shd w:val="clear" w:color="auto" w:fill="D2D2D2"/>
          </w:tcPr>
          <w:p>
            <w:pPr/>
          </w:p>
        </w:tc>
        <w:tc>
          <w:tcPr>
            <w:tcW w:w="6698"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before="26"/>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）变更原因：原</w:t>
            </w:r>
            <w:r>
              <w:rPr>
                <w:rFonts w:ascii="Times New Roman" w:hAnsi="Times New Roman" w:cs="Times New Roman" w:eastAsia="Times New Roman" w:hint="default"/>
                <w:sz w:val="18"/>
                <w:szCs w:val="18"/>
              </w:rPr>
              <w:t>“</w:t>
            </w:r>
            <w:r>
              <w:rPr>
                <w:rFonts w:ascii="宋体" w:hAnsi="宋体" w:cs="宋体" w:eastAsia="宋体" w:hint="default"/>
                <w:sz w:val="18"/>
                <w:szCs w:val="18"/>
              </w:rPr>
              <w:t>建设区域金融外包服务平台</w:t>
            </w:r>
            <w:r>
              <w:rPr>
                <w:rFonts w:ascii="Times New Roman" w:hAnsi="Times New Roman" w:cs="Times New Roman" w:eastAsia="Times New Roman" w:hint="default"/>
                <w:sz w:val="18"/>
                <w:szCs w:val="18"/>
              </w:rPr>
              <w:t>”</w:t>
            </w:r>
            <w:r>
              <w:rPr>
                <w:rFonts w:ascii="宋体" w:hAnsi="宋体" w:cs="宋体" w:eastAsia="宋体" w:hint="default"/>
                <w:sz w:val="18"/>
                <w:szCs w:val="18"/>
              </w:rPr>
              <w:t>项目募集资金投资金额为</w:t>
            </w:r>
          </w:p>
        </w:tc>
      </w:tr>
      <w:tr>
        <w:trPr>
          <w:trHeight w:val="312" w:hRule="exact"/>
        </w:trPr>
        <w:tc>
          <w:tcPr>
            <w:tcW w:w="2872" w:type="dxa"/>
            <w:gridSpan w:val="3"/>
            <w:tcBorders>
              <w:top w:val="nil" w:sz="6" w:space="0" w:color="auto"/>
              <w:left w:val="single" w:sz="4" w:space="0" w:color="000000"/>
              <w:bottom w:val="nil" w:sz="6" w:space="0" w:color="auto"/>
              <w:right w:val="single" w:sz="4" w:space="0" w:color="000000"/>
            </w:tcBorders>
            <w:shd w:val="clear" w:color="auto" w:fill="D2D2D2"/>
          </w:tcPr>
          <w:p>
            <w:pPr/>
          </w:p>
        </w:tc>
        <w:tc>
          <w:tcPr>
            <w:tcW w:w="6698"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160,000.00</w:t>
            </w:r>
            <w:r>
              <w:rPr>
                <w:rFonts w:ascii="Times New Roman" w:hAnsi="Times New Roman" w:cs="Times New Roman" w:eastAsia="Times New Roman" w:hint="default"/>
                <w:spacing w:val="-2"/>
                <w:sz w:val="18"/>
                <w:szCs w:val="18"/>
              </w:rPr>
              <w:t> </w:t>
            </w:r>
            <w:r>
              <w:rPr>
                <w:rFonts w:ascii="宋体" w:hAnsi="宋体" w:cs="宋体" w:eastAsia="宋体" w:hint="default"/>
                <w:spacing w:val="-7"/>
                <w:sz w:val="18"/>
                <w:szCs w:val="18"/>
              </w:rPr>
              <w:t>万元，截至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日累计投入</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24,928.31</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万元。为顺应公司人工智</w:t>
            </w:r>
          </w:p>
        </w:tc>
      </w:tr>
      <w:tr>
        <w:trPr>
          <w:trHeight w:val="312" w:hRule="exact"/>
        </w:trPr>
        <w:tc>
          <w:tcPr>
            <w:tcW w:w="2872" w:type="dxa"/>
            <w:gridSpan w:val="3"/>
            <w:tcBorders>
              <w:top w:val="nil" w:sz="6" w:space="0" w:color="auto"/>
              <w:left w:val="single" w:sz="4" w:space="0" w:color="000000"/>
              <w:bottom w:val="nil" w:sz="6" w:space="0" w:color="auto"/>
              <w:right w:val="single" w:sz="4" w:space="0" w:color="000000"/>
            </w:tcBorders>
            <w:shd w:val="clear" w:color="auto" w:fill="D2D2D2"/>
          </w:tcPr>
          <w:p>
            <w:pPr/>
          </w:p>
        </w:tc>
        <w:tc>
          <w:tcPr>
            <w:tcW w:w="6698"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3"/>
                <w:sz w:val="18"/>
                <w:szCs w:val="18"/>
              </w:rPr>
              <w:t>能发展战略，进一步提高募集资金使用效率，公司变更部分募集资金 </w:t>
            </w:r>
            <w:r>
              <w:rPr>
                <w:rFonts w:ascii="Times New Roman" w:hAnsi="Times New Roman" w:cs="Times New Roman" w:eastAsia="Times New Roman" w:hint="default"/>
                <w:sz w:val="18"/>
                <w:szCs w:val="18"/>
              </w:rPr>
              <w:t>5,000 </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万元用于</w:t>
            </w:r>
          </w:p>
        </w:tc>
      </w:tr>
      <w:tr>
        <w:trPr>
          <w:trHeight w:val="312" w:hRule="exact"/>
        </w:trPr>
        <w:tc>
          <w:tcPr>
            <w:tcW w:w="2872" w:type="dxa"/>
            <w:gridSpan w:val="3"/>
            <w:tcBorders>
              <w:top w:val="nil" w:sz="6" w:space="0" w:color="auto"/>
              <w:left w:val="single" w:sz="4" w:space="0" w:color="000000"/>
              <w:bottom w:val="nil" w:sz="6" w:space="0" w:color="auto"/>
              <w:right w:val="single" w:sz="4" w:space="0" w:color="000000"/>
            </w:tcBorders>
            <w:shd w:val="clear" w:color="auto" w:fill="D2D2D2"/>
          </w:tcPr>
          <w:p>
            <w:pPr/>
          </w:p>
        </w:tc>
        <w:tc>
          <w:tcPr>
            <w:tcW w:w="6698"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before="7"/>
              <w:ind w:left="23" w:right="0"/>
              <w:jc w:val="left"/>
              <w:rPr>
                <w:rFonts w:ascii="宋体" w:hAnsi="宋体" w:cs="宋体" w:eastAsia="宋体" w:hint="default"/>
                <w:sz w:val="18"/>
                <w:szCs w:val="18"/>
              </w:rPr>
            </w:pPr>
            <w:r>
              <w:rPr>
                <w:rFonts w:ascii="宋体" w:hAnsi="宋体" w:cs="宋体" w:eastAsia="宋体" w:hint="default"/>
                <w:sz w:val="18"/>
                <w:szCs w:val="18"/>
              </w:rPr>
              <w:t>购置广州市黄埔区</w:t>
            </w:r>
            <w:r>
              <w:rPr>
                <w:rFonts w:ascii="宋体" w:hAnsi="宋体" w:cs="宋体" w:eastAsia="宋体" w:hint="default"/>
                <w:spacing w:val="-45"/>
                <w:sz w:val="18"/>
                <w:szCs w:val="18"/>
              </w:rPr>
              <w:t> </w:t>
            </w:r>
            <w:r>
              <w:rPr>
                <w:rFonts w:ascii="Times New Roman" w:hAnsi="Times New Roman" w:cs="Times New Roman" w:eastAsia="Times New Roman" w:hint="default"/>
                <w:spacing w:val="-1"/>
                <w:w w:val="99"/>
                <w:sz w:val="18"/>
                <w:szCs w:val="18"/>
              </w:rPr>
              <w:t>KX</w:t>
            </w:r>
            <w:r>
              <w:rPr>
                <w:rFonts w:ascii="Times New Roman" w:hAnsi="Times New Roman" w:cs="Times New Roman" w:eastAsia="Times New Roman" w:hint="default"/>
                <w:w w:val="99"/>
                <w:sz w:val="18"/>
                <w:szCs w:val="18"/>
              </w:rPr>
              <w:t>C</w:t>
            </w:r>
            <w:r>
              <w:rPr>
                <w:rFonts w:ascii="Times New Roman" w:hAnsi="Times New Roman" w:cs="Times New Roman" w:eastAsia="Times New Roman" w:hint="default"/>
                <w:spacing w:val="-1"/>
                <w:w w:val="99"/>
                <w:sz w:val="18"/>
                <w:szCs w:val="18"/>
              </w:rPr>
              <w:t>N</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w w:val="99"/>
                <w:sz w:val="18"/>
                <w:szCs w:val="18"/>
              </w:rPr>
              <w:t>C</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-7 </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地块</w:t>
            </w:r>
            <w:r>
              <w:rPr>
                <w:rFonts w:ascii="宋体" w:hAnsi="宋体" w:cs="宋体" w:eastAsia="宋体" w:hint="default"/>
                <w:spacing w:val="-2"/>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pacing w:val="-1"/>
                <w:w w:val="99"/>
                <w:sz w:val="18"/>
                <w:szCs w:val="18"/>
              </w:rPr>
              <w:t>m</w:t>
            </w:r>
            <w:r>
              <w:rPr>
                <w:rFonts w:ascii="Times New Roman" w:hAnsi="Times New Roman" w:cs="Times New Roman" w:eastAsia="Times New Roman" w:hint="default"/>
                <w:w w:val="104"/>
                <w:position w:val="6"/>
                <w:sz w:val="11"/>
                <w:szCs w:val="11"/>
              </w:rPr>
              <w:t>2</w:t>
            </w:r>
            <w:r>
              <w:rPr>
                <w:rFonts w:ascii="宋体" w:hAnsi="宋体" w:cs="宋体" w:eastAsia="宋体" w:hint="default"/>
                <w:spacing w:val="-70"/>
                <w:sz w:val="18"/>
                <w:szCs w:val="18"/>
              </w:rPr>
              <w:t>，</w:t>
            </w:r>
            <w:r>
              <w:rPr>
                <w:rFonts w:ascii="宋体" w:hAnsi="宋体" w:cs="宋体" w:eastAsia="宋体" w:hint="default"/>
                <w:sz w:val="18"/>
                <w:szCs w:val="18"/>
              </w:rPr>
              <w:t>建设</w:t>
            </w:r>
            <w:r>
              <w:rPr>
                <w:rFonts w:ascii="Times New Roman" w:hAnsi="Times New Roman" w:cs="Times New Roman" w:eastAsia="Times New Roman" w:hint="default"/>
                <w:spacing w:val="-1"/>
                <w:w w:val="99"/>
                <w:sz w:val="18"/>
                <w:szCs w:val="18"/>
              </w:rPr>
              <w:t>“</w:t>
            </w:r>
            <w:r>
              <w:rPr>
                <w:rFonts w:ascii="宋体" w:hAnsi="宋体" w:cs="宋体" w:eastAsia="宋体" w:hint="default"/>
                <w:sz w:val="18"/>
                <w:szCs w:val="18"/>
              </w:rPr>
              <w:t>广电运通四期核心技术产业化</w:t>
            </w:r>
          </w:p>
        </w:tc>
      </w:tr>
      <w:tr>
        <w:trPr>
          <w:trHeight w:val="331" w:hRule="exact"/>
        </w:trPr>
        <w:tc>
          <w:tcPr>
            <w:tcW w:w="2872" w:type="dxa"/>
            <w:gridSpan w:val="3"/>
            <w:tcBorders>
              <w:top w:val="nil" w:sz="6" w:space="0" w:color="auto"/>
              <w:left w:val="single" w:sz="4" w:space="0" w:color="000000"/>
              <w:bottom w:val="nil" w:sz="6" w:space="0" w:color="auto"/>
              <w:right w:val="single" w:sz="4" w:space="0" w:color="000000"/>
            </w:tcBorders>
            <w:shd w:val="clear" w:color="auto" w:fill="D2D2D2"/>
          </w:tcPr>
          <w:p>
            <w:pPr/>
          </w:p>
        </w:tc>
        <w:tc>
          <w:tcPr>
            <w:tcW w:w="6698"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升级扩建项目</w:t>
            </w:r>
            <w:r>
              <w:rPr>
                <w:rFonts w:ascii="Times New Roman" w:hAnsi="Times New Roman" w:cs="Times New Roman" w:eastAsia="Times New Roman" w:hint="default"/>
                <w:sz w:val="18"/>
                <w:szCs w:val="18"/>
              </w:rPr>
              <w:t>”</w:t>
            </w:r>
            <w:r>
              <w:rPr>
                <w:rFonts w:ascii="宋体" w:hAnsi="宋体" w:cs="宋体" w:eastAsia="宋体" w:hint="default"/>
                <w:sz w:val="18"/>
                <w:szCs w:val="18"/>
              </w:rPr>
              <w:t>。项目实施主体由公司全资子公司广州银通变更为广电运通。</w:t>
            </w:r>
          </w:p>
        </w:tc>
      </w:tr>
      <w:tr>
        <w:trPr>
          <w:trHeight w:val="332" w:hRule="exact"/>
        </w:trPr>
        <w:tc>
          <w:tcPr>
            <w:tcW w:w="2872" w:type="dxa"/>
            <w:gridSpan w:val="3"/>
            <w:tcBorders>
              <w:top w:val="nil" w:sz="6" w:space="0" w:color="auto"/>
              <w:left w:val="single" w:sz="4" w:space="0" w:color="000000"/>
              <w:bottom w:val="nil" w:sz="6" w:space="0" w:color="auto"/>
              <w:right w:val="single" w:sz="4" w:space="0" w:color="000000"/>
            </w:tcBorders>
            <w:shd w:val="clear" w:color="auto" w:fill="D2D2D2"/>
          </w:tcPr>
          <w:p>
            <w:pPr/>
          </w:p>
        </w:tc>
        <w:tc>
          <w:tcPr>
            <w:tcW w:w="6698"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before="26"/>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）决策程序及信息披露情况说明：公司于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r>
      <w:tr>
        <w:trPr>
          <w:trHeight w:val="312" w:hRule="exact"/>
        </w:trPr>
        <w:tc>
          <w:tcPr>
            <w:tcW w:w="2872" w:type="dxa"/>
            <w:gridSpan w:val="3"/>
            <w:tcBorders>
              <w:top w:val="nil" w:sz="6" w:space="0" w:color="auto"/>
              <w:left w:val="single" w:sz="4" w:space="0" w:color="000000"/>
              <w:bottom w:val="nil" w:sz="6" w:space="0" w:color="auto"/>
              <w:right w:val="single" w:sz="4" w:space="0" w:color="000000"/>
            </w:tcBorders>
            <w:shd w:val="clear" w:color="auto" w:fill="D2D2D2"/>
          </w:tcPr>
          <w:p>
            <w:pPr/>
          </w:p>
        </w:tc>
        <w:tc>
          <w:tcPr>
            <w:tcW w:w="6698"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日召开第五届董事会第二十一次（临时）会议和</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年第二次临时股东大会审议</w:t>
            </w:r>
          </w:p>
        </w:tc>
      </w:tr>
      <w:tr>
        <w:trPr>
          <w:trHeight w:val="310" w:hRule="exact"/>
        </w:trPr>
        <w:tc>
          <w:tcPr>
            <w:tcW w:w="2872" w:type="dxa"/>
            <w:gridSpan w:val="3"/>
            <w:tcBorders>
              <w:top w:val="nil" w:sz="6" w:space="0" w:color="auto"/>
              <w:left w:val="single" w:sz="4" w:space="0" w:color="000000"/>
              <w:bottom w:val="single" w:sz="4" w:space="0" w:color="000000"/>
              <w:right w:val="single" w:sz="4" w:space="0" w:color="000000"/>
            </w:tcBorders>
            <w:shd w:val="clear" w:color="auto" w:fill="D2D2D2"/>
          </w:tcPr>
          <w:p>
            <w:pPr/>
          </w:p>
        </w:tc>
        <w:tc>
          <w:tcPr>
            <w:tcW w:w="6698" w:type="dxa"/>
            <w:gridSpan w:val="7"/>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通过了《关于变更部分募集资金用途暨建设广电运通四期核心技术产业化升级扩建项</w:t>
            </w:r>
          </w:p>
        </w:tc>
      </w:tr>
    </w:tbl>
    <w:p>
      <w:pPr>
        <w:spacing w:after="0" w:line="240" w:lineRule="auto"/>
        <w:jc w:val="left"/>
        <w:rPr>
          <w:rFonts w:ascii="宋体" w:hAnsi="宋体" w:cs="宋体" w:eastAsia="宋体" w:hint="default"/>
          <w:sz w:val="18"/>
          <w:szCs w:val="18"/>
        </w:rPr>
        <w:sectPr>
          <w:pgSz w:w="11910" w:h="16840"/>
          <w:pgMar w:header="878" w:footer="978" w:top="1100" w:bottom="1160" w:left="102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9"/>
          <w:szCs w:val="29"/>
        </w:rPr>
      </w:pPr>
    </w:p>
    <w:p>
      <w:pPr>
        <w:pStyle w:val="BodyText"/>
        <w:spacing w:line="240" w:lineRule="auto" w:before="44"/>
        <w:ind w:left="0" w:right="1120"/>
        <w:jc w:val="right"/>
      </w:pPr>
      <w:r>
        <w:rPr/>
        <w:pict>
          <v:shape style="position:absolute;margin-left:56.459999pt;margin-top:-207.658249pt;width:479.25pt;height:361.2pt;mso-position-horizontal-relative:page;mso-position-vertical-relative:paragraph;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72"/>
                    <w:gridCol w:w="6698"/>
                  </w:tblGrid>
                  <w:tr>
                    <w:trPr>
                      <w:trHeight w:val="322" w:hRule="exact"/>
                    </w:trPr>
                    <w:tc>
                      <w:tcPr>
                        <w:tcW w:w="2872" w:type="dxa"/>
                        <w:vMerge w:val="restart"/>
                        <w:tcBorders>
                          <w:top w:val="single" w:sz="4" w:space="0" w:color="000000"/>
                          <w:left w:val="single" w:sz="4" w:space="0" w:color="000000"/>
                          <w:right w:val="single" w:sz="4" w:space="0" w:color="000000"/>
                        </w:tcBorders>
                        <w:shd w:val="clear" w:color="auto" w:fill="D2D2D2"/>
                      </w:tcPr>
                      <w:p>
                        <w:pPr/>
                      </w:p>
                    </w:tc>
                    <w:tc>
                      <w:tcPr>
                        <w:tcW w:w="66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目的议案》，同意公司变更部分募集资金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万元用于购置广州市黄埔区</w:t>
                        </w:r>
                      </w:p>
                    </w:tc>
                  </w:tr>
                  <w:tr>
                    <w:trPr>
                      <w:trHeight w:val="312" w:hRule="exact"/>
                    </w:trPr>
                    <w:tc>
                      <w:tcPr>
                        <w:tcW w:w="2872" w:type="dxa"/>
                        <w:vMerge/>
                        <w:tcBorders>
                          <w:left w:val="single" w:sz="4" w:space="0" w:color="000000"/>
                          <w:right w:val="single" w:sz="4" w:space="0" w:color="000000"/>
                        </w:tcBorders>
                        <w:shd w:val="clear" w:color="auto" w:fill="D2D2D2"/>
                      </w:tcPr>
                      <w:p>
                        <w:pPr/>
                      </w:p>
                    </w:tc>
                    <w:tc>
                      <w:tcPr>
                        <w:tcW w:w="6698"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23" w:right="0"/>
                          <w:jc w:val="left"/>
                          <w:rPr>
                            <w:rFonts w:ascii="宋体" w:hAnsi="宋体" w:cs="宋体" w:eastAsia="宋体" w:hint="default"/>
                            <w:sz w:val="18"/>
                            <w:szCs w:val="18"/>
                          </w:rPr>
                        </w:pPr>
                        <w:r>
                          <w:rPr>
                            <w:rFonts w:ascii="Times New Roman" w:hAnsi="Times New Roman" w:cs="Times New Roman" w:eastAsia="Times New Roman" w:hint="default"/>
                            <w:spacing w:val="-1"/>
                            <w:w w:val="99"/>
                            <w:sz w:val="18"/>
                            <w:szCs w:val="18"/>
                          </w:rPr>
                          <w:t>K</w:t>
                        </w:r>
                        <w:r>
                          <w:rPr>
                            <w:rFonts w:ascii="Times New Roman" w:hAnsi="Times New Roman" w:cs="Times New Roman" w:eastAsia="Times New Roman" w:hint="default"/>
                            <w:spacing w:val="2"/>
                            <w:w w:val="99"/>
                            <w:sz w:val="18"/>
                            <w:szCs w:val="18"/>
                          </w:rPr>
                          <w:t>X</w:t>
                        </w:r>
                        <w:r>
                          <w:rPr>
                            <w:rFonts w:ascii="Times New Roman" w:hAnsi="Times New Roman" w:cs="Times New Roman" w:eastAsia="Times New Roman" w:hint="default"/>
                            <w:w w:val="99"/>
                            <w:sz w:val="18"/>
                            <w:szCs w:val="18"/>
                          </w:rPr>
                          <w:t>C</w:t>
                        </w:r>
                        <w:r>
                          <w:rPr>
                            <w:rFonts w:ascii="Times New Roman" w:hAnsi="Times New Roman" w:cs="Times New Roman" w:eastAsia="Times New Roman" w:hint="default"/>
                            <w:spacing w:val="-1"/>
                            <w:w w:val="99"/>
                            <w:sz w:val="18"/>
                            <w:szCs w:val="18"/>
                          </w:rPr>
                          <w:t>N</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w w:val="99"/>
                            <w:sz w:val="18"/>
                            <w:szCs w:val="18"/>
                          </w:rPr>
                          <w:t>C</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地块</w:t>
                        </w:r>
                        <w:r>
                          <w:rPr>
                            <w:rFonts w:ascii="宋体" w:hAnsi="宋体" w:cs="宋体" w:eastAsia="宋体" w:hint="default"/>
                            <w:spacing w:val="-52"/>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pacing w:val="-1"/>
                            <w:w w:val="99"/>
                            <w:sz w:val="18"/>
                            <w:szCs w:val="18"/>
                          </w:rPr>
                          <w:t>m</w:t>
                        </w:r>
                        <w:r>
                          <w:rPr>
                            <w:rFonts w:ascii="Times New Roman" w:hAnsi="Times New Roman" w:cs="Times New Roman" w:eastAsia="Times New Roman" w:hint="default"/>
                            <w:spacing w:val="2"/>
                            <w:w w:val="104"/>
                            <w:position w:val="6"/>
                            <w:sz w:val="11"/>
                            <w:szCs w:val="11"/>
                          </w:rPr>
                          <w:t>2</w:t>
                        </w:r>
                        <w:r>
                          <w:rPr>
                            <w:rFonts w:ascii="宋体" w:hAnsi="宋体" w:cs="宋体" w:eastAsia="宋体" w:hint="default"/>
                            <w:spacing w:val="-92"/>
                            <w:sz w:val="18"/>
                            <w:szCs w:val="18"/>
                          </w:rPr>
                          <w:t>，</w:t>
                        </w:r>
                        <w:r>
                          <w:rPr>
                            <w:rFonts w:ascii="宋体" w:hAnsi="宋体" w:cs="宋体" w:eastAsia="宋体" w:hint="default"/>
                            <w:sz w:val="18"/>
                            <w:szCs w:val="18"/>
                          </w:rPr>
                          <w:t>建设</w:t>
                        </w:r>
                        <w:r>
                          <w:rPr>
                            <w:rFonts w:ascii="Times New Roman" w:hAnsi="Times New Roman" w:cs="Times New Roman" w:eastAsia="Times New Roman" w:hint="default"/>
                            <w:spacing w:val="-1"/>
                            <w:w w:val="99"/>
                            <w:sz w:val="18"/>
                            <w:szCs w:val="18"/>
                          </w:rPr>
                          <w:t>“</w:t>
                        </w:r>
                        <w:r>
                          <w:rPr>
                            <w:rFonts w:ascii="宋体" w:hAnsi="宋体" w:cs="宋体" w:eastAsia="宋体" w:hint="default"/>
                            <w:sz w:val="18"/>
                            <w:szCs w:val="18"/>
                          </w:rPr>
                          <w:t>广电运通四期核心技术产业化升级扩建项目</w:t>
                        </w:r>
                        <w:r>
                          <w:rPr>
                            <w:rFonts w:ascii="Times New Roman" w:hAnsi="Times New Roman" w:cs="Times New Roman" w:eastAsia="Times New Roman" w:hint="default"/>
                            <w:spacing w:val="1"/>
                            <w:w w:val="99"/>
                            <w:sz w:val="18"/>
                            <w:szCs w:val="18"/>
                          </w:rPr>
                          <w:t>”</w:t>
                        </w:r>
                        <w:r>
                          <w:rPr>
                            <w:rFonts w:ascii="宋体" w:hAnsi="宋体" w:cs="宋体" w:eastAsia="宋体" w:hint="default"/>
                            <w:spacing w:val="-92"/>
                            <w:sz w:val="18"/>
                            <w:szCs w:val="18"/>
                          </w:rPr>
                          <w:t>。</w:t>
                        </w:r>
                        <w:r>
                          <w:rPr>
                            <w:rFonts w:ascii="宋体" w:hAnsi="宋体" w:cs="宋体" w:eastAsia="宋体" w:hint="default"/>
                            <w:sz w:val="18"/>
                            <w:szCs w:val="18"/>
                          </w:rPr>
                          <w:t>（详</w:t>
                        </w:r>
                      </w:p>
                    </w:tc>
                  </w:tr>
                  <w:tr>
                    <w:trPr>
                      <w:trHeight w:val="312" w:hRule="exact"/>
                    </w:trPr>
                    <w:tc>
                      <w:tcPr>
                        <w:tcW w:w="2872" w:type="dxa"/>
                        <w:vMerge/>
                        <w:tcBorders>
                          <w:left w:val="single" w:sz="4" w:space="0" w:color="000000"/>
                          <w:right w:val="single" w:sz="4" w:space="0" w:color="000000"/>
                        </w:tcBorders>
                        <w:shd w:val="clear" w:color="auto" w:fill="D2D2D2"/>
                      </w:tcPr>
                      <w:p>
                        <w:pPr/>
                      </w:p>
                    </w:tc>
                    <w:tc>
                      <w:tcPr>
                        <w:tcW w:w="669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见</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日公司刊登于《证券时报》《中国证券报》及巨潮资</w:t>
                        </w:r>
                      </w:p>
                    </w:tc>
                  </w:tr>
                  <w:tr>
                    <w:trPr>
                      <w:trHeight w:val="331" w:hRule="exact"/>
                    </w:trPr>
                    <w:tc>
                      <w:tcPr>
                        <w:tcW w:w="2872" w:type="dxa"/>
                        <w:vMerge/>
                        <w:tcBorders>
                          <w:left w:val="single" w:sz="4" w:space="0" w:color="000000"/>
                          <w:right w:val="single" w:sz="4" w:space="0" w:color="000000"/>
                        </w:tcBorders>
                        <w:shd w:val="clear" w:color="auto" w:fill="D2D2D2"/>
                      </w:tcPr>
                      <w:p>
                        <w:pPr/>
                      </w:p>
                    </w:tc>
                    <w:tc>
                      <w:tcPr>
                        <w:tcW w:w="669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讯网</w:t>
                        </w:r>
                        <w:r>
                          <w:rPr>
                            <w:rFonts w:ascii="宋体" w:hAnsi="宋体" w:cs="宋体" w:eastAsia="宋体" w:hint="default"/>
                            <w:spacing w:val="-50"/>
                            <w:sz w:val="18"/>
                            <w:szCs w:val="18"/>
                          </w:rPr>
                          <w:t> </w:t>
                        </w:r>
                        <w:hyperlink r:id="rId10">
                          <w:r>
                            <w:rPr>
                              <w:rFonts w:ascii="Times New Roman" w:hAnsi="Times New Roman" w:cs="Times New Roman" w:eastAsia="Times New Roman" w:hint="default"/>
                              <w:sz w:val="18"/>
                              <w:szCs w:val="18"/>
                            </w:rPr>
                            <w:t>www.cninfo.com.cn</w:t>
                          </w:r>
                        </w:hyperlink>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上的相关公告）</w:t>
                        </w:r>
                      </w:p>
                    </w:tc>
                  </w:tr>
                  <w:tr>
                    <w:trPr>
                      <w:trHeight w:val="353" w:hRule="exact"/>
                    </w:trPr>
                    <w:tc>
                      <w:tcPr>
                        <w:tcW w:w="2872" w:type="dxa"/>
                        <w:vMerge/>
                        <w:tcBorders>
                          <w:left w:val="single" w:sz="4" w:space="0" w:color="000000"/>
                          <w:right w:val="single" w:sz="4" w:space="0" w:color="000000"/>
                        </w:tcBorders>
                        <w:shd w:val="clear" w:color="auto" w:fill="D2D2D2"/>
                      </w:tcPr>
                      <w:p>
                        <w:pPr/>
                      </w:p>
                    </w:tc>
                    <w:tc>
                      <w:tcPr>
                        <w:tcW w:w="6698"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、广电运通人工智能深圳创新中心</w:t>
                        </w:r>
                      </w:p>
                    </w:tc>
                  </w:tr>
                  <w:tr>
                    <w:trPr>
                      <w:trHeight w:val="332" w:hRule="exact"/>
                    </w:trPr>
                    <w:tc>
                      <w:tcPr>
                        <w:tcW w:w="2872" w:type="dxa"/>
                        <w:vMerge/>
                        <w:tcBorders>
                          <w:left w:val="single" w:sz="4" w:space="0" w:color="000000"/>
                          <w:right w:val="single" w:sz="4" w:space="0" w:color="000000"/>
                        </w:tcBorders>
                        <w:shd w:val="clear" w:color="auto" w:fill="D2D2D2"/>
                      </w:tcPr>
                      <w:p>
                        <w:pPr/>
                      </w:p>
                    </w:tc>
                    <w:tc>
                      <w:tcPr>
                        <w:tcW w:w="6698"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）变更原因：原</w:t>
                        </w:r>
                        <w:r>
                          <w:rPr>
                            <w:rFonts w:ascii="Times New Roman" w:hAnsi="Times New Roman" w:cs="Times New Roman" w:eastAsia="Times New Roman" w:hint="default"/>
                            <w:sz w:val="18"/>
                            <w:szCs w:val="18"/>
                          </w:rPr>
                          <w:t>“</w:t>
                        </w:r>
                        <w:r>
                          <w:rPr>
                            <w:rFonts w:ascii="宋体" w:hAnsi="宋体" w:cs="宋体" w:eastAsia="宋体" w:hint="default"/>
                            <w:sz w:val="18"/>
                            <w:szCs w:val="18"/>
                          </w:rPr>
                          <w:t>建设区域金融外包服务平台</w:t>
                        </w:r>
                        <w:r>
                          <w:rPr>
                            <w:rFonts w:ascii="Times New Roman" w:hAnsi="Times New Roman" w:cs="Times New Roman" w:eastAsia="Times New Roman" w:hint="default"/>
                            <w:sz w:val="18"/>
                            <w:szCs w:val="18"/>
                          </w:rPr>
                          <w:t>”</w:t>
                        </w:r>
                        <w:r>
                          <w:rPr>
                            <w:rFonts w:ascii="宋体" w:hAnsi="宋体" w:cs="宋体" w:eastAsia="宋体" w:hint="default"/>
                            <w:sz w:val="18"/>
                            <w:szCs w:val="18"/>
                          </w:rPr>
                          <w:t>项目募集资金投资金额为</w:t>
                        </w:r>
                      </w:p>
                    </w:tc>
                  </w:tr>
                  <w:tr>
                    <w:trPr>
                      <w:trHeight w:val="312" w:hRule="exact"/>
                    </w:trPr>
                    <w:tc>
                      <w:tcPr>
                        <w:tcW w:w="2872" w:type="dxa"/>
                        <w:vMerge/>
                        <w:tcBorders>
                          <w:left w:val="single" w:sz="4" w:space="0" w:color="000000"/>
                          <w:right w:val="single" w:sz="4" w:space="0" w:color="000000"/>
                        </w:tcBorders>
                        <w:shd w:val="clear" w:color="auto" w:fill="D2D2D2"/>
                      </w:tcPr>
                      <w:p>
                        <w:pPr/>
                      </w:p>
                    </w:tc>
                    <w:tc>
                      <w:tcPr>
                        <w:tcW w:w="669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160,000.00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日累计投入</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25,200.14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万元。随着公司人工智</w:t>
                        </w:r>
                      </w:p>
                    </w:tc>
                  </w:tr>
                  <w:tr>
                    <w:trPr>
                      <w:trHeight w:val="307" w:hRule="exact"/>
                    </w:trPr>
                    <w:tc>
                      <w:tcPr>
                        <w:tcW w:w="2872" w:type="dxa"/>
                        <w:vMerge/>
                        <w:tcBorders>
                          <w:left w:val="single" w:sz="4" w:space="0" w:color="000000"/>
                          <w:right w:val="single" w:sz="4" w:space="0" w:color="000000"/>
                        </w:tcBorders>
                        <w:shd w:val="clear" w:color="auto" w:fill="D2D2D2"/>
                      </w:tcPr>
                      <w:p>
                        <w:pPr/>
                      </w:p>
                    </w:tc>
                    <w:tc>
                      <w:tcPr>
                        <w:tcW w:w="669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能发展战略的快速落地及研发的持续高投入，公司更需要借助深圳的创新政策、创新</w:t>
                        </w:r>
                      </w:p>
                    </w:tc>
                  </w:tr>
                  <w:tr>
                    <w:trPr>
                      <w:trHeight w:val="317" w:hRule="exact"/>
                    </w:trPr>
                    <w:tc>
                      <w:tcPr>
                        <w:tcW w:w="2872" w:type="dxa"/>
                        <w:vMerge/>
                        <w:tcBorders>
                          <w:left w:val="single" w:sz="4" w:space="0" w:color="000000"/>
                          <w:right w:val="single" w:sz="4" w:space="0" w:color="000000"/>
                        </w:tcBorders>
                        <w:shd w:val="clear" w:color="auto" w:fill="D2D2D2"/>
                      </w:tcPr>
                      <w:p>
                        <w:pPr/>
                      </w:p>
                    </w:tc>
                    <w:tc>
                      <w:tcPr>
                        <w:tcW w:w="66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2"/>
                            <w:sz w:val="18"/>
                            <w:szCs w:val="18"/>
                          </w:rPr>
                          <w:t>能力和创新环境，加快公司创新业务的发展和壮大，公司变更部分募集资金</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66,000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p>
                    </w:tc>
                  </w:tr>
                  <w:tr>
                    <w:trPr>
                      <w:trHeight w:val="312" w:hRule="exact"/>
                    </w:trPr>
                    <w:tc>
                      <w:tcPr>
                        <w:tcW w:w="2872" w:type="dxa"/>
                        <w:vMerge/>
                        <w:tcBorders>
                          <w:left w:val="single" w:sz="4" w:space="0" w:color="000000"/>
                          <w:right w:val="single" w:sz="4" w:space="0" w:color="000000"/>
                        </w:tcBorders>
                        <w:shd w:val="clear" w:color="auto" w:fill="D2D2D2"/>
                      </w:tcPr>
                      <w:p>
                        <w:pPr/>
                      </w:p>
                    </w:tc>
                    <w:tc>
                      <w:tcPr>
                        <w:tcW w:w="669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2"/>
                            <w:sz w:val="18"/>
                            <w:szCs w:val="18"/>
                          </w:rPr>
                          <w:t>元用于建设</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广电运通人工智能深圳创新中心</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，打造</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广州总部</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深圳基地</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的创新发</w:t>
                        </w:r>
                      </w:p>
                    </w:tc>
                  </w:tr>
                  <w:tr>
                    <w:trPr>
                      <w:trHeight w:val="327" w:hRule="exact"/>
                    </w:trPr>
                    <w:tc>
                      <w:tcPr>
                        <w:tcW w:w="2872" w:type="dxa"/>
                        <w:vMerge/>
                        <w:tcBorders>
                          <w:left w:val="single" w:sz="4" w:space="0" w:color="000000"/>
                          <w:right w:val="single" w:sz="4" w:space="0" w:color="000000"/>
                        </w:tcBorders>
                        <w:shd w:val="clear" w:color="auto" w:fill="D2D2D2"/>
                      </w:tcPr>
                      <w:p>
                        <w:pPr/>
                      </w:p>
                    </w:tc>
                    <w:tc>
                      <w:tcPr>
                        <w:tcW w:w="669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展格局。项目实施主体由公司全资子公司广州银通变更为广电运通。</w:t>
                        </w:r>
                      </w:p>
                    </w:tc>
                  </w:tr>
                  <w:tr>
                    <w:trPr>
                      <w:trHeight w:val="336" w:hRule="exact"/>
                    </w:trPr>
                    <w:tc>
                      <w:tcPr>
                        <w:tcW w:w="2872" w:type="dxa"/>
                        <w:vMerge/>
                        <w:tcBorders>
                          <w:left w:val="single" w:sz="4" w:space="0" w:color="000000"/>
                          <w:right w:val="single" w:sz="4" w:space="0" w:color="000000"/>
                        </w:tcBorders>
                        <w:shd w:val="clear" w:color="auto" w:fill="D2D2D2"/>
                      </w:tcPr>
                      <w:p>
                        <w:pPr/>
                      </w:p>
                    </w:tc>
                    <w:tc>
                      <w:tcPr>
                        <w:tcW w:w="6698"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）决策程序及信息披露情况说明：公司于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r>
                  <w:tr>
                    <w:trPr>
                      <w:trHeight w:val="312" w:hRule="exact"/>
                    </w:trPr>
                    <w:tc>
                      <w:tcPr>
                        <w:tcW w:w="2872" w:type="dxa"/>
                        <w:vMerge/>
                        <w:tcBorders>
                          <w:left w:val="single" w:sz="4" w:space="0" w:color="000000"/>
                          <w:right w:val="single" w:sz="4" w:space="0" w:color="000000"/>
                        </w:tcBorders>
                        <w:shd w:val="clear" w:color="auto" w:fill="D2D2D2"/>
                      </w:tcPr>
                      <w:p>
                        <w:pPr/>
                      </w:p>
                    </w:tc>
                    <w:tc>
                      <w:tcPr>
                        <w:tcW w:w="669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日召开第五届董事会第二十一次（临时）会议和</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年第一次临时股东大会审议</w:t>
                        </w:r>
                      </w:p>
                    </w:tc>
                  </w:tr>
                  <w:tr>
                    <w:trPr>
                      <w:trHeight w:val="308" w:hRule="exact"/>
                    </w:trPr>
                    <w:tc>
                      <w:tcPr>
                        <w:tcW w:w="2872" w:type="dxa"/>
                        <w:vMerge/>
                        <w:tcBorders>
                          <w:left w:val="single" w:sz="4" w:space="0" w:color="000000"/>
                          <w:right w:val="single" w:sz="4" w:space="0" w:color="000000"/>
                        </w:tcBorders>
                        <w:shd w:val="clear" w:color="auto" w:fill="D2D2D2"/>
                      </w:tcPr>
                      <w:p>
                        <w:pPr/>
                      </w:p>
                    </w:tc>
                    <w:tc>
                      <w:tcPr>
                        <w:tcW w:w="669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3"/>
                            <w:sz w:val="18"/>
                            <w:szCs w:val="18"/>
                          </w:rPr>
                          <w:t>通过了《关于变更部分募集资金用途暨建设广电运通人工智能深圳创新中心的议案》</w:t>
                        </w:r>
                        <w:r>
                          <w:rPr>
                            <w:rFonts w:ascii="宋体" w:hAnsi="宋体" w:cs="宋体" w:eastAsia="宋体" w:hint="default"/>
                            <w:sz w:val="18"/>
                            <w:szCs w:val="18"/>
                          </w:rPr>
                        </w:r>
                      </w:p>
                    </w:tc>
                  </w:tr>
                  <w:tr>
                    <w:trPr>
                      <w:trHeight w:val="316" w:hRule="exact"/>
                    </w:trPr>
                    <w:tc>
                      <w:tcPr>
                        <w:tcW w:w="2872" w:type="dxa"/>
                        <w:vMerge/>
                        <w:tcBorders>
                          <w:left w:val="single" w:sz="4" w:space="0" w:color="000000"/>
                          <w:right w:val="single" w:sz="4" w:space="0" w:color="000000"/>
                        </w:tcBorders>
                        <w:shd w:val="clear" w:color="auto" w:fill="D2D2D2"/>
                      </w:tcPr>
                      <w:p>
                        <w:pPr/>
                      </w:p>
                    </w:tc>
                    <w:tc>
                      <w:tcPr>
                        <w:tcW w:w="66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20"/>
                          <w:jc w:val="left"/>
                          <w:rPr>
                            <w:rFonts w:ascii="宋体" w:hAnsi="宋体" w:cs="宋体" w:eastAsia="宋体" w:hint="default"/>
                            <w:sz w:val="18"/>
                            <w:szCs w:val="18"/>
                          </w:rPr>
                        </w:pPr>
                        <w:r>
                          <w:rPr>
                            <w:rFonts w:ascii="宋体" w:hAnsi="宋体" w:cs="宋体" w:eastAsia="宋体" w:hint="default"/>
                            <w:sz w:val="18"/>
                            <w:szCs w:val="18"/>
                          </w:rPr>
                          <w:t>同意公司变更部分募集资金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66,000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万元用于建设</w:t>
                        </w:r>
                        <w:r>
                          <w:rPr>
                            <w:rFonts w:ascii="Times New Roman" w:hAnsi="Times New Roman" w:cs="Times New Roman" w:eastAsia="Times New Roman" w:hint="default"/>
                            <w:sz w:val="18"/>
                            <w:szCs w:val="18"/>
                          </w:rPr>
                          <w:t>“</w:t>
                        </w:r>
                        <w:r>
                          <w:rPr>
                            <w:rFonts w:ascii="宋体" w:hAnsi="宋体" w:cs="宋体" w:eastAsia="宋体" w:hint="default"/>
                            <w:sz w:val="18"/>
                            <w:szCs w:val="18"/>
                          </w:rPr>
                          <w:t>广电运通人工智能深圳创新中心</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12" w:hRule="exact"/>
                    </w:trPr>
                    <w:tc>
                      <w:tcPr>
                        <w:tcW w:w="2872" w:type="dxa"/>
                        <w:vMerge/>
                        <w:tcBorders>
                          <w:left w:val="single" w:sz="4" w:space="0" w:color="000000"/>
                          <w:right w:val="single" w:sz="4" w:space="0" w:color="000000"/>
                        </w:tcBorders>
                        <w:shd w:val="clear" w:color="auto" w:fill="D2D2D2"/>
                      </w:tcPr>
                      <w:p>
                        <w:pPr/>
                      </w:p>
                    </w:tc>
                    <w:tc>
                      <w:tcPr>
                        <w:tcW w:w="669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打造</w:t>
                        </w:r>
                        <w:r>
                          <w:rPr>
                            <w:rFonts w:ascii="Times New Roman" w:hAnsi="Times New Roman" w:cs="Times New Roman" w:eastAsia="Times New Roman" w:hint="default"/>
                            <w:sz w:val="18"/>
                            <w:szCs w:val="18"/>
                          </w:rPr>
                          <w:t>“</w:t>
                        </w:r>
                        <w:r>
                          <w:rPr>
                            <w:rFonts w:ascii="宋体" w:hAnsi="宋体" w:cs="宋体" w:eastAsia="宋体" w:hint="default"/>
                            <w:sz w:val="18"/>
                            <w:szCs w:val="18"/>
                          </w:rPr>
                          <w:t>广州总部</w:t>
                        </w:r>
                        <w:r>
                          <w:rPr>
                            <w:rFonts w:ascii="Times New Roman" w:hAnsi="Times New Roman" w:cs="Times New Roman" w:eastAsia="Times New Roman" w:hint="default"/>
                            <w:sz w:val="18"/>
                            <w:szCs w:val="18"/>
                          </w:rPr>
                          <w:t>”+“</w:t>
                        </w:r>
                        <w:r>
                          <w:rPr>
                            <w:rFonts w:ascii="宋体" w:hAnsi="宋体" w:cs="宋体" w:eastAsia="宋体" w:hint="default"/>
                            <w:sz w:val="18"/>
                            <w:szCs w:val="18"/>
                          </w:rPr>
                          <w:t>深圳基地</w:t>
                        </w:r>
                        <w:r>
                          <w:rPr>
                            <w:rFonts w:ascii="Times New Roman" w:hAnsi="Times New Roman" w:cs="Times New Roman" w:eastAsia="Times New Roman" w:hint="default"/>
                            <w:sz w:val="18"/>
                            <w:szCs w:val="18"/>
                          </w:rPr>
                          <w:t>”</w:t>
                        </w:r>
                        <w:r>
                          <w:rPr>
                            <w:rFonts w:ascii="宋体" w:hAnsi="宋体" w:cs="宋体" w:eastAsia="宋体" w:hint="default"/>
                            <w:sz w:val="18"/>
                            <w:szCs w:val="18"/>
                          </w:rPr>
                          <w:t>的创新发展格局。（详见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r>
                  <w:tr>
                    <w:trPr>
                      <w:trHeight w:val="312" w:hRule="exact"/>
                    </w:trPr>
                    <w:tc>
                      <w:tcPr>
                        <w:tcW w:w="2872" w:type="dxa"/>
                        <w:vMerge/>
                        <w:tcBorders>
                          <w:left w:val="single" w:sz="4" w:space="0" w:color="000000"/>
                          <w:right w:val="single" w:sz="4" w:space="0" w:color="000000"/>
                        </w:tcBorders>
                        <w:shd w:val="clear" w:color="auto" w:fill="D2D2D2"/>
                      </w:tcPr>
                      <w:p>
                        <w:pPr/>
                      </w:p>
                    </w:tc>
                    <w:tc>
                      <w:tcPr>
                        <w:tcW w:w="669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日公司刊登于《证券时报》《中国证券报》《上海证券报》及巨潮资讯网</w:t>
                        </w:r>
                      </w:p>
                    </w:tc>
                  </w:tr>
                  <w:tr>
                    <w:trPr>
                      <w:trHeight w:val="352" w:hRule="exact"/>
                    </w:trPr>
                    <w:tc>
                      <w:tcPr>
                        <w:tcW w:w="2872" w:type="dxa"/>
                        <w:vMerge/>
                        <w:tcBorders>
                          <w:left w:val="single" w:sz="4" w:space="0" w:color="000000"/>
                          <w:bottom w:val="single" w:sz="4" w:space="0" w:color="000000"/>
                          <w:right w:val="single" w:sz="4" w:space="0" w:color="000000"/>
                        </w:tcBorders>
                        <w:shd w:val="clear" w:color="auto" w:fill="D2D2D2"/>
                      </w:tcPr>
                      <w:p>
                        <w:pPr/>
                      </w:p>
                    </w:tc>
                    <w:tc>
                      <w:tcPr>
                        <w:tcW w:w="669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hyperlink r:id="rId10">
                          <w:r>
                            <w:rPr>
                              <w:rFonts w:ascii="Times New Roman" w:hAnsi="Times New Roman" w:cs="Times New Roman" w:eastAsia="Times New Roman" w:hint="default"/>
                              <w:sz w:val="18"/>
                              <w:szCs w:val="18"/>
                            </w:rPr>
                            <w:t>www.cninfo.com.cn</w:t>
                          </w:r>
                        </w:hyperlink>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上的相关公告）</w:t>
                        </w:r>
                      </w:p>
                    </w:tc>
                  </w:tr>
                  <w:tr>
                    <w:trPr>
                      <w:trHeight w:val="714" w:hRule="exact"/>
                    </w:trPr>
                    <w:tc>
                      <w:tcPr>
                        <w:tcW w:w="2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137"/>
                          <w:jc w:val="left"/>
                          <w:rPr>
                            <w:rFonts w:ascii="Times New Roman" w:hAnsi="Times New Roman" w:cs="Times New Roman" w:eastAsia="Times New Roman" w:hint="default"/>
                            <w:sz w:val="18"/>
                            <w:szCs w:val="18"/>
                          </w:rPr>
                        </w:pPr>
                        <w:r>
                          <w:rPr>
                            <w:rFonts w:ascii="宋体" w:hAnsi="宋体" w:cs="宋体" w:eastAsia="宋体" w:hint="default"/>
                            <w:sz w:val="18"/>
                            <w:szCs w:val="18"/>
                          </w:rPr>
                          <w:t>未达到计划进度或预计收益的情况 和原因</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未发生该情况</w:t>
                        </w:r>
                      </w:p>
                    </w:tc>
                  </w:tr>
                  <w:tr>
                    <w:trPr>
                      <w:trHeight w:val="714" w:hRule="exact"/>
                    </w:trPr>
                    <w:tc>
                      <w:tcPr>
                        <w:tcW w:w="2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37"/>
                          <w:jc w:val="left"/>
                          <w:rPr>
                            <w:rFonts w:ascii="宋体" w:hAnsi="宋体" w:cs="宋体" w:eastAsia="宋体" w:hint="default"/>
                            <w:sz w:val="18"/>
                            <w:szCs w:val="18"/>
                          </w:rPr>
                        </w:pPr>
                        <w:r>
                          <w:rPr>
                            <w:rFonts w:ascii="宋体" w:hAnsi="宋体" w:cs="宋体" w:eastAsia="宋体" w:hint="default"/>
                            <w:sz w:val="18"/>
                            <w:szCs w:val="18"/>
                          </w:rPr>
                          <w:t>变更后的项目可行性发生重大变化 的情况说明</w:t>
                        </w:r>
                      </w:p>
                    </w:tc>
                    <w:tc>
                      <w:tcPr>
                        <w:tcW w:w="6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未发生该情况</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8"/>
          <w:szCs w:val="18"/>
        </w:rPr>
      </w:pPr>
    </w:p>
    <w:p>
      <w:pPr>
        <w:pStyle w:val="Heading2"/>
        <w:spacing w:line="240" w:lineRule="auto" w:before="26"/>
        <w:ind w:left="552" w:right="0"/>
        <w:jc w:val="left"/>
        <w:rPr>
          <w:b w:val="0"/>
          <w:bCs w:val="0"/>
        </w:rPr>
      </w:pPr>
      <w:bookmarkStart w:name="六、重大资产和股权出售" w:id="54"/>
      <w:bookmarkEnd w:id="54"/>
      <w:r>
        <w:rPr>
          <w:b w:val="0"/>
          <w:bCs w:val="0"/>
        </w:rPr>
      </w:r>
      <w:r>
        <w:rPr/>
        <w:t>六、重大资产和股权出售</w:t>
      </w:r>
      <w:r>
        <w:rPr>
          <w:b w:val="0"/>
          <w:bCs w:val="0"/>
        </w:rPr>
      </w:r>
    </w:p>
    <w:p>
      <w:pPr>
        <w:spacing w:line="240" w:lineRule="auto" w:before="6"/>
        <w:rPr>
          <w:rFonts w:ascii="宋体" w:hAnsi="宋体" w:cs="宋体" w:eastAsia="宋体" w:hint="default"/>
          <w:b/>
          <w:bCs/>
          <w:sz w:val="25"/>
          <w:szCs w:val="25"/>
        </w:rPr>
      </w:pPr>
    </w:p>
    <w:p>
      <w:pPr>
        <w:pStyle w:val="Heading5"/>
        <w:spacing w:line="240" w:lineRule="auto"/>
        <w:ind w:left="552" w:right="0"/>
        <w:jc w:val="left"/>
        <w:rPr>
          <w:b w:val="0"/>
          <w:bCs w:val="0"/>
        </w:rPr>
      </w:pPr>
      <w:bookmarkStart w:name="1、出售重大资产情况" w:id="55"/>
      <w:bookmarkEnd w:id="55"/>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11"/>
        <w:rPr>
          <w:rFonts w:ascii="宋体" w:hAnsi="宋体" w:cs="宋体" w:eastAsia="宋体" w:hint="default"/>
          <w:b/>
          <w:bCs/>
          <w:sz w:val="26"/>
          <w:szCs w:val="26"/>
        </w:rPr>
      </w:pPr>
    </w:p>
    <w:p>
      <w:pPr>
        <w:pStyle w:val="BodyText"/>
        <w:spacing w:line="340" w:lineRule="auto"/>
        <w:ind w:left="552"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 公司报告期未出售重大资产。</w:t>
      </w:r>
    </w:p>
    <w:p>
      <w:pPr>
        <w:spacing w:line="240" w:lineRule="auto" w:before="10"/>
        <w:rPr>
          <w:rFonts w:ascii="宋体" w:hAnsi="宋体" w:cs="宋体" w:eastAsia="宋体" w:hint="default"/>
          <w:sz w:val="21"/>
          <w:szCs w:val="21"/>
        </w:rPr>
      </w:pPr>
    </w:p>
    <w:p>
      <w:pPr>
        <w:pStyle w:val="Heading5"/>
        <w:spacing w:line="240" w:lineRule="auto"/>
        <w:ind w:left="552" w:right="0"/>
        <w:jc w:val="left"/>
        <w:rPr>
          <w:b w:val="0"/>
          <w:bCs w:val="0"/>
        </w:rPr>
      </w:pPr>
      <w:bookmarkStart w:name="2、出售重大股权情况" w:id="56"/>
      <w:bookmarkEnd w:id="56"/>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left="55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24"/>
          <w:szCs w:val="24"/>
        </w:rPr>
      </w:pPr>
    </w:p>
    <w:p>
      <w:pPr>
        <w:pStyle w:val="Heading2"/>
        <w:spacing w:line="240" w:lineRule="auto"/>
        <w:ind w:left="552" w:right="0"/>
        <w:jc w:val="left"/>
        <w:rPr>
          <w:b w:val="0"/>
          <w:bCs w:val="0"/>
        </w:rPr>
      </w:pPr>
      <w:bookmarkStart w:name="七、主要控股参股公司分析" w:id="57"/>
      <w:bookmarkEnd w:id="57"/>
      <w:r>
        <w:rPr>
          <w:b w:val="0"/>
          <w:bCs w:val="0"/>
        </w:rPr>
      </w:r>
      <w:r>
        <w:rPr/>
        <w:t>七、主要控股参股公司分析</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78" w:footer="978" w:top="1100" w:bottom="1160" w:left="580" w:right="0"/>
        </w:sectPr>
      </w:pPr>
    </w:p>
    <w:p>
      <w:pPr>
        <w:pStyle w:val="BodyText"/>
        <w:spacing w:line="240" w:lineRule="auto" w:before="44"/>
        <w:ind w:left="552" w:right="-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pStyle w:val="BodyText"/>
        <w:spacing w:line="240" w:lineRule="auto" w:before="103"/>
        <w:ind w:left="552" w:right="-17"/>
        <w:jc w:val="left"/>
      </w:pPr>
      <w:r>
        <w:rPr/>
        <w:t>主要子公司及对公司净利润影响达</w:t>
      </w:r>
      <w:r>
        <w:rPr>
          <w:spacing w:val="-48"/>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552" w:right="0"/>
        <w:jc w:val="left"/>
      </w:pPr>
      <w:r>
        <w:rPr/>
        <w:t>单位：元</w:t>
      </w:r>
    </w:p>
    <w:p>
      <w:pPr>
        <w:spacing w:after="0" w:line="240" w:lineRule="auto"/>
        <w:jc w:val="left"/>
        <w:sectPr>
          <w:type w:val="continuous"/>
          <w:pgSz w:w="11910" w:h="16840"/>
          <w:pgMar w:top="1100" w:bottom="1160" w:left="580" w:right="0"/>
          <w:cols w:num="2" w:equalWidth="0">
            <w:col w:w="5248" w:space="3671"/>
            <w:col w:w="2411"/>
          </w:cols>
        </w:sectPr>
      </w:pPr>
    </w:p>
    <w:p>
      <w:pPr>
        <w:spacing w:line="240" w:lineRule="auto" w:before="2"/>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520"/>
        <w:gridCol w:w="635"/>
        <w:gridCol w:w="1761"/>
        <w:gridCol w:w="1014"/>
        <w:gridCol w:w="1386"/>
        <w:gridCol w:w="1387"/>
        <w:gridCol w:w="1373"/>
        <w:gridCol w:w="1227"/>
        <w:gridCol w:w="1213"/>
      </w:tblGrid>
      <w:tr>
        <w:trPr>
          <w:trHeight w:val="752" w:hRule="exact"/>
        </w:trPr>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1"/>
              <w:ind w:left="75" w:right="73"/>
              <w:jc w:val="left"/>
              <w:rPr>
                <w:rFonts w:ascii="宋体" w:hAnsi="宋体" w:cs="宋体" w:eastAsia="宋体" w:hint="default"/>
                <w:sz w:val="18"/>
                <w:szCs w:val="18"/>
              </w:rPr>
            </w:pPr>
            <w:r>
              <w:rPr>
                <w:rFonts w:ascii="宋体" w:hAnsi="宋体" w:cs="宋体" w:eastAsia="宋体" w:hint="default"/>
                <w:sz w:val="18"/>
                <w:szCs w:val="18"/>
              </w:rPr>
              <w:t>公司 名称</w:t>
            </w:r>
          </w:p>
        </w:tc>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1"/>
              <w:ind w:left="131" w:right="132"/>
              <w:jc w:val="left"/>
              <w:rPr>
                <w:rFonts w:ascii="宋体" w:hAnsi="宋体" w:cs="宋体" w:eastAsia="宋体" w:hint="default"/>
                <w:sz w:val="18"/>
                <w:szCs w:val="18"/>
              </w:rPr>
            </w:pPr>
            <w:r>
              <w:rPr>
                <w:rFonts w:ascii="宋体" w:hAnsi="宋体" w:cs="宋体" w:eastAsia="宋体" w:hint="default"/>
                <w:sz w:val="18"/>
                <w:szCs w:val="18"/>
              </w:rPr>
              <w:t>公司 类型</w:t>
            </w:r>
          </w:p>
        </w:tc>
        <w:tc>
          <w:tcPr>
            <w:tcW w:w="1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514"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4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417"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418"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320"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48"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331" w:right="0"/>
              <w:jc w:val="left"/>
              <w:rPr>
                <w:rFonts w:ascii="宋体" w:hAnsi="宋体" w:cs="宋体" w:eastAsia="宋体" w:hint="default"/>
                <w:sz w:val="18"/>
                <w:szCs w:val="18"/>
              </w:rPr>
            </w:pPr>
            <w:r>
              <w:rPr>
                <w:rFonts w:ascii="宋体" w:hAnsi="宋体" w:cs="宋体" w:eastAsia="宋体" w:hint="default"/>
                <w:sz w:val="18"/>
                <w:szCs w:val="18"/>
              </w:rPr>
              <w:t>净利润</w:t>
            </w:r>
          </w:p>
        </w:tc>
      </w:tr>
    </w:tbl>
    <w:p>
      <w:pPr>
        <w:spacing w:after="0" w:line="240" w:lineRule="auto"/>
        <w:jc w:val="left"/>
        <w:rPr>
          <w:rFonts w:ascii="宋体" w:hAnsi="宋体" w:cs="宋体" w:eastAsia="宋体" w:hint="default"/>
          <w:sz w:val="18"/>
          <w:szCs w:val="18"/>
        </w:rPr>
        <w:sectPr>
          <w:type w:val="continuous"/>
          <w:pgSz w:w="11910" w:h="16840"/>
          <w:pgMar w:top="1100" w:bottom="1160" w:left="580" w:right="0"/>
        </w:sectPr>
      </w:pPr>
    </w:p>
    <w:p>
      <w:pPr>
        <w:spacing w:line="240" w:lineRule="auto" w:before="11"/>
        <w:rPr>
          <w:rFonts w:ascii="Times New Roman" w:hAnsi="Times New Roman" w:cs="Times New Roman" w:eastAsia="Times New Roman" w:hint="default"/>
          <w:sz w:val="27"/>
          <w:szCs w:val="27"/>
        </w:rPr>
      </w:pPr>
      <w:r>
        <w:rPr/>
        <w:pict>
          <v:shape style="position:absolute;margin-left:174.600006pt;margin-top:703.600037pt;width:56.55pt;height:51.05pt;mso-position-horizontal-relative:page;mso-position-vertical-relative:page;z-index:-1487872" type="#_x0000_t202" filled="false" stroked="false">
            <v:textbox inset="0,0,0,0">
              <w:txbxContent>
                <w:p>
                  <w:pPr>
                    <w:pStyle w:val="BodyText"/>
                    <w:spacing w:line="240" w:lineRule="auto" w:before="51"/>
                    <w:ind w:left="0" w:right="0"/>
                    <w:jc w:val="left"/>
                  </w:pPr>
                  <w:r>
                    <w:rPr/>
                    <w:t>、</w:t>
                  </w:r>
                </w:p>
              </w:txbxContent>
            </v:textbox>
            <w10:wrap type="none"/>
          </v:shape>
        </w:pict>
      </w:r>
      <w:r>
        <w:rPr/>
        <w:pict>
          <v:group style="position:absolute;margin-left:180.699997pt;margin-top:703.600037pt;width:50.45pt;height:51.05pt;mso-position-horizontal-relative:page;mso-position-vertical-relative:page;z-index:-1487848" coordorigin="3614,14072" coordsize="1009,1021">
            <v:shape style="position:absolute;left:3614;top:14072;width:1009;height:1021" coordorigin="3614,14072" coordsize="1009,1021" path="m3614,14072l4623,14072,4623,15093,3614,15093,3614,14072xe" filled="true" fillcolor="#ffffff" stroked="false">
              <v:path arrowok="t"/>
              <v:fill type="solid"/>
            </v:shape>
            <w10:wrap type="none"/>
          </v:group>
        </w:pict>
      </w:r>
    </w:p>
    <w:tbl>
      <w:tblPr>
        <w:tblW w:w="0" w:type="auto"/>
        <w:jc w:val="left"/>
        <w:tblInd w:w="110" w:type="dxa"/>
        <w:tblLayout w:type="fixed"/>
        <w:tblCellMar>
          <w:top w:w="0" w:type="dxa"/>
          <w:left w:w="0" w:type="dxa"/>
          <w:bottom w:w="0" w:type="dxa"/>
          <w:right w:w="0" w:type="dxa"/>
        </w:tblCellMar>
        <w:tblLook w:val="01E0"/>
      </w:tblPr>
      <w:tblGrid>
        <w:gridCol w:w="520"/>
        <w:gridCol w:w="635"/>
        <w:gridCol w:w="1761"/>
        <w:gridCol w:w="1014"/>
        <w:gridCol w:w="1386"/>
        <w:gridCol w:w="1387"/>
        <w:gridCol w:w="1373"/>
        <w:gridCol w:w="1227"/>
        <w:gridCol w:w="1213"/>
      </w:tblGrid>
      <w:tr>
        <w:trPr>
          <w:trHeight w:val="714" w:hRule="exact"/>
        </w:trPr>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75" w:right="73"/>
              <w:jc w:val="left"/>
              <w:rPr>
                <w:rFonts w:ascii="宋体" w:hAnsi="宋体" w:cs="宋体" w:eastAsia="宋体" w:hint="default"/>
                <w:sz w:val="18"/>
                <w:szCs w:val="18"/>
              </w:rPr>
            </w:pPr>
            <w:r>
              <w:rPr>
                <w:rFonts w:ascii="宋体" w:hAnsi="宋体" w:cs="宋体" w:eastAsia="宋体" w:hint="default"/>
                <w:sz w:val="18"/>
                <w:szCs w:val="18"/>
              </w:rPr>
              <w:t>广州 银通</w:t>
            </w:r>
          </w:p>
        </w:tc>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40"/>
              <w:jc w:val="right"/>
              <w:rPr>
                <w:rFonts w:ascii="宋体" w:hAnsi="宋体" w:cs="宋体" w:eastAsia="宋体" w:hint="default"/>
                <w:sz w:val="18"/>
                <w:szCs w:val="18"/>
              </w:rPr>
            </w:pPr>
            <w:r>
              <w:rPr>
                <w:rFonts w:ascii="宋体" w:hAnsi="宋体" w:cs="宋体" w:eastAsia="宋体" w:hint="default"/>
                <w:sz w:val="18"/>
                <w:szCs w:val="18"/>
              </w:rPr>
              <w:t>子公司</w:t>
            </w:r>
          </w:p>
        </w:tc>
        <w:tc>
          <w:tcPr>
            <w:tcW w:w="17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07"/>
              <w:jc w:val="left"/>
              <w:rPr>
                <w:rFonts w:ascii="宋体" w:hAnsi="宋体" w:cs="宋体" w:eastAsia="宋体" w:hint="default"/>
                <w:sz w:val="18"/>
                <w:szCs w:val="18"/>
              </w:rPr>
            </w:pPr>
            <w:r>
              <w:rPr>
                <w:rFonts w:ascii="宋体" w:hAnsi="宋体" w:cs="宋体" w:eastAsia="宋体" w:hint="default"/>
                <w:sz w:val="18"/>
                <w:szCs w:val="18"/>
              </w:rPr>
              <w:t>受金融企业委托提供 非金融业务服务。</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580,000,000</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3,231,278,791.97</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2,425,963,861.65</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1,291,644,386.86</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380,124,273.30</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327,628,117.17</w:t>
            </w:r>
          </w:p>
        </w:tc>
      </w:tr>
      <w:tr>
        <w:trPr>
          <w:trHeight w:val="714" w:hRule="exact"/>
        </w:trPr>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75" w:right="73"/>
              <w:jc w:val="left"/>
              <w:rPr>
                <w:rFonts w:ascii="宋体" w:hAnsi="宋体" w:cs="宋体" w:eastAsia="宋体" w:hint="default"/>
                <w:sz w:val="18"/>
                <w:szCs w:val="18"/>
              </w:rPr>
            </w:pPr>
            <w:r>
              <w:rPr>
                <w:rFonts w:ascii="宋体" w:hAnsi="宋体" w:cs="宋体" w:eastAsia="宋体" w:hint="default"/>
                <w:sz w:val="18"/>
                <w:szCs w:val="18"/>
              </w:rPr>
              <w:t>广电 安保</w:t>
            </w:r>
          </w:p>
        </w:tc>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40"/>
              <w:jc w:val="right"/>
              <w:rPr>
                <w:rFonts w:ascii="宋体" w:hAnsi="宋体" w:cs="宋体" w:eastAsia="宋体" w:hint="default"/>
                <w:sz w:val="18"/>
                <w:szCs w:val="18"/>
              </w:rPr>
            </w:pPr>
            <w:r>
              <w:rPr>
                <w:rFonts w:ascii="宋体" w:hAnsi="宋体" w:cs="宋体" w:eastAsia="宋体" w:hint="default"/>
                <w:sz w:val="18"/>
                <w:szCs w:val="18"/>
              </w:rPr>
              <w:t>子公司</w:t>
            </w:r>
          </w:p>
        </w:tc>
        <w:tc>
          <w:tcPr>
            <w:tcW w:w="17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主要从事武装押运及 金融外包服务业务。</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250,000,000</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1,890,660,958.30</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1,572,535,537.77</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1,316,420,790.63</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265,733,073.17</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197,222,546.85</w:t>
            </w:r>
          </w:p>
        </w:tc>
      </w:tr>
      <w:tr>
        <w:trPr>
          <w:trHeight w:val="714" w:hRule="exact"/>
        </w:trPr>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75" w:right="73"/>
              <w:jc w:val="left"/>
              <w:rPr>
                <w:rFonts w:ascii="宋体" w:hAnsi="宋体" w:cs="宋体" w:eastAsia="宋体" w:hint="default"/>
                <w:sz w:val="18"/>
                <w:szCs w:val="18"/>
              </w:rPr>
            </w:pPr>
            <w:r>
              <w:rPr>
                <w:rFonts w:ascii="宋体" w:hAnsi="宋体" w:cs="宋体" w:eastAsia="宋体" w:hint="default"/>
                <w:sz w:val="18"/>
                <w:szCs w:val="18"/>
              </w:rPr>
              <w:t>运通 国际</w:t>
            </w:r>
          </w:p>
        </w:tc>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40"/>
              <w:jc w:val="right"/>
              <w:rPr>
                <w:rFonts w:ascii="宋体" w:hAnsi="宋体" w:cs="宋体" w:eastAsia="宋体" w:hint="default"/>
                <w:sz w:val="18"/>
                <w:szCs w:val="18"/>
              </w:rPr>
            </w:pPr>
            <w:r>
              <w:rPr>
                <w:rFonts w:ascii="宋体" w:hAnsi="宋体" w:cs="宋体" w:eastAsia="宋体" w:hint="default"/>
                <w:sz w:val="18"/>
                <w:szCs w:val="18"/>
              </w:rPr>
              <w:t>子公司</w:t>
            </w:r>
          </w:p>
        </w:tc>
        <w:tc>
          <w:tcPr>
            <w:tcW w:w="17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07"/>
              <w:jc w:val="left"/>
              <w:rPr>
                <w:rFonts w:ascii="宋体" w:hAnsi="宋体" w:cs="宋体" w:eastAsia="宋体" w:hint="default"/>
                <w:sz w:val="18"/>
                <w:szCs w:val="18"/>
              </w:rPr>
            </w:pPr>
            <w:r>
              <w:rPr>
                <w:rFonts w:ascii="宋体" w:hAnsi="宋体" w:cs="宋体" w:eastAsia="宋体" w:hint="default"/>
                <w:sz w:val="18"/>
                <w:szCs w:val="18"/>
              </w:rPr>
              <w:t>主要经营柜员机销售 与服务。</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21,000,000</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美元</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391,104,856.50</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164,834,110.99</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654,139,276.16</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13,981,615.97</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10,915,309.56</w:t>
            </w:r>
          </w:p>
        </w:tc>
      </w:tr>
      <w:tr>
        <w:trPr>
          <w:trHeight w:val="714" w:hRule="exact"/>
        </w:trPr>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75" w:right="73"/>
              <w:jc w:val="left"/>
              <w:rPr>
                <w:rFonts w:ascii="宋体" w:hAnsi="宋体" w:cs="宋体" w:eastAsia="宋体" w:hint="default"/>
                <w:sz w:val="18"/>
                <w:szCs w:val="18"/>
              </w:rPr>
            </w:pPr>
            <w:r>
              <w:rPr>
                <w:rFonts w:ascii="宋体" w:hAnsi="宋体" w:cs="宋体" w:eastAsia="宋体" w:hint="default"/>
                <w:sz w:val="18"/>
                <w:szCs w:val="18"/>
              </w:rPr>
              <w:t>支点 创投</w:t>
            </w:r>
          </w:p>
        </w:tc>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40"/>
              <w:jc w:val="right"/>
              <w:rPr>
                <w:rFonts w:ascii="宋体" w:hAnsi="宋体" w:cs="宋体" w:eastAsia="宋体" w:hint="default"/>
                <w:sz w:val="18"/>
                <w:szCs w:val="18"/>
              </w:rPr>
            </w:pPr>
            <w:r>
              <w:rPr>
                <w:rFonts w:ascii="宋体" w:hAnsi="宋体" w:cs="宋体" w:eastAsia="宋体" w:hint="default"/>
                <w:sz w:val="18"/>
                <w:szCs w:val="18"/>
              </w:rPr>
              <w:t>子公司</w:t>
            </w:r>
          </w:p>
        </w:tc>
        <w:tc>
          <w:tcPr>
            <w:tcW w:w="17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主要从事创业投资、 咨询、管理。</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260,000,000</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295,945,214.71</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269,152,565.07</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44,395,589.22</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1,277,300.55</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873,175.93</w:t>
            </w:r>
          </w:p>
        </w:tc>
      </w:tr>
      <w:tr>
        <w:trPr>
          <w:trHeight w:val="714" w:hRule="exact"/>
        </w:trPr>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75" w:right="73"/>
              <w:jc w:val="left"/>
              <w:rPr>
                <w:rFonts w:ascii="宋体" w:hAnsi="宋体" w:cs="宋体" w:eastAsia="宋体" w:hint="default"/>
                <w:sz w:val="18"/>
                <w:szCs w:val="18"/>
              </w:rPr>
            </w:pPr>
            <w:r>
              <w:rPr>
                <w:rFonts w:ascii="宋体" w:hAnsi="宋体" w:cs="宋体" w:eastAsia="宋体" w:hint="default"/>
                <w:sz w:val="18"/>
                <w:szCs w:val="18"/>
              </w:rPr>
              <w:t>中智 融通</w:t>
            </w:r>
          </w:p>
        </w:tc>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40"/>
              <w:jc w:val="right"/>
              <w:rPr>
                <w:rFonts w:ascii="宋体" w:hAnsi="宋体" w:cs="宋体" w:eastAsia="宋体" w:hint="default"/>
                <w:sz w:val="18"/>
                <w:szCs w:val="18"/>
              </w:rPr>
            </w:pPr>
            <w:r>
              <w:rPr>
                <w:rFonts w:ascii="宋体" w:hAnsi="宋体" w:cs="宋体" w:eastAsia="宋体" w:hint="default"/>
                <w:sz w:val="18"/>
                <w:szCs w:val="18"/>
              </w:rPr>
              <w:t>子公司</w:t>
            </w:r>
          </w:p>
        </w:tc>
        <w:tc>
          <w:tcPr>
            <w:tcW w:w="17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287"/>
              <w:jc w:val="left"/>
              <w:rPr>
                <w:rFonts w:ascii="宋体" w:hAnsi="宋体" w:cs="宋体" w:eastAsia="宋体" w:hint="default"/>
                <w:sz w:val="18"/>
                <w:szCs w:val="18"/>
              </w:rPr>
            </w:pPr>
            <w:r>
              <w:rPr>
                <w:rFonts w:ascii="宋体" w:hAnsi="宋体" w:cs="宋体" w:eastAsia="宋体" w:hint="default"/>
                <w:sz w:val="18"/>
                <w:szCs w:val="18"/>
              </w:rPr>
              <w:t>主要从事清分机业 务。</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130,000,000</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263,347,636.54</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131,027,256.27</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228,955,342.68</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9,158,236.70</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6,329,489.44</w:t>
            </w:r>
          </w:p>
        </w:tc>
      </w:tr>
      <w:tr>
        <w:trPr>
          <w:trHeight w:val="1026" w:hRule="exact"/>
        </w:trPr>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ind w:left="75" w:right="73"/>
              <w:jc w:val="left"/>
              <w:rPr>
                <w:rFonts w:ascii="宋体" w:hAnsi="宋体" w:cs="宋体" w:eastAsia="宋体" w:hint="default"/>
                <w:sz w:val="18"/>
                <w:szCs w:val="18"/>
              </w:rPr>
            </w:pPr>
            <w:r>
              <w:rPr>
                <w:rFonts w:ascii="宋体" w:hAnsi="宋体" w:cs="宋体" w:eastAsia="宋体" w:hint="default"/>
                <w:sz w:val="18"/>
                <w:szCs w:val="18"/>
              </w:rPr>
              <w:t>运通 信息</w:t>
            </w:r>
          </w:p>
        </w:tc>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40"/>
              <w:jc w:val="right"/>
              <w:rPr>
                <w:rFonts w:ascii="宋体" w:hAnsi="宋体" w:cs="宋体" w:eastAsia="宋体" w:hint="default"/>
                <w:sz w:val="18"/>
                <w:szCs w:val="18"/>
              </w:rPr>
            </w:pPr>
            <w:r>
              <w:rPr>
                <w:rFonts w:ascii="宋体" w:hAnsi="宋体" w:cs="宋体" w:eastAsia="宋体" w:hint="default"/>
                <w:sz w:val="18"/>
                <w:szCs w:val="18"/>
              </w:rPr>
              <w:t>子公司</w:t>
            </w:r>
          </w:p>
        </w:tc>
        <w:tc>
          <w:tcPr>
            <w:tcW w:w="17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7"/>
              <w:jc w:val="both"/>
              <w:rPr>
                <w:rFonts w:ascii="宋体" w:hAnsi="宋体" w:cs="宋体" w:eastAsia="宋体" w:hint="default"/>
                <w:sz w:val="18"/>
                <w:szCs w:val="18"/>
              </w:rPr>
            </w:pPr>
            <w:r>
              <w:rPr>
                <w:rFonts w:ascii="宋体" w:hAnsi="宋体" w:cs="宋体" w:eastAsia="宋体" w:hint="default"/>
                <w:sz w:val="18"/>
                <w:szCs w:val="18"/>
              </w:rPr>
              <w:t>专业从事计算机软、 硬件技术及系统集成 的开发和销售。</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50,000,000</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111,660,988.36</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71,706,164.64</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143,126,096.82</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8,003,337.74</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8,541,739.06</w:t>
            </w:r>
          </w:p>
        </w:tc>
      </w:tr>
      <w:tr>
        <w:trPr>
          <w:trHeight w:val="2274" w:hRule="exact"/>
        </w:trPr>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16" w:lineRule="auto"/>
              <w:ind w:left="75" w:right="73"/>
              <w:jc w:val="left"/>
              <w:rPr>
                <w:rFonts w:ascii="宋体" w:hAnsi="宋体" w:cs="宋体" w:eastAsia="宋体" w:hint="default"/>
                <w:sz w:val="18"/>
                <w:szCs w:val="18"/>
              </w:rPr>
            </w:pPr>
            <w:r>
              <w:rPr>
                <w:rFonts w:ascii="宋体" w:hAnsi="宋体" w:cs="宋体" w:eastAsia="宋体" w:hint="default"/>
                <w:sz w:val="18"/>
                <w:szCs w:val="18"/>
              </w:rPr>
              <w:t>运通 智能</w:t>
            </w:r>
          </w:p>
        </w:tc>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right="40"/>
              <w:jc w:val="right"/>
              <w:rPr>
                <w:rFonts w:ascii="宋体" w:hAnsi="宋体" w:cs="宋体" w:eastAsia="宋体" w:hint="default"/>
                <w:sz w:val="18"/>
                <w:szCs w:val="18"/>
              </w:rPr>
            </w:pPr>
            <w:r>
              <w:rPr>
                <w:rFonts w:ascii="宋体" w:hAnsi="宋体" w:cs="宋体" w:eastAsia="宋体" w:hint="default"/>
                <w:sz w:val="18"/>
                <w:szCs w:val="18"/>
              </w:rPr>
              <w:t>子公司</w:t>
            </w:r>
          </w:p>
        </w:tc>
        <w:tc>
          <w:tcPr>
            <w:tcW w:w="17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07"/>
              <w:jc w:val="left"/>
              <w:rPr>
                <w:rFonts w:ascii="宋体" w:hAnsi="宋体" w:cs="宋体" w:eastAsia="宋体" w:hint="default"/>
                <w:sz w:val="18"/>
                <w:szCs w:val="18"/>
              </w:rPr>
            </w:pPr>
            <w:r>
              <w:rPr>
                <w:rFonts w:ascii="宋体" w:hAnsi="宋体" w:cs="宋体" w:eastAsia="宋体" w:hint="default"/>
                <w:sz w:val="18"/>
                <w:szCs w:val="18"/>
              </w:rPr>
              <w:t>计算机应用电子设备 制造；自动售货机、 售票机、柜员机及零 配件的批发；计算器 及货币专用设备制 造；信息系统集成服 务等。</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80,000,000</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397,014,544.71</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106,686,761.05</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270,521,901.37</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20,389,442.93</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18,359,403.53</w:t>
            </w:r>
          </w:p>
        </w:tc>
      </w:tr>
      <w:tr>
        <w:trPr>
          <w:trHeight w:val="1650" w:hRule="exact"/>
        </w:trPr>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75" w:right="73"/>
              <w:jc w:val="left"/>
              <w:rPr>
                <w:rFonts w:ascii="宋体" w:hAnsi="宋体" w:cs="宋体" w:eastAsia="宋体" w:hint="default"/>
                <w:sz w:val="18"/>
                <w:szCs w:val="18"/>
              </w:rPr>
            </w:pPr>
            <w:r>
              <w:rPr>
                <w:rFonts w:ascii="宋体" w:hAnsi="宋体" w:cs="宋体" w:eastAsia="宋体" w:hint="default"/>
                <w:sz w:val="18"/>
                <w:szCs w:val="18"/>
              </w:rPr>
              <w:t>广州 穗通</w:t>
            </w:r>
          </w:p>
        </w:tc>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40"/>
              <w:jc w:val="right"/>
              <w:rPr>
                <w:rFonts w:ascii="宋体" w:hAnsi="宋体" w:cs="宋体" w:eastAsia="宋体" w:hint="default"/>
                <w:sz w:val="18"/>
                <w:szCs w:val="18"/>
              </w:rPr>
            </w:pPr>
            <w:r>
              <w:rPr>
                <w:rFonts w:ascii="宋体" w:hAnsi="宋体" w:cs="宋体" w:eastAsia="宋体" w:hint="default"/>
                <w:sz w:val="18"/>
                <w:szCs w:val="18"/>
              </w:rPr>
              <w:t>子公司</w:t>
            </w:r>
          </w:p>
        </w:tc>
        <w:tc>
          <w:tcPr>
            <w:tcW w:w="17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7"/>
              <w:jc w:val="both"/>
              <w:rPr>
                <w:rFonts w:ascii="宋体" w:hAnsi="宋体" w:cs="宋体" w:eastAsia="宋体" w:hint="default"/>
                <w:sz w:val="18"/>
                <w:szCs w:val="18"/>
              </w:rPr>
            </w:pPr>
            <w:r>
              <w:rPr>
                <w:rFonts w:ascii="宋体" w:hAnsi="宋体" w:cs="宋体" w:eastAsia="宋体" w:hint="default"/>
                <w:sz w:val="18"/>
                <w:szCs w:val="18"/>
              </w:rPr>
              <w:t>受银行委托对自动柜 员机进行日常维护及 管理，对现金及有价 证券提供清分处理服 务。</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50,000,000</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122,827,458.45</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75,667,426.00</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119,115,089.37</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13,193,321.53</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10,078,373.36</w:t>
            </w:r>
          </w:p>
        </w:tc>
      </w:tr>
      <w:tr>
        <w:trPr>
          <w:trHeight w:val="1026" w:hRule="exact"/>
        </w:trPr>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75" w:right="73"/>
              <w:jc w:val="left"/>
              <w:rPr>
                <w:rFonts w:ascii="宋体" w:hAnsi="宋体" w:cs="宋体" w:eastAsia="宋体" w:hint="default"/>
                <w:sz w:val="18"/>
                <w:szCs w:val="18"/>
              </w:rPr>
            </w:pPr>
            <w:r>
              <w:rPr>
                <w:rFonts w:ascii="宋体" w:hAnsi="宋体" w:cs="宋体" w:eastAsia="宋体" w:hint="default"/>
                <w:sz w:val="18"/>
                <w:szCs w:val="18"/>
              </w:rPr>
              <w:t>创自 技术</w:t>
            </w:r>
          </w:p>
        </w:tc>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40"/>
              <w:jc w:val="right"/>
              <w:rPr>
                <w:rFonts w:ascii="宋体" w:hAnsi="宋体" w:cs="宋体" w:eastAsia="宋体" w:hint="default"/>
                <w:sz w:val="18"/>
                <w:szCs w:val="18"/>
              </w:rPr>
            </w:pPr>
            <w:r>
              <w:rPr>
                <w:rFonts w:ascii="宋体" w:hAnsi="宋体" w:cs="宋体" w:eastAsia="宋体" w:hint="default"/>
                <w:sz w:val="18"/>
                <w:szCs w:val="18"/>
              </w:rPr>
              <w:t>子公司</w:t>
            </w:r>
          </w:p>
        </w:tc>
        <w:tc>
          <w:tcPr>
            <w:tcW w:w="17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07"/>
              <w:jc w:val="both"/>
              <w:rPr>
                <w:rFonts w:ascii="宋体" w:hAnsi="宋体" w:cs="宋体" w:eastAsia="宋体" w:hint="default"/>
                <w:sz w:val="18"/>
                <w:szCs w:val="18"/>
              </w:rPr>
            </w:pPr>
            <w:r>
              <w:rPr>
                <w:rFonts w:ascii="宋体" w:hAnsi="宋体" w:cs="宋体" w:eastAsia="宋体" w:hint="default"/>
                <w:sz w:val="18"/>
                <w:szCs w:val="18"/>
              </w:rPr>
              <w:t>卡座、读卡器、发卡 器、电子终端设备及 配件的生产与销售。</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6,150,000</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210,210,853.79</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148,082,521.53</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119,298,354.59</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23,743,409.87</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21,443,960.62</w:t>
            </w:r>
          </w:p>
        </w:tc>
      </w:tr>
      <w:tr>
        <w:trPr>
          <w:trHeight w:val="1650" w:hRule="exact"/>
        </w:trPr>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75" w:right="73"/>
              <w:jc w:val="left"/>
              <w:rPr>
                <w:rFonts w:ascii="宋体" w:hAnsi="宋体" w:cs="宋体" w:eastAsia="宋体" w:hint="default"/>
                <w:sz w:val="18"/>
                <w:szCs w:val="18"/>
              </w:rPr>
            </w:pPr>
            <w:r>
              <w:rPr>
                <w:rFonts w:ascii="宋体" w:hAnsi="宋体" w:cs="宋体" w:eastAsia="宋体" w:hint="default"/>
                <w:sz w:val="18"/>
                <w:szCs w:val="18"/>
              </w:rPr>
              <w:t>汇通 金融</w:t>
            </w:r>
          </w:p>
        </w:tc>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40"/>
              <w:jc w:val="right"/>
              <w:rPr>
                <w:rFonts w:ascii="宋体" w:hAnsi="宋体" w:cs="宋体" w:eastAsia="宋体" w:hint="default"/>
                <w:sz w:val="18"/>
                <w:szCs w:val="18"/>
              </w:rPr>
            </w:pPr>
            <w:r>
              <w:rPr>
                <w:rFonts w:ascii="宋体" w:hAnsi="宋体" w:cs="宋体" w:eastAsia="宋体" w:hint="default"/>
                <w:sz w:val="18"/>
                <w:szCs w:val="18"/>
              </w:rPr>
              <w:t>子公司</w:t>
            </w:r>
          </w:p>
        </w:tc>
        <w:tc>
          <w:tcPr>
            <w:tcW w:w="17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7"/>
              <w:jc w:val="both"/>
              <w:rPr>
                <w:rFonts w:ascii="宋体" w:hAnsi="宋体" w:cs="宋体" w:eastAsia="宋体" w:hint="default"/>
                <w:sz w:val="18"/>
                <w:szCs w:val="18"/>
              </w:rPr>
            </w:pPr>
            <w:r>
              <w:rPr>
                <w:rFonts w:ascii="宋体" w:hAnsi="宋体" w:cs="宋体" w:eastAsia="宋体" w:hint="default"/>
                <w:sz w:val="18"/>
                <w:szCs w:val="18"/>
              </w:rPr>
              <w:t>受金融企业的委托和 国家允许的金融外包 业务；第二类增值电 信业务中的呼叫中心 业务。</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102,040,816</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267,715,601.67</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237,344,094.03</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248,111,528.48</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3,021,780.86</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2,336,504.78</w:t>
            </w:r>
          </w:p>
        </w:tc>
      </w:tr>
      <w:tr>
        <w:trPr>
          <w:trHeight w:val="714" w:hRule="exact"/>
        </w:trPr>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75" w:right="73"/>
              <w:jc w:val="left"/>
              <w:rPr>
                <w:rFonts w:ascii="宋体" w:hAnsi="宋体" w:cs="宋体" w:eastAsia="宋体" w:hint="default"/>
                <w:sz w:val="18"/>
                <w:szCs w:val="18"/>
              </w:rPr>
            </w:pPr>
            <w:r>
              <w:rPr>
                <w:rFonts w:ascii="宋体" w:hAnsi="宋体" w:cs="宋体" w:eastAsia="宋体" w:hint="default"/>
                <w:sz w:val="18"/>
                <w:szCs w:val="18"/>
              </w:rPr>
              <w:t>中科 江南</w:t>
            </w:r>
          </w:p>
        </w:tc>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40"/>
              <w:jc w:val="right"/>
              <w:rPr>
                <w:rFonts w:ascii="宋体" w:hAnsi="宋体" w:cs="宋体" w:eastAsia="宋体" w:hint="default"/>
                <w:sz w:val="18"/>
                <w:szCs w:val="18"/>
              </w:rPr>
            </w:pPr>
            <w:r>
              <w:rPr>
                <w:rFonts w:ascii="宋体" w:hAnsi="宋体" w:cs="宋体" w:eastAsia="宋体" w:hint="default"/>
                <w:sz w:val="18"/>
                <w:szCs w:val="18"/>
              </w:rPr>
              <w:t>子公司</w:t>
            </w:r>
          </w:p>
        </w:tc>
        <w:tc>
          <w:tcPr>
            <w:tcW w:w="17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07"/>
              <w:jc w:val="left"/>
              <w:rPr>
                <w:rFonts w:ascii="宋体" w:hAnsi="宋体" w:cs="宋体" w:eastAsia="宋体" w:hint="default"/>
                <w:sz w:val="18"/>
                <w:szCs w:val="18"/>
              </w:rPr>
            </w:pPr>
            <w:r>
              <w:rPr>
                <w:rFonts w:ascii="宋体" w:hAnsi="宋体" w:cs="宋体" w:eastAsia="宋体" w:hint="default"/>
                <w:sz w:val="18"/>
                <w:szCs w:val="18"/>
              </w:rPr>
              <w:t>智慧金融、政府财政 信息化安全。</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81,000,000</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753,936,519.06</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328,351,198.33</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389,722,108.83</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83,377,612.18</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74,519,169.13</w:t>
            </w:r>
          </w:p>
        </w:tc>
      </w:tr>
      <w:tr>
        <w:trPr>
          <w:trHeight w:val="714" w:hRule="exact"/>
        </w:trPr>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75" w:right="73"/>
              <w:jc w:val="left"/>
              <w:rPr>
                <w:rFonts w:ascii="宋体" w:hAnsi="宋体" w:cs="宋体" w:eastAsia="宋体" w:hint="default"/>
                <w:sz w:val="18"/>
                <w:szCs w:val="18"/>
              </w:rPr>
            </w:pPr>
            <w:r>
              <w:rPr>
                <w:rFonts w:ascii="宋体" w:hAnsi="宋体" w:cs="宋体" w:eastAsia="宋体" w:hint="default"/>
                <w:sz w:val="18"/>
                <w:szCs w:val="18"/>
              </w:rPr>
              <w:t>信义 科技</w:t>
            </w:r>
          </w:p>
        </w:tc>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40"/>
              <w:jc w:val="right"/>
              <w:rPr>
                <w:rFonts w:ascii="宋体" w:hAnsi="宋体" w:cs="宋体" w:eastAsia="宋体" w:hint="default"/>
                <w:sz w:val="18"/>
                <w:szCs w:val="18"/>
              </w:rPr>
            </w:pPr>
            <w:r>
              <w:rPr>
                <w:rFonts w:ascii="宋体" w:hAnsi="宋体" w:cs="宋体" w:eastAsia="宋体" w:hint="default"/>
                <w:sz w:val="18"/>
                <w:szCs w:val="18"/>
              </w:rPr>
              <w:t>子公司</w:t>
            </w:r>
          </w:p>
        </w:tc>
        <w:tc>
          <w:tcPr>
            <w:tcW w:w="17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视频及大数据、公共 安全。</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30,000,000</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703,257,514.76</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204,299,566.27</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481,908,586.91</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80,452,840.25</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69,674,771.85</w:t>
            </w:r>
          </w:p>
        </w:tc>
      </w:tr>
      <w:tr>
        <w:trPr>
          <w:trHeight w:val="1026" w:hRule="exact"/>
        </w:trPr>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75" w:right="73"/>
              <w:jc w:val="left"/>
              <w:rPr>
                <w:rFonts w:ascii="宋体" w:hAnsi="宋体" w:cs="宋体" w:eastAsia="宋体" w:hint="default"/>
                <w:sz w:val="18"/>
                <w:szCs w:val="18"/>
              </w:rPr>
            </w:pPr>
            <w:r>
              <w:rPr>
                <w:rFonts w:ascii="宋体" w:hAnsi="宋体" w:cs="宋体" w:eastAsia="宋体" w:hint="default"/>
                <w:sz w:val="18"/>
                <w:szCs w:val="18"/>
              </w:rPr>
              <w:t>广电 计量</w:t>
            </w:r>
          </w:p>
        </w:tc>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22" w:right="40" w:hanging="180"/>
              <w:jc w:val="left"/>
              <w:rPr>
                <w:rFonts w:ascii="宋体" w:hAnsi="宋体" w:cs="宋体" w:eastAsia="宋体" w:hint="default"/>
                <w:sz w:val="18"/>
                <w:szCs w:val="18"/>
              </w:rPr>
            </w:pPr>
            <w:r>
              <w:rPr>
                <w:rFonts w:ascii="宋体" w:hAnsi="宋体" w:cs="宋体" w:eastAsia="宋体" w:hint="default"/>
                <w:sz w:val="18"/>
                <w:szCs w:val="18"/>
              </w:rPr>
              <w:t>参股公 司</w:t>
            </w:r>
          </w:p>
        </w:tc>
        <w:tc>
          <w:tcPr>
            <w:tcW w:w="17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07"/>
              <w:jc w:val="both"/>
              <w:rPr>
                <w:rFonts w:ascii="宋体" w:hAnsi="宋体" w:cs="宋体" w:eastAsia="宋体" w:hint="default"/>
                <w:sz w:val="18"/>
                <w:szCs w:val="18"/>
              </w:rPr>
            </w:pPr>
            <w:r>
              <w:rPr>
                <w:rFonts w:ascii="宋体" w:hAnsi="宋体" w:cs="宋体" w:eastAsia="宋体" w:hint="default"/>
                <w:sz w:val="18"/>
                <w:szCs w:val="18"/>
              </w:rPr>
              <w:t>计量服务、检测服务 检测装备研发等专业 技术服务。</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41"/>
              <w:jc w:val="center"/>
              <w:rPr>
                <w:rFonts w:ascii="Times New Roman" w:hAnsi="Times New Roman" w:cs="Times New Roman" w:eastAsia="Times New Roman" w:hint="default"/>
                <w:sz w:val="18"/>
                <w:szCs w:val="18"/>
              </w:rPr>
            </w:pPr>
            <w:r>
              <w:rPr>
                <w:rFonts w:ascii="Times New Roman"/>
                <w:sz w:val="18"/>
              </w:rPr>
              <w:t>330,670,000</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2,906,173,121.62</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1,528,883,858.32</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1,588,156,735.06</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173,820,476.60</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169,785,244.03</w:t>
            </w:r>
          </w:p>
        </w:tc>
      </w:tr>
    </w:tbl>
    <w:p>
      <w:pPr>
        <w:spacing w:after="0" w:line="240" w:lineRule="auto"/>
        <w:jc w:val="right"/>
        <w:rPr>
          <w:rFonts w:ascii="Times New Roman" w:hAnsi="Times New Roman" w:cs="Times New Roman" w:eastAsia="Times New Roman" w:hint="default"/>
          <w:sz w:val="18"/>
          <w:szCs w:val="18"/>
        </w:rPr>
        <w:sectPr>
          <w:pgSz w:w="11910" w:h="16840"/>
          <w:pgMar w:header="878" w:footer="978" w:top="1100" w:bottom="1160" w:left="580" w:right="0"/>
        </w:sectPr>
      </w:pPr>
    </w:p>
    <w:p>
      <w:pPr>
        <w:spacing w:line="240" w:lineRule="auto" w:before="1"/>
        <w:rPr>
          <w:rFonts w:ascii="Times New Roman" w:hAnsi="Times New Roman" w:cs="Times New Roman" w:eastAsia="Times New Roman" w:hint="default"/>
          <w:sz w:val="25"/>
          <w:szCs w:val="25"/>
        </w:rPr>
      </w:pPr>
    </w:p>
    <w:p>
      <w:pPr>
        <w:pStyle w:val="BodyText"/>
        <w:spacing w:line="240" w:lineRule="auto" w:before="44"/>
        <w:ind w:right="1394"/>
        <w:jc w:val="left"/>
      </w:pPr>
      <w:r>
        <w:rPr/>
        <w:t>报告期内取得和处置子公司的情况</w:t>
      </w:r>
    </w:p>
    <w:p>
      <w:pPr>
        <w:pStyle w:val="BodyText"/>
        <w:spacing w:line="240" w:lineRule="auto" w:before="115"/>
        <w:ind w:right="13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828"/>
        <w:gridCol w:w="2693"/>
        <w:gridCol w:w="3293"/>
      </w:tblGrid>
      <w:tr>
        <w:trPr>
          <w:trHeight w:val="402" w:hRule="exact"/>
        </w:trPr>
        <w:tc>
          <w:tcPr>
            <w:tcW w:w="3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2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1"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402" w:hRule="exact"/>
        </w:trPr>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四川极智朗润科技有限公司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子公司新购买的参股公司</w:t>
            </w:r>
          </w:p>
        </w:tc>
        <w:tc>
          <w:tcPr>
            <w:tcW w:w="3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有利于切入机器视觉及机器听觉领域</w:t>
            </w:r>
          </w:p>
        </w:tc>
      </w:tr>
      <w:tr>
        <w:trPr>
          <w:trHeight w:val="402" w:hRule="exact"/>
        </w:trPr>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Denali System</w:t>
            </w:r>
            <w:r>
              <w:rPr>
                <w:rFonts w:ascii="Times New Roman" w:hAnsi="Times New Roman" w:cs="Times New Roman" w:eastAsia="Times New Roman" w:hint="default"/>
                <w:spacing w:val="-10"/>
                <w:sz w:val="18"/>
                <w:szCs w:val="18"/>
              </w:rPr>
              <w:t> </w:t>
            </w:r>
            <w:r>
              <w:rPr>
                <w:rFonts w:ascii="Times New Roman" w:hAnsi="Times New Roman" w:cs="Times New Roman" w:eastAsia="Times New Roman" w:hint="default"/>
                <w:sz w:val="18"/>
                <w:szCs w:val="18"/>
              </w:rPr>
              <w:t>CO.,Ltd</w:t>
            </w:r>
            <w:r>
              <w:rPr>
                <w:rFonts w:ascii="宋体" w:hAnsi="宋体" w:cs="宋体" w:eastAsia="宋体" w:hint="default"/>
                <w:sz w:val="18"/>
                <w:szCs w:val="18"/>
              </w:rPr>
              <w:t>（德纳里系统有限公司）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子公司新设立的全资子公司</w:t>
            </w:r>
          </w:p>
        </w:tc>
        <w:tc>
          <w:tcPr>
            <w:tcW w:w="3293"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300" w:lineRule="auto"/>
              <w:ind w:left="22" w:right="21"/>
              <w:jc w:val="left"/>
              <w:rPr>
                <w:rFonts w:ascii="宋体" w:hAnsi="宋体" w:cs="宋体" w:eastAsia="宋体" w:hint="default"/>
                <w:sz w:val="18"/>
                <w:szCs w:val="18"/>
              </w:rPr>
            </w:pPr>
            <w:r>
              <w:rPr>
                <w:rFonts w:ascii="宋体" w:hAnsi="宋体" w:cs="宋体" w:eastAsia="宋体" w:hint="default"/>
                <w:sz w:val="18"/>
                <w:szCs w:val="18"/>
              </w:rPr>
              <w:t>有利于建设</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aiCore</w:t>
            </w:r>
            <w:r>
              <w:rPr>
                <w:rFonts w:ascii="Times New Roman" w:hAnsi="Times New Roman" w:cs="Times New Roman" w:eastAsia="Times New Roman" w:hint="default"/>
                <w:spacing w:val="-5"/>
                <w:sz w:val="18"/>
                <w:szCs w:val="18"/>
              </w:rPr>
              <w:t> </w:t>
            </w:r>
            <w:r>
              <w:rPr>
                <w:rFonts w:ascii="Times New Roman" w:hAnsi="Times New Roman" w:cs="Times New Roman" w:eastAsia="Times New Roman" w:hint="default"/>
                <w:sz w:val="18"/>
                <w:szCs w:val="18"/>
              </w:rPr>
              <w:t>system</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人工智能大数据 平台</w:t>
            </w:r>
          </w:p>
        </w:tc>
      </w:tr>
      <w:tr>
        <w:trPr>
          <w:trHeight w:val="402" w:hRule="exact"/>
        </w:trPr>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Denali System</w:t>
            </w:r>
            <w:r>
              <w:rPr>
                <w:rFonts w:ascii="Times New Roman" w:hAnsi="Times New Roman" w:cs="Times New Roman" w:eastAsia="Times New Roman" w:hint="default"/>
                <w:spacing w:val="-8"/>
                <w:sz w:val="18"/>
                <w:szCs w:val="18"/>
              </w:rPr>
              <w:t> </w:t>
            </w:r>
            <w:r>
              <w:rPr>
                <w:rFonts w:ascii="Times New Roman" w:hAnsi="Times New Roman" w:cs="Times New Roman" w:eastAsia="Times New Roman" w:hint="default"/>
                <w:sz w:val="18"/>
                <w:szCs w:val="18"/>
              </w:rPr>
              <w:t>Inc.</w:t>
            </w:r>
            <w:r>
              <w:rPr>
                <w:rFonts w:ascii="宋体" w:hAnsi="宋体" w:cs="宋体" w:eastAsia="宋体" w:hint="default"/>
                <w:sz w:val="18"/>
                <w:szCs w:val="18"/>
              </w:rPr>
              <w:t>（美国）</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孙公司新设立的全资子公司</w:t>
            </w:r>
          </w:p>
        </w:tc>
        <w:tc>
          <w:tcPr>
            <w:tcW w:w="3293" w:type="dxa"/>
            <w:vMerge/>
            <w:tcBorders>
              <w:left w:val="single" w:sz="4" w:space="0" w:color="000000"/>
              <w:right w:val="single" w:sz="4" w:space="0" w:color="000000"/>
            </w:tcBorders>
          </w:tcPr>
          <w:p>
            <w:pPr/>
          </w:p>
        </w:tc>
      </w:tr>
      <w:tr>
        <w:trPr>
          <w:trHeight w:val="402" w:hRule="exact"/>
        </w:trPr>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德纳里（广州）技术有限公司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孙公司新设立的全资子公司</w:t>
            </w:r>
          </w:p>
        </w:tc>
        <w:tc>
          <w:tcPr>
            <w:tcW w:w="3293" w:type="dxa"/>
            <w:vMerge/>
            <w:tcBorders>
              <w:left w:val="single" w:sz="4" w:space="0" w:color="000000"/>
              <w:bottom w:val="single" w:sz="4" w:space="0" w:color="000000"/>
              <w:right w:val="single" w:sz="4" w:space="0" w:color="000000"/>
            </w:tcBorders>
          </w:tcPr>
          <w:p>
            <w:pPr/>
          </w:p>
        </w:tc>
      </w:tr>
      <w:tr>
        <w:trPr>
          <w:trHeight w:val="402" w:hRule="exact"/>
        </w:trPr>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宜昌金牛智慧职业技能培训学校有限责任公司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孙公司新设立的全资子公司</w:t>
            </w:r>
          </w:p>
        </w:tc>
        <w:tc>
          <w:tcPr>
            <w:tcW w:w="3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有利于押运公司拓展培训业务</w:t>
            </w:r>
          </w:p>
        </w:tc>
      </w:tr>
      <w:tr>
        <w:trPr>
          <w:trHeight w:val="714" w:hRule="exact"/>
        </w:trPr>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3"/>
              <w:jc w:val="left"/>
              <w:rPr>
                <w:rFonts w:ascii="宋体" w:hAnsi="宋体" w:cs="宋体" w:eastAsia="宋体" w:hint="default"/>
                <w:sz w:val="18"/>
                <w:szCs w:val="18"/>
              </w:rPr>
            </w:pPr>
            <w:r>
              <w:rPr>
                <w:rFonts w:ascii="宋体" w:hAnsi="宋体" w:cs="宋体" w:eastAsia="宋体" w:hint="default"/>
                <w:sz w:val="18"/>
                <w:szCs w:val="18"/>
              </w:rPr>
              <w:t>平顶山市鹰晟保安职业技能培训学校有限责任 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孙公司新设立的全资子公司</w:t>
            </w:r>
          </w:p>
        </w:tc>
        <w:tc>
          <w:tcPr>
            <w:tcW w:w="3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有利于押运公司拓展培训业务</w:t>
            </w:r>
          </w:p>
        </w:tc>
      </w:tr>
      <w:tr>
        <w:trPr>
          <w:trHeight w:val="402" w:hRule="exact"/>
        </w:trPr>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北京中科江南政易信息技术有限公司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已注销</w:t>
            </w:r>
          </w:p>
        </w:tc>
        <w:tc>
          <w:tcPr>
            <w:tcW w:w="329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公司内部资源整合</w:t>
            </w:r>
          </w:p>
        </w:tc>
      </w:tr>
      <w:tr>
        <w:trPr>
          <w:trHeight w:val="402" w:hRule="exact"/>
        </w:trPr>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石家庄瀚海信息技术有限公司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已注销</w:t>
            </w:r>
          </w:p>
        </w:tc>
        <w:tc>
          <w:tcPr>
            <w:tcW w:w="3293" w:type="dxa"/>
            <w:vMerge/>
            <w:tcBorders>
              <w:left w:val="single" w:sz="4" w:space="0" w:color="000000"/>
              <w:right w:val="single" w:sz="4" w:space="0" w:color="000000"/>
            </w:tcBorders>
          </w:tcPr>
          <w:p>
            <w:pPr/>
          </w:p>
        </w:tc>
      </w:tr>
      <w:tr>
        <w:trPr>
          <w:trHeight w:val="402" w:hRule="exact"/>
        </w:trPr>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广东榕通科技服务有限公司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已注销</w:t>
            </w:r>
          </w:p>
        </w:tc>
        <w:tc>
          <w:tcPr>
            <w:tcW w:w="3293" w:type="dxa"/>
            <w:vMerge/>
            <w:tcBorders>
              <w:left w:val="single" w:sz="4" w:space="0" w:color="000000"/>
              <w:right w:val="single" w:sz="4" w:space="0" w:color="000000"/>
            </w:tcBorders>
          </w:tcPr>
          <w:p>
            <w:pPr/>
          </w:p>
        </w:tc>
      </w:tr>
      <w:tr>
        <w:trPr>
          <w:trHeight w:val="714" w:hRule="exact"/>
        </w:trPr>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GRG Banking</w:t>
            </w:r>
            <w:r>
              <w:rPr>
                <w:rFonts w:ascii="Times New Roman" w:hAnsi="Times New Roman" w:cs="Times New Roman" w:eastAsia="Times New Roman" w:hint="default"/>
                <w:spacing w:val="-15"/>
                <w:sz w:val="18"/>
                <w:szCs w:val="18"/>
              </w:rPr>
              <w:t> </w:t>
            </w:r>
            <w:r>
              <w:rPr>
                <w:rFonts w:ascii="Times New Roman" w:hAnsi="Times New Roman" w:cs="Times New Roman" w:eastAsia="Times New Roman" w:hint="default"/>
                <w:sz w:val="18"/>
                <w:szCs w:val="18"/>
              </w:rPr>
              <w:t>Equipment</w:t>
            </w:r>
            <w:r>
              <w:rPr>
                <w:rFonts w:ascii="宋体" w:hAnsi="宋体" w:cs="宋体" w:eastAsia="宋体" w:hint="default"/>
                <w:sz w:val="18"/>
                <w:szCs w:val="18"/>
              </w:rPr>
              <w:t>（</w:t>
            </w:r>
            <w:r>
              <w:rPr>
                <w:rFonts w:ascii="Times New Roman" w:hAnsi="Times New Roman" w:cs="Times New Roman" w:eastAsia="Times New Roman" w:hint="default"/>
                <w:sz w:val="18"/>
                <w:szCs w:val="18"/>
              </w:rPr>
              <w:t>HK</w:t>
            </w:r>
            <w:r>
              <w:rPr>
                <w:rFonts w:ascii="宋体" w:hAnsi="宋体" w:cs="宋体" w:eastAsia="宋体" w:hint="default"/>
                <w:sz w:val="18"/>
                <w:szCs w:val="18"/>
              </w:rPr>
              <w:t>）</w:t>
            </w:r>
            <w:r>
              <w:rPr>
                <w:rFonts w:ascii="Times New Roman" w:hAnsi="Times New Roman" w:cs="Times New Roman" w:eastAsia="Times New Roman" w:hint="default"/>
                <w:sz w:val="18"/>
                <w:szCs w:val="18"/>
              </w:rPr>
              <w:t>Europe</w:t>
            </w:r>
            <w:r>
              <w:rPr>
                <w:rFonts w:ascii="宋体" w:hAnsi="宋体" w:cs="宋体" w:eastAsia="宋体" w:hint="default"/>
                <w:sz w:val="18"/>
                <w:szCs w:val="18"/>
              </w:rPr>
              <w:t>，</w:t>
            </w:r>
            <w:r>
              <w:rPr>
                <w:rFonts w:ascii="Times New Roman" w:hAnsi="Times New Roman" w:cs="Times New Roman" w:eastAsia="Times New Roman" w:hint="default"/>
                <w:sz w:val="18"/>
                <w:szCs w:val="18"/>
              </w:rPr>
              <w:t>UAB.</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GRG</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立陶宛）</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已注销</w:t>
            </w:r>
          </w:p>
        </w:tc>
        <w:tc>
          <w:tcPr>
            <w:tcW w:w="3293" w:type="dxa"/>
            <w:vMerge/>
            <w:tcBorders>
              <w:left w:val="single" w:sz="4" w:space="0" w:color="000000"/>
              <w:right w:val="single" w:sz="4" w:space="0" w:color="000000"/>
            </w:tcBorders>
          </w:tcPr>
          <w:p>
            <w:pPr/>
          </w:p>
        </w:tc>
      </w:tr>
      <w:tr>
        <w:trPr>
          <w:trHeight w:val="402" w:hRule="exact"/>
        </w:trPr>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锡林郭勒盟安逸物业服务有限责任公司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已挂牌转让</w:t>
            </w:r>
          </w:p>
        </w:tc>
        <w:tc>
          <w:tcPr>
            <w:tcW w:w="3293" w:type="dxa"/>
            <w:vMerge/>
            <w:tcBorders>
              <w:left w:val="single" w:sz="4" w:space="0" w:color="000000"/>
              <w:bottom w:val="single" w:sz="4" w:space="0" w:color="000000"/>
              <w:right w:val="single" w:sz="4" w:space="0" w:color="000000"/>
            </w:tcBorders>
          </w:tcPr>
          <w:p>
            <w:pPr/>
          </w:p>
        </w:tc>
      </w:tr>
      <w:tr>
        <w:trPr>
          <w:trHeight w:val="714" w:hRule="exact"/>
        </w:trPr>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广州像素数据技术股份有限公司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子公司新购买的子公司</w:t>
            </w:r>
          </w:p>
        </w:tc>
        <w:tc>
          <w:tcPr>
            <w:tcW w:w="32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8"/>
              <w:jc w:val="left"/>
              <w:rPr>
                <w:rFonts w:ascii="宋体" w:hAnsi="宋体" w:cs="宋体" w:eastAsia="宋体" w:hint="default"/>
                <w:sz w:val="18"/>
                <w:szCs w:val="18"/>
              </w:rPr>
            </w:pPr>
            <w:r>
              <w:rPr>
                <w:rFonts w:ascii="宋体" w:hAnsi="宋体" w:cs="宋体" w:eastAsia="宋体" w:hint="default"/>
                <w:sz w:val="18"/>
                <w:szCs w:val="18"/>
              </w:rPr>
              <w:t>有利于公司计算机视觉深度学习技术的 提升，增强和完善公司现有产业链</w:t>
            </w:r>
          </w:p>
        </w:tc>
      </w:tr>
      <w:tr>
        <w:trPr>
          <w:trHeight w:val="1026" w:hRule="exact"/>
        </w:trPr>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广州佳朋运通创新投资合伙企业（有限合伙）</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子公司发起设立的参股公司</w:t>
            </w:r>
          </w:p>
        </w:tc>
        <w:tc>
          <w:tcPr>
            <w:tcW w:w="32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21"/>
              <w:jc w:val="left"/>
              <w:rPr>
                <w:rFonts w:ascii="宋体" w:hAnsi="宋体" w:cs="宋体" w:eastAsia="宋体" w:hint="default"/>
                <w:sz w:val="18"/>
                <w:szCs w:val="18"/>
              </w:rPr>
            </w:pPr>
            <w:r>
              <w:rPr>
                <w:rFonts w:ascii="宋体" w:hAnsi="宋体" w:cs="宋体" w:eastAsia="宋体" w:hint="default"/>
                <w:sz w:val="18"/>
                <w:szCs w:val="18"/>
              </w:rPr>
              <w:t>重点投资与公司主业相关的战略性新兴 产业、高端现代服务业、高端设备与智能 制造产业领域</w:t>
            </w:r>
          </w:p>
        </w:tc>
      </w:tr>
    </w:tbl>
    <w:p>
      <w:pPr>
        <w:pStyle w:val="BodyText"/>
        <w:spacing w:line="240" w:lineRule="auto" w:before="51"/>
        <w:ind w:right="1394"/>
        <w:jc w:val="left"/>
      </w:pPr>
      <w:r>
        <w:rPr/>
        <w:t>主要控股参股公司情况说明</w:t>
      </w:r>
    </w:p>
    <w:p>
      <w:pPr>
        <w:pStyle w:val="Heading6"/>
        <w:spacing w:line="240" w:lineRule="auto" w:before="115"/>
        <w:ind w:right="1394"/>
        <w:jc w:val="left"/>
        <w:rPr>
          <w:b w:val="0"/>
          <w:bCs w:val="0"/>
        </w:rPr>
      </w:pPr>
      <w:r>
        <w:rPr>
          <w:rFonts w:ascii="Times New Roman" w:hAnsi="Times New Roman" w:cs="Times New Roman" w:eastAsia="Times New Roman" w:hint="default"/>
        </w:rPr>
        <w:t>1</w:t>
      </w:r>
      <w:r>
        <w:rPr/>
        <w:t>、中科江南</w:t>
      </w:r>
      <w:r>
        <w:rPr>
          <w:b w:val="0"/>
          <w:bCs w:val="0"/>
        </w:rPr>
      </w:r>
    </w:p>
    <w:p>
      <w:pPr>
        <w:pStyle w:val="BodyText"/>
        <w:spacing w:line="340" w:lineRule="auto" w:before="103"/>
        <w:ind w:left="472" w:right="0"/>
        <w:jc w:val="left"/>
        <w:rPr>
          <w:rFonts w:ascii="Times New Roman" w:hAnsi="Times New Roman" w:cs="Times New Roman" w:eastAsia="Times New Roman" w:hint="default"/>
        </w:rPr>
      </w:pPr>
      <w:r>
        <w:rPr/>
        <w:t>（</w:t>
      </w:r>
      <w:r>
        <w:rPr>
          <w:rFonts w:ascii="Times New Roman" w:hAnsi="Times New Roman" w:cs="Times New Roman" w:eastAsia="Times New Roman" w:hint="default"/>
        </w:rPr>
        <w:t>1</w:t>
      </w:r>
      <w:r>
        <w:rPr/>
        <w:t>）北京中科江南政易信息技术有限公司 </w:t>
      </w:r>
      <w:r>
        <w:rPr>
          <w:spacing w:val="-2"/>
        </w:rPr>
        <w:t>因经营管理需要，公司决定注销中科江南控股子公司北京中科江南政易信息技术有限公司，工商变更登记手续已于</w:t>
      </w:r>
      <w:r>
        <w:rPr>
          <w:rFonts w:ascii="Times New Roman" w:hAnsi="Times New Roman" w:cs="Times New Roman" w:eastAsia="Times New Roman" w:hint="default"/>
          <w:spacing w:val="-2"/>
        </w:rPr>
        <w:t>2019</w:t>
      </w:r>
    </w:p>
    <w:p>
      <w:pPr>
        <w:pStyle w:val="BodyText"/>
        <w:spacing w:line="228" w:lineRule="exact"/>
        <w:ind w:right="1394"/>
        <w:jc w:val="left"/>
      </w:pPr>
      <w:r>
        <w:rPr/>
        <w:t>年</w:t>
      </w:r>
      <w:r>
        <w:rPr>
          <w:rFonts w:ascii="Times New Roman" w:hAnsi="Times New Roman" w:cs="Times New Roman" w:eastAsia="Times New Roman" w:hint="default"/>
        </w:rPr>
        <w:t>5</w:t>
      </w:r>
      <w:r>
        <w:rPr/>
        <w:t>月办理完成。</w:t>
      </w:r>
    </w:p>
    <w:p>
      <w:pPr>
        <w:pStyle w:val="BodyText"/>
        <w:spacing w:line="340" w:lineRule="auto" w:before="101"/>
        <w:ind w:left="472" w:right="1024"/>
        <w:jc w:val="left"/>
        <w:rPr>
          <w:rFonts w:ascii="宋体" w:hAnsi="宋体" w:cs="宋体" w:eastAsia="宋体" w:hint="default"/>
        </w:rPr>
      </w:pPr>
      <w:r>
        <w:rPr/>
        <w:t>（</w:t>
      </w:r>
      <w:r>
        <w:rPr>
          <w:rFonts w:ascii="Times New Roman" w:hAnsi="Times New Roman" w:cs="Times New Roman" w:eastAsia="Times New Roman" w:hint="default"/>
        </w:rPr>
        <w:t>2</w:t>
      </w:r>
      <w:r>
        <w:rPr/>
        <w:t>）石家庄瀚海信息技术有限公司 </w:t>
      </w:r>
      <w:r>
        <w:rPr>
          <w:spacing w:val="-4"/>
        </w:rPr>
        <w:t>因经营管理需要，公司决定注销中科江南全资子公司石家庄瀚海信息技术有限公司，工商注销手续已于</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10</w:t>
      </w:r>
      <w:r>
        <w:rPr>
          <w:spacing w:val="-4"/>
        </w:rPr>
        <w:t>月完成。</w:t>
      </w:r>
      <w:r>
        <w:rPr>
          <w:spacing w:val="-40"/>
        </w:rPr>
        <w:t> </w:t>
      </w:r>
      <w:r>
        <w:rPr>
          <w:rFonts w:ascii="Times New Roman" w:hAnsi="Times New Roman" w:cs="Times New Roman" w:eastAsia="Times New Roman" w:hint="default"/>
          <w:b/>
          <w:bCs/>
        </w:rPr>
        <w:t>2</w:t>
      </w:r>
      <w:r>
        <w:rPr>
          <w:rFonts w:ascii="宋体" w:hAnsi="宋体" w:cs="宋体" w:eastAsia="宋体" w:hint="default"/>
          <w:b/>
          <w:bCs/>
        </w:rPr>
        <w:t>、广州银通</w:t>
      </w:r>
      <w:r>
        <w:rPr>
          <w:rFonts w:ascii="宋体" w:hAnsi="宋体" w:cs="宋体" w:eastAsia="宋体" w:hint="default"/>
        </w:rPr>
      </w:r>
    </w:p>
    <w:p>
      <w:pPr>
        <w:pStyle w:val="BodyText"/>
        <w:spacing w:line="340" w:lineRule="auto" w:before="17"/>
        <w:ind w:left="472" w:right="1169"/>
        <w:jc w:val="left"/>
      </w:pPr>
      <w:r>
        <w:rPr/>
        <w:t>（</w:t>
      </w:r>
      <w:r>
        <w:rPr>
          <w:rFonts w:ascii="Times New Roman" w:hAnsi="Times New Roman" w:cs="Times New Roman" w:eastAsia="Times New Roman" w:hint="default"/>
        </w:rPr>
        <w:t>1</w:t>
      </w:r>
      <w:r>
        <w:rPr/>
        <w:t>）平云小匠 基于经营发展需要，广州银通和广州牛匠投资管理中心（有限合伙）公司向平云小匠同比例增资</w:t>
      </w:r>
      <w:r>
        <w:rPr>
          <w:rFonts w:ascii="Times New Roman" w:hAnsi="Times New Roman" w:cs="Times New Roman" w:eastAsia="Times New Roman" w:hint="default"/>
        </w:rPr>
        <w:t>2,000</w:t>
      </w:r>
      <w:r>
        <w:rPr/>
        <w:t>万元，增资完成</w:t>
      </w:r>
    </w:p>
    <w:p>
      <w:pPr>
        <w:pStyle w:val="BodyText"/>
        <w:spacing w:line="228" w:lineRule="exact"/>
        <w:ind w:right="0"/>
        <w:jc w:val="left"/>
      </w:pPr>
      <w:r>
        <w:rPr/>
        <w:t>后，平云小匠注册资本由</w:t>
      </w:r>
      <w:r>
        <w:rPr>
          <w:rFonts w:ascii="Times New Roman" w:hAnsi="Times New Roman" w:cs="Times New Roman" w:eastAsia="Times New Roman" w:hint="default"/>
        </w:rPr>
        <w:t>1,000</w:t>
      </w:r>
      <w:r>
        <w:rPr/>
        <w:t>万元变更为</w:t>
      </w:r>
      <w:r>
        <w:rPr>
          <w:rFonts w:ascii="Times New Roman" w:hAnsi="Times New Roman" w:cs="Times New Roman" w:eastAsia="Times New Roman" w:hint="default"/>
        </w:rPr>
        <w:t>3,000</w:t>
      </w:r>
      <w:r>
        <w:rPr/>
        <w:t>万元，其中广州银通由原出资</w:t>
      </w:r>
      <w:r>
        <w:rPr>
          <w:rFonts w:ascii="Times New Roman" w:hAnsi="Times New Roman" w:cs="Times New Roman" w:eastAsia="Times New Roman" w:hint="default"/>
        </w:rPr>
        <w:t>700</w:t>
      </w:r>
      <w:r>
        <w:rPr/>
        <w:t>万元变更为</w:t>
      </w:r>
      <w:r>
        <w:rPr>
          <w:rFonts w:ascii="Times New Roman" w:hAnsi="Times New Roman" w:cs="Times New Roman" w:eastAsia="Times New Roman" w:hint="default"/>
        </w:rPr>
        <w:t>2,100</w:t>
      </w:r>
      <w:r>
        <w:rPr/>
        <w:t>万元，占比</w:t>
      </w:r>
      <w:r>
        <w:rPr>
          <w:rFonts w:ascii="Times New Roman" w:hAnsi="Times New Roman" w:cs="Times New Roman" w:eastAsia="Times New Roman" w:hint="default"/>
        </w:rPr>
        <w:t>70%</w:t>
      </w:r>
      <w:r>
        <w:rPr/>
        <w:t>，广州牛</w:t>
      </w:r>
    </w:p>
    <w:p>
      <w:pPr>
        <w:pStyle w:val="BodyText"/>
        <w:spacing w:line="300" w:lineRule="auto" w:before="63"/>
        <w:ind w:right="1154"/>
        <w:jc w:val="left"/>
      </w:pPr>
      <w:r>
        <w:rPr/>
        <w:t>匠投资管理中心（有限合伙）公司由原出资</w:t>
      </w:r>
      <w:r>
        <w:rPr>
          <w:rFonts w:ascii="Times New Roman" w:hAnsi="Times New Roman" w:cs="Times New Roman" w:eastAsia="Times New Roman" w:hint="default"/>
        </w:rPr>
        <w:t>300</w:t>
      </w:r>
      <w:r>
        <w:rPr/>
        <w:t>万元变更为</w:t>
      </w:r>
      <w:r>
        <w:rPr>
          <w:rFonts w:ascii="Times New Roman" w:hAnsi="Times New Roman" w:cs="Times New Roman" w:eastAsia="Times New Roman" w:hint="default"/>
        </w:rPr>
        <w:t>900</w:t>
      </w:r>
      <w:r>
        <w:rPr/>
        <w:t>万元，占比</w:t>
      </w:r>
      <w:r>
        <w:rPr>
          <w:rFonts w:ascii="Times New Roman" w:hAnsi="Times New Roman" w:cs="Times New Roman" w:eastAsia="Times New Roman" w:hint="default"/>
        </w:rPr>
        <w:t>30%</w:t>
      </w:r>
      <w:r>
        <w:rPr/>
        <w:t>。平云小匠已于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月完成工商变更登记 手续。</w:t>
      </w:r>
    </w:p>
    <w:p>
      <w:pPr>
        <w:pStyle w:val="BodyText"/>
        <w:spacing w:line="338" w:lineRule="auto" w:before="72"/>
        <w:ind w:left="472" w:right="5384"/>
        <w:jc w:val="left"/>
      </w:pPr>
      <w:r>
        <w:rPr/>
        <w:t>（</w:t>
      </w:r>
      <w:r>
        <w:rPr>
          <w:rFonts w:ascii="Times New Roman" w:hAnsi="Times New Roman" w:cs="Times New Roman" w:eastAsia="Times New Roman" w:hint="default"/>
        </w:rPr>
        <w:t>2</w:t>
      </w:r>
      <w:r>
        <w:rPr/>
        <w:t>）运通购快 深圳银通持有的运通购快</w:t>
      </w:r>
      <w:r>
        <w:rPr>
          <w:rFonts w:ascii="Times New Roman" w:hAnsi="Times New Roman" w:cs="Times New Roman" w:eastAsia="Times New Roman" w:hint="default"/>
        </w:rPr>
        <w:t>70%</w:t>
      </w:r>
      <w:r>
        <w:rPr/>
        <w:t>股权按账面净值划转给广州银通。 </w:t>
      </w:r>
      <w:r>
        <w:rPr>
          <w:rFonts w:ascii="Times New Roman" w:hAnsi="Times New Roman" w:cs="Times New Roman" w:eastAsia="Times New Roman" w:hint="default"/>
          <w:b/>
          <w:bCs/>
        </w:rPr>
        <w:t>3</w:t>
      </w:r>
      <w:r>
        <w:rPr>
          <w:rFonts w:ascii="宋体" w:hAnsi="宋体" w:cs="宋体" w:eastAsia="宋体" w:hint="default"/>
          <w:b/>
          <w:bCs/>
        </w:rPr>
        <w:t>、广电安保</w:t>
      </w:r>
      <w:r>
        <w:rPr>
          <w:rFonts w:ascii="宋体" w:hAnsi="宋体" w:cs="宋体" w:eastAsia="宋体" w:hint="default"/>
          <w:b/>
          <w:bCs/>
          <w:w w:val="99"/>
        </w:rPr>
        <w:t> </w:t>
      </w:r>
      <w:r>
        <w:rPr/>
        <w:t>报告期内，广电安保旗下子公司股权变动情况如下：</w:t>
      </w:r>
    </w:p>
    <w:p>
      <w:pPr>
        <w:spacing w:after="0" w:line="338" w:lineRule="auto"/>
        <w:jc w:val="left"/>
        <w:sectPr>
          <w:pgSz w:w="11910" w:h="16840"/>
          <w:pgMar w:header="878" w:footer="978" w:top="1100" w:bottom="1160" w:left="1020" w:right="0"/>
        </w:sectPr>
      </w:pPr>
    </w:p>
    <w:p>
      <w:pPr>
        <w:spacing w:line="240" w:lineRule="auto" w:before="1"/>
        <w:rPr>
          <w:rFonts w:ascii="宋体" w:hAnsi="宋体" w:cs="宋体" w:eastAsia="宋体" w:hint="default"/>
          <w:sz w:val="22"/>
          <w:szCs w:val="22"/>
        </w:rPr>
      </w:pPr>
    </w:p>
    <w:p>
      <w:pPr>
        <w:pStyle w:val="BodyText"/>
        <w:spacing w:line="300" w:lineRule="auto" w:before="44"/>
        <w:ind w:right="1131" w:firstLine="360"/>
        <w:jc w:val="both"/>
      </w:pPr>
      <w:r>
        <w:rPr>
          <w:spacing w:val="-5"/>
        </w:rPr>
        <w:t>（</w:t>
      </w:r>
      <w:r>
        <w:rPr>
          <w:rFonts w:ascii="Times New Roman" w:hAnsi="Times New Roman" w:cs="Times New Roman" w:eastAsia="Times New Roman" w:hint="default"/>
          <w:spacing w:val="-5"/>
        </w:rPr>
        <w:t>1</w:t>
      </w:r>
      <w:r>
        <w:rPr>
          <w:spacing w:val="-5"/>
        </w:rPr>
        <w:t>）黄石金通：因黄石金通骨干职工不履行</w:t>
      </w:r>
      <w:r>
        <w:rPr>
          <w:rFonts w:ascii="Times New Roman" w:hAnsi="Times New Roman" w:cs="Times New Roman" w:eastAsia="Times New Roman" w:hint="default"/>
          <w:spacing w:val="-5"/>
        </w:rPr>
        <w:t>4%</w:t>
      </w:r>
      <w:r>
        <w:rPr>
          <w:spacing w:val="-5"/>
        </w:rPr>
        <w:t>股权的实际出资义务，黄石市经济开发区金山街办人民调解委员会于</w:t>
      </w:r>
      <w:r>
        <w:rPr>
          <w:rFonts w:ascii="Times New Roman" w:hAnsi="Times New Roman" w:cs="Times New Roman" w:eastAsia="Times New Roman" w:hint="default"/>
          <w:spacing w:val="-5"/>
        </w:rPr>
        <w:t>2019</w:t>
      </w:r>
      <w:r>
        <w:rPr>
          <w:rFonts w:ascii="Times New Roman" w:hAnsi="Times New Roman" w:cs="Times New Roman" w:eastAsia="Times New Roman" w:hint="default"/>
        </w:rPr>
        <w:t> </w:t>
      </w:r>
      <w:r>
        <w:rPr>
          <w:spacing w:val="-4"/>
        </w:rPr>
        <w:t>年</w:t>
      </w:r>
      <w:r>
        <w:rPr>
          <w:rFonts w:ascii="Times New Roman" w:hAnsi="Times New Roman" w:cs="Times New Roman" w:eastAsia="Times New Roman" w:hint="default"/>
          <w:spacing w:val="-4"/>
        </w:rPr>
        <w:t>1</w:t>
      </w:r>
      <w:r>
        <w:rPr>
          <w:spacing w:val="-4"/>
        </w:rPr>
        <w:t>月</w:t>
      </w:r>
      <w:r>
        <w:rPr>
          <w:rFonts w:ascii="Times New Roman" w:hAnsi="Times New Roman" w:cs="Times New Roman" w:eastAsia="Times New Roman" w:hint="default"/>
          <w:spacing w:val="-4"/>
        </w:rPr>
        <w:t>4</w:t>
      </w:r>
      <w:r>
        <w:rPr>
          <w:spacing w:val="-4"/>
        </w:rPr>
        <w:t>日组织调解，黄石市金安押运护卫保安服务有限公司工会委员会、骨干职工代表苏承清和相关职工，自愿将其中</w:t>
      </w:r>
      <w:r>
        <w:rPr>
          <w:rFonts w:ascii="Times New Roman" w:hAnsi="Times New Roman" w:cs="Times New Roman" w:eastAsia="Times New Roman" w:hint="default"/>
          <w:spacing w:val="-4"/>
        </w:rPr>
        <w:t>2.33%</w:t>
      </w:r>
      <w:r>
        <w:rPr>
          <w:rFonts w:ascii="Times New Roman" w:hAnsi="Times New Roman" w:cs="Times New Roman" w:eastAsia="Times New Roman" w:hint="default"/>
          <w:spacing w:val="-2"/>
        </w:rPr>
        <w:t> </w:t>
      </w:r>
      <w:r>
        <w:rPr>
          <w:rFonts w:ascii="Times New Roman" w:hAnsi="Times New Roman" w:cs="Times New Roman" w:eastAsia="Times New Roman" w:hint="default"/>
          <w:spacing w:val="-2"/>
        </w:rPr>
      </w:r>
      <w:r>
        <w:rPr/>
        <w:t>股权无偿转让给广电安保。变更后广电安保持有黄石金通</w:t>
      </w:r>
      <w:r>
        <w:rPr>
          <w:rFonts w:ascii="Times New Roman" w:hAnsi="Times New Roman" w:cs="Times New Roman" w:eastAsia="Times New Roman" w:hint="default"/>
        </w:rPr>
        <w:t>58.33%</w:t>
      </w:r>
      <w:r>
        <w:rPr/>
        <w:t>股权，黄石金通已于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月完成工商变更登记手续。</w:t>
      </w:r>
    </w:p>
    <w:p>
      <w:pPr>
        <w:pStyle w:val="BodyText"/>
        <w:spacing w:line="300" w:lineRule="auto" w:before="51"/>
        <w:ind w:right="0" w:firstLine="360"/>
        <w:jc w:val="left"/>
      </w:pPr>
      <w:r>
        <w:rPr>
          <w:spacing w:val="-1"/>
        </w:rPr>
        <w:t>（</w:t>
      </w:r>
      <w:r>
        <w:rPr>
          <w:rFonts w:ascii="Times New Roman" w:hAnsi="Times New Roman" w:cs="Times New Roman" w:eastAsia="Times New Roman" w:hint="default"/>
          <w:spacing w:val="-1"/>
        </w:rPr>
        <w:t>2</w:t>
      </w:r>
      <w:r>
        <w:rPr>
          <w:spacing w:val="-1"/>
        </w:rPr>
        <w:t>）文山金盾：为满足武装押运企业有关国有资本控股的强制性规定，广电安保以货币资金</w:t>
      </w:r>
      <w:r>
        <w:rPr>
          <w:rFonts w:ascii="Times New Roman" w:hAnsi="Times New Roman" w:cs="Times New Roman" w:eastAsia="Times New Roman" w:hint="default"/>
          <w:spacing w:val="-1"/>
        </w:rPr>
        <w:t>184.75</w:t>
      </w:r>
      <w:r>
        <w:rPr>
          <w:spacing w:val="-1"/>
        </w:rPr>
        <w:t>万元增资文山金盾。</w:t>
      </w:r>
      <w:r>
        <w:rPr/>
        <w:t> 增资后，文山金盾注册资本由</w:t>
      </w:r>
      <w:r>
        <w:rPr>
          <w:rFonts w:ascii="Times New Roman" w:hAnsi="Times New Roman" w:cs="Times New Roman" w:eastAsia="Times New Roman" w:hint="default"/>
        </w:rPr>
        <w:t>1,040.82</w:t>
      </w:r>
      <w:r>
        <w:rPr/>
        <w:t>万元变更为</w:t>
      </w:r>
      <w:r>
        <w:rPr>
          <w:rFonts w:ascii="Times New Roman" w:hAnsi="Times New Roman" w:cs="Times New Roman" w:eastAsia="Times New Roman" w:hint="default"/>
        </w:rPr>
        <w:t>1,083.31</w:t>
      </w:r>
      <w:r>
        <w:rPr/>
        <w:t>万元，广电安保持股比例由</w:t>
      </w:r>
      <w:r>
        <w:rPr>
          <w:rFonts w:ascii="Times New Roman" w:hAnsi="Times New Roman" w:cs="Times New Roman" w:eastAsia="Times New Roman" w:hint="default"/>
        </w:rPr>
        <w:t>49%</w:t>
      </w:r>
      <w:r>
        <w:rPr/>
        <w:t>变更为</w:t>
      </w:r>
      <w:r>
        <w:rPr>
          <w:rFonts w:ascii="Times New Roman" w:hAnsi="Times New Roman" w:cs="Times New Roman" w:eastAsia="Times New Roman" w:hint="default"/>
        </w:rPr>
        <w:t>51%</w:t>
      </w:r>
      <w:r>
        <w:rPr/>
        <w:t>，文山金盾已于</w:t>
      </w:r>
      <w:r>
        <w:rPr>
          <w:rFonts w:ascii="Times New Roman" w:hAnsi="Times New Roman" w:cs="Times New Roman" w:eastAsia="Times New Roman" w:hint="default"/>
        </w:rPr>
        <w:t>2019</w:t>
      </w:r>
      <w:r>
        <w:rPr/>
        <w:t>年 </w:t>
      </w:r>
      <w:r>
        <w:rPr>
          <w:rFonts w:ascii="Times New Roman" w:hAnsi="Times New Roman" w:cs="Times New Roman" w:eastAsia="Times New Roman" w:hint="default"/>
        </w:rPr>
        <w:t>3</w:t>
      </w:r>
      <w:r>
        <w:rPr/>
        <w:t>月完成工商变更登记手续。</w:t>
      </w:r>
    </w:p>
    <w:p>
      <w:pPr>
        <w:pStyle w:val="BodyText"/>
        <w:spacing w:line="300" w:lineRule="auto" w:before="54"/>
        <w:ind w:right="1123" w:firstLine="360"/>
        <w:jc w:val="left"/>
      </w:pPr>
      <w:r>
        <w:rPr>
          <w:spacing w:val="-1"/>
        </w:rPr>
        <w:t>（</w:t>
      </w:r>
      <w:r>
        <w:rPr>
          <w:rFonts w:ascii="Times New Roman" w:hAnsi="Times New Roman" w:cs="Times New Roman" w:eastAsia="Times New Roman" w:hint="default"/>
          <w:spacing w:val="-1"/>
        </w:rPr>
        <w:t>3</w:t>
      </w:r>
      <w:r>
        <w:rPr>
          <w:spacing w:val="-1"/>
        </w:rPr>
        <w:t>）保山安邦：广电安保以货币资金</w:t>
      </w:r>
      <w:r>
        <w:rPr>
          <w:rFonts w:ascii="Times New Roman" w:hAnsi="Times New Roman" w:cs="Times New Roman" w:eastAsia="Times New Roman" w:hint="default"/>
          <w:spacing w:val="-1"/>
        </w:rPr>
        <w:t>1,468.6164</w:t>
      </w:r>
      <w:r>
        <w:rPr>
          <w:spacing w:val="-1"/>
        </w:rPr>
        <w:t>万元收购保山市永昌投资开发（集团）有限公司持有的保山安邦</w:t>
      </w:r>
      <w:r>
        <w:rPr>
          <w:rFonts w:ascii="Times New Roman" w:hAnsi="Times New Roman" w:cs="Times New Roman" w:eastAsia="Times New Roman" w:hint="default"/>
          <w:spacing w:val="-1"/>
        </w:rPr>
        <w:t>51%</w:t>
      </w:r>
      <w:r>
        <w:rPr>
          <w:spacing w:val="-1"/>
        </w:rPr>
        <w:t>股</w:t>
      </w:r>
      <w:r>
        <w:rPr/>
        <w:t> 权，收购完成后，广电安保持有保山安邦</w:t>
      </w:r>
      <w:r>
        <w:rPr>
          <w:rFonts w:ascii="Times New Roman" w:hAnsi="Times New Roman" w:cs="Times New Roman" w:eastAsia="Times New Roman" w:hint="default"/>
        </w:rPr>
        <w:t>100%</w:t>
      </w:r>
      <w:r>
        <w:rPr/>
        <w:t>股权，保山安邦已于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2</w:t>
      </w:r>
      <w:r>
        <w:rPr/>
        <w:t>月完成工商变更登记手续。</w:t>
      </w:r>
    </w:p>
    <w:p>
      <w:pPr>
        <w:pStyle w:val="BodyText"/>
        <w:spacing w:line="300" w:lineRule="auto" w:before="53"/>
        <w:ind w:right="1118" w:firstLine="360"/>
        <w:jc w:val="left"/>
      </w:pPr>
      <w:r>
        <w:rPr>
          <w:spacing w:val="-1"/>
        </w:rPr>
        <w:t>（</w:t>
      </w:r>
      <w:r>
        <w:rPr>
          <w:rFonts w:ascii="Times New Roman" w:hAnsi="Times New Roman" w:cs="Times New Roman" w:eastAsia="Times New Roman" w:hint="default"/>
          <w:spacing w:val="-1"/>
        </w:rPr>
        <w:t>4</w:t>
      </w:r>
      <w:r>
        <w:rPr>
          <w:spacing w:val="-1"/>
        </w:rPr>
        <w:t>）平顶山鹰翔：根据业务发展需要，平顶山鹰翔开办平顶山市鹰晟保安职业技能培训学校有限公司，持有其</w:t>
      </w:r>
      <w:r>
        <w:rPr>
          <w:rFonts w:ascii="Times New Roman" w:hAnsi="Times New Roman" w:cs="Times New Roman" w:eastAsia="Times New Roman" w:hint="default"/>
          <w:spacing w:val="-1"/>
        </w:rPr>
        <w:t>100%</w:t>
      </w:r>
      <w:r>
        <w:rPr>
          <w:spacing w:val="-1"/>
        </w:rPr>
        <w:t>股</w:t>
      </w:r>
      <w:r>
        <w:rPr/>
        <w:t> 权，注册资本</w:t>
      </w:r>
      <w:r>
        <w:rPr>
          <w:rFonts w:ascii="Times New Roman" w:hAnsi="Times New Roman" w:cs="Times New Roman" w:eastAsia="Times New Roman" w:hint="default"/>
        </w:rPr>
        <w:t>100</w:t>
      </w:r>
      <w:r>
        <w:rPr/>
        <w:t>万元，</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月已完成工商登记手续。</w:t>
      </w:r>
    </w:p>
    <w:p>
      <w:pPr>
        <w:pStyle w:val="BodyText"/>
        <w:spacing w:line="300" w:lineRule="auto" w:before="51"/>
        <w:ind w:right="1244" w:firstLine="360"/>
        <w:jc w:val="left"/>
      </w:pPr>
      <w:r>
        <w:rPr/>
        <w:t>（</w:t>
      </w:r>
      <w:r>
        <w:rPr>
          <w:rFonts w:ascii="Times New Roman" w:hAnsi="Times New Roman" w:cs="Times New Roman" w:eastAsia="Times New Roman" w:hint="default"/>
        </w:rPr>
        <w:t>5</w:t>
      </w:r>
      <w:r>
        <w:rPr/>
        <w:t>）金牛押运：根据经营发展的需要，金牛押运开办宜昌金牛智慧职业技能培训学校，持有</w:t>
      </w:r>
      <w:r>
        <w:rPr>
          <w:rFonts w:ascii="Times New Roman" w:hAnsi="Times New Roman" w:cs="Times New Roman" w:eastAsia="Times New Roman" w:hint="default"/>
        </w:rPr>
        <w:t>100%</w:t>
      </w:r>
      <w:r>
        <w:rPr/>
        <w:t>股权，注册资本</w:t>
      </w:r>
      <w:r>
        <w:rPr>
          <w:rFonts w:ascii="Times New Roman" w:hAnsi="Times New Roman" w:cs="Times New Roman" w:eastAsia="Times New Roman" w:hint="default"/>
        </w:rPr>
        <w:t>50 </w:t>
      </w:r>
      <w:r>
        <w:rPr/>
        <w:t>万元，</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月已完成工商登记手续。</w:t>
      </w:r>
    </w:p>
    <w:p>
      <w:pPr>
        <w:pStyle w:val="BodyText"/>
        <w:spacing w:line="300" w:lineRule="auto" w:before="54"/>
        <w:ind w:right="1124" w:firstLine="360"/>
        <w:jc w:val="left"/>
      </w:pPr>
      <w:r>
        <w:rPr/>
        <w:t>（</w:t>
      </w:r>
      <w:r>
        <w:rPr>
          <w:rFonts w:ascii="Times New Roman" w:hAnsi="Times New Roman" w:cs="Times New Roman" w:eastAsia="Times New Roman" w:hint="default"/>
        </w:rPr>
        <w:t>6</w:t>
      </w:r>
      <w:r>
        <w:rPr/>
        <w:t>）锡盟金盾保安：基于聚焦主业、提高整体经营绩效、预防经营风险的考虑，锡盟金盾保安公开挂牌转让其持有的 锡林郭勒盟安逸物业服务有限责任公司</w:t>
      </w:r>
      <w:r>
        <w:rPr>
          <w:rFonts w:ascii="Times New Roman" w:hAnsi="Times New Roman" w:cs="Times New Roman" w:eastAsia="Times New Roman" w:hint="default"/>
        </w:rPr>
        <w:t>51%</w:t>
      </w:r>
      <w:r>
        <w:rPr/>
        <w:t>股权，</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11</w:t>
      </w:r>
      <w:r>
        <w:rPr/>
        <w:t>月已签署《产权交易合同》并完成工商变更登记手续。</w:t>
      </w:r>
    </w:p>
    <w:p>
      <w:pPr>
        <w:pStyle w:val="BodyText"/>
        <w:spacing w:line="338" w:lineRule="auto" w:before="53"/>
        <w:ind w:left="472" w:right="0"/>
        <w:jc w:val="left"/>
      </w:pPr>
      <w:r>
        <w:rPr/>
        <w:t>（</w:t>
      </w:r>
      <w:r>
        <w:rPr>
          <w:rFonts w:ascii="Times New Roman" w:hAnsi="Times New Roman" w:cs="Times New Roman" w:eastAsia="Times New Roman" w:hint="default"/>
        </w:rPr>
        <w:t>7</w:t>
      </w:r>
      <w:r>
        <w:rPr/>
        <w:t>）内蒙古安保下属企业股权调整 </w:t>
      </w:r>
      <w:r>
        <w:rPr>
          <w:spacing w:val="-2"/>
        </w:rPr>
        <w:t>根据业务发展需要，内蒙古安保将其持有的兴安盟威信保安守押服务有限责任公司、通辽市威远护卫有限责任公司、巴</w:t>
      </w:r>
    </w:p>
    <w:p>
      <w:pPr>
        <w:pStyle w:val="BodyText"/>
        <w:spacing w:line="300" w:lineRule="auto" w:before="2"/>
        <w:ind w:right="1214"/>
        <w:jc w:val="left"/>
      </w:pPr>
      <w:r>
        <w:rPr/>
        <w:t>彦淖尔天力保押有限责任公司、锡林郭勒盟金盾保安服务有限公司股权以协议转让的方式出让给广电安保，截至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 </w:t>
      </w:r>
      <w:r>
        <w:rPr/>
        <w:t>月</w:t>
      </w:r>
      <w:r>
        <w:rPr>
          <w:rFonts w:ascii="Times New Roman" w:hAnsi="Times New Roman" w:cs="Times New Roman" w:eastAsia="Times New Roman" w:hint="default"/>
        </w:rPr>
        <w:t>26</w:t>
      </w:r>
      <w:r>
        <w:rPr/>
        <w:t>日，四家子公司已全部完成工商变更登记手续。</w:t>
      </w:r>
    </w:p>
    <w:p>
      <w:pPr>
        <w:pStyle w:val="BodyText"/>
        <w:spacing w:line="240" w:lineRule="auto" w:before="54"/>
        <w:ind w:left="472" w:right="1394"/>
        <w:jc w:val="left"/>
      </w:pPr>
      <w:r>
        <w:rPr/>
        <w:t>（</w:t>
      </w:r>
      <w:r>
        <w:rPr>
          <w:rFonts w:ascii="Times New Roman" w:hAnsi="Times New Roman" w:cs="Times New Roman" w:eastAsia="Times New Roman" w:hint="default"/>
        </w:rPr>
        <w:t>8</w:t>
      </w:r>
      <w:r>
        <w:rPr/>
        <w:t>）商洛慧金：根据业务发展需要，商洛慧金增加注册资本至</w:t>
      </w:r>
      <w:r>
        <w:rPr>
          <w:rFonts w:ascii="Times New Roman" w:hAnsi="Times New Roman" w:cs="Times New Roman" w:eastAsia="Times New Roman" w:hint="default"/>
        </w:rPr>
        <w:t>1,000</w:t>
      </w:r>
      <w:r>
        <w:rPr/>
        <w:t>万元，</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11</w:t>
      </w:r>
      <w:r>
        <w:rPr/>
        <w:t>月已完成工商变更登记手续。</w:t>
      </w:r>
    </w:p>
    <w:p>
      <w:pPr>
        <w:pStyle w:val="BodyText"/>
        <w:spacing w:line="338" w:lineRule="auto" w:before="103"/>
        <w:ind w:left="472" w:right="1214"/>
        <w:jc w:val="left"/>
        <w:rPr>
          <w:rFonts w:ascii="Times New Roman" w:hAnsi="Times New Roman" w:cs="Times New Roman" w:eastAsia="Times New Roman" w:hint="default"/>
        </w:rPr>
      </w:pPr>
      <w:r>
        <w:rPr/>
        <w:t>（</w:t>
      </w:r>
      <w:r>
        <w:rPr>
          <w:rFonts w:ascii="Times New Roman" w:hAnsi="Times New Roman" w:cs="Times New Roman" w:eastAsia="Times New Roman" w:hint="default"/>
        </w:rPr>
        <w:t>9</w:t>
      </w:r>
      <w:r>
        <w:rPr/>
        <w:t>）股权内部划转 依据《广州市国资委关于监管企业开展压缩企业管理层级精简企业法人数量专项工作的通知》（穗国资产〔</w:t>
      </w:r>
      <w:r>
        <w:rPr>
          <w:rFonts w:ascii="Times New Roman" w:hAnsi="Times New Roman" w:cs="Times New Roman" w:eastAsia="Times New Roman" w:hint="default"/>
        </w:rPr>
        <w:t>2018</w:t>
      </w:r>
      <w:r>
        <w:rPr/>
        <w:t>〕</w:t>
      </w:r>
      <w:r>
        <w:rPr>
          <w:rFonts w:ascii="Times New Roman" w:hAnsi="Times New Roman" w:cs="Times New Roman" w:eastAsia="Times New Roman" w:hint="default"/>
        </w:rPr>
        <w:t>13</w:t>
      </w:r>
    </w:p>
    <w:p>
      <w:pPr>
        <w:pStyle w:val="BodyText"/>
        <w:spacing w:line="230" w:lineRule="exact"/>
        <w:ind w:right="0"/>
        <w:jc w:val="left"/>
      </w:pPr>
      <w:r>
        <w:rPr/>
        <w:t>号）的要求，为完善产业布局、提高管理效率，公司对深圳银通下属</w:t>
      </w:r>
      <w:r>
        <w:rPr>
          <w:rFonts w:ascii="Times New Roman" w:hAnsi="Times New Roman" w:cs="Times New Roman" w:eastAsia="Times New Roman" w:hint="default"/>
        </w:rPr>
        <w:t>10</w:t>
      </w:r>
      <w:r>
        <w:rPr/>
        <w:t>家金融外包服务企业股权（深圳鹏通</w:t>
      </w:r>
      <w:r>
        <w:rPr>
          <w:rFonts w:ascii="Times New Roman" w:hAnsi="Times New Roman" w:cs="Times New Roman" w:eastAsia="Times New Roman" w:hint="default"/>
        </w:rPr>
        <w:t>51%</w:t>
      </w:r>
      <w:r>
        <w:rPr/>
        <w:t>股权、石家</w:t>
      </w:r>
    </w:p>
    <w:p>
      <w:pPr>
        <w:pStyle w:val="BodyText"/>
        <w:spacing w:line="300" w:lineRule="auto" w:before="63"/>
        <w:ind w:right="1034"/>
        <w:jc w:val="left"/>
      </w:pPr>
      <w:r>
        <w:rPr/>
        <w:t>庄银通</w:t>
      </w:r>
      <w:r>
        <w:rPr>
          <w:rFonts w:ascii="Times New Roman" w:hAnsi="Times New Roman" w:cs="Times New Roman" w:eastAsia="Times New Roman" w:hint="default"/>
        </w:rPr>
        <w:t>51%</w:t>
      </w:r>
      <w:r>
        <w:rPr/>
        <w:t>股权、上海欣辰通</w:t>
      </w:r>
      <w:r>
        <w:rPr>
          <w:rFonts w:ascii="Times New Roman" w:hAnsi="Times New Roman" w:cs="Times New Roman" w:eastAsia="Times New Roman" w:hint="default"/>
        </w:rPr>
        <w:t>100%</w:t>
      </w:r>
      <w:r>
        <w:rPr/>
        <w:t>股权、宜昌宜通</w:t>
      </w:r>
      <w:r>
        <w:rPr>
          <w:rFonts w:ascii="Times New Roman" w:hAnsi="Times New Roman" w:cs="Times New Roman" w:eastAsia="Times New Roman" w:hint="default"/>
        </w:rPr>
        <w:t>76%</w:t>
      </w:r>
      <w:r>
        <w:rPr/>
        <w:t>股权、辽宁辽通</w:t>
      </w:r>
      <w:r>
        <w:rPr>
          <w:rFonts w:ascii="Times New Roman" w:hAnsi="Times New Roman" w:cs="Times New Roman" w:eastAsia="Times New Roman" w:hint="default"/>
        </w:rPr>
        <w:t>100%</w:t>
      </w:r>
      <w:r>
        <w:rPr/>
        <w:t>股权、南宁盈通</w:t>
      </w:r>
      <w:r>
        <w:rPr>
          <w:rFonts w:ascii="Times New Roman" w:hAnsi="Times New Roman" w:cs="Times New Roman" w:eastAsia="Times New Roman" w:hint="default"/>
        </w:rPr>
        <w:t>51%</w:t>
      </w:r>
      <w:r>
        <w:rPr/>
        <w:t>股权、河南商通</w:t>
      </w:r>
      <w:r>
        <w:rPr>
          <w:rFonts w:ascii="Times New Roman" w:hAnsi="Times New Roman" w:cs="Times New Roman" w:eastAsia="Times New Roman" w:hint="default"/>
        </w:rPr>
        <w:t>80%</w:t>
      </w:r>
      <w:r>
        <w:rPr/>
        <w:t>股权、 河北晨通</w:t>
      </w:r>
      <w:r>
        <w:rPr>
          <w:rFonts w:ascii="Times New Roman" w:hAnsi="Times New Roman" w:cs="Times New Roman" w:eastAsia="Times New Roman" w:hint="default"/>
        </w:rPr>
        <w:t>51%</w:t>
      </w:r>
      <w:r>
        <w:rPr/>
        <w:t>股权、山西尚通</w:t>
      </w:r>
      <w:r>
        <w:rPr>
          <w:rFonts w:ascii="Times New Roman" w:hAnsi="Times New Roman" w:cs="Times New Roman" w:eastAsia="Times New Roman" w:hint="default"/>
        </w:rPr>
        <w:t>51%</w:t>
      </w:r>
      <w:r>
        <w:rPr/>
        <w:t>股权、南阳宛通</w:t>
      </w:r>
      <w:r>
        <w:rPr>
          <w:rFonts w:ascii="Times New Roman" w:hAnsi="Times New Roman" w:cs="Times New Roman" w:eastAsia="Times New Roman" w:hint="default"/>
        </w:rPr>
        <w:t>51%</w:t>
      </w:r>
      <w:r>
        <w:rPr/>
        <w:t>股权）全部划转给广电安保。截至</w:t>
      </w:r>
      <w:r>
        <w:rPr>
          <w:rFonts w:ascii="Times New Roman" w:hAnsi="Times New Roman" w:cs="Times New Roman" w:eastAsia="Times New Roman" w:hint="default"/>
        </w:rPr>
        <w:t>2019</w:t>
      </w:r>
      <w:r>
        <w:rPr/>
        <w:t>年末，除山西尚通、南阳宛通 外，其余</w:t>
      </w:r>
      <w:r>
        <w:rPr>
          <w:rFonts w:ascii="Times New Roman" w:hAnsi="Times New Roman" w:cs="Times New Roman" w:eastAsia="Times New Roman" w:hint="default"/>
        </w:rPr>
        <w:t>8</w:t>
      </w:r>
      <w:r>
        <w:rPr/>
        <w:t>家均已完成工商变更登记手续。</w:t>
      </w:r>
    </w:p>
    <w:p>
      <w:pPr>
        <w:pStyle w:val="BodyText"/>
        <w:spacing w:line="309" w:lineRule="auto" w:before="54"/>
        <w:ind w:right="0" w:firstLine="360"/>
        <w:jc w:val="left"/>
      </w:pPr>
      <w:r>
        <w:rPr>
          <w:spacing w:val="-4"/>
        </w:rPr>
        <w:t>截至报告期末，广电安保有内蒙古安保、邵阳市保安服务有限责任公司、武威市神威保安守押有限责任公司、保山安邦、</w:t>
      </w:r>
      <w:r>
        <w:rPr/>
        <w:t> 锡盟金盾保安、上海欣辰通、辽宁辽通</w:t>
      </w:r>
      <w:r>
        <w:rPr>
          <w:rFonts w:ascii="Times New Roman" w:hAnsi="Times New Roman" w:cs="Times New Roman" w:eastAsia="Times New Roman" w:hint="default"/>
        </w:rPr>
        <w:t>7</w:t>
      </w:r>
      <w:r>
        <w:rPr/>
        <w:t>家全资子公司；有金牛押运、商洛市金盾押运有限责任公司、海南警锐押运护卫有 </w:t>
      </w:r>
      <w:r>
        <w:rPr>
          <w:spacing w:val="-2"/>
        </w:rPr>
        <w:t>限公司、西安金盾押运有限公司、平顶山鹰翔、榆林市神鹰护卫有限责任公司、新余市保安服务有限公司、文山金盾、新疆</w:t>
      </w:r>
      <w:r>
        <w:rPr>
          <w:spacing w:val="-66"/>
        </w:rPr>
        <w:t> </w:t>
      </w:r>
      <w:r>
        <w:rPr>
          <w:spacing w:val="-66"/>
        </w:rPr>
      </w:r>
      <w:r>
        <w:rPr>
          <w:spacing w:val="-4"/>
        </w:rPr>
        <w:t>阿帕奇武装守护押运有限公司、巴州阿帕奇保安有限责任公司、黔南州蓝盾武装护运有限责任公司、资阳保安有限责任公司、</w:t>
      </w:r>
      <w:r>
        <w:rPr>
          <w:spacing w:val="-42"/>
        </w:rPr>
        <w:t> </w:t>
      </w:r>
      <w:r>
        <w:rPr>
          <w:spacing w:val="-42"/>
        </w:rPr>
      </w:r>
      <w:r>
        <w:rPr>
          <w:spacing w:val="-2"/>
        </w:rPr>
        <w:t>湖北银通、湖北融信、黄石金通、鹤壁市鹏翔保安服务有限公司、兴安盟威信保安守押服务有限责任公司、巴彦淖尔天力保</w:t>
      </w:r>
      <w:r>
        <w:rPr>
          <w:spacing w:val="-65"/>
        </w:rPr>
        <w:t> </w:t>
      </w:r>
      <w:r>
        <w:rPr>
          <w:spacing w:val="-65"/>
        </w:rPr>
      </w:r>
      <w:r>
        <w:rPr/>
        <w:t>押有限责任公司、通辽市威远护卫有限责任公司、深圳鹏通、石家庄银通、宜昌宜通、南宁盈通、河南商通、河北晨通</w:t>
      </w:r>
      <w:r>
        <w:rPr>
          <w:rFonts w:ascii="Times New Roman" w:hAnsi="Times New Roman" w:cs="Times New Roman" w:eastAsia="Times New Roman" w:hint="default"/>
        </w:rPr>
        <w:t>25 </w:t>
      </w:r>
      <w:r>
        <w:rPr/>
        <w:t>家控股子公司；有益阳市保安服务有限责任公司及南县保安服务有限责任公司</w:t>
      </w:r>
      <w:r>
        <w:rPr>
          <w:rFonts w:ascii="Times New Roman" w:hAnsi="Times New Roman" w:cs="Times New Roman" w:eastAsia="Times New Roman" w:hint="default"/>
        </w:rPr>
        <w:t>2</w:t>
      </w:r>
      <w:r>
        <w:rPr/>
        <w:t>家全资孙公司；有黄石市金安押运护卫保安 </w:t>
      </w:r>
      <w:r>
        <w:rPr>
          <w:spacing w:val="-2"/>
        </w:rPr>
        <w:t>服务有限公司、商洛慧金、锡林郭勒盟金盾押运服务有限公司、新余市景运科技有限公司、资阳市卓越人力资源服务有限公</w:t>
      </w:r>
      <w:r>
        <w:rPr>
          <w:spacing w:val="-66"/>
        </w:rPr>
        <w:t> </w:t>
      </w:r>
      <w:r>
        <w:rPr>
          <w:spacing w:val="-66"/>
        </w:rPr>
      </w:r>
      <w:r>
        <w:rPr/>
        <w:t>司</w:t>
      </w:r>
      <w:r>
        <w:rPr>
          <w:rFonts w:ascii="Times New Roman" w:hAnsi="Times New Roman" w:cs="Times New Roman" w:eastAsia="Times New Roman" w:hint="default"/>
        </w:rPr>
        <w:t>5</w:t>
      </w:r>
      <w:r>
        <w:rPr/>
        <w:t>家控股孙公司；有广东安达金融保安押运有限公司、中山市保安服务有限公司、资阳雁江农村合作银行、锡林浩特农村 合作银行</w:t>
      </w:r>
      <w:r>
        <w:rPr>
          <w:rFonts w:ascii="Times New Roman" w:hAnsi="Times New Roman" w:cs="Times New Roman" w:eastAsia="Times New Roman" w:hint="default"/>
        </w:rPr>
        <w:t>4</w:t>
      </w:r>
      <w:r>
        <w:rPr/>
        <w:t>家参股公司。</w:t>
      </w:r>
    </w:p>
    <w:p>
      <w:pPr>
        <w:pStyle w:val="BodyText"/>
        <w:spacing w:line="338" w:lineRule="auto" w:before="46"/>
        <w:ind w:left="472" w:right="1120"/>
        <w:jc w:val="left"/>
        <w:rPr>
          <w:rFonts w:ascii="Times New Roman" w:hAnsi="Times New Roman" w:cs="Times New Roman" w:eastAsia="Times New Roman" w:hint="default"/>
        </w:rPr>
      </w:pPr>
      <w:r>
        <w:rPr>
          <w:rFonts w:ascii="Times New Roman" w:hAnsi="Times New Roman" w:cs="Times New Roman" w:eastAsia="Times New Roman" w:hint="default"/>
          <w:b/>
          <w:bCs/>
        </w:rPr>
        <w:t>4</w:t>
      </w:r>
      <w:r>
        <w:rPr>
          <w:rFonts w:ascii="宋体" w:hAnsi="宋体" w:cs="宋体" w:eastAsia="宋体" w:hint="default"/>
          <w:b/>
          <w:bCs/>
        </w:rPr>
        <w:t>、创自技术</w:t>
      </w:r>
      <w:r>
        <w:rPr>
          <w:rFonts w:ascii="宋体" w:hAnsi="宋体" w:cs="宋体" w:eastAsia="宋体" w:hint="default"/>
          <w:b/>
          <w:bCs/>
          <w:w w:val="99"/>
        </w:rPr>
        <w:t> </w:t>
      </w:r>
      <w:r>
        <w:rPr>
          <w:spacing w:val="-5"/>
        </w:rPr>
        <w:t>公司于</w:t>
      </w:r>
      <w:r>
        <w:rPr>
          <w:rFonts w:ascii="Times New Roman" w:hAnsi="Times New Roman" w:cs="Times New Roman" w:eastAsia="Times New Roman" w:hint="default"/>
          <w:spacing w:val="-5"/>
        </w:rPr>
        <w:t>2019</w:t>
      </w:r>
      <w:r>
        <w:rPr>
          <w:spacing w:val="-5"/>
        </w:rPr>
        <w:t>年</w:t>
      </w:r>
      <w:r>
        <w:rPr>
          <w:rFonts w:ascii="Times New Roman" w:hAnsi="Times New Roman" w:cs="Times New Roman" w:eastAsia="Times New Roman" w:hint="default"/>
          <w:spacing w:val="-5"/>
        </w:rPr>
        <w:t>3</w:t>
      </w:r>
      <w:r>
        <w:rPr>
          <w:spacing w:val="-5"/>
        </w:rPr>
        <w:t>月</w:t>
      </w:r>
      <w:r>
        <w:rPr>
          <w:rFonts w:ascii="Times New Roman" w:hAnsi="Times New Roman" w:cs="Times New Roman" w:eastAsia="Times New Roman" w:hint="default"/>
          <w:spacing w:val="-5"/>
        </w:rPr>
        <w:t>8</w:t>
      </w:r>
      <w:r>
        <w:rPr>
          <w:spacing w:val="-5"/>
        </w:rPr>
        <w:t>日召开第五届董事会第十四次（临时）会议，审议通过了《关于收购深圳市创自技术有限公司剩余</w:t>
      </w:r>
      <w:r>
        <w:rPr>
          <w:rFonts w:ascii="Times New Roman" w:hAnsi="Times New Roman" w:cs="Times New Roman" w:eastAsia="Times New Roman" w:hint="default"/>
          <w:spacing w:val="-5"/>
        </w:rPr>
        <w:t>30%</w:t>
      </w:r>
    </w:p>
    <w:p>
      <w:pPr>
        <w:pStyle w:val="BodyText"/>
        <w:spacing w:line="230" w:lineRule="exact"/>
        <w:ind w:right="0"/>
        <w:jc w:val="left"/>
      </w:pPr>
      <w:r>
        <w:rPr/>
        <w:t>股权的议案》，同意公司以自有资金人民币</w:t>
      </w:r>
      <w:r>
        <w:rPr>
          <w:rFonts w:ascii="Times New Roman" w:hAnsi="Times New Roman" w:cs="Times New Roman" w:eastAsia="Times New Roman" w:hint="default"/>
        </w:rPr>
        <w:t>14,196</w:t>
      </w:r>
      <w:r>
        <w:rPr/>
        <w:t>万元收购创自技术剩余</w:t>
      </w:r>
      <w:r>
        <w:rPr>
          <w:rFonts w:ascii="Times New Roman" w:hAnsi="Times New Roman" w:cs="Times New Roman" w:eastAsia="Times New Roman" w:hint="default"/>
        </w:rPr>
        <w:t>30%</w:t>
      </w:r>
      <w:r>
        <w:rPr/>
        <w:t>股权。公司已于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月完成工商变更登记</w:t>
      </w:r>
    </w:p>
    <w:p>
      <w:pPr>
        <w:pStyle w:val="BodyText"/>
        <w:spacing w:line="240" w:lineRule="auto" w:before="63"/>
        <w:ind w:right="0"/>
        <w:jc w:val="left"/>
      </w:pPr>
      <w:r>
        <w:rPr/>
        <w:t>手续。（详见公司于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11</w:t>
      </w:r>
      <w:r>
        <w:rPr/>
        <w:t>日刊登在《证券时报》《中国证券报》及巨潮资讯网</w:t>
      </w:r>
      <w:hyperlink r:id="rId14">
        <w:r>
          <w:rPr>
            <w:rFonts w:ascii="Times New Roman" w:hAnsi="Times New Roman" w:cs="Times New Roman" w:eastAsia="Times New Roman" w:hint="default"/>
          </w:rPr>
          <w:t>www.cninfo.com.cn</w:t>
        </w:r>
        <w:r>
          <w:rPr/>
          <w:t>上的临时公告</w:t>
        </w:r>
      </w:hyperlink>
      <w:r>
        <w:rPr/>
        <w:t>）</w:t>
      </w:r>
    </w:p>
    <w:p>
      <w:pPr>
        <w:pStyle w:val="Heading6"/>
        <w:spacing w:line="240" w:lineRule="auto" w:before="103"/>
        <w:ind w:right="1394"/>
        <w:jc w:val="left"/>
        <w:rPr>
          <w:b w:val="0"/>
          <w:bCs w:val="0"/>
        </w:rPr>
      </w:pPr>
      <w:r>
        <w:rPr>
          <w:rFonts w:ascii="Times New Roman" w:hAnsi="Times New Roman" w:cs="Times New Roman" w:eastAsia="Times New Roman" w:hint="default"/>
        </w:rPr>
        <w:t>5</w:t>
      </w:r>
      <w:r>
        <w:rPr/>
        <w:t>、支点创投</w:t>
      </w:r>
      <w:r>
        <w:rPr>
          <w:b w:val="0"/>
          <w:bCs w:val="0"/>
        </w:rPr>
      </w:r>
    </w:p>
    <w:p>
      <w:pPr>
        <w:pStyle w:val="BodyText"/>
        <w:spacing w:line="240" w:lineRule="auto" w:before="103"/>
        <w:ind w:left="472" w:right="1394"/>
        <w:jc w:val="left"/>
      </w:pPr>
      <w:r>
        <w:rPr/>
        <w:t>（</w:t>
      </w:r>
      <w:r>
        <w:rPr>
          <w:rFonts w:ascii="Times New Roman" w:hAnsi="Times New Roman" w:cs="Times New Roman" w:eastAsia="Times New Roman" w:hint="default"/>
        </w:rPr>
        <w:t>1</w:t>
      </w:r>
      <w:r>
        <w:rPr/>
        <w:t>）国信运通</w:t>
      </w:r>
    </w:p>
    <w:p>
      <w:pPr>
        <w:pStyle w:val="BodyText"/>
        <w:spacing w:line="240" w:lineRule="auto" w:before="101"/>
        <w:ind w:left="472" w:right="0"/>
        <w:jc w:val="left"/>
        <w:rPr>
          <w:rFonts w:ascii="Times New Roman" w:hAnsi="Times New Roman" w:cs="Times New Roman" w:eastAsia="Times New Roman" w:hint="default"/>
        </w:rPr>
      </w:pPr>
      <w:r>
        <w:rPr>
          <w:rFonts w:ascii="Times New Roman" w:hAnsi="Times New Roman" w:cs="Times New Roman" w:eastAsia="Times New Roman" w:hint="default"/>
        </w:rPr>
        <w:t>2016 </w:t>
      </w:r>
      <w:r>
        <w:rPr/>
        <w:t>年 </w:t>
      </w:r>
      <w:r>
        <w:rPr>
          <w:rFonts w:ascii="Times New Roman" w:hAnsi="Times New Roman" w:cs="Times New Roman" w:eastAsia="Times New Roman" w:hint="default"/>
        </w:rPr>
        <w:t>8 </w:t>
      </w:r>
      <w:r>
        <w:rPr/>
        <w:t>月，支点投资下属参股公司国信运通发起设立了珠海国信运通基金，国信运通作为普通合伙人认缴出资</w:t>
      </w:r>
      <w:r>
        <w:rPr>
          <w:spacing w:val="-10"/>
        </w:rPr>
        <w:t> </w:t>
      </w:r>
      <w:r>
        <w:rPr>
          <w:rFonts w:ascii="Times New Roman" w:hAnsi="Times New Roman" w:cs="Times New Roman" w:eastAsia="Times New Roman" w:hint="default"/>
        </w:rPr>
        <w:t>500</w:t>
      </w:r>
    </w:p>
    <w:p>
      <w:pPr>
        <w:spacing w:after="0" w:line="240" w:lineRule="auto"/>
        <w:jc w:val="left"/>
        <w:rPr>
          <w:rFonts w:ascii="Times New Roman" w:hAnsi="Times New Roman" w:cs="Times New Roman" w:eastAsia="Times New Roman" w:hint="default"/>
        </w:rPr>
        <w:sectPr>
          <w:pgSz w:w="11910" w:h="16840"/>
          <w:pgMar w:header="878" w:footer="978" w:top="1100" w:bottom="1160" w:left="1020" w:right="0"/>
        </w:sectPr>
      </w:pPr>
    </w:p>
    <w:p>
      <w:pPr>
        <w:spacing w:line="240" w:lineRule="auto" w:before="1"/>
        <w:rPr>
          <w:rFonts w:ascii="Times New Roman" w:hAnsi="Times New Roman" w:cs="Times New Roman" w:eastAsia="Times New Roman" w:hint="default"/>
          <w:sz w:val="25"/>
          <w:szCs w:val="25"/>
        </w:rPr>
      </w:pPr>
    </w:p>
    <w:p>
      <w:pPr>
        <w:pStyle w:val="BodyText"/>
        <w:spacing w:line="338" w:lineRule="auto" w:before="44"/>
        <w:ind w:left="472" w:right="2451" w:hanging="360"/>
        <w:jc w:val="left"/>
      </w:pPr>
      <w:r>
        <w:rPr/>
        <w:t>万元，占比</w:t>
      </w:r>
      <w:r>
        <w:rPr>
          <w:spacing w:val="-46"/>
        </w:rPr>
        <w:t> </w:t>
      </w:r>
      <w:r>
        <w:rPr>
          <w:rFonts w:ascii="Times New Roman" w:hAnsi="Times New Roman" w:cs="Times New Roman" w:eastAsia="Times New Roman" w:hint="default"/>
        </w:rPr>
        <w:t>2.44%</w:t>
      </w:r>
      <w:r>
        <w:rPr/>
        <w:t>，公司和国信弘盛创业投资有限公司作为有限合伙人，各认缴</w:t>
      </w:r>
      <w:r>
        <w:rPr>
          <w:spacing w:val="-48"/>
        </w:rPr>
        <w:t> </w:t>
      </w:r>
      <w:r>
        <w:rPr>
          <w:rFonts w:ascii="Times New Roman" w:hAnsi="Times New Roman" w:cs="Times New Roman" w:eastAsia="Times New Roman" w:hint="default"/>
        </w:rPr>
        <w:t>1 </w:t>
      </w:r>
      <w:r>
        <w:rPr/>
        <w:t>亿元，各占比</w:t>
      </w:r>
      <w:r>
        <w:rPr>
          <w:spacing w:val="-48"/>
        </w:rPr>
        <w:t> </w:t>
      </w:r>
      <w:r>
        <w:rPr>
          <w:rFonts w:ascii="Times New Roman" w:hAnsi="Times New Roman" w:cs="Times New Roman" w:eastAsia="Times New Roman" w:hint="default"/>
        </w:rPr>
        <w:t>48.78%</w:t>
      </w:r>
      <w:r>
        <w:rPr/>
        <w:t>。 截至目前，珠海国信运通基金共有</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项投资，具体如下：</w:t>
      </w:r>
    </w:p>
    <w:p>
      <w:pPr>
        <w:pStyle w:val="BodyText"/>
        <w:spacing w:line="300" w:lineRule="auto" w:before="22"/>
        <w:ind w:right="1128" w:firstLine="360"/>
        <w:jc w:val="both"/>
      </w:pPr>
      <w:r>
        <w:rPr>
          <w:rFonts w:ascii="Times New Roman" w:hAnsi="Times New Roman" w:cs="Times New Roman" w:eastAsia="Times New Roman" w:hint="default"/>
        </w:rPr>
        <w:t>2016 </w:t>
      </w:r>
      <w:r>
        <w:rPr/>
        <w:t>年 </w:t>
      </w:r>
      <w:r>
        <w:rPr>
          <w:rFonts w:ascii="Times New Roman" w:hAnsi="Times New Roman" w:cs="Times New Roman" w:eastAsia="Times New Roman" w:hint="default"/>
        </w:rPr>
        <w:t>11 </w:t>
      </w:r>
      <w:r>
        <w:rPr/>
        <w:t>月，珠海国信运通基金完成对北京沐融信息科技有限公司的投资（估值 </w:t>
      </w:r>
      <w:r>
        <w:rPr>
          <w:rFonts w:ascii="Times New Roman" w:hAnsi="Times New Roman" w:cs="Times New Roman" w:eastAsia="Times New Roman" w:hint="default"/>
        </w:rPr>
        <w:t>31,595.74 </w:t>
      </w:r>
      <w:r>
        <w:rPr/>
        <w:t>万元），投资额</w:t>
      </w:r>
      <w:r>
        <w:rPr>
          <w:spacing w:val="-69"/>
        </w:rPr>
        <w:t> </w:t>
      </w:r>
      <w:r>
        <w:rPr>
          <w:rFonts w:ascii="Times New Roman" w:hAnsi="Times New Roman" w:cs="Times New Roman" w:eastAsia="Times New Roman" w:hint="default"/>
        </w:rPr>
        <w:t>2,106.38 </w:t>
      </w:r>
      <w:r>
        <w:rPr>
          <w:spacing w:val="-1"/>
        </w:rPr>
        <w:t>万元，占其增资后注册资本的</w:t>
      </w:r>
      <w:r>
        <w:rPr>
          <w:spacing w:val="-42"/>
        </w:rPr>
        <w:t> </w:t>
      </w:r>
      <w:r>
        <w:rPr>
          <w:rFonts w:ascii="Times New Roman" w:hAnsi="Times New Roman" w:cs="Times New Roman" w:eastAsia="Times New Roman" w:hint="default"/>
          <w:spacing w:val="-1"/>
        </w:rPr>
        <w:t>6.67%</w:t>
      </w:r>
      <w:r>
        <w:rPr>
          <w:spacing w:val="-1"/>
        </w:rPr>
        <w:t>，该公司专注于为银行、保险、基金、证券及各类互联网金融行业客户提供应用软件产</w:t>
      </w:r>
      <w:r>
        <w:rPr/>
        <w:t> 品、软件开发及业务咨询服务，是国内领先的金融软件产品和技术服务提供商。</w:t>
      </w:r>
    </w:p>
    <w:p>
      <w:pPr>
        <w:pStyle w:val="BodyText"/>
        <w:spacing w:line="338" w:lineRule="auto" w:before="72"/>
        <w:ind w:left="472" w:right="1120"/>
        <w:jc w:val="left"/>
      </w:pPr>
      <w:r>
        <w:rPr/>
        <w:t>（</w:t>
      </w:r>
      <w:r>
        <w:rPr>
          <w:rFonts w:ascii="Times New Roman" w:hAnsi="Times New Roman" w:cs="Times New Roman" w:eastAsia="Times New Roman" w:hint="default"/>
        </w:rPr>
        <w:t>2</w:t>
      </w:r>
      <w:r>
        <w:rPr/>
        <w:t>）极智朗润 </w:t>
      </w:r>
      <w:r>
        <w:rPr>
          <w:spacing w:val="-2"/>
        </w:rPr>
        <w:t>极智朗润是一家专注于机器视觉的技术提供商，主要为医药、食品饮料等工业级客户和政府部门提供工业信息化、工业</w:t>
      </w:r>
    </w:p>
    <w:p>
      <w:pPr>
        <w:pStyle w:val="BodyText"/>
        <w:spacing w:line="300" w:lineRule="auto" w:before="2"/>
        <w:ind w:right="1132"/>
        <w:jc w:val="both"/>
      </w:pPr>
      <w:r>
        <w:rPr/>
        <w:t>物联网、安防等领域的高科技产品。</w:t>
      </w:r>
      <w:r>
        <w:rPr>
          <w:rFonts w:ascii="Times New Roman" w:hAnsi="Times New Roman" w:cs="Times New Roman" w:eastAsia="Times New Roman" w:hint="default"/>
        </w:rPr>
        <w:t>2019</w:t>
      </w:r>
      <w:r>
        <w:rPr>
          <w:rFonts w:ascii="Times New Roman" w:hAnsi="Times New Roman" w:cs="Times New Roman" w:eastAsia="Times New Roman" w:hint="default"/>
          <w:spacing w:val="5"/>
        </w:rPr>
        <w:t> </w:t>
      </w:r>
      <w:r>
        <w:rPr/>
        <w:t>年</w:t>
      </w:r>
      <w:r>
        <w:rPr>
          <w:spacing w:val="-39"/>
        </w:rPr>
        <w:t> </w:t>
      </w:r>
      <w:r>
        <w:rPr>
          <w:rFonts w:ascii="Times New Roman" w:hAnsi="Times New Roman" w:cs="Times New Roman" w:eastAsia="Times New Roman" w:hint="default"/>
        </w:rPr>
        <w:t>4</w:t>
      </w:r>
      <w:r>
        <w:rPr>
          <w:rFonts w:ascii="Times New Roman" w:hAnsi="Times New Roman" w:cs="Times New Roman" w:eastAsia="Times New Roman" w:hint="default"/>
          <w:spacing w:val="7"/>
        </w:rPr>
        <w:t> </w:t>
      </w:r>
      <w:r>
        <w:rPr/>
        <w:t>月，支点创投通过老股受让和现金增资方式投资</w:t>
      </w:r>
      <w:r>
        <w:rPr>
          <w:spacing w:val="-39"/>
        </w:rPr>
        <w:t> </w:t>
      </w:r>
      <w:r>
        <w:rPr>
          <w:rFonts w:ascii="Times New Roman" w:hAnsi="Times New Roman" w:cs="Times New Roman" w:eastAsia="Times New Roman" w:hint="default"/>
        </w:rPr>
        <w:t>1,329.85</w:t>
      </w:r>
      <w:r>
        <w:rPr>
          <w:rFonts w:ascii="Times New Roman" w:hAnsi="Times New Roman" w:cs="Times New Roman" w:eastAsia="Times New Roman" w:hint="default"/>
          <w:spacing w:val="7"/>
        </w:rPr>
        <w:t> </w:t>
      </w:r>
      <w:r>
        <w:rPr/>
        <w:t>万元，持有极智朗</w:t>
      </w:r>
      <w:r>
        <w:rPr>
          <w:spacing w:val="-87"/>
        </w:rPr>
        <w:t> </w:t>
      </w:r>
      <w:r>
        <w:rPr>
          <w:spacing w:val="-87"/>
        </w:rPr>
      </w:r>
      <w:r>
        <w:rPr/>
        <w:t>润</w:t>
      </w:r>
      <w:r>
        <w:rPr>
          <w:spacing w:val="-48"/>
        </w:rPr>
        <w:t> </w:t>
      </w:r>
      <w:r>
        <w:rPr>
          <w:rFonts w:ascii="Times New Roman" w:hAnsi="Times New Roman" w:cs="Times New Roman" w:eastAsia="Times New Roman" w:hint="default"/>
        </w:rPr>
        <w:t>33%</w:t>
      </w:r>
      <w:r>
        <w:rPr/>
        <w:t>股权，成为极智朗润第一大股东。</w:t>
      </w:r>
    </w:p>
    <w:p>
      <w:pPr>
        <w:pStyle w:val="BodyText"/>
        <w:spacing w:line="240" w:lineRule="auto" w:before="54"/>
        <w:ind w:left="472" w:right="1394"/>
        <w:jc w:val="left"/>
      </w:pPr>
      <w:r>
        <w:rPr/>
        <w:t>（</w:t>
      </w:r>
      <w:r>
        <w:rPr>
          <w:rFonts w:ascii="Times New Roman" w:hAnsi="Times New Roman" w:cs="Times New Roman" w:eastAsia="Times New Roman" w:hint="default"/>
        </w:rPr>
        <w:t>3</w:t>
      </w:r>
      <w:r>
        <w:rPr/>
        <w:t>）广电卓识</w:t>
      </w:r>
    </w:p>
    <w:p>
      <w:pPr>
        <w:pStyle w:val="BodyText"/>
        <w:spacing w:line="300" w:lineRule="auto" w:before="103"/>
        <w:ind w:right="1129" w:firstLine="360"/>
        <w:jc w:val="both"/>
      </w:pPr>
      <w:r>
        <w:rPr/>
        <w:t>根据公司业务调整，广电卓识发生股权变更，股权结构由：运通信息出资 </w:t>
      </w:r>
      <w:r>
        <w:rPr>
          <w:rFonts w:ascii="Times New Roman" w:hAnsi="Times New Roman" w:cs="Times New Roman" w:eastAsia="Times New Roman" w:hint="default"/>
        </w:rPr>
        <w:t>667 </w:t>
      </w:r>
      <w:r>
        <w:rPr/>
        <w:t>万元，持有</w:t>
      </w:r>
      <w:r>
        <w:rPr>
          <w:spacing w:val="-65"/>
        </w:rPr>
        <w:t> </w:t>
      </w:r>
      <w:r>
        <w:rPr>
          <w:rFonts w:ascii="Times New Roman" w:hAnsi="Times New Roman" w:cs="Times New Roman" w:eastAsia="Times New Roman" w:hint="default"/>
        </w:rPr>
        <w:t>66.70%</w:t>
      </w:r>
      <w:r>
        <w:rPr/>
        <w:t>股权；爱笔（北京） 智能科技有限公司出资</w:t>
      </w:r>
      <w:r>
        <w:rPr>
          <w:spacing w:val="-50"/>
        </w:rPr>
        <w:t> </w:t>
      </w:r>
      <w:r>
        <w:rPr>
          <w:rFonts w:ascii="Times New Roman" w:hAnsi="Times New Roman" w:cs="Times New Roman" w:eastAsia="Times New Roman" w:hint="default"/>
        </w:rPr>
        <w:t>333</w:t>
      </w:r>
      <w:r>
        <w:rPr>
          <w:rFonts w:ascii="Times New Roman" w:hAnsi="Times New Roman" w:cs="Times New Roman" w:eastAsia="Times New Roman" w:hint="default"/>
          <w:spacing w:val="-6"/>
        </w:rPr>
        <w:t> </w:t>
      </w:r>
      <w:r>
        <w:rPr/>
        <w:t>万元，持有</w:t>
      </w:r>
      <w:r>
        <w:rPr>
          <w:spacing w:val="-50"/>
        </w:rPr>
        <w:t> </w:t>
      </w:r>
      <w:r>
        <w:rPr>
          <w:rFonts w:ascii="Times New Roman" w:hAnsi="Times New Roman" w:cs="Times New Roman" w:eastAsia="Times New Roman" w:hint="default"/>
        </w:rPr>
        <w:t>33.30%</w:t>
      </w:r>
      <w:r>
        <w:rPr/>
        <w:t>股权。变更为支点创投出资</w:t>
      </w:r>
      <w:r>
        <w:rPr>
          <w:spacing w:val="-50"/>
        </w:rPr>
        <w:t> </w:t>
      </w:r>
      <w:r>
        <w:rPr>
          <w:rFonts w:ascii="Times New Roman" w:hAnsi="Times New Roman" w:cs="Times New Roman" w:eastAsia="Times New Roman" w:hint="default"/>
        </w:rPr>
        <w:t>667</w:t>
      </w:r>
      <w:r>
        <w:rPr>
          <w:rFonts w:ascii="Times New Roman" w:hAnsi="Times New Roman" w:cs="Times New Roman" w:eastAsia="Times New Roman" w:hint="default"/>
          <w:spacing w:val="-6"/>
        </w:rPr>
        <w:t> </w:t>
      </w:r>
      <w:r>
        <w:rPr/>
        <w:t>万元，持有</w:t>
      </w:r>
      <w:r>
        <w:rPr>
          <w:spacing w:val="-50"/>
        </w:rPr>
        <w:t> </w:t>
      </w:r>
      <w:r>
        <w:rPr>
          <w:rFonts w:ascii="Times New Roman" w:hAnsi="Times New Roman" w:cs="Times New Roman" w:eastAsia="Times New Roman" w:hint="default"/>
        </w:rPr>
        <w:t>66.70%</w:t>
      </w:r>
      <w:r>
        <w:rPr/>
        <w:t>股权；爱笔（北京）智能 科技有限公司出资</w:t>
      </w:r>
      <w:r>
        <w:rPr>
          <w:spacing w:val="-47"/>
        </w:rPr>
        <w:t> </w:t>
      </w:r>
      <w:r>
        <w:rPr>
          <w:rFonts w:ascii="Times New Roman" w:hAnsi="Times New Roman" w:cs="Times New Roman" w:eastAsia="Times New Roman" w:hint="default"/>
        </w:rPr>
        <w:t>333</w:t>
      </w:r>
      <w:r>
        <w:rPr>
          <w:rFonts w:ascii="Times New Roman" w:hAnsi="Times New Roman" w:cs="Times New Roman" w:eastAsia="Times New Roman" w:hint="default"/>
          <w:spacing w:val="-3"/>
        </w:rPr>
        <w:t> </w:t>
      </w:r>
      <w:r>
        <w:rPr/>
        <w:t>万元，持有</w:t>
      </w:r>
      <w:r>
        <w:rPr>
          <w:spacing w:val="-47"/>
        </w:rPr>
        <w:t> </w:t>
      </w:r>
      <w:r>
        <w:rPr>
          <w:rFonts w:ascii="Times New Roman" w:hAnsi="Times New Roman" w:cs="Times New Roman" w:eastAsia="Times New Roman" w:hint="default"/>
        </w:rPr>
        <w:t>33.30%</w:t>
      </w:r>
      <w:r>
        <w:rPr/>
        <w:t>股权。</w:t>
      </w:r>
    </w:p>
    <w:p>
      <w:pPr>
        <w:pStyle w:val="BodyText"/>
        <w:spacing w:line="240" w:lineRule="auto" w:before="51"/>
        <w:ind w:left="472" w:right="1394"/>
        <w:jc w:val="left"/>
      </w:pPr>
      <w:r>
        <w:rPr/>
        <w:t>（</w:t>
      </w:r>
      <w:r>
        <w:rPr>
          <w:rFonts w:ascii="Times New Roman" w:hAnsi="Times New Roman" w:cs="Times New Roman" w:eastAsia="Times New Roman" w:hint="default"/>
        </w:rPr>
        <w:t>4</w:t>
      </w:r>
      <w:r>
        <w:rPr/>
        <w:t>）链达金服</w:t>
      </w:r>
    </w:p>
    <w:p>
      <w:pPr>
        <w:pStyle w:val="BodyText"/>
        <w:spacing w:line="300" w:lineRule="auto" w:before="103"/>
        <w:ind w:right="1129" w:firstLine="360"/>
        <w:jc w:val="both"/>
      </w:pPr>
      <w:r>
        <w:rPr/>
        <w:t>根据公司业务调整，链达金服发生股权变更，股权结构由：运通信息出资 </w:t>
      </w:r>
      <w:r>
        <w:rPr>
          <w:rFonts w:ascii="Times New Roman" w:hAnsi="Times New Roman" w:cs="Times New Roman" w:eastAsia="Times New Roman" w:hint="default"/>
        </w:rPr>
        <w:t>450 </w:t>
      </w:r>
      <w:r>
        <w:rPr/>
        <w:t>万元，持有</w:t>
      </w:r>
      <w:r>
        <w:rPr>
          <w:spacing w:val="-30"/>
        </w:rPr>
        <w:t> </w:t>
      </w:r>
      <w:r>
        <w:rPr>
          <w:rFonts w:ascii="Times New Roman" w:hAnsi="Times New Roman" w:cs="Times New Roman" w:eastAsia="Times New Roman" w:hint="default"/>
        </w:rPr>
        <w:t>45%</w:t>
      </w:r>
      <w:r>
        <w:rPr/>
        <w:t>股权；北京区块链云科 技有限公司出资</w:t>
      </w:r>
      <w:r>
        <w:rPr>
          <w:spacing w:val="-39"/>
        </w:rPr>
        <w:t> </w:t>
      </w:r>
      <w:r>
        <w:rPr>
          <w:rFonts w:ascii="Times New Roman" w:hAnsi="Times New Roman" w:cs="Times New Roman" w:eastAsia="Times New Roman" w:hint="default"/>
        </w:rPr>
        <w:t>300</w:t>
      </w:r>
      <w:r>
        <w:rPr>
          <w:rFonts w:ascii="Times New Roman" w:hAnsi="Times New Roman" w:cs="Times New Roman" w:eastAsia="Times New Roman" w:hint="default"/>
          <w:spacing w:val="7"/>
        </w:rPr>
        <w:t> </w:t>
      </w:r>
      <w:r>
        <w:rPr/>
        <w:t>万元，持有</w:t>
      </w:r>
      <w:r>
        <w:rPr>
          <w:spacing w:val="-35"/>
        </w:rPr>
        <w:t> </w:t>
      </w:r>
      <w:r>
        <w:rPr>
          <w:rFonts w:ascii="Times New Roman" w:hAnsi="Times New Roman" w:cs="Times New Roman" w:eastAsia="Times New Roman" w:hint="default"/>
        </w:rPr>
        <w:t>30%</w:t>
      </w:r>
      <w:r>
        <w:rPr/>
        <w:t>股权；绿谷联盟高科技有限公司出资</w:t>
      </w:r>
      <w:r>
        <w:rPr>
          <w:spacing w:val="-39"/>
        </w:rPr>
        <w:t> </w:t>
      </w:r>
      <w:r>
        <w:rPr>
          <w:rFonts w:ascii="Times New Roman" w:hAnsi="Times New Roman" w:cs="Times New Roman" w:eastAsia="Times New Roman" w:hint="default"/>
        </w:rPr>
        <w:t>250</w:t>
      </w:r>
      <w:r>
        <w:rPr>
          <w:rFonts w:ascii="Times New Roman" w:hAnsi="Times New Roman" w:cs="Times New Roman" w:eastAsia="Times New Roman" w:hint="default"/>
          <w:spacing w:val="7"/>
        </w:rPr>
        <w:t> </w:t>
      </w:r>
      <w:r>
        <w:rPr/>
        <w:t>万元，持有</w:t>
      </w:r>
      <w:r>
        <w:rPr>
          <w:spacing w:val="-35"/>
        </w:rPr>
        <w:t> </w:t>
      </w:r>
      <w:r>
        <w:rPr>
          <w:rFonts w:ascii="Times New Roman" w:hAnsi="Times New Roman" w:cs="Times New Roman" w:eastAsia="Times New Roman" w:hint="default"/>
        </w:rPr>
        <w:t>25%</w:t>
      </w:r>
      <w:r>
        <w:rPr/>
        <w:t>股权。变更为支点创投出资</w:t>
      </w:r>
      <w:r>
        <w:rPr>
          <w:spacing w:val="-87"/>
        </w:rPr>
        <w:t> </w:t>
      </w:r>
      <w:r>
        <w:rPr>
          <w:spacing w:val="-87"/>
        </w:rPr>
      </w:r>
      <w:r>
        <w:rPr>
          <w:rFonts w:ascii="Times New Roman" w:hAnsi="Times New Roman" w:cs="Times New Roman" w:eastAsia="Times New Roman" w:hint="default"/>
        </w:rPr>
        <w:t>450</w:t>
      </w:r>
      <w:r>
        <w:rPr>
          <w:rFonts w:ascii="Times New Roman" w:hAnsi="Times New Roman" w:cs="Times New Roman" w:eastAsia="Times New Roman" w:hint="default"/>
          <w:spacing w:val="-5"/>
        </w:rPr>
        <w:t> </w:t>
      </w:r>
      <w:r>
        <w:rPr/>
        <w:t>万元，持有</w:t>
      </w:r>
      <w:r>
        <w:rPr>
          <w:spacing w:val="-50"/>
        </w:rPr>
        <w:t> </w:t>
      </w:r>
      <w:r>
        <w:rPr>
          <w:rFonts w:ascii="Times New Roman" w:hAnsi="Times New Roman" w:cs="Times New Roman" w:eastAsia="Times New Roman" w:hint="default"/>
        </w:rPr>
        <w:t>45%</w:t>
      </w:r>
      <w:r>
        <w:rPr/>
        <w:t>股权；北京区块链云科技有限公司出资</w:t>
      </w:r>
      <w:r>
        <w:rPr>
          <w:spacing w:val="-48"/>
        </w:rPr>
        <w:t> </w:t>
      </w:r>
      <w:r>
        <w:rPr>
          <w:rFonts w:ascii="Times New Roman" w:hAnsi="Times New Roman" w:cs="Times New Roman" w:eastAsia="Times New Roman" w:hint="default"/>
        </w:rPr>
        <w:t>300</w:t>
      </w:r>
      <w:r>
        <w:rPr>
          <w:rFonts w:ascii="Times New Roman" w:hAnsi="Times New Roman" w:cs="Times New Roman" w:eastAsia="Times New Roman" w:hint="default"/>
          <w:spacing w:val="-6"/>
        </w:rPr>
        <w:t> </w:t>
      </w:r>
      <w:r>
        <w:rPr/>
        <w:t>万元，持有</w:t>
      </w:r>
      <w:r>
        <w:rPr>
          <w:spacing w:val="-50"/>
        </w:rPr>
        <w:t> </w:t>
      </w:r>
      <w:r>
        <w:rPr>
          <w:rFonts w:ascii="Times New Roman" w:hAnsi="Times New Roman" w:cs="Times New Roman" w:eastAsia="Times New Roman" w:hint="default"/>
        </w:rPr>
        <w:t>30%</w:t>
      </w:r>
      <w:r>
        <w:rPr/>
        <w:t>股权；广州市荣业泰商贸有限公司出资</w:t>
      </w:r>
      <w:r>
        <w:rPr>
          <w:spacing w:val="-50"/>
        </w:rPr>
        <w:t> </w:t>
      </w:r>
      <w:r>
        <w:rPr>
          <w:rFonts w:ascii="Times New Roman" w:hAnsi="Times New Roman" w:cs="Times New Roman" w:eastAsia="Times New Roman" w:hint="default"/>
        </w:rPr>
        <w:t>250 </w:t>
      </w:r>
      <w:r>
        <w:rPr/>
        <w:t>万元，持有</w:t>
      </w:r>
      <w:r>
        <w:rPr>
          <w:spacing w:val="-48"/>
        </w:rPr>
        <w:t> </w:t>
      </w:r>
      <w:r>
        <w:rPr>
          <w:rFonts w:ascii="Times New Roman" w:hAnsi="Times New Roman" w:cs="Times New Roman" w:eastAsia="Times New Roman" w:hint="default"/>
        </w:rPr>
        <w:t>25%</w:t>
      </w:r>
      <w:r>
        <w:rPr/>
        <w:t>股权。</w:t>
      </w:r>
    </w:p>
    <w:p>
      <w:pPr>
        <w:pStyle w:val="BodyText"/>
        <w:spacing w:line="338" w:lineRule="auto" w:before="53"/>
        <w:ind w:left="472" w:right="1120"/>
        <w:jc w:val="left"/>
      </w:pPr>
      <w:r>
        <w:rPr/>
        <w:t>（</w:t>
      </w:r>
      <w:r>
        <w:rPr>
          <w:rFonts w:ascii="Times New Roman" w:hAnsi="Times New Roman" w:cs="Times New Roman" w:eastAsia="Times New Roman" w:hint="default"/>
        </w:rPr>
        <w:t>5</w:t>
      </w:r>
      <w:r>
        <w:rPr/>
        <w:t>）像素数据 像素数据是一家专注于计算机视觉深度学习的高新技术企业，主要为教育、安防、零售等领域提供人像</w:t>
      </w:r>
      <w:r>
        <w:rPr>
          <w:rFonts w:ascii="Times New Roman" w:hAnsi="Times New Roman" w:cs="Times New Roman" w:eastAsia="Times New Roman" w:hint="default"/>
        </w:rPr>
        <w:t>/</w:t>
      </w:r>
      <w:r>
        <w:rPr/>
        <w:t>人脸采集、检</w:t>
      </w:r>
    </w:p>
    <w:p>
      <w:pPr>
        <w:pStyle w:val="BodyText"/>
        <w:spacing w:line="230" w:lineRule="exact"/>
        <w:ind w:right="0"/>
        <w:jc w:val="both"/>
      </w:pPr>
      <w:r>
        <w:rPr/>
        <w:t>测、验证</w:t>
      </w:r>
      <w:r>
        <w:rPr>
          <w:rFonts w:ascii="Times New Roman" w:hAnsi="Times New Roman" w:cs="Times New Roman" w:eastAsia="Times New Roman" w:hint="default"/>
        </w:rPr>
        <w:t>/</w:t>
      </w:r>
      <w:r>
        <w:rPr/>
        <w:t>识别、监控等人工智能产品，具备软硬件实施的综合能力。报告期，支点创投及其控股子公司支点一号股权投资</w:t>
      </w:r>
    </w:p>
    <w:p>
      <w:pPr>
        <w:pStyle w:val="BodyText"/>
        <w:spacing w:line="300" w:lineRule="auto" w:before="63"/>
        <w:ind w:right="1132"/>
        <w:jc w:val="both"/>
      </w:pPr>
      <w:r>
        <w:rPr/>
        <w:t>（广东）合伙企业（有限合伙）通过老股收购及参与像素数据定向增发方式合计持有像素数据</w:t>
      </w:r>
      <w:r>
        <w:rPr>
          <w:spacing w:val="-24"/>
        </w:rPr>
        <w:t> </w:t>
      </w:r>
      <w:r>
        <w:rPr>
          <w:rFonts w:ascii="Times New Roman" w:hAnsi="Times New Roman" w:cs="Times New Roman" w:eastAsia="Times New Roman" w:hint="default"/>
        </w:rPr>
        <w:t>39.5077%</w:t>
      </w:r>
      <w:r>
        <w:rPr/>
        <w:t>股份，是像素数据</w:t>
      </w:r>
      <w:r>
        <w:rPr>
          <w:spacing w:val="-84"/>
        </w:rPr>
        <w:t> </w:t>
      </w:r>
      <w:r>
        <w:rPr>
          <w:spacing w:val="-84"/>
        </w:rPr>
      </w:r>
      <w:r>
        <w:rPr>
          <w:spacing w:val="6"/>
        </w:rPr>
        <w:t>的第一大股东。（详见公司于</w:t>
      </w:r>
      <w:r>
        <w:rPr>
          <w:spacing w:val="-38"/>
        </w:rPr>
        <w:t> </w:t>
      </w:r>
      <w:r>
        <w:rPr>
          <w:rFonts w:ascii="Times New Roman" w:hAnsi="Times New Roman" w:cs="Times New Roman" w:eastAsia="Times New Roman" w:hint="default"/>
        </w:rPr>
        <w:t>2019</w:t>
      </w:r>
      <w:r>
        <w:rPr>
          <w:rFonts w:ascii="Times New Roman" w:hAnsi="Times New Roman" w:cs="Times New Roman" w:eastAsia="Times New Roman" w:hint="default"/>
          <w:spacing w:val="6"/>
        </w:rPr>
        <w:t> </w:t>
      </w:r>
      <w:r>
        <w:rPr/>
        <w:t>年</w:t>
      </w:r>
      <w:r>
        <w:rPr>
          <w:spacing w:val="-38"/>
        </w:rPr>
        <w:t> </w:t>
      </w:r>
      <w:r>
        <w:rPr>
          <w:rFonts w:ascii="Times New Roman" w:hAnsi="Times New Roman" w:cs="Times New Roman" w:eastAsia="Times New Roman" w:hint="default"/>
        </w:rPr>
        <w:t>9</w:t>
      </w:r>
      <w:r>
        <w:rPr>
          <w:rFonts w:ascii="Times New Roman" w:hAnsi="Times New Roman" w:cs="Times New Roman" w:eastAsia="Times New Roman" w:hint="default"/>
          <w:spacing w:val="4"/>
        </w:rPr>
        <w:t> </w:t>
      </w:r>
      <w:r>
        <w:rPr/>
        <w:t>月</w:t>
      </w:r>
      <w:r>
        <w:rPr>
          <w:spacing w:val="-38"/>
        </w:rPr>
        <w:t> </w:t>
      </w:r>
      <w:r>
        <w:rPr>
          <w:rFonts w:ascii="Times New Roman" w:hAnsi="Times New Roman" w:cs="Times New Roman" w:eastAsia="Times New Roman" w:hint="default"/>
        </w:rPr>
        <w:t>25</w:t>
      </w:r>
      <w:r>
        <w:rPr>
          <w:rFonts w:ascii="Times New Roman" w:hAnsi="Times New Roman" w:cs="Times New Roman" w:eastAsia="Times New Roman" w:hint="default"/>
          <w:spacing w:val="6"/>
        </w:rPr>
        <w:t> </w:t>
      </w:r>
      <w:r>
        <w:rPr>
          <w:spacing w:val="2"/>
        </w:rPr>
        <w:t>日、</w:t>
      </w:r>
      <w:r>
        <w:rPr>
          <w:rFonts w:ascii="Times New Roman" w:hAnsi="Times New Roman" w:cs="Times New Roman" w:eastAsia="Times New Roman" w:hint="default"/>
          <w:spacing w:val="2"/>
        </w:rPr>
        <w:t>2019</w:t>
      </w:r>
      <w:r>
        <w:rPr>
          <w:rFonts w:ascii="Times New Roman" w:hAnsi="Times New Roman" w:cs="Times New Roman" w:eastAsia="Times New Roman" w:hint="default"/>
          <w:spacing w:val="4"/>
        </w:rPr>
        <w:t> </w:t>
      </w:r>
      <w:r>
        <w:rPr/>
        <w:t>年</w:t>
      </w:r>
      <w:r>
        <w:rPr>
          <w:spacing w:val="-38"/>
        </w:rPr>
        <w:t>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t>月</w:t>
      </w:r>
      <w:r>
        <w:rPr>
          <w:spacing w:val="-40"/>
        </w:rPr>
        <w:t> </w:t>
      </w:r>
      <w:r>
        <w:rPr>
          <w:rFonts w:ascii="Times New Roman" w:hAnsi="Times New Roman" w:cs="Times New Roman" w:eastAsia="Times New Roman" w:hint="default"/>
        </w:rPr>
        <w:t>7</w:t>
      </w:r>
      <w:r>
        <w:rPr>
          <w:rFonts w:ascii="Times New Roman" w:hAnsi="Times New Roman" w:cs="Times New Roman" w:eastAsia="Times New Roman" w:hint="default"/>
          <w:spacing w:val="6"/>
        </w:rPr>
        <w:t> </w:t>
      </w:r>
      <w:r>
        <w:rPr>
          <w:spacing w:val="6"/>
        </w:rPr>
        <w:t>日刊登在《证券时报》《中国证券报》及巨潮资讯网</w:t>
      </w:r>
      <w:r>
        <w:rPr/>
        <w:t> </w:t>
      </w:r>
      <w:hyperlink r:id="rId10">
        <w:r>
          <w:rPr>
            <w:rFonts w:ascii="Times New Roman" w:hAnsi="Times New Roman" w:cs="Times New Roman" w:eastAsia="Times New Roman" w:hint="default"/>
          </w:rPr>
          <w:t>www.cninfo.com.cn</w:t>
        </w:r>
      </w:hyperlink>
      <w:r>
        <w:rPr>
          <w:rFonts w:ascii="Times New Roman" w:hAnsi="Times New Roman" w:cs="Times New Roman" w:eastAsia="Times New Roman" w:hint="default"/>
          <w:spacing w:val="-9"/>
        </w:rPr>
        <w:t> </w:t>
      </w:r>
      <w:r>
        <w:rPr/>
        <w:t>上的临时公告）</w:t>
      </w:r>
    </w:p>
    <w:p>
      <w:pPr>
        <w:pStyle w:val="BodyText"/>
        <w:spacing w:line="340" w:lineRule="auto" w:before="54"/>
        <w:ind w:left="472" w:right="1034"/>
        <w:jc w:val="left"/>
      </w:pPr>
      <w:r>
        <w:rPr/>
        <w:t>（</w:t>
      </w:r>
      <w:r>
        <w:rPr>
          <w:rFonts w:ascii="Times New Roman" w:hAnsi="Times New Roman" w:cs="Times New Roman" w:eastAsia="Times New Roman" w:hint="default"/>
        </w:rPr>
        <w:t>6</w:t>
      </w:r>
      <w:r>
        <w:rPr/>
        <w:t>）佳运创新投 支点创投（有限合伙人）与广州城投佳朋产业投资基金管理有限公司（普通合伙人、执行事务合伙人、基金管理人）、</w:t>
      </w:r>
    </w:p>
    <w:p>
      <w:pPr>
        <w:pStyle w:val="BodyText"/>
        <w:spacing w:line="309" w:lineRule="auto" w:before="1"/>
        <w:ind w:right="1130"/>
        <w:jc w:val="both"/>
      </w:pPr>
      <w:r>
        <w:rPr>
          <w:spacing w:val="-5"/>
        </w:rPr>
        <w:t>广州弘广投资管理有限公司（普通合伙人）、广州城投大数据投资合伙企业（有限合伙人）、广东弘图广电投资有限公司（有</w:t>
      </w:r>
      <w:r>
        <w:rPr>
          <w:spacing w:val="-78"/>
        </w:rPr>
        <w:t> </w:t>
      </w:r>
      <w:r>
        <w:rPr>
          <w:spacing w:val="-78"/>
        </w:rPr>
      </w:r>
      <w:r>
        <w:rPr>
          <w:spacing w:val="-2"/>
        </w:rPr>
        <w:t>限合伙人）、广州国企创新基金有限公司（有限合伙人）</w:t>
      </w:r>
      <w:r>
        <w:rPr>
          <w:rFonts w:ascii="Times New Roman" w:hAnsi="Times New Roman" w:cs="Times New Roman" w:eastAsia="Times New Roman" w:hint="default"/>
          <w:spacing w:val="-2"/>
        </w:rPr>
        <w:t>5</w:t>
      </w:r>
      <w:r>
        <w:rPr>
          <w:rFonts w:ascii="Times New Roman" w:hAnsi="Times New Roman" w:cs="Times New Roman" w:eastAsia="Times New Roman" w:hint="default"/>
          <w:spacing w:val="32"/>
        </w:rPr>
        <w:t> </w:t>
      </w:r>
      <w:r>
        <w:rPr>
          <w:spacing w:val="-1"/>
        </w:rPr>
        <w:t>家企业共同发起设立佳运创新投。佳运创新投的认缴出资规模为</w:t>
      </w:r>
      <w:r>
        <w:rPr>
          <w:spacing w:val="-82"/>
        </w:rPr>
        <w:t> </w:t>
      </w:r>
      <w:r>
        <w:rPr>
          <w:spacing w:val="-82"/>
        </w:rPr>
      </w:r>
      <w:r>
        <w:rPr/>
        <w:t>人民币</w:t>
      </w:r>
      <w:r>
        <w:rPr>
          <w:spacing w:val="-51"/>
        </w:rPr>
        <w:t> </w:t>
      </w:r>
      <w:r>
        <w:rPr>
          <w:rFonts w:ascii="Times New Roman" w:hAnsi="Times New Roman" w:cs="Times New Roman" w:eastAsia="Times New Roman" w:hint="default"/>
        </w:rPr>
        <w:t>2</w:t>
      </w:r>
      <w:r>
        <w:rPr>
          <w:rFonts w:ascii="Times New Roman" w:hAnsi="Times New Roman" w:cs="Times New Roman" w:eastAsia="Times New Roman" w:hint="default"/>
          <w:spacing w:val="-7"/>
        </w:rPr>
        <w:t> </w:t>
      </w:r>
      <w:r>
        <w:rPr/>
        <w:t>亿元，支点创投作为有限合伙人以自有资金认缴出资人民币</w:t>
      </w:r>
      <w:r>
        <w:rPr>
          <w:spacing w:val="-51"/>
        </w:rPr>
        <w:t> </w:t>
      </w:r>
      <w:r>
        <w:rPr>
          <w:rFonts w:ascii="Times New Roman" w:hAnsi="Times New Roman" w:cs="Times New Roman" w:eastAsia="Times New Roman" w:hint="default"/>
        </w:rPr>
        <w:t>4,000</w:t>
      </w:r>
      <w:r>
        <w:rPr>
          <w:rFonts w:ascii="Times New Roman" w:hAnsi="Times New Roman" w:cs="Times New Roman" w:eastAsia="Times New Roman" w:hint="default"/>
          <w:spacing w:val="-7"/>
        </w:rPr>
        <w:t> </w:t>
      </w:r>
      <w:r>
        <w:rPr/>
        <w:t>万元，占认缴出资总额比例的</w:t>
      </w:r>
      <w:r>
        <w:rPr>
          <w:spacing w:val="-51"/>
        </w:rPr>
        <w:t> </w:t>
      </w:r>
      <w:r>
        <w:rPr>
          <w:rFonts w:ascii="Times New Roman" w:hAnsi="Times New Roman" w:cs="Times New Roman" w:eastAsia="Times New Roman" w:hint="default"/>
          <w:spacing w:val="-3"/>
        </w:rPr>
        <w:t>20%</w:t>
      </w:r>
      <w:r>
        <w:rPr>
          <w:spacing w:val="-3"/>
        </w:rPr>
        <w:t>。佳运创新投</w:t>
      </w:r>
    </w:p>
    <w:p>
      <w:pPr>
        <w:pStyle w:val="BodyText"/>
        <w:spacing w:line="240" w:lineRule="auto" w:before="5"/>
        <w:ind w:right="0"/>
        <w:jc w:val="both"/>
        <w:rPr>
          <w:rFonts w:ascii="Times New Roman" w:hAnsi="Times New Roman" w:cs="Times New Roman" w:eastAsia="Times New Roman" w:hint="default"/>
        </w:rPr>
      </w:pPr>
      <w:r>
        <w:rPr>
          <w:spacing w:val="-3"/>
        </w:rPr>
        <w:t>已在中国证券投资基金业协会完成了私募投资基金备案登记手续，并取得了《私募投资基金备案证明》。（详见公司于</w:t>
      </w:r>
      <w:r>
        <w:rPr>
          <w:spacing w:val="-16"/>
        </w:rPr>
        <w:t> </w:t>
      </w:r>
      <w:r>
        <w:rPr>
          <w:rFonts w:ascii="Times New Roman" w:hAnsi="Times New Roman" w:cs="Times New Roman" w:eastAsia="Times New Roman" w:hint="default"/>
        </w:rPr>
        <w:t>2019</w:t>
      </w:r>
    </w:p>
    <w:p>
      <w:pPr>
        <w:pStyle w:val="BodyText"/>
        <w:spacing w:line="300" w:lineRule="auto" w:before="63"/>
        <w:ind w:right="1125"/>
        <w:jc w:val="both"/>
      </w:pPr>
      <w:r>
        <w:rPr/>
        <w:t>年</w:t>
      </w:r>
      <w:r>
        <w:rPr>
          <w:spacing w:val="-51"/>
        </w:rPr>
        <w:t> </w:t>
      </w:r>
      <w:r>
        <w:rPr>
          <w:rFonts w:ascii="Times New Roman" w:hAnsi="Times New Roman" w:cs="Times New Roman" w:eastAsia="Times New Roman" w:hint="default"/>
        </w:rPr>
        <w:t>10</w:t>
      </w:r>
      <w:r>
        <w:rPr>
          <w:rFonts w:ascii="Times New Roman" w:hAnsi="Times New Roman" w:cs="Times New Roman" w:eastAsia="Times New Roman" w:hint="default"/>
          <w:spacing w:val="-7"/>
        </w:rPr>
        <w:t> </w:t>
      </w:r>
      <w:r>
        <w:rPr/>
        <w:t>月</w:t>
      </w:r>
      <w:r>
        <w:rPr>
          <w:spacing w:val="-51"/>
        </w:rPr>
        <w:t> </w:t>
      </w:r>
      <w:r>
        <w:rPr>
          <w:rFonts w:ascii="Times New Roman" w:hAnsi="Times New Roman" w:cs="Times New Roman" w:eastAsia="Times New Roman" w:hint="default"/>
        </w:rPr>
        <w:t>11</w:t>
      </w:r>
      <w:r>
        <w:rPr>
          <w:rFonts w:ascii="Times New Roman" w:hAnsi="Times New Roman" w:cs="Times New Roman" w:eastAsia="Times New Roman" w:hint="default"/>
          <w:spacing w:val="-9"/>
        </w:rPr>
        <w:t> </w:t>
      </w:r>
      <w:r>
        <w:rPr/>
        <w:t>日、</w:t>
      </w:r>
      <w:r>
        <w:rPr>
          <w:rFonts w:ascii="Times New Roman" w:hAnsi="Times New Roman" w:cs="Times New Roman" w:eastAsia="Times New Roman" w:hint="default"/>
        </w:rPr>
        <w:t>2019</w:t>
      </w:r>
      <w:r>
        <w:rPr>
          <w:rFonts w:ascii="Times New Roman" w:hAnsi="Times New Roman" w:cs="Times New Roman" w:eastAsia="Times New Roman" w:hint="default"/>
          <w:spacing w:val="-7"/>
        </w:rPr>
        <w:t> </w:t>
      </w:r>
      <w:r>
        <w:rPr/>
        <w:t>年</w:t>
      </w:r>
      <w:r>
        <w:rPr>
          <w:spacing w:val="-51"/>
        </w:rPr>
        <w:t>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t>月</w:t>
      </w:r>
      <w:r>
        <w:rPr>
          <w:spacing w:val="-49"/>
        </w:rPr>
        <w:t> </w:t>
      </w:r>
      <w:r>
        <w:rPr>
          <w:rFonts w:ascii="Times New Roman" w:hAnsi="Times New Roman" w:cs="Times New Roman" w:eastAsia="Times New Roman" w:hint="default"/>
        </w:rPr>
        <w:t>26</w:t>
      </w:r>
      <w:r>
        <w:rPr>
          <w:rFonts w:ascii="Times New Roman" w:hAnsi="Times New Roman" w:cs="Times New Roman" w:eastAsia="Times New Roman" w:hint="default"/>
          <w:spacing w:val="-9"/>
        </w:rPr>
        <w:t> </w:t>
      </w:r>
      <w:r>
        <w:rPr/>
        <w:t>日刊登在《证券时报》《中国证券报》《上海证券报》及巨潮资讯网</w:t>
      </w:r>
      <w:r>
        <w:rPr>
          <w:spacing w:val="-51"/>
        </w:rPr>
        <w:t> </w:t>
      </w:r>
      <w:hyperlink r:id="rId10">
        <w:r>
          <w:rPr>
            <w:rFonts w:ascii="Times New Roman" w:hAnsi="Times New Roman" w:cs="Times New Roman" w:eastAsia="Times New Roman" w:hint="default"/>
          </w:rPr>
          <w:t>www.cninfo.com.cn</w:t>
        </w:r>
      </w:hyperlink>
      <w:r>
        <w:rPr>
          <w:rFonts w:ascii="Times New Roman" w:hAnsi="Times New Roman" w:cs="Times New Roman" w:eastAsia="Times New Roman" w:hint="default"/>
          <w:spacing w:val="-5"/>
        </w:rPr>
        <w:t> </w:t>
      </w:r>
      <w:r>
        <w:rPr/>
        <w:t>上 的临时公告）</w:t>
      </w:r>
    </w:p>
    <w:p>
      <w:pPr>
        <w:pStyle w:val="BodyText"/>
        <w:spacing w:line="340" w:lineRule="auto" w:before="70"/>
        <w:ind w:left="472" w:right="1124" w:firstLine="2"/>
        <w:jc w:val="left"/>
      </w:pPr>
      <w:r>
        <w:rPr>
          <w:rFonts w:ascii="Times New Roman" w:hAnsi="Times New Roman" w:cs="Times New Roman" w:eastAsia="Times New Roman" w:hint="default"/>
        </w:rPr>
        <w:t>6</w:t>
      </w:r>
      <w:r>
        <w:rPr>
          <w:rFonts w:ascii="宋体" w:hAnsi="宋体" w:cs="宋体" w:eastAsia="宋体" w:hint="default"/>
          <w:b/>
          <w:bCs/>
        </w:rPr>
        <w:t>、广电计量</w:t>
      </w:r>
      <w:r>
        <w:rPr>
          <w:rFonts w:ascii="宋体" w:hAnsi="宋体" w:cs="宋体" w:eastAsia="宋体" w:hint="default"/>
          <w:b/>
          <w:bCs/>
          <w:w w:val="99"/>
        </w:rPr>
        <w:t> </w:t>
      </w:r>
      <w:r>
        <w:rPr/>
        <w:t>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22</w:t>
      </w:r>
      <w:r>
        <w:rPr/>
        <w:t>日召开第五届董事会第十三次（临时）会议，审议通过了《关于内部转让广州广电计量检测股份有</w:t>
      </w:r>
    </w:p>
    <w:p>
      <w:pPr>
        <w:pStyle w:val="BodyText"/>
        <w:spacing w:line="228" w:lineRule="exact"/>
        <w:ind w:right="0"/>
        <w:jc w:val="both"/>
      </w:pPr>
      <w:r>
        <w:rPr/>
        <w:t>限公司股权的议案》，同意公司全资子公司支点创投按照其持有的广电计量股权收购总成本将广电计量股份</w:t>
      </w:r>
      <w:r>
        <w:rPr>
          <w:rFonts w:ascii="Times New Roman" w:hAnsi="Times New Roman" w:cs="Times New Roman" w:eastAsia="Times New Roman" w:hint="default"/>
        </w:rPr>
        <w:t>1,240</w:t>
      </w:r>
      <w:r>
        <w:rPr/>
        <w:t>万股转让</w:t>
      </w:r>
    </w:p>
    <w:p>
      <w:pPr>
        <w:pStyle w:val="BodyText"/>
        <w:spacing w:line="300" w:lineRule="auto" w:before="63"/>
        <w:ind w:right="0"/>
        <w:jc w:val="left"/>
      </w:pPr>
      <w:r>
        <w:rPr>
          <w:spacing w:val="-1"/>
        </w:rPr>
        <w:t>给广电运通，转让金额</w:t>
      </w:r>
      <w:r>
        <w:rPr>
          <w:rFonts w:ascii="Times New Roman" w:hAnsi="Times New Roman" w:cs="Times New Roman" w:eastAsia="Times New Roman" w:hint="default"/>
          <w:spacing w:val="-1"/>
        </w:rPr>
        <w:t>195,558,129.90</w:t>
      </w:r>
      <w:r>
        <w:rPr>
          <w:spacing w:val="-1"/>
        </w:rPr>
        <w:t>元（约</w:t>
      </w:r>
      <w:r>
        <w:rPr>
          <w:rFonts w:ascii="Times New Roman" w:hAnsi="Times New Roman" w:cs="Times New Roman" w:eastAsia="Times New Roman" w:hint="default"/>
          <w:spacing w:val="-1"/>
        </w:rPr>
        <w:t>15.77</w:t>
      </w:r>
      <w:r>
        <w:rPr>
          <w:spacing w:val="-1"/>
        </w:rPr>
        <w:t>元</w:t>
      </w:r>
      <w:r>
        <w:rPr>
          <w:rFonts w:ascii="Times New Roman" w:hAnsi="Times New Roman" w:cs="Times New Roman" w:eastAsia="Times New Roman" w:hint="default"/>
          <w:spacing w:val="-1"/>
        </w:rPr>
        <w:t>/</w:t>
      </w:r>
      <w:r>
        <w:rPr>
          <w:spacing w:val="-1"/>
        </w:rPr>
        <w:t>股）。转让交易完成后，广电运通直接持有广电计量股份</w:t>
      </w:r>
      <w:r>
        <w:rPr>
          <w:rFonts w:ascii="Times New Roman" w:hAnsi="Times New Roman" w:cs="Times New Roman" w:eastAsia="Times New Roman" w:hint="default"/>
          <w:spacing w:val="-1"/>
        </w:rPr>
        <w:t>3,059.44</w:t>
      </w:r>
      <w:r>
        <w:rPr>
          <w:spacing w:val="-1"/>
        </w:rPr>
        <w:t>万股，</w:t>
      </w:r>
      <w:r>
        <w:rPr>
          <w:spacing w:val="-79"/>
        </w:rPr>
        <w:t> </w:t>
      </w:r>
      <w:r>
        <w:rPr/>
        <w:t>支点创投将不再持有广电计量股权。</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8</w:t>
      </w:r>
      <w:r>
        <w:rPr/>
        <w:t>日，广电计量在深交所上市（股票代码为</w:t>
      </w:r>
      <w:r>
        <w:rPr>
          <w:rFonts w:ascii="Times New Roman" w:hAnsi="Times New Roman" w:cs="Times New Roman" w:eastAsia="Times New Roman" w:hint="default"/>
        </w:rPr>
        <w:t>“002967”</w:t>
      </w:r>
      <w:r>
        <w:rPr/>
        <w:t>），总股本为</w:t>
      </w:r>
      <w:r>
        <w:rPr>
          <w:rFonts w:ascii="Times New Roman" w:hAnsi="Times New Roman" w:cs="Times New Roman" w:eastAsia="Times New Roman" w:hint="default"/>
        </w:rPr>
        <w:t>33,067</w:t>
      </w:r>
      <w:r>
        <w:rPr/>
        <w:t>万 股，广电运通占其首次公开发行股票后总股份的</w:t>
      </w:r>
      <w:r>
        <w:rPr>
          <w:rFonts w:ascii="Times New Roman" w:hAnsi="Times New Roman" w:cs="Times New Roman" w:eastAsia="Times New Roman" w:hint="default"/>
        </w:rPr>
        <w:t>9.25%</w:t>
      </w:r>
      <w:r>
        <w:rPr/>
        <w:t>。（详见公司于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23</w:t>
      </w:r>
      <w:r>
        <w:rPr/>
        <w:t>日、</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8</w:t>
      </w:r>
      <w:r>
        <w:rPr/>
        <w:t>日刊登在《证券时报》《中国 证券报》及巨潮资讯网</w:t>
      </w:r>
      <w:hyperlink r:id="rId14">
        <w:r>
          <w:rPr>
            <w:rFonts w:ascii="Times New Roman" w:hAnsi="Times New Roman" w:cs="Times New Roman" w:eastAsia="Times New Roman" w:hint="default"/>
          </w:rPr>
          <w:t>www.cninfo.com.cn</w:t>
        </w:r>
        <w:r>
          <w:rPr/>
          <w:t>上的临时公告</w:t>
        </w:r>
      </w:hyperlink>
      <w:r>
        <w:rPr/>
        <w:t>）</w:t>
      </w:r>
    </w:p>
    <w:p>
      <w:pPr>
        <w:pStyle w:val="Heading6"/>
        <w:spacing w:line="240" w:lineRule="auto" w:before="53"/>
        <w:ind w:right="1394"/>
        <w:jc w:val="left"/>
        <w:rPr>
          <w:b w:val="0"/>
          <w:bCs w:val="0"/>
        </w:rPr>
      </w:pPr>
      <w:r>
        <w:rPr>
          <w:rFonts w:ascii="Times New Roman" w:hAnsi="Times New Roman" w:cs="Times New Roman" w:eastAsia="Times New Roman" w:hint="default"/>
        </w:rPr>
        <w:t>7</w:t>
      </w:r>
      <w:r>
        <w:rPr/>
        <w:t>、运通国际</w:t>
      </w:r>
      <w:r>
        <w:rPr>
          <w:b w:val="0"/>
          <w:bCs w:val="0"/>
        </w:rPr>
      </w:r>
    </w:p>
    <w:p>
      <w:pPr>
        <w:pStyle w:val="BodyText"/>
        <w:spacing w:line="300" w:lineRule="auto" w:before="101"/>
        <w:ind w:right="1132" w:firstLine="355"/>
        <w:jc w:val="both"/>
      </w:pPr>
      <w:r>
        <w:rPr>
          <w:spacing w:val="-3"/>
        </w:rPr>
        <w:t>（</w:t>
      </w:r>
      <w:r>
        <w:rPr>
          <w:rFonts w:ascii="Times New Roman" w:hAnsi="Times New Roman" w:cs="Times New Roman" w:eastAsia="Times New Roman" w:hint="default"/>
          <w:spacing w:val="-3"/>
        </w:rPr>
        <w:t>1</w:t>
      </w:r>
      <w:r>
        <w:rPr>
          <w:spacing w:val="-3"/>
        </w:rPr>
        <w:t>）报告期，公司向全资子公司运通国际增资</w:t>
      </w:r>
      <w:r>
        <w:rPr>
          <w:rFonts w:ascii="Times New Roman" w:hAnsi="Times New Roman" w:cs="Times New Roman" w:eastAsia="Times New Roman" w:hint="default"/>
          <w:spacing w:val="-3"/>
        </w:rPr>
        <w:t>800</w:t>
      </w:r>
      <w:r>
        <w:rPr>
          <w:spacing w:val="-3"/>
        </w:rPr>
        <w:t>万美元，由运通国际在开曼设立全资子公司</w:t>
      </w:r>
      <w:r>
        <w:rPr>
          <w:rFonts w:ascii="Times New Roman" w:hAnsi="Times New Roman" w:cs="Times New Roman" w:eastAsia="Times New Roman" w:hint="default"/>
          <w:spacing w:val="-3"/>
        </w:rPr>
        <w:t>Denali </w:t>
      </w:r>
      <w:r>
        <w:rPr>
          <w:rFonts w:ascii="Times New Roman" w:hAnsi="Times New Roman" w:cs="Times New Roman" w:eastAsia="Times New Roman" w:hint="default"/>
        </w:rPr>
        <w:t>System</w:t>
      </w:r>
      <w:r>
        <w:rPr>
          <w:rFonts w:ascii="Times New Roman" w:hAnsi="Times New Roman" w:cs="Times New Roman" w:eastAsia="Times New Roman" w:hint="default"/>
          <w:spacing w:val="31"/>
        </w:rPr>
        <w:t> </w:t>
      </w:r>
      <w:r>
        <w:rPr>
          <w:rFonts w:ascii="Times New Roman" w:hAnsi="Times New Roman" w:cs="Times New Roman" w:eastAsia="Times New Roman" w:hint="default"/>
          <w:spacing w:val="-5"/>
        </w:rPr>
        <w:t>CO.,Ltd</w:t>
      </w:r>
      <w:r>
        <w:rPr>
          <w:spacing w:val="-5"/>
        </w:rPr>
        <w:t>（德</w:t>
      </w:r>
      <w:r>
        <w:rPr/>
        <w:t> </w:t>
      </w:r>
      <w:r>
        <w:rPr>
          <w:spacing w:val="-2"/>
        </w:rPr>
        <w:t>纳里系统有限公司）（注册资本</w:t>
      </w:r>
      <w:r>
        <w:rPr>
          <w:rFonts w:ascii="Times New Roman" w:hAnsi="Times New Roman" w:cs="Times New Roman" w:eastAsia="Times New Roman" w:hint="default"/>
          <w:spacing w:val="-2"/>
        </w:rPr>
        <w:t>600</w:t>
      </w:r>
      <w:r>
        <w:rPr>
          <w:spacing w:val="-2"/>
        </w:rPr>
        <w:t>万美元），建设</w:t>
      </w:r>
      <w:r>
        <w:rPr>
          <w:rFonts w:ascii="Times New Roman" w:hAnsi="Times New Roman" w:cs="Times New Roman" w:eastAsia="Times New Roman" w:hint="default"/>
          <w:spacing w:val="-2"/>
        </w:rPr>
        <w:t>aiCore</w:t>
      </w:r>
      <w:r>
        <w:rPr>
          <w:rFonts w:ascii="Times New Roman" w:hAnsi="Times New Roman" w:cs="Times New Roman" w:eastAsia="Times New Roman" w:hint="default"/>
          <w:spacing w:val="27"/>
        </w:rPr>
        <w:t> </w:t>
      </w:r>
      <w:r>
        <w:rPr>
          <w:rFonts w:ascii="Times New Roman" w:hAnsi="Times New Roman" w:cs="Times New Roman" w:eastAsia="Times New Roman" w:hint="default"/>
          <w:spacing w:val="-1"/>
        </w:rPr>
        <w:t>system</w:t>
      </w:r>
      <w:r>
        <w:rPr>
          <w:spacing w:val="-1"/>
        </w:rPr>
        <w:t>人工智能大数据平台。为了更好的开展业务，</w:t>
      </w:r>
      <w:r>
        <w:rPr>
          <w:rFonts w:ascii="Times New Roman" w:hAnsi="Times New Roman" w:cs="Times New Roman" w:eastAsia="Times New Roman" w:hint="default"/>
          <w:spacing w:val="-1"/>
        </w:rPr>
        <w:t>Denali</w:t>
      </w:r>
      <w:r>
        <w:rPr>
          <w:spacing w:val="-1"/>
        </w:rPr>
        <w:t>公司在</w:t>
      </w:r>
    </w:p>
    <w:p>
      <w:pPr>
        <w:spacing w:after="0" w:line="300" w:lineRule="auto"/>
        <w:jc w:val="both"/>
        <w:sectPr>
          <w:pgSz w:w="11910" w:h="16840"/>
          <w:pgMar w:header="878" w:footer="978" w:top="1100" w:bottom="1160" w:left="1020" w:right="0"/>
        </w:sectPr>
      </w:pPr>
    </w:p>
    <w:p>
      <w:pPr>
        <w:spacing w:line="240" w:lineRule="auto" w:before="1"/>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78" w:footer="978" w:top="1100" w:bottom="1160" w:left="1020" w:right="0"/>
        </w:sectPr>
      </w:pPr>
    </w:p>
    <w:p>
      <w:pPr>
        <w:pStyle w:val="BodyText"/>
        <w:spacing w:line="240" w:lineRule="auto" w:before="44"/>
        <w:ind w:right="0"/>
        <w:jc w:val="left"/>
      </w:pPr>
      <w:r>
        <w:rPr/>
        <w:t>美国设立了全资子公司</w:t>
      </w:r>
      <w:r>
        <w:rPr>
          <w:rFonts w:ascii="Times New Roman" w:hAnsi="Times New Roman" w:cs="Times New Roman" w:eastAsia="Times New Roman" w:hint="default"/>
        </w:rPr>
        <w:t>Denali System</w:t>
      </w:r>
      <w:r>
        <w:rPr>
          <w:rFonts w:ascii="Times New Roman" w:hAnsi="Times New Roman" w:cs="Times New Roman" w:eastAsia="Times New Roman" w:hint="default"/>
          <w:spacing w:val="-8"/>
        </w:rPr>
        <w:t> </w:t>
      </w:r>
      <w:r>
        <w:rPr>
          <w:rFonts w:ascii="Times New Roman" w:hAnsi="Times New Roman" w:cs="Times New Roman" w:eastAsia="Times New Roman" w:hint="default"/>
        </w:rPr>
        <w:t>Inc.</w:t>
      </w:r>
      <w:r>
        <w:rPr/>
        <w:t>，在广州设立了德纳里（广州）技术有限公司。</w:t>
      </w:r>
    </w:p>
    <w:p>
      <w:pPr>
        <w:pStyle w:val="BodyText"/>
        <w:spacing w:line="300" w:lineRule="auto" w:before="63"/>
        <w:ind w:right="0" w:firstLine="355"/>
        <w:jc w:val="left"/>
      </w:pPr>
      <w:r>
        <w:rPr>
          <w:spacing w:val="-5"/>
          <w:w w:val="99"/>
        </w:rPr>
        <w:t>（</w:t>
      </w:r>
      <w:r>
        <w:rPr>
          <w:rFonts w:ascii="Times New Roman" w:hAnsi="Times New Roman" w:cs="Times New Roman" w:eastAsia="Times New Roman" w:hint="default"/>
          <w:spacing w:val="-5"/>
          <w:w w:val="99"/>
        </w:rPr>
        <w:t>2</w:t>
      </w:r>
      <w:r>
        <w:rPr>
          <w:spacing w:val="-5"/>
          <w:w w:val="99"/>
        </w:rPr>
        <w:t>）报告期，基于立陶宛子公司实际业务发展情况及内部资源整合需要，运通国际注销了</w:t>
      </w:r>
      <w:r>
        <w:rPr>
          <w:rFonts w:ascii="Times New Roman" w:hAnsi="Times New Roman" w:cs="Times New Roman" w:eastAsia="Times New Roman" w:hint="default"/>
          <w:spacing w:val="-5"/>
          <w:w w:val="99"/>
        </w:rPr>
        <w:t>GRG</w:t>
      </w:r>
      <w:r>
        <w:rPr>
          <w:rFonts w:ascii="Times New Roman" w:hAnsi="Times New Roman" w:cs="Times New Roman" w:eastAsia="Times New Roman" w:hint="default"/>
          <w:w w:val="99"/>
        </w:rPr>
        <w:t> </w:t>
      </w:r>
      <w:r>
        <w:rPr>
          <w:rFonts w:ascii="Times New Roman" w:hAnsi="Times New Roman" w:cs="Times New Roman" w:eastAsia="Times New Roman" w:hint="default"/>
          <w:spacing w:val="-1"/>
          <w:w w:val="99"/>
        </w:rPr>
        <w:t>Banking</w:t>
      </w:r>
      <w:r>
        <w:rPr>
          <w:rFonts w:ascii="Times New Roman" w:hAnsi="Times New Roman" w:cs="Times New Roman" w:eastAsia="Times New Roman" w:hint="default"/>
          <w:spacing w:val="1"/>
          <w:w w:val="99"/>
        </w:rPr>
        <w:t> </w:t>
      </w:r>
      <w:r>
        <w:rPr>
          <w:rFonts w:ascii="Times New Roman" w:hAnsi="Times New Roman" w:cs="Times New Roman" w:eastAsia="Times New Roman" w:hint="default"/>
          <w:spacing w:val="-19"/>
          <w:w w:val="99"/>
        </w:rPr>
        <w:t>Equipmen</w:t>
      </w:r>
      <w:r>
        <w:rPr>
          <w:spacing w:val="-19"/>
          <w:w w:val="99"/>
        </w:rPr>
        <w:t>（</w:t>
      </w:r>
      <w:r>
        <w:rPr>
          <w:rFonts w:ascii="Times New Roman" w:hAnsi="Times New Roman" w:cs="Times New Roman" w:eastAsia="Times New Roman" w:hint="default"/>
          <w:spacing w:val="-19"/>
          <w:w w:val="99"/>
        </w:rPr>
        <w:t>t</w:t>
      </w:r>
      <w:r>
        <w:rPr>
          <w:rFonts w:ascii="Times New Roman" w:hAnsi="Times New Roman" w:cs="Times New Roman" w:eastAsia="Times New Roman" w:hint="default"/>
          <w:w w:val="99"/>
        </w:rPr>
        <w:t> </w:t>
      </w:r>
      <w:r>
        <w:rPr>
          <w:rFonts w:ascii="Times New Roman" w:hAnsi="Times New Roman" w:cs="Times New Roman" w:eastAsia="Times New Roman" w:hint="default"/>
        </w:rPr>
        <w:t>Europe</w:t>
      </w:r>
      <w:r>
        <w:rPr/>
        <w:t>，</w:t>
      </w:r>
      <w:r>
        <w:rPr>
          <w:rFonts w:ascii="Times New Roman" w:hAnsi="Times New Roman" w:cs="Times New Roman" w:eastAsia="Times New Roman" w:hint="default"/>
        </w:rPr>
        <w:t>UAB.</w:t>
      </w:r>
      <w:r>
        <w:rPr/>
        <w:t>（</w:t>
      </w:r>
      <w:r>
        <w:rPr>
          <w:rFonts w:ascii="Times New Roman" w:hAnsi="Times New Roman" w:cs="Times New Roman" w:eastAsia="Times New Roman" w:hint="default"/>
        </w:rPr>
        <w:t>GRG</w:t>
      </w:r>
      <w:r>
        <w:rPr/>
        <w:t>立陶宛）。</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21"/>
        <w:ind w:left="83" w:right="0"/>
        <w:jc w:val="left"/>
      </w:pPr>
      <w:r>
        <w:rPr>
          <w:rFonts w:ascii="Times New Roman" w:hAnsi="Times New Roman" w:cs="Times New Roman" w:eastAsia="Times New Roman" w:hint="default"/>
        </w:rPr>
        <w:t>HK</w:t>
      </w:r>
      <w:r>
        <w:rPr/>
        <w:t>）</w:t>
      </w:r>
    </w:p>
    <w:p>
      <w:pPr>
        <w:spacing w:after="0" w:line="240" w:lineRule="auto"/>
        <w:jc w:val="left"/>
        <w:sectPr>
          <w:type w:val="continuous"/>
          <w:pgSz w:w="11910" w:h="16840"/>
          <w:pgMar w:top="1100" w:bottom="1160" w:left="1020" w:right="0"/>
          <w:cols w:num="2" w:equalWidth="0">
            <w:col w:w="9278" w:space="40"/>
            <w:col w:w="1572"/>
          </w:cols>
        </w:sectPr>
      </w:pPr>
    </w:p>
    <w:p>
      <w:pPr>
        <w:pStyle w:val="BodyText"/>
        <w:spacing w:line="300" w:lineRule="auto" w:before="13"/>
        <w:ind w:right="1024" w:firstLine="355"/>
        <w:jc w:val="left"/>
      </w:pPr>
      <w:r>
        <w:rPr/>
        <w:t>目前，运通国际有</w:t>
      </w:r>
      <w:r>
        <w:rPr>
          <w:rFonts w:ascii="Times New Roman" w:hAnsi="Times New Roman" w:cs="Times New Roman" w:eastAsia="Times New Roman" w:hint="default"/>
        </w:rPr>
        <w:t>GRG Hongkong Mexico, S.A.DE</w:t>
      </w:r>
      <w:r>
        <w:rPr/>
        <w:t>（墨西哥）、</w:t>
      </w:r>
      <w:r>
        <w:rPr>
          <w:rFonts w:ascii="Times New Roman" w:hAnsi="Times New Roman" w:cs="Times New Roman" w:eastAsia="Times New Roman" w:hint="default"/>
        </w:rPr>
        <w:t>Global ATM Parts Co.,Limited</w:t>
      </w:r>
      <w:r>
        <w:rPr/>
        <w:t>（香港）、</w:t>
      </w:r>
      <w:r>
        <w:rPr>
          <w:rFonts w:ascii="Times New Roman" w:hAnsi="Times New Roman" w:cs="Times New Roman" w:eastAsia="Times New Roman" w:hint="default"/>
        </w:rPr>
        <w:t>GRG</w:t>
      </w:r>
      <w:r>
        <w:rPr>
          <w:rFonts w:ascii="Times New Roman" w:hAnsi="Times New Roman" w:cs="Times New Roman" w:eastAsia="Times New Roman" w:hint="default"/>
          <w:spacing w:val="-14"/>
        </w:rPr>
        <w:t> </w:t>
      </w:r>
      <w:r>
        <w:rPr>
          <w:rFonts w:ascii="Times New Roman" w:hAnsi="Times New Roman" w:cs="Times New Roman" w:eastAsia="Times New Roman" w:hint="default"/>
        </w:rPr>
        <w:t>Turkiye</w:t>
      </w:r>
      <w:r>
        <w:rPr>
          <w:rFonts w:ascii="Times New Roman" w:hAnsi="Times New Roman" w:cs="Times New Roman" w:eastAsia="Times New Roman" w:hint="default"/>
          <w:w w:val="99"/>
        </w:rPr>
        <w:t> </w:t>
      </w:r>
      <w:r>
        <w:rPr>
          <w:rFonts w:ascii="Times New Roman" w:hAnsi="Times New Roman" w:cs="Times New Roman" w:eastAsia="Times New Roman" w:hint="default"/>
        </w:rPr>
        <w:t>Bankacilik Ekipmanlari Ltd.</w:t>
      </w:r>
      <w:r>
        <w:rPr/>
        <w:t>（土耳其）、</w:t>
      </w:r>
      <w:r>
        <w:rPr>
          <w:rFonts w:ascii="Times New Roman" w:hAnsi="Times New Roman" w:cs="Times New Roman" w:eastAsia="Times New Roman" w:hint="default"/>
        </w:rPr>
        <w:t>GRG Deutschland GmbH</w:t>
      </w:r>
      <w:r>
        <w:rPr/>
        <w:t>（德国）、</w:t>
      </w:r>
      <w:r>
        <w:rPr>
          <w:rFonts w:ascii="Times New Roman" w:hAnsi="Times New Roman" w:cs="Times New Roman" w:eastAsia="Times New Roman" w:hint="default"/>
        </w:rPr>
        <w:t>GRG Equipment (Singapore) Pte.</w:t>
      </w:r>
      <w:r>
        <w:rPr>
          <w:rFonts w:ascii="Times New Roman" w:hAnsi="Times New Roman" w:cs="Times New Roman" w:eastAsia="Times New Roman" w:hint="default"/>
          <w:spacing w:val="-31"/>
        </w:rPr>
        <w:t> </w:t>
      </w:r>
      <w:r>
        <w:rPr>
          <w:rFonts w:ascii="Times New Roman" w:hAnsi="Times New Roman" w:cs="Times New Roman" w:eastAsia="Times New Roman" w:hint="default"/>
        </w:rPr>
        <w:t>Ltd</w:t>
      </w:r>
      <w:r>
        <w:rPr/>
        <w:t>（新加坡）、 </w:t>
      </w:r>
      <w:r>
        <w:rPr>
          <w:rFonts w:ascii="Times New Roman" w:hAnsi="Times New Roman" w:cs="Times New Roman" w:eastAsia="Times New Roman" w:hint="default"/>
        </w:rPr>
        <w:t>GRG</w:t>
      </w:r>
      <w:r>
        <w:rPr>
          <w:rFonts w:ascii="Times New Roman" w:hAnsi="Times New Roman" w:cs="Times New Roman" w:eastAsia="Times New Roman" w:hint="default"/>
          <w:spacing w:val="3"/>
        </w:rPr>
        <w:t> </w:t>
      </w:r>
      <w:r>
        <w:rPr>
          <w:rFonts w:ascii="Times New Roman" w:hAnsi="Times New Roman" w:cs="Times New Roman" w:eastAsia="Times New Roman" w:hint="default"/>
        </w:rPr>
        <w:t>AMERICA</w:t>
      </w:r>
      <w:r>
        <w:rPr>
          <w:rFonts w:ascii="Times New Roman" w:hAnsi="Times New Roman" w:cs="Times New Roman" w:eastAsia="Times New Roman" w:hint="default"/>
          <w:spacing w:val="1"/>
        </w:rPr>
        <w:t> </w:t>
      </w:r>
      <w:r>
        <w:rPr>
          <w:rFonts w:ascii="Times New Roman" w:hAnsi="Times New Roman" w:cs="Times New Roman" w:eastAsia="Times New Roman" w:hint="default"/>
          <w:spacing w:val="-3"/>
        </w:rPr>
        <w:t>INC</w:t>
      </w:r>
      <w:r>
        <w:rPr>
          <w:spacing w:val="-3"/>
        </w:rPr>
        <w:t>（美国）、</w:t>
      </w:r>
      <w:r>
        <w:rPr>
          <w:rFonts w:ascii="Times New Roman" w:hAnsi="Times New Roman" w:cs="Times New Roman" w:eastAsia="Times New Roman" w:hint="default"/>
          <w:spacing w:val="-3"/>
        </w:rPr>
        <w:t>GRGBanking</w:t>
      </w:r>
      <w:r>
        <w:rPr>
          <w:rFonts w:ascii="Times New Roman" w:hAnsi="Times New Roman" w:cs="Times New Roman" w:eastAsia="Times New Roman" w:hint="default"/>
        </w:rPr>
        <w:t> </w:t>
      </w:r>
      <w:r>
        <w:rPr>
          <w:rFonts w:ascii="Times New Roman" w:hAnsi="Times New Roman" w:cs="Times New Roman" w:eastAsia="Times New Roman" w:hint="default"/>
          <w:spacing w:val="-3"/>
        </w:rPr>
        <w:t>LLC.</w:t>
      </w:r>
      <w:r>
        <w:rPr>
          <w:spacing w:val="-3"/>
        </w:rPr>
        <w:t>（俄罗斯）、广电运通国际商贸（广州）有限公司、</w:t>
      </w:r>
      <w:r>
        <w:rPr>
          <w:rFonts w:ascii="Times New Roman" w:hAnsi="Times New Roman" w:cs="Times New Roman" w:eastAsia="Times New Roman" w:hint="default"/>
          <w:spacing w:val="-3"/>
        </w:rPr>
        <w:t>Denali</w:t>
      </w:r>
      <w:r>
        <w:rPr>
          <w:rFonts w:ascii="Times New Roman" w:hAnsi="Times New Roman" w:cs="Times New Roman" w:eastAsia="Times New Roman" w:hint="default"/>
          <w:spacing w:val="-1"/>
        </w:rPr>
        <w:t> </w:t>
      </w:r>
      <w:r>
        <w:rPr>
          <w:rFonts w:ascii="Times New Roman" w:hAnsi="Times New Roman" w:cs="Times New Roman" w:eastAsia="Times New Roman" w:hint="default"/>
        </w:rPr>
        <w:t>System</w:t>
      </w:r>
      <w:r>
        <w:rPr>
          <w:rFonts w:ascii="Times New Roman" w:hAnsi="Times New Roman" w:cs="Times New Roman" w:eastAsia="Times New Roman" w:hint="default"/>
          <w:spacing w:val="3"/>
        </w:rPr>
        <w:t> </w:t>
      </w:r>
      <w:r>
        <w:rPr>
          <w:rFonts w:ascii="Times New Roman" w:hAnsi="Times New Roman" w:cs="Times New Roman" w:eastAsia="Times New Roman" w:hint="default"/>
        </w:rPr>
        <w:t>CO.,Ltd</w:t>
      </w:r>
      <w:r>
        <w:rPr>
          <w:rFonts w:ascii="Times New Roman" w:hAnsi="Times New Roman" w:cs="Times New Roman" w:eastAsia="Times New Roman" w:hint="default"/>
          <w:spacing w:val="-43"/>
        </w:rPr>
        <w:t> </w:t>
      </w:r>
      <w:r>
        <w:rPr>
          <w:rFonts w:ascii="Times New Roman" w:hAnsi="Times New Roman" w:cs="Times New Roman" w:eastAsia="Times New Roman" w:hint="default"/>
          <w:spacing w:val="-43"/>
        </w:rPr>
      </w:r>
      <w:r>
        <w:rPr/>
        <w:t>九家全资子公司，</w:t>
      </w:r>
      <w:r>
        <w:rPr>
          <w:rFonts w:ascii="Times New Roman" w:hAnsi="Times New Roman" w:cs="Times New Roman" w:eastAsia="Times New Roman" w:hint="default"/>
        </w:rPr>
        <w:t>Denali System</w:t>
      </w:r>
      <w:r>
        <w:rPr>
          <w:rFonts w:ascii="Times New Roman" w:hAnsi="Times New Roman" w:cs="Times New Roman" w:eastAsia="Times New Roman" w:hint="default"/>
          <w:spacing w:val="-8"/>
        </w:rPr>
        <w:t> </w:t>
      </w:r>
      <w:r>
        <w:rPr>
          <w:rFonts w:ascii="Times New Roman" w:hAnsi="Times New Roman" w:cs="Times New Roman" w:eastAsia="Times New Roman" w:hint="default"/>
        </w:rPr>
        <w:t>Inc.</w:t>
      </w:r>
      <w:r>
        <w:rPr/>
        <w:t>、德纳里（广州）技术有限公司两家全资孙公司，国际市场拓展力度进一步加大。</w:t>
      </w:r>
    </w:p>
    <w:p>
      <w:pPr>
        <w:pStyle w:val="BodyText"/>
        <w:spacing w:line="300" w:lineRule="auto" w:before="13"/>
        <w:ind w:left="468" w:right="1120"/>
        <w:jc w:val="left"/>
      </w:pPr>
      <w:r>
        <w:rPr>
          <w:rFonts w:ascii="Times New Roman" w:hAnsi="Times New Roman" w:cs="Times New Roman" w:eastAsia="Times New Roman" w:hint="default"/>
          <w:b/>
          <w:bCs/>
        </w:rPr>
        <w:t>8</w:t>
      </w:r>
      <w:r>
        <w:rPr>
          <w:rFonts w:ascii="宋体" w:hAnsi="宋体" w:cs="宋体" w:eastAsia="宋体" w:hint="default"/>
          <w:b/>
          <w:bCs/>
        </w:rPr>
        <w:t>、广电汇通</w:t>
      </w:r>
      <w:r>
        <w:rPr>
          <w:rFonts w:ascii="宋体" w:hAnsi="宋体" w:cs="宋体" w:eastAsia="宋体" w:hint="default"/>
          <w:b/>
          <w:bCs/>
          <w:w w:val="99"/>
        </w:rPr>
        <w:t> </w:t>
      </w:r>
      <w:r>
        <w:rPr>
          <w:spacing w:val="-1"/>
        </w:rPr>
        <w:t>因经营管理需要，广电汇通减少注册资本</w:t>
      </w:r>
      <w:r>
        <w:rPr>
          <w:rFonts w:ascii="Times New Roman" w:hAnsi="Times New Roman" w:cs="Times New Roman" w:eastAsia="Times New Roman" w:hint="default"/>
          <w:spacing w:val="-1"/>
        </w:rPr>
        <w:t>7,000</w:t>
      </w:r>
      <w:r>
        <w:rPr>
          <w:spacing w:val="-1"/>
        </w:rPr>
        <w:t>万元，由</w:t>
      </w:r>
      <w:r>
        <w:rPr>
          <w:rFonts w:ascii="Times New Roman" w:hAnsi="Times New Roman" w:cs="Times New Roman" w:eastAsia="Times New Roman" w:hint="default"/>
          <w:spacing w:val="-1"/>
        </w:rPr>
        <w:t>10,000</w:t>
      </w:r>
      <w:r>
        <w:rPr>
          <w:spacing w:val="-1"/>
        </w:rPr>
        <w:t>万元变更为</w:t>
      </w:r>
      <w:r>
        <w:rPr>
          <w:rFonts w:ascii="Times New Roman" w:hAnsi="Times New Roman" w:cs="Times New Roman" w:eastAsia="Times New Roman" w:hint="default"/>
          <w:spacing w:val="-1"/>
        </w:rPr>
        <w:t>3,000</w:t>
      </w:r>
      <w:r>
        <w:rPr>
          <w:spacing w:val="-1"/>
        </w:rPr>
        <w:t>万元，已于</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8</w:t>
      </w:r>
      <w:r>
        <w:rPr>
          <w:spacing w:val="-1"/>
        </w:rPr>
        <w:t>月</w:t>
      </w:r>
      <w:r>
        <w:rPr>
          <w:rFonts w:ascii="Times New Roman" w:hAnsi="Times New Roman" w:cs="Times New Roman" w:eastAsia="Times New Roman" w:hint="default"/>
          <w:spacing w:val="-1"/>
        </w:rPr>
        <w:t>28</w:t>
      </w:r>
      <w:r>
        <w:rPr>
          <w:spacing w:val="-1"/>
        </w:rPr>
        <w:t>日完成工商变更</w:t>
      </w:r>
    </w:p>
    <w:p>
      <w:pPr>
        <w:pStyle w:val="BodyText"/>
        <w:spacing w:line="240" w:lineRule="auto" w:before="13"/>
        <w:ind w:right="0"/>
        <w:jc w:val="both"/>
      </w:pPr>
      <w:r>
        <w:rPr/>
        <w:t>登记手续。</w:t>
      </w:r>
    </w:p>
    <w:p>
      <w:pPr>
        <w:spacing w:line="240" w:lineRule="auto" w:before="1"/>
        <w:rPr>
          <w:rFonts w:ascii="宋体" w:hAnsi="宋体" w:cs="宋体" w:eastAsia="宋体" w:hint="default"/>
          <w:sz w:val="25"/>
          <w:szCs w:val="25"/>
        </w:rPr>
      </w:pPr>
    </w:p>
    <w:p>
      <w:pPr>
        <w:pStyle w:val="Heading2"/>
        <w:spacing w:line="240" w:lineRule="auto"/>
        <w:ind w:right="0"/>
        <w:jc w:val="both"/>
        <w:rPr>
          <w:b w:val="0"/>
          <w:bCs w:val="0"/>
        </w:rPr>
      </w:pPr>
      <w:bookmarkStart w:name="八、公司控制的结构化主体情况" w:id="58"/>
      <w:bookmarkEnd w:id="58"/>
      <w:r>
        <w:rPr>
          <w:b w:val="0"/>
          <w:bCs w:val="0"/>
        </w:rPr>
      </w:r>
      <w:r>
        <w:rPr/>
        <w:t>八、公司控制的结构化主体情况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both"/>
        <w:rPr>
          <w:b w:val="0"/>
          <w:bCs w:val="0"/>
        </w:rPr>
      </w:pPr>
      <w:r>
        <w:rPr/>
        <w:t>九、</w:t>
      </w:r>
      <w:bookmarkStart w:name="九、公司未来发展的展望" w:id="59"/>
      <w:bookmarkEnd w:id="59"/>
      <w:r>
        <w:rPr/>
        <w:t>公</w:t>
      </w:r>
      <w:r>
        <w:rPr/>
        <w:t>司未来发展的展望</w:t>
      </w:r>
      <w:r>
        <w:rPr>
          <w:b w:val="0"/>
          <w:bCs w:val="0"/>
        </w:rPr>
      </w:r>
    </w:p>
    <w:p>
      <w:pPr>
        <w:spacing w:line="440" w:lineRule="atLeast" w:before="142"/>
        <w:ind w:left="472" w:right="0" w:firstLine="0"/>
        <w:jc w:val="left"/>
        <w:rPr>
          <w:rFonts w:ascii="宋体" w:hAnsi="宋体" w:cs="宋体" w:eastAsia="宋体" w:hint="default"/>
          <w:sz w:val="18"/>
          <w:szCs w:val="18"/>
        </w:rPr>
      </w:pPr>
      <w:r>
        <w:rPr>
          <w:rFonts w:ascii="宋体" w:hAnsi="宋体" w:cs="宋体" w:eastAsia="宋体" w:hint="default"/>
          <w:b/>
          <w:bCs/>
          <w:sz w:val="18"/>
          <w:szCs w:val="18"/>
        </w:rPr>
        <w:t>（一）行业发展趋势及市场竞争格局</w:t>
      </w:r>
      <w:r>
        <w:rPr>
          <w:rFonts w:ascii="宋体" w:hAnsi="宋体" w:cs="宋体" w:eastAsia="宋体" w:hint="default"/>
          <w:b/>
          <w:bCs/>
          <w:w w:val="99"/>
          <w:sz w:val="18"/>
          <w:szCs w:val="18"/>
        </w:rPr>
        <w:t> </w:t>
      </w:r>
      <w:r>
        <w:rPr>
          <w:rFonts w:ascii="宋体" w:hAnsi="宋体" w:cs="宋体" w:eastAsia="宋体" w:hint="default"/>
          <w:spacing w:val="-2"/>
          <w:sz w:val="18"/>
          <w:szCs w:val="18"/>
        </w:rPr>
        <w:t>根据国务院印发的《新一代人工智能发展规划》，我国新一代人工智能发展的战略目标为：到</w:t>
      </w:r>
      <w:r>
        <w:rPr>
          <w:rFonts w:ascii="Times New Roman" w:hAnsi="Times New Roman" w:cs="Times New Roman" w:eastAsia="Times New Roman" w:hint="default"/>
          <w:spacing w:val="-2"/>
          <w:sz w:val="18"/>
          <w:szCs w:val="18"/>
        </w:rPr>
        <w:t>2020</w:t>
      </w:r>
      <w:r>
        <w:rPr>
          <w:rFonts w:ascii="宋体" w:hAnsi="宋体" w:cs="宋体" w:eastAsia="宋体" w:hint="default"/>
          <w:spacing w:val="-2"/>
          <w:sz w:val="18"/>
          <w:szCs w:val="18"/>
        </w:rPr>
        <w:t>年，人工智能总体技</w:t>
      </w:r>
    </w:p>
    <w:p>
      <w:pPr>
        <w:pStyle w:val="BodyText"/>
        <w:spacing w:line="307" w:lineRule="auto" w:before="63"/>
        <w:ind w:right="1129"/>
        <w:jc w:val="both"/>
      </w:pPr>
      <w:r>
        <w:rPr>
          <w:spacing w:val="-2"/>
        </w:rPr>
        <w:t>术和应用与世界先进水平同步，人工智能产业成为新的重要经济增长点，人工智能技术应用成为改善民生的新途径；到</w:t>
      </w:r>
      <w:r>
        <w:rPr>
          <w:rFonts w:ascii="Times New Roman" w:hAnsi="Times New Roman" w:cs="Times New Roman" w:eastAsia="Times New Roman" w:hint="default"/>
          <w:spacing w:val="-2"/>
        </w:rPr>
        <w:t>2025</w:t>
      </w:r>
      <w:r>
        <w:rPr>
          <w:rFonts w:ascii="Times New Roman" w:hAnsi="Times New Roman" w:cs="Times New Roman" w:eastAsia="Times New Roman" w:hint="default"/>
          <w:spacing w:val="-14"/>
        </w:rPr>
        <w:t> </w:t>
      </w:r>
      <w:r>
        <w:rPr>
          <w:rFonts w:ascii="Times New Roman" w:hAnsi="Times New Roman" w:cs="Times New Roman" w:eastAsia="Times New Roman" w:hint="default"/>
          <w:spacing w:val="-14"/>
        </w:rPr>
      </w:r>
      <w:r>
        <w:rPr>
          <w:spacing w:val="-2"/>
        </w:rPr>
        <w:t>年，人工智能基础理论实现重大突破，部分技术与应用达到世界领先水平，人工智能成为我国产业升级和经济转型的主要动</w:t>
      </w:r>
      <w:r>
        <w:rPr>
          <w:spacing w:val="-63"/>
        </w:rPr>
        <w:t> </w:t>
      </w:r>
      <w:r>
        <w:rPr>
          <w:spacing w:val="-63"/>
        </w:rPr>
      </w:r>
      <w:r>
        <w:rPr>
          <w:spacing w:val="-2"/>
        </w:rPr>
        <w:t>力，智能社会建设取得积极进展；到</w:t>
      </w:r>
      <w:r>
        <w:rPr>
          <w:rFonts w:ascii="Times New Roman" w:hAnsi="Times New Roman" w:cs="Times New Roman" w:eastAsia="Times New Roman" w:hint="default"/>
          <w:spacing w:val="-2"/>
        </w:rPr>
        <w:t>2030</w:t>
      </w:r>
      <w:r>
        <w:rPr>
          <w:spacing w:val="-2"/>
        </w:rPr>
        <w:t>年，人工智能理论、技术与应用总体达到世界领先水平，成为世界主要人工智能创</w:t>
      </w:r>
      <w:r>
        <w:rPr>
          <w:spacing w:val="-61"/>
        </w:rPr>
        <w:t> </w:t>
      </w:r>
      <w:r>
        <w:rPr>
          <w:spacing w:val="-61"/>
        </w:rPr>
      </w:r>
      <w:r>
        <w:rPr/>
        <w:t>新中心。</w:t>
      </w:r>
    </w:p>
    <w:p>
      <w:pPr>
        <w:pStyle w:val="BodyText"/>
        <w:spacing w:line="307" w:lineRule="auto" w:before="146"/>
        <w:ind w:right="1034" w:firstLine="360"/>
        <w:jc w:val="left"/>
      </w:pPr>
      <w:r>
        <w:rPr>
          <w:spacing w:val="-2"/>
        </w:rPr>
        <w:t>根据广东省科学技术协会、省科技厅主办的粤港澳大湾区人工智能与机器人大会《粤港澳大湾区人工智能与机器人产业</w:t>
      </w:r>
      <w:r>
        <w:rPr/>
        <w:t> 发展报告》，</w:t>
      </w:r>
      <w:r>
        <w:rPr>
          <w:rFonts w:ascii="Times New Roman" w:hAnsi="Times New Roman" w:cs="Times New Roman" w:eastAsia="Times New Roman" w:hint="default"/>
        </w:rPr>
        <w:t>2019</w:t>
      </w:r>
      <w:r>
        <w:rPr/>
        <w:t>年中国人工智能核心产业规模</w:t>
      </w:r>
      <w:r>
        <w:rPr>
          <w:rFonts w:ascii="Times New Roman" w:hAnsi="Times New Roman" w:cs="Times New Roman" w:eastAsia="Times New Roman" w:hint="default"/>
        </w:rPr>
        <w:t>570</w:t>
      </w:r>
      <w:r>
        <w:rPr/>
        <w:t>亿元。预计到</w:t>
      </w:r>
      <w:r>
        <w:rPr>
          <w:rFonts w:ascii="Times New Roman" w:hAnsi="Times New Roman" w:cs="Times New Roman" w:eastAsia="Times New Roman" w:hint="default"/>
        </w:rPr>
        <w:t>2020</w:t>
      </w:r>
      <w:r>
        <w:rPr/>
        <w:t>年，大湾区人工智能核心产业规模有望突破</w:t>
      </w:r>
      <w:r>
        <w:rPr>
          <w:rFonts w:ascii="Times New Roman" w:hAnsi="Times New Roman" w:cs="Times New Roman" w:eastAsia="Times New Roman" w:hint="default"/>
        </w:rPr>
        <w:t>500</w:t>
      </w:r>
      <w:r>
        <w:rPr/>
        <w:t>亿元， 占全国人工智能整体产业规模的比重超过</w:t>
      </w:r>
      <w:r>
        <w:rPr>
          <w:rFonts w:ascii="Times New Roman" w:hAnsi="Times New Roman" w:cs="Times New Roman" w:eastAsia="Times New Roman" w:hint="default"/>
        </w:rPr>
        <w:t>30%</w:t>
      </w:r>
      <w:r>
        <w:rPr/>
        <w:t>。人工智能赋能实体经济，安防、金融等领域商业化渗透最快，对传统产业提 升较明显。交通、零售等领域随着</w:t>
      </w:r>
      <w:r>
        <w:rPr>
          <w:rFonts w:ascii="Times New Roman" w:hAnsi="Times New Roman" w:cs="Times New Roman" w:eastAsia="Times New Roman" w:hint="default"/>
        </w:rPr>
        <w:t>AI</w:t>
      </w:r>
      <w:r>
        <w:rPr/>
        <w:t>技术与场景核心痛点匹配度上升，产品逐渐完善，未来激发更大的价值。</w:t>
      </w:r>
    </w:p>
    <w:p>
      <w:pPr>
        <w:pStyle w:val="BodyText"/>
        <w:spacing w:line="300" w:lineRule="auto" w:before="127"/>
        <w:ind w:right="1123" w:firstLine="360"/>
        <w:jc w:val="both"/>
      </w:pPr>
      <w:r>
        <w:rPr>
          <w:spacing w:val="-2"/>
        </w:rPr>
        <w:t>广电运通是国内领先的行业人工智能解决方案提供商，也是人工智能行业中为数不多的国有控股上市公司之一，自</w:t>
      </w:r>
      <w:r>
        <w:rPr>
          <w:rFonts w:ascii="Times New Roman" w:hAnsi="Times New Roman" w:cs="Times New Roman" w:eastAsia="Times New Roman" w:hint="default"/>
          <w:spacing w:val="-2"/>
        </w:rPr>
        <w:t>2017</w:t>
      </w:r>
      <w:r>
        <w:rPr>
          <w:rFonts w:ascii="Times New Roman" w:hAnsi="Times New Roman" w:cs="Times New Roman" w:eastAsia="Times New Roman" w:hint="default"/>
        </w:rPr>
        <w:t> </w:t>
      </w:r>
      <w:r>
        <w:rPr>
          <w:spacing w:val="-1"/>
        </w:rPr>
        <w:t>年底确立向人工智能行业转型升级以来，公司围绕应用场景、算法、算力、数据等核心要素构建核心竞争力，战略聚焦</w:t>
      </w:r>
      <w:r>
        <w:rPr>
          <w:rFonts w:ascii="Times New Roman" w:hAnsi="Times New Roman" w:cs="Times New Roman" w:eastAsia="Times New Roman" w:hint="default"/>
          <w:spacing w:val="-1"/>
        </w:rPr>
        <w:t>AI+</w:t>
      </w:r>
      <w:r>
        <w:rPr>
          <w:rFonts w:ascii="Times New Roman" w:hAnsi="Times New Roman" w:cs="Times New Roman" w:eastAsia="Times New Roman" w:hint="default"/>
          <w:spacing w:val="-5"/>
        </w:rPr>
        <w:t> </w:t>
      </w:r>
      <w:r>
        <w:rPr>
          <w:rFonts w:ascii="Times New Roman" w:hAnsi="Times New Roman" w:cs="Times New Roman" w:eastAsia="Times New Roman" w:hint="default"/>
          <w:spacing w:val="-5"/>
        </w:rPr>
      </w:r>
      <w:r>
        <w:rPr>
          <w:spacing w:val="-1"/>
        </w:rPr>
        <w:t>金融，并延伸至</w:t>
      </w:r>
      <w:r>
        <w:rPr>
          <w:rFonts w:ascii="Times New Roman" w:hAnsi="Times New Roman" w:cs="Times New Roman" w:eastAsia="Times New Roman" w:hint="default"/>
          <w:spacing w:val="-1"/>
        </w:rPr>
        <w:t>AI+</w:t>
      </w:r>
      <w:r>
        <w:rPr>
          <w:spacing w:val="-1"/>
        </w:rPr>
        <w:t>交通、</w:t>
      </w:r>
      <w:r>
        <w:rPr>
          <w:rFonts w:ascii="Times New Roman" w:hAnsi="Times New Roman" w:cs="Times New Roman" w:eastAsia="Times New Roman" w:hint="default"/>
          <w:spacing w:val="-1"/>
        </w:rPr>
        <w:t>AI+</w:t>
      </w:r>
      <w:r>
        <w:rPr>
          <w:spacing w:val="-1"/>
        </w:rPr>
        <w:t>安全、</w:t>
      </w:r>
      <w:r>
        <w:rPr>
          <w:rFonts w:ascii="Times New Roman" w:hAnsi="Times New Roman" w:cs="Times New Roman" w:eastAsia="Times New Roman" w:hint="default"/>
          <w:spacing w:val="-1"/>
        </w:rPr>
        <w:t>AI+</w:t>
      </w:r>
      <w:r>
        <w:rPr>
          <w:spacing w:val="-1"/>
        </w:rPr>
        <w:t>便民三大领域，科技赋能并推动传统产业升级，经过一系列战略布局，公司已经开</w:t>
      </w:r>
      <w:r>
        <w:rPr>
          <w:spacing w:val="-87"/>
        </w:rPr>
        <w:t> </w:t>
      </w:r>
      <w:r>
        <w:rPr>
          <w:spacing w:val="-87"/>
        </w:rPr>
      </w:r>
      <w:r>
        <w:rPr/>
        <w:t>启了业务增长的新时代。</w:t>
      </w:r>
    </w:p>
    <w:p>
      <w:pPr>
        <w:pStyle w:val="BodyText"/>
        <w:spacing w:line="240" w:lineRule="auto" w:before="151"/>
        <w:ind w:left="472" w:right="1394"/>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AI+</w:t>
      </w:r>
      <w:r>
        <w:rPr/>
        <w:t>金融领域发展趋势</w:t>
      </w:r>
    </w:p>
    <w:p>
      <w:pPr>
        <w:spacing w:line="240" w:lineRule="auto" w:before="13"/>
        <w:rPr>
          <w:rFonts w:ascii="宋体" w:hAnsi="宋体" w:cs="宋体" w:eastAsia="宋体" w:hint="default"/>
          <w:sz w:val="13"/>
          <w:szCs w:val="13"/>
        </w:rPr>
      </w:pPr>
    </w:p>
    <w:p>
      <w:pPr>
        <w:pStyle w:val="BodyText"/>
        <w:spacing w:line="309" w:lineRule="auto"/>
        <w:ind w:right="1129" w:firstLine="360"/>
        <w:jc w:val="both"/>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22</w:t>
      </w:r>
      <w:r>
        <w:rPr/>
        <w:t>日，中国人民银行印发《金融科技（</w:t>
      </w:r>
      <w:r>
        <w:rPr>
          <w:rFonts w:ascii="Times New Roman" w:hAnsi="Times New Roman" w:cs="Times New Roman" w:eastAsia="Times New Roman" w:hint="default"/>
        </w:rPr>
        <w:t>FinTech</w:t>
      </w:r>
      <w:r>
        <w:rPr/>
        <w:t>）发展规划（</w:t>
      </w:r>
      <w:r>
        <w:rPr>
          <w:rFonts w:ascii="Times New Roman" w:hAnsi="Times New Roman" w:cs="Times New Roman" w:eastAsia="Times New Roman" w:hint="default"/>
        </w:rPr>
        <w:t>2019-2021</w:t>
      </w:r>
      <w:r>
        <w:rPr/>
        <w:t>年）》。《规划》指出，金融科技是 </w:t>
      </w:r>
      <w:r>
        <w:rPr>
          <w:spacing w:val="-3"/>
        </w:rPr>
        <w:t>技术驱动的金融创新。充分发挥金融科技赋能作用，推动我国金融业高质量发展。到</w:t>
      </w:r>
      <w:r>
        <w:rPr>
          <w:rFonts w:ascii="Times New Roman" w:hAnsi="Times New Roman" w:cs="Times New Roman" w:eastAsia="Times New Roman" w:hint="default"/>
          <w:spacing w:val="-3"/>
        </w:rPr>
        <w:t>2021</w:t>
      </w:r>
      <w:r>
        <w:rPr>
          <w:spacing w:val="-3"/>
        </w:rPr>
        <w:t>年，我国将健全金融科技发展，</w:t>
      </w:r>
      <w:r>
        <w:rPr>
          <w:spacing w:val="-10"/>
        </w:rPr>
        <w:t> </w:t>
      </w:r>
      <w:r>
        <w:rPr/>
        <w:t>进</w:t>
      </w:r>
      <w:r>
        <w:rPr>
          <w:spacing w:val="-86"/>
        </w:rPr>
        <w:t> </w:t>
      </w:r>
      <w:r>
        <w:rPr>
          <w:spacing w:val="-86"/>
        </w:rPr>
      </w:r>
      <w:r>
        <w:rPr>
          <w:spacing w:val="-2"/>
        </w:rPr>
        <w:t>一步增强金融业科技应用能力，实现金融与科技深度融合、协调发展，明显增强人民群众对数字化、网络化、智能化金融产</w:t>
      </w:r>
      <w:r>
        <w:rPr>
          <w:spacing w:val="-63"/>
        </w:rPr>
        <w:t> </w:t>
      </w:r>
      <w:r>
        <w:rPr>
          <w:spacing w:val="-63"/>
        </w:rPr>
      </w:r>
      <w:r>
        <w:rPr>
          <w:spacing w:val="-2"/>
        </w:rPr>
        <w:t>品和服务的满意度，推动我国金融科技发展居于国际领先水平，实现金融科技应用先进可控、金融服务能力稳步增强、金融</w:t>
      </w:r>
      <w:r>
        <w:rPr>
          <w:spacing w:val="-64"/>
        </w:rPr>
        <w:t> </w:t>
      </w:r>
      <w:r>
        <w:rPr>
          <w:spacing w:val="-64"/>
        </w:rPr>
      </w:r>
      <w:r>
        <w:rPr/>
        <w:t>风控水平明显提高、金融监管效能持续提升、金融科技支撑不断完善、金融科技产业繁荣发展。</w:t>
      </w:r>
    </w:p>
    <w:p>
      <w:pPr>
        <w:pStyle w:val="BodyText"/>
        <w:spacing w:line="300" w:lineRule="auto" w:before="144"/>
        <w:ind w:right="0" w:firstLine="360"/>
        <w:jc w:val="left"/>
      </w:pPr>
      <w:r>
        <w:rPr/>
        <w:t>根据银保监会统计，截至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月底，全国共有</w:t>
      </w:r>
      <w:r>
        <w:rPr>
          <w:rFonts w:ascii="Times New Roman" w:hAnsi="Times New Roman" w:cs="Times New Roman" w:eastAsia="Times New Roman" w:hint="default"/>
        </w:rPr>
        <w:t>4,597</w:t>
      </w:r>
      <w:r>
        <w:rPr/>
        <w:t>家银行业金融机构，较</w:t>
      </w:r>
      <w:r>
        <w:rPr>
          <w:rFonts w:ascii="Times New Roman" w:hAnsi="Times New Roman" w:cs="Times New Roman" w:eastAsia="Times New Roman" w:hint="default"/>
        </w:rPr>
        <w:t>2018</w:t>
      </w:r>
      <w:r>
        <w:rPr/>
        <w:t>年末增加</w:t>
      </w:r>
      <w:r>
        <w:rPr>
          <w:rFonts w:ascii="Times New Roman" w:hAnsi="Times New Roman" w:cs="Times New Roman" w:eastAsia="Times New Roman" w:hint="default"/>
        </w:rPr>
        <w:t>9</w:t>
      </w:r>
      <w:r>
        <w:rPr/>
        <w:t>家。银行网点总量稳定在 </w:t>
      </w:r>
      <w:r>
        <w:rPr>
          <w:rFonts w:ascii="Times New Roman" w:hAnsi="Times New Roman" w:cs="Times New Roman" w:eastAsia="Times New Roman" w:hint="default"/>
          <w:spacing w:val="-1"/>
        </w:rPr>
        <w:t>22.86</w:t>
      </w:r>
      <w:r>
        <w:rPr>
          <w:spacing w:val="-1"/>
        </w:rPr>
        <w:t>万个，并进一步向乡镇地区下沉。未来利用金融科技重塑银行业务形态、产品模式和服务方式，对网点的结构、布局、</w:t>
      </w:r>
      <w:r>
        <w:rPr>
          <w:spacing w:val="-73"/>
        </w:rPr>
        <w:t> </w:t>
      </w:r>
      <w:r>
        <w:rPr>
          <w:spacing w:val="-73"/>
        </w:rPr>
      </w:r>
      <w:r>
        <w:rPr/>
        <w:t>场景进行全面优化是长期趋势。一方面，银行通过加大投放非现柜体、现金柜台、便携式</w:t>
      </w:r>
      <w:r>
        <w:rPr>
          <w:rFonts w:ascii="Times New Roman" w:hAnsi="Times New Roman" w:cs="Times New Roman" w:eastAsia="Times New Roman" w:hint="default"/>
        </w:rPr>
        <w:t>/</w:t>
      </w:r>
      <w:r>
        <w:rPr/>
        <w:t>轻型化终端等智能设备的布局，</w:t>
      </w:r>
      <w:r>
        <w:rPr>
          <w:spacing w:val="-51"/>
        </w:rPr>
        <w:t> </w:t>
      </w:r>
      <w:r>
        <w:rPr>
          <w:spacing w:val="-51"/>
        </w:rPr>
      </w:r>
      <w:r>
        <w:rPr>
          <w:spacing w:val="-1"/>
        </w:rPr>
        <w:t>提升网点交易的智能化水平。中国银行业协会的数据显示，银行业平均离柜业务率为</w:t>
      </w:r>
      <w:r>
        <w:rPr>
          <w:rFonts w:ascii="Times New Roman" w:hAnsi="Times New Roman" w:cs="Times New Roman" w:eastAsia="Times New Roman" w:hint="default"/>
          <w:spacing w:val="-1"/>
        </w:rPr>
        <w:t>87.58%</w:t>
      </w:r>
      <w:r>
        <w:rPr>
          <w:spacing w:val="-1"/>
        </w:rPr>
        <w:t>。另一方面，通过对网点预约、</w:t>
      </w:r>
      <w:r>
        <w:rPr>
          <w:spacing w:val="-43"/>
        </w:rPr>
        <w:t> </w:t>
      </w:r>
      <w:r>
        <w:rPr>
          <w:spacing w:val="-43"/>
        </w:rPr>
      </w:r>
      <w:r>
        <w:rPr>
          <w:spacing w:val="-2"/>
        </w:rPr>
        <w:t>识别、交易、营销、展示、评价、风控等网点业务场景的全面智能化，打造智能化网点也成为网点转型的重要方式。伴随银</w:t>
      </w:r>
    </w:p>
    <w:p>
      <w:pPr>
        <w:spacing w:after="0" w:line="300" w:lineRule="auto"/>
        <w:jc w:val="left"/>
        <w:sectPr>
          <w:type w:val="continuous"/>
          <w:pgSz w:w="11910" w:h="16840"/>
          <w:pgMar w:top="1100" w:bottom="1160" w:left="1020" w:right="0"/>
        </w:sectPr>
      </w:pPr>
    </w:p>
    <w:p>
      <w:pPr>
        <w:spacing w:line="240" w:lineRule="auto" w:before="1"/>
        <w:rPr>
          <w:rFonts w:ascii="宋体" w:hAnsi="宋体" w:cs="宋体" w:eastAsia="宋体" w:hint="default"/>
          <w:sz w:val="22"/>
          <w:szCs w:val="22"/>
        </w:rPr>
      </w:pPr>
    </w:p>
    <w:p>
      <w:pPr>
        <w:pStyle w:val="BodyText"/>
        <w:spacing w:line="309" w:lineRule="auto" w:before="44"/>
        <w:ind w:right="1123"/>
        <w:jc w:val="both"/>
      </w:pPr>
      <w:r>
        <w:rPr/>
        <w:t>行对企业大客户的深耕及业务场景融合需求，银行的网点也将向轻型化、体验化、智能化转型。银行将采用</w:t>
      </w:r>
      <w:r>
        <w:rPr>
          <w:rFonts w:ascii="Times New Roman" w:hAnsi="Times New Roman" w:cs="Times New Roman" w:eastAsia="Times New Roman" w:hint="default"/>
        </w:rPr>
        <w:t>“</w:t>
      </w:r>
      <w:r>
        <w:rPr/>
        <w:t>自建</w:t>
      </w:r>
      <w:r>
        <w:rPr>
          <w:rFonts w:ascii="Times New Roman" w:hAnsi="Times New Roman" w:cs="Times New Roman" w:eastAsia="Times New Roman" w:hint="default"/>
        </w:rPr>
        <w:t>+</w:t>
      </w:r>
      <w:r>
        <w:rPr/>
        <w:t>合建</w:t>
      </w:r>
      <w:r>
        <w:rPr>
          <w:rFonts w:ascii="Times New Roman" w:hAnsi="Times New Roman" w:cs="Times New Roman" w:eastAsia="Times New Roman" w:hint="default"/>
        </w:rPr>
        <w:t>”</w:t>
      </w:r>
      <w:r>
        <w:rPr/>
        <w:t>模</w:t>
      </w:r>
      <w:r>
        <w:rPr>
          <w:spacing w:val="-76"/>
        </w:rPr>
        <w:t> </w:t>
      </w:r>
      <w:r>
        <w:rPr>
          <w:spacing w:val="-2"/>
        </w:rPr>
        <w:t>式，加大与校园、新零售、企业等场景融合，布局银行网点以外的医院、校园、政务、交通、通信、企业园区等金融相关业</w:t>
      </w:r>
      <w:r>
        <w:rPr>
          <w:spacing w:val="-60"/>
        </w:rPr>
        <w:t> </w:t>
      </w:r>
      <w:r>
        <w:rPr>
          <w:spacing w:val="-60"/>
        </w:rPr>
      </w:r>
      <w:r>
        <w:rPr/>
        <w:t>务场景，随之衍生出更形态多样的市场创新需求。</w:t>
      </w:r>
    </w:p>
    <w:p>
      <w:pPr>
        <w:pStyle w:val="BodyText"/>
        <w:spacing w:line="312" w:lineRule="auto" w:before="144"/>
        <w:ind w:right="1130" w:firstLine="360"/>
        <w:jc w:val="both"/>
      </w:pPr>
      <w:r>
        <w:rPr>
          <w:spacing w:val="-2"/>
        </w:rPr>
        <w:t>同时，大数据与区块链等技术的发展与融合催生新机遇。在国资信息化方面，根据国务院《关于印发改革国有资本授权</w:t>
      </w:r>
      <w:r>
        <w:rPr/>
        <w:t> 经营体制方案的通知》（国发【</w:t>
      </w:r>
      <w:r>
        <w:rPr>
          <w:rFonts w:ascii="Times New Roman" w:hAnsi="Times New Roman" w:cs="Times New Roman" w:eastAsia="Times New Roman" w:hint="default"/>
        </w:rPr>
        <w:t>2019</w:t>
      </w:r>
      <w:r>
        <w:rPr/>
        <w:t>】</w:t>
      </w:r>
      <w:r>
        <w:rPr>
          <w:rFonts w:ascii="Times New Roman" w:hAnsi="Times New Roman" w:cs="Times New Roman" w:eastAsia="Times New Roman" w:hint="default"/>
        </w:rPr>
        <w:t>9</w:t>
      </w:r>
      <w:r>
        <w:rPr/>
        <w:t>号文），要求搭建实时在线的国资监管平台，充分运用信息技术，整合产权、投资</w:t>
      </w:r>
      <w:r>
        <w:rPr>
          <w:spacing w:val="-85"/>
        </w:rPr>
        <w:t> </w:t>
      </w:r>
      <w:r>
        <w:rPr>
          <w:spacing w:val="-85"/>
        </w:rPr>
      </w:r>
      <w:r>
        <w:rPr>
          <w:spacing w:val="-2"/>
        </w:rPr>
        <w:t>和财务等信息系统，实现监管信息系统全覆盖和实时在线监管，新一轮国资监管系统建设逐渐爆发。在审计信息化方面，国</w:t>
      </w:r>
      <w:r>
        <w:rPr>
          <w:spacing w:val="-64"/>
        </w:rPr>
        <w:t> </w:t>
      </w:r>
      <w:r>
        <w:rPr>
          <w:spacing w:val="-64"/>
        </w:rPr>
      </w:r>
      <w:r>
        <w:rPr/>
        <w:t>务院积极发文推进审计信息化建设，国家审计署从国家层面上逐步推进金审三期的开发及试点工作，要求</w:t>
      </w:r>
      <w:r>
        <w:rPr>
          <w:rFonts w:ascii="Times New Roman" w:hAnsi="Times New Roman" w:cs="Times New Roman" w:eastAsia="Times New Roman" w:hint="default"/>
        </w:rPr>
        <w:t>“</w:t>
      </w:r>
      <w:r>
        <w:rPr/>
        <w:t>构建大数据审计</w:t>
      </w:r>
      <w:r>
        <w:rPr>
          <w:spacing w:val="-76"/>
        </w:rPr>
        <w:t> </w:t>
      </w:r>
      <w:r>
        <w:rPr>
          <w:spacing w:val="-76"/>
        </w:rPr>
      </w:r>
      <w:r>
        <w:rPr>
          <w:spacing w:val="-2"/>
        </w:rPr>
        <w:t>工作模式，提高审计能力、质量和效率，扩大审计监督的广度和深度。在财政电子化方面，目前我国大部分财政部门使用的</w:t>
      </w:r>
      <w:r>
        <w:rPr>
          <w:spacing w:val="-63"/>
        </w:rPr>
        <w:t> </w:t>
      </w:r>
      <w:r>
        <w:rPr>
          <w:spacing w:val="-63"/>
        </w:rPr>
      </w:r>
      <w:r>
        <w:rPr>
          <w:spacing w:val="-2"/>
        </w:rPr>
        <w:t>业务系统面临升级换代，以信息安全、云计算、大数据、区块链为手段，进行集约化监管、大集中部署成为政府和财政行业</w:t>
      </w:r>
      <w:r>
        <w:rPr>
          <w:spacing w:val="-64"/>
        </w:rPr>
        <w:t> </w:t>
      </w:r>
      <w:r>
        <w:rPr>
          <w:spacing w:val="-64"/>
        </w:rPr>
      </w:r>
      <w:r>
        <w:rPr/>
        <w:t>的趋势。</w:t>
      </w:r>
    </w:p>
    <w:p>
      <w:pPr>
        <w:pStyle w:val="BodyText"/>
        <w:spacing w:line="415" w:lineRule="auto" w:before="142"/>
        <w:ind w:left="472" w:right="0"/>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AI+</w:t>
      </w:r>
      <w:r>
        <w:rPr/>
        <w:t>安防领域发展趋势 </w:t>
      </w:r>
      <w:r>
        <w:rPr>
          <w:spacing w:val="-2"/>
        </w:rPr>
        <w:t>我国智能安防市场需求处于快速上升期，未来发展前景广阔。随着我国智慧城市以及平安城市的进程推进，对安防的市</w:t>
      </w:r>
    </w:p>
    <w:p>
      <w:pPr>
        <w:pStyle w:val="BodyText"/>
        <w:spacing w:line="194" w:lineRule="exact"/>
        <w:ind w:right="0"/>
        <w:jc w:val="both"/>
      </w:pPr>
      <w:r>
        <w:rPr/>
        <w:t>场需求逐渐增强。再加上各类政策加持、大数据及</w:t>
      </w:r>
      <w:r>
        <w:rPr>
          <w:rFonts w:ascii="Times New Roman" w:hAnsi="Times New Roman" w:cs="Times New Roman" w:eastAsia="Times New Roman" w:hint="default"/>
        </w:rPr>
        <w:t>AI</w:t>
      </w:r>
      <w:r>
        <w:rPr/>
        <w:t>的发展赋能，极大促进我国安防行业向着多元化发展，安防产品种类</w:t>
      </w:r>
    </w:p>
    <w:p>
      <w:pPr>
        <w:pStyle w:val="BodyText"/>
        <w:spacing w:line="300" w:lineRule="auto" w:before="63"/>
        <w:ind w:right="1130"/>
        <w:jc w:val="both"/>
      </w:pPr>
      <w:r>
        <w:rPr>
          <w:spacing w:val="-2"/>
        </w:rPr>
        <w:t>越来越多，安防领域越来越广。根据工信部的数据显示，我国安防产业增速已高于全球。预计到</w:t>
      </w:r>
      <w:r>
        <w:rPr>
          <w:rFonts w:ascii="Times New Roman" w:hAnsi="Times New Roman" w:cs="Times New Roman" w:eastAsia="Times New Roman" w:hint="default"/>
          <w:spacing w:val="-2"/>
        </w:rPr>
        <w:t>2020</w:t>
      </w:r>
      <w:r>
        <w:rPr>
          <w:spacing w:val="-2"/>
        </w:rPr>
        <w:t>年，我国安防市场规模</w:t>
      </w:r>
      <w:r>
        <w:rPr>
          <w:spacing w:val="-61"/>
        </w:rPr>
        <w:t> </w:t>
      </w:r>
      <w:r>
        <w:rPr>
          <w:spacing w:val="-61"/>
        </w:rPr>
      </w:r>
      <w:r>
        <w:rPr/>
        <w:t>将超过</w:t>
      </w:r>
      <w:r>
        <w:rPr>
          <w:rFonts w:ascii="Times New Roman" w:hAnsi="Times New Roman" w:cs="Times New Roman" w:eastAsia="Times New Roman" w:hint="default"/>
        </w:rPr>
        <w:t>8,000</w:t>
      </w:r>
      <w:r>
        <w:rPr/>
        <w:t>亿元，年增长率达</w:t>
      </w:r>
      <w:r>
        <w:rPr>
          <w:rFonts w:ascii="Times New Roman" w:hAnsi="Times New Roman" w:cs="Times New Roman" w:eastAsia="Times New Roman" w:hint="default"/>
        </w:rPr>
        <w:t>10%</w:t>
      </w:r>
      <w:r>
        <w:rPr/>
        <w:t>以上。随着智能化成为行业大趋势，智能安防所占比将会越来越大，预计到</w:t>
      </w:r>
      <w:r>
        <w:rPr>
          <w:rFonts w:ascii="Times New Roman" w:hAnsi="Times New Roman" w:cs="Times New Roman" w:eastAsia="Times New Roman" w:hint="default"/>
        </w:rPr>
        <w:t>2020</w:t>
      </w:r>
      <w:r>
        <w:rPr/>
        <w:t>年将创</w:t>
      </w:r>
      <w:r>
        <w:rPr>
          <w:spacing w:val="-25"/>
        </w:rPr>
        <w:t> </w:t>
      </w:r>
      <w:r>
        <w:rPr>
          <w:spacing w:val="-25"/>
        </w:rPr>
      </w:r>
      <w:r>
        <w:rPr/>
        <w:t>造千亿元以上市场规模。</w:t>
      </w:r>
    </w:p>
    <w:p>
      <w:pPr>
        <w:pStyle w:val="BodyText"/>
        <w:spacing w:line="302" w:lineRule="auto" w:before="151"/>
        <w:ind w:right="1051" w:firstLine="360"/>
        <w:jc w:val="left"/>
      </w:pPr>
      <w:r>
        <w:rPr/>
        <w:t>在行业需求层面，根据《公共安全视频监控建设联网应用</w:t>
      </w:r>
      <w:r>
        <w:rPr>
          <w:rFonts w:ascii="Times New Roman" w:hAnsi="Times New Roman" w:cs="Times New Roman" w:eastAsia="Times New Roman" w:hint="default"/>
        </w:rPr>
        <w:t>“</w:t>
      </w:r>
      <w:r>
        <w:rPr/>
        <w:t>十三五</w:t>
      </w:r>
      <w:r>
        <w:rPr>
          <w:rFonts w:ascii="Times New Roman" w:hAnsi="Times New Roman" w:cs="Times New Roman" w:eastAsia="Times New Roman" w:hint="default"/>
        </w:rPr>
        <w:t>”</w:t>
      </w:r>
      <w:r>
        <w:rPr/>
        <w:t>规划方案》，要求</w:t>
      </w:r>
      <w:r>
        <w:rPr>
          <w:rFonts w:ascii="Times New Roman" w:hAnsi="Times New Roman" w:cs="Times New Roman" w:eastAsia="Times New Roman" w:hint="default"/>
        </w:rPr>
        <w:t>2020</w:t>
      </w:r>
      <w:r>
        <w:rPr/>
        <w:t>年全国基本实现</w:t>
      </w:r>
      <w:r>
        <w:rPr>
          <w:rFonts w:ascii="Times New Roman" w:hAnsi="Times New Roman" w:cs="Times New Roman" w:eastAsia="Times New Roman" w:hint="default"/>
        </w:rPr>
        <w:t>“</w:t>
      </w:r>
      <w:r>
        <w:rPr/>
        <w:t>全域覆盖、 全网共享、全时可用、全程可控</w:t>
      </w:r>
      <w:r>
        <w:rPr>
          <w:rFonts w:ascii="Times New Roman" w:hAnsi="Times New Roman" w:cs="Times New Roman" w:eastAsia="Times New Roman" w:hint="default"/>
        </w:rPr>
        <w:t>”</w:t>
      </w:r>
      <w:r>
        <w:rPr/>
        <w:t>的公共安全视频监控建设联网应用目标。当前，国内六百六十个城市三千余个镇县尚有大</w:t>
      </w:r>
      <w:r>
        <w:rPr>
          <w:spacing w:val="-74"/>
        </w:rPr>
        <w:t> </w:t>
      </w:r>
      <w:r>
        <w:rPr>
          <w:spacing w:val="-74"/>
        </w:rPr>
      </w:r>
      <w:r>
        <w:rPr/>
        <w:t>部分未覆盖。在未来逐步覆盖下，每年市场将以</w:t>
      </w:r>
      <w:r>
        <w:rPr>
          <w:rFonts w:ascii="Times New Roman" w:hAnsi="Times New Roman" w:cs="Times New Roman" w:eastAsia="Times New Roman" w:hint="default"/>
        </w:rPr>
        <w:t>300-500</w:t>
      </w:r>
      <w:r>
        <w:rPr/>
        <w:t>亿元</w:t>
      </w:r>
      <w:r>
        <w:rPr>
          <w:rFonts w:ascii="Times New Roman" w:hAnsi="Times New Roman" w:cs="Times New Roman" w:eastAsia="Times New Roman" w:hint="default"/>
        </w:rPr>
        <w:t>/</w:t>
      </w:r>
      <w:r>
        <w:rPr/>
        <w:t>年的速度增长。另一方面，一线城市智能化带动的安防系统升 </w:t>
      </w:r>
      <w:r>
        <w:rPr>
          <w:spacing w:val="-5"/>
        </w:rPr>
        <w:t>级改造，有望打开一线市场的增量市场。智能摄像机的替代更新将是安防行业在一线城市的主要增长点。同时，政府端的</w:t>
      </w:r>
      <w:r>
        <w:rPr/>
        <w:t> </w:t>
      </w:r>
      <w:r>
        <w:rPr>
          <w:rFonts w:ascii="Times New Roman" w:hAnsi="Times New Roman" w:cs="Times New Roman" w:eastAsia="Times New Roman" w:hint="default"/>
          <w:w w:val="99"/>
        </w:rPr>
        <w:t>“</w:t>
      </w:r>
      <w:r>
        <w:rPr>
          <w:w w:val="99"/>
        </w:rPr>
        <w:t>智</w:t>
      </w:r>
      <w:r>
        <w:rPr>
          <w:spacing w:val="-74"/>
          <w:w w:val="99"/>
        </w:rPr>
        <w:t> </w:t>
      </w:r>
      <w:r>
        <w:rPr/>
        <w:t>慧城市</w:t>
      </w:r>
      <w:r>
        <w:rPr>
          <w:rFonts w:ascii="Times New Roman" w:hAnsi="Times New Roman" w:cs="Times New Roman" w:eastAsia="Times New Roman" w:hint="default"/>
        </w:rPr>
        <w:t>”</w:t>
      </w:r>
      <w:r>
        <w:rPr/>
        <w:t>项目将侧重于智能楼宇、智能出行、智能住房、智能能源等领域，成为安防项目在一线城市升级的主要拉动力。此</w:t>
      </w:r>
      <w:r>
        <w:rPr>
          <w:spacing w:val="-76"/>
        </w:rPr>
        <w:t> </w:t>
      </w:r>
      <w:r>
        <w:rPr>
          <w:spacing w:val="-76"/>
        </w:rPr>
      </w:r>
      <w:r>
        <w:rPr/>
        <w:t>外，在最新的全球智慧城市支出指南中，拓展了对智慧生态系统的研究与规模预测，新增了智慧港口、智慧体育馆及校园。 这对相关技术供应商来说充满机遇，可以将大型项目的经验应用于更小型、更多元化、更有利于客户承担的项目中。</w:t>
      </w:r>
    </w:p>
    <w:p>
      <w:pPr>
        <w:pStyle w:val="BodyText"/>
        <w:spacing w:line="314" w:lineRule="auto" w:before="149"/>
        <w:ind w:right="1128" w:firstLine="360"/>
        <w:jc w:val="both"/>
      </w:pPr>
      <w:r>
        <w:rPr>
          <w:spacing w:val="-2"/>
        </w:rPr>
        <w:t>在产业发展趋势层面，未来将由产品到解决方案再到开放的生态圈建设。一方面随着行业技术进步，包括视频监控将走</w:t>
      </w:r>
      <w:r>
        <w:rPr/>
        <w:t> 向</w:t>
      </w:r>
      <w:r>
        <w:rPr>
          <w:rFonts w:ascii="Times New Roman" w:hAnsi="Times New Roman" w:cs="Times New Roman" w:eastAsia="Times New Roman" w:hint="default"/>
        </w:rPr>
        <w:t>AIOT</w:t>
      </w:r>
      <w:r>
        <w:rPr/>
        <w:t>化、加载多模态生物识别的安防技术将得到广泛应用，更多智能化产品将持续取得突破，行业的应用场景也不断丰</w:t>
      </w:r>
      <w:r>
        <w:rPr>
          <w:spacing w:val="-64"/>
        </w:rPr>
        <w:t> </w:t>
      </w:r>
      <w:r>
        <w:rPr>
          <w:spacing w:val="-64"/>
        </w:rPr>
      </w:r>
      <w:r>
        <w:rPr>
          <w:spacing w:val="-2"/>
        </w:rPr>
        <w:t>富，安防市场规模将得到极大放量；另一方面，随着软硬件研发、平台开放以及产业合作的推进，仅单纯依靠若干家解决方</w:t>
      </w:r>
      <w:r>
        <w:rPr>
          <w:spacing w:val="-63"/>
        </w:rPr>
        <w:t> </w:t>
      </w:r>
      <w:r>
        <w:rPr>
          <w:spacing w:val="-63"/>
        </w:rPr>
      </w:r>
      <w:r>
        <w:rPr>
          <w:spacing w:val="-2"/>
        </w:rPr>
        <w:t>案提供商已经无法覆盖到全产业链，由面到体的产业生态体系建设势在必行，将通过开放平台，共享算法、算力、数据、产</w:t>
      </w:r>
      <w:r>
        <w:rPr>
          <w:spacing w:val="-64"/>
        </w:rPr>
        <w:t> </w:t>
      </w:r>
      <w:r>
        <w:rPr>
          <w:spacing w:val="-64"/>
        </w:rPr>
      </w:r>
      <w:r>
        <w:rPr/>
        <w:t>品、服务等资源，构筑相互影响、相互融合、互惠共赢的产业生态圈。</w:t>
      </w:r>
    </w:p>
    <w:p>
      <w:pPr>
        <w:pStyle w:val="BodyText"/>
        <w:spacing w:line="432" w:lineRule="exact" w:before="5"/>
        <w:ind w:left="472" w:right="0"/>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AI+</w:t>
      </w:r>
      <w:r>
        <w:rPr/>
        <w:t>交通领域发展趋势 </w:t>
      </w:r>
      <w:r>
        <w:rPr>
          <w:spacing w:val="-2"/>
        </w:rPr>
        <w:t>在国家政策、经济、技术的大力支持下，我国智慧交通发展取得明显成效，基础设施和装备智能化水平大幅跃升，新业</w:t>
      </w:r>
    </w:p>
    <w:p>
      <w:pPr>
        <w:pStyle w:val="BodyText"/>
        <w:spacing w:line="307" w:lineRule="auto" w:before="15"/>
        <w:ind w:right="1125"/>
        <w:jc w:val="both"/>
      </w:pPr>
      <w:r>
        <w:rPr>
          <w:spacing w:val="-2"/>
        </w:rPr>
        <w:t>态、新产品不断涌现。根据《交通强国建设纲要》中规划目标，提出了推动大数据、互联网、人工智能、区块链、超级计算</w:t>
      </w:r>
      <w:r>
        <w:rPr>
          <w:spacing w:val="-62"/>
        </w:rPr>
        <w:t> </w:t>
      </w:r>
      <w:r>
        <w:rPr>
          <w:spacing w:val="-62"/>
        </w:rPr>
      </w:r>
      <w:r>
        <w:rPr>
          <w:spacing w:val="-2"/>
        </w:rPr>
        <w:t>等新技术与交通行业深度融合。到</w:t>
      </w:r>
      <w:r>
        <w:rPr>
          <w:rFonts w:ascii="Times New Roman" w:hAnsi="Times New Roman" w:cs="Times New Roman" w:eastAsia="Times New Roman" w:hint="default"/>
          <w:spacing w:val="-2"/>
        </w:rPr>
        <w:t>2035</w:t>
      </w:r>
      <w:r>
        <w:rPr>
          <w:spacing w:val="-2"/>
        </w:rPr>
        <w:t>年，基本建成交通强国，到本世纪中叶，全面建成交通强国。根据前瞻产业研究院的</w:t>
      </w:r>
      <w:r>
        <w:rPr>
          <w:spacing w:val="-61"/>
        </w:rPr>
        <w:t> </w:t>
      </w:r>
      <w:r>
        <w:rPr>
          <w:spacing w:val="-61"/>
        </w:rPr>
      </w:r>
      <w:r>
        <w:rPr>
          <w:spacing w:val="-2"/>
        </w:rPr>
        <w:t>数据，预测未来五年，中国智慧交通市场将保持高速增长趋势。智慧交通作为智慧城市建设中的主要组成部分，</w:t>
      </w:r>
      <w:r>
        <w:rPr>
          <w:rFonts w:ascii="Times New Roman" w:hAnsi="Times New Roman" w:cs="Times New Roman" w:eastAsia="Times New Roman" w:hint="default"/>
          <w:spacing w:val="-2"/>
        </w:rPr>
        <w:t>IT</w:t>
      </w:r>
      <w:r>
        <w:rPr>
          <w:spacing w:val="-2"/>
        </w:rPr>
        <w:t>建设支出</w:t>
      </w:r>
      <w:r>
        <w:rPr>
          <w:spacing w:val="-53"/>
        </w:rPr>
        <w:t> </w:t>
      </w:r>
      <w:r>
        <w:rPr/>
        <w:t>占比约为</w:t>
      </w:r>
      <w:r>
        <w:rPr>
          <w:rFonts w:ascii="Times New Roman" w:hAnsi="Times New Roman" w:cs="Times New Roman" w:eastAsia="Times New Roman" w:hint="default"/>
        </w:rPr>
        <w:t>27%</w:t>
      </w:r>
      <w:r>
        <w:rPr/>
        <w:t>，</w:t>
      </w:r>
      <w:r>
        <w:rPr>
          <w:rFonts w:ascii="Times New Roman" w:hAnsi="Times New Roman" w:cs="Times New Roman" w:eastAsia="Times New Roman" w:hint="default"/>
        </w:rPr>
        <w:t>2019</w:t>
      </w:r>
      <w:r>
        <w:rPr/>
        <w:t>年中国智慧交通技术支出约为</w:t>
      </w:r>
      <w:r>
        <w:rPr>
          <w:rFonts w:ascii="Times New Roman" w:hAnsi="Times New Roman" w:cs="Times New Roman" w:eastAsia="Times New Roman" w:hint="default"/>
        </w:rPr>
        <w:t>432</w:t>
      </w:r>
      <w:r>
        <w:rPr/>
        <w:t>亿元，</w:t>
      </w:r>
      <w:r>
        <w:rPr>
          <w:rFonts w:ascii="Times New Roman" w:hAnsi="Times New Roman" w:cs="Times New Roman" w:eastAsia="Times New Roman" w:hint="default"/>
        </w:rPr>
        <w:t>2024</w:t>
      </w:r>
      <w:r>
        <w:rPr/>
        <w:t>年中国智慧交通技术支出规模将达到</w:t>
      </w:r>
      <w:r>
        <w:rPr>
          <w:rFonts w:ascii="Times New Roman" w:hAnsi="Times New Roman" w:cs="Times New Roman" w:eastAsia="Times New Roman" w:hint="default"/>
        </w:rPr>
        <w:t>840</w:t>
      </w:r>
      <w:r>
        <w:rPr/>
        <w:t>亿元左右。</w:t>
      </w:r>
    </w:p>
    <w:p>
      <w:pPr>
        <w:pStyle w:val="BodyText"/>
        <w:spacing w:line="307" w:lineRule="auto" w:before="127"/>
        <w:ind w:right="1034" w:firstLine="360"/>
        <w:jc w:val="left"/>
      </w:pPr>
      <w:r>
        <w:rPr>
          <w:spacing w:val="-2"/>
        </w:rPr>
        <w:t>在交通强国的背景下，</w:t>
      </w:r>
      <w:r>
        <w:rPr>
          <w:rFonts w:ascii="Times New Roman" w:hAnsi="Times New Roman" w:cs="Times New Roman" w:eastAsia="Times New Roman" w:hint="default"/>
          <w:spacing w:val="-2"/>
        </w:rPr>
        <w:t>AFC</w:t>
      </w:r>
      <w:r>
        <w:rPr>
          <w:spacing w:val="-2"/>
        </w:rPr>
        <w:t>系统作为技术前瞻性较高的系统，在大数据、人工智能、区块链等新技术融合，一直走在行</w:t>
      </w:r>
      <w:r>
        <w:rPr/>
        <w:t> </w:t>
      </w:r>
      <w:r>
        <w:rPr>
          <w:spacing w:val="-6"/>
          <w:w w:val="99"/>
        </w:rPr>
        <w:t>业发展前沿。根据《</w:t>
      </w:r>
      <w:r>
        <w:rPr>
          <w:rFonts w:ascii="Times New Roman" w:hAnsi="Times New Roman" w:cs="Times New Roman" w:eastAsia="Times New Roman" w:hint="default"/>
          <w:spacing w:val="-6"/>
          <w:w w:val="99"/>
        </w:rPr>
        <w:t>2019</w:t>
      </w:r>
      <w:r>
        <w:rPr>
          <w:spacing w:val="-6"/>
          <w:w w:val="99"/>
        </w:rPr>
        <w:t>年城市轨道交通</w:t>
      </w:r>
      <w:r>
        <w:rPr>
          <w:rFonts w:ascii="Times New Roman" w:hAnsi="Times New Roman" w:cs="Times New Roman" w:eastAsia="Times New Roman" w:hint="default"/>
          <w:spacing w:val="-6"/>
          <w:w w:val="99"/>
        </w:rPr>
        <w:t>AFC</w:t>
      </w:r>
      <w:r>
        <w:rPr>
          <w:spacing w:val="-6"/>
          <w:w w:val="99"/>
        </w:rPr>
        <w:t>系统市场报告》统计显示，目前我国内地已开通城市轨道交通运营总里程</w:t>
      </w:r>
      <w:r>
        <w:rPr>
          <w:rFonts w:ascii="Times New Roman" w:hAnsi="Times New Roman" w:cs="Times New Roman" w:eastAsia="Times New Roman" w:hint="default"/>
          <w:spacing w:val="-6"/>
          <w:w w:val="99"/>
        </w:rPr>
        <w:t>6,018.63</w:t>
      </w:r>
      <w:r>
        <w:rPr>
          <w:rFonts w:ascii="Times New Roman" w:hAnsi="Times New Roman" w:cs="Times New Roman" w:eastAsia="Times New Roman" w:hint="default"/>
          <w:spacing w:val="-13"/>
          <w:w w:val="99"/>
        </w:rPr>
        <w:t> </w:t>
      </w:r>
      <w:r>
        <w:rPr>
          <w:rFonts w:ascii="Times New Roman" w:hAnsi="Times New Roman" w:cs="Times New Roman" w:eastAsia="Times New Roman" w:hint="default"/>
          <w:spacing w:val="-13"/>
          <w:w w:val="99"/>
        </w:rPr>
      </w:r>
      <w:r>
        <w:rPr>
          <w:spacing w:val="-2"/>
        </w:rPr>
        <w:t>公里，车站总数</w:t>
      </w:r>
      <w:r>
        <w:rPr>
          <w:rFonts w:ascii="Times New Roman" w:hAnsi="Times New Roman" w:cs="Times New Roman" w:eastAsia="Times New Roman" w:hint="default"/>
          <w:spacing w:val="-2"/>
        </w:rPr>
        <w:t>4,416</w:t>
      </w:r>
      <w:r>
        <w:rPr>
          <w:spacing w:val="-2"/>
        </w:rPr>
        <w:t>座，车站设置闸机通道共计</w:t>
      </w:r>
      <w:r>
        <w:rPr>
          <w:rFonts w:ascii="Times New Roman" w:hAnsi="Times New Roman" w:cs="Times New Roman" w:eastAsia="Times New Roman" w:hint="default"/>
          <w:spacing w:val="-2"/>
        </w:rPr>
        <w:t>78,991</w:t>
      </w:r>
      <w:r>
        <w:rPr>
          <w:spacing w:val="-2"/>
        </w:rPr>
        <w:t>个。目前，已开通轨道交通的</w:t>
      </w:r>
      <w:r>
        <w:rPr>
          <w:rFonts w:ascii="Times New Roman" w:hAnsi="Times New Roman" w:cs="Times New Roman" w:eastAsia="Times New Roman" w:hint="default"/>
          <w:spacing w:val="-2"/>
        </w:rPr>
        <w:t>38</w:t>
      </w:r>
      <w:r>
        <w:rPr>
          <w:spacing w:val="-2"/>
        </w:rPr>
        <w:t>个城市均实现互联网支付功能。一方</w:t>
      </w:r>
      <w:r>
        <w:rPr>
          <w:spacing w:val="-58"/>
        </w:rPr>
        <w:t> </w:t>
      </w:r>
      <w:r>
        <w:rPr>
          <w:spacing w:val="-58"/>
        </w:rPr>
      </w:r>
      <w:r>
        <w:rPr/>
        <w:t>面，随着智能手机的普及、生物识别技术的发展，以及智能语音应答、乘客信息的可视化等手段的应用，结合乘客</w:t>
      </w:r>
      <w:r>
        <w:rPr>
          <w:rFonts w:ascii="Times New Roman" w:hAnsi="Times New Roman" w:cs="Times New Roman" w:eastAsia="Times New Roman" w:hint="default"/>
        </w:rPr>
        <w:t>“</w:t>
      </w:r>
      <w:r>
        <w:rPr/>
        <w:t>画像</w:t>
      </w:r>
      <w:r>
        <w:rPr>
          <w:rFonts w:ascii="Times New Roman" w:hAnsi="Times New Roman" w:cs="Times New Roman" w:eastAsia="Times New Roman" w:hint="default"/>
        </w:rPr>
        <w:t>”</w:t>
      </w:r>
      <w:r>
        <w:rPr>
          <w:rFonts w:ascii="Times New Roman" w:hAnsi="Times New Roman" w:cs="Times New Roman" w:eastAsia="Times New Roman" w:hint="default"/>
          <w:spacing w:val="9"/>
        </w:rPr>
        <w:t> </w:t>
      </w:r>
      <w:r>
        <w:rPr/>
        <w:t>信息库的数据交互，将逐步实现乘客进出闸无感支付、远程智能音视频票务服务，以及生活增值精准服务应用。另一方面， </w:t>
      </w:r>
      <w:r>
        <w:rPr>
          <w:spacing w:val="-2"/>
        </w:rPr>
        <w:t>随着轨道交通的快速发展，以及疫情等公共事件的冲击，增强公共交通搭乘安全指数，保障市民乘客上下班健康安全成为新</w:t>
      </w:r>
      <w:r>
        <w:rPr>
          <w:spacing w:val="-63"/>
        </w:rPr>
        <w:t> </w:t>
      </w:r>
      <w:r>
        <w:rPr>
          <w:spacing w:val="-63"/>
        </w:rPr>
      </w:r>
      <w:r>
        <w:rPr/>
        <w:t>的关注点。今后轨道交通实名制乘车有可能成为常态，票检（</w:t>
      </w:r>
      <w:r>
        <w:rPr>
          <w:rFonts w:ascii="Times New Roman" w:hAnsi="Times New Roman" w:cs="Times New Roman" w:eastAsia="Times New Roman" w:hint="default"/>
        </w:rPr>
        <w:t>AFC+</w:t>
      </w:r>
      <w:r>
        <w:rPr/>
        <w:t>安检）一体化方案也势在必行。目前，北京、广州、武</w:t>
      </w:r>
    </w:p>
    <w:p>
      <w:pPr>
        <w:spacing w:after="0" w:line="307" w:lineRule="auto"/>
        <w:jc w:val="left"/>
        <w:sectPr>
          <w:footerReference w:type="default" r:id="rId15"/>
          <w:pgSz w:w="11910" w:h="16840"/>
          <w:pgMar w:footer="978" w:header="878" w:top="1100" w:bottom="1160" w:left="1020" w:right="0"/>
          <w:pgNumType w:start="40"/>
        </w:sectPr>
      </w:pPr>
    </w:p>
    <w:p>
      <w:pPr>
        <w:spacing w:line="240" w:lineRule="auto" w:before="1"/>
        <w:rPr>
          <w:rFonts w:ascii="宋体" w:hAnsi="宋体" w:cs="宋体" w:eastAsia="宋体" w:hint="default"/>
          <w:sz w:val="22"/>
          <w:szCs w:val="22"/>
        </w:rPr>
      </w:pPr>
    </w:p>
    <w:p>
      <w:pPr>
        <w:pStyle w:val="BodyText"/>
        <w:spacing w:line="240" w:lineRule="auto" w:before="44"/>
        <w:ind w:right="0"/>
        <w:jc w:val="both"/>
      </w:pPr>
      <w:r>
        <w:rPr/>
        <w:t>汉、深圳等城市地铁新建线路也正在开展票检一体化方案研究。</w:t>
      </w:r>
    </w:p>
    <w:p>
      <w:pPr>
        <w:spacing w:line="240" w:lineRule="auto" w:before="0"/>
        <w:rPr>
          <w:rFonts w:ascii="宋体" w:hAnsi="宋体" w:cs="宋体" w:eastAsia="宋体" w:hint="default"/>
          <w:sz w:val="15"/>
          <w:szCs w:val="15"/>
        </w:rPr>
      </w:pPr>
    </w:p>
    <w:p>
      <w:pPr>
        <w:pStyle w:val="BodyText"/>
        <w:spacing w:line="307" w:lineRule="auto"/>
        <w:ind w:right="1108" w:firstLine="360"/>
        <w:jc w:val="both"/>
      </w:pPr>
      <w:r>
        <w:rPr/>
        <w:t>同时，老基建复苏、新基建加力，轨道交通蓬勃发展再赢万亿风口。从</w:t>
      </w:r>
      <w:r>
        <w:rPr>
          <w:rFonts w:ascii="Times New Roman" w:hAnsi="Times New Roman" w:cs="Times New Roman" w:eastAsia="Times New Roman" w:hint="default"/>
        </w:rPr>
        <w:t>“</w:t>
      </w:r>
      <w:r>
        <w:rPr/>
        <w:t>四纵四横</w:t>
      </w:r>
      <w:r>
        <w:rPr>
          <w:rFonts w:ascii="Times New Roman" w:hAnsi="Times New Roman" w:cs="Times New Roman" w:eastAsia="Times New Roman" w:hint="default"/>
        </w:rPr>
        <w:t>”</w:t>
      </w:r>
      <w:r>
        <w:rPr/>
        <w:t>到</w:t>
      </w:r>
      <w:r>
        <w:rPr>
          <w:rFonts w:ascii="Times New Roman" w:hAnsi="Times New Roman" w:cs="Times New Roman" w:eastAsia="Times New Roman" w:hint="default"/>
        </w:rPr>
        <w:t>“</w:t>
      </w:r>
      <w:r>
        <w:rPr/>
        <w:t>八纵八横</w:t>
      </w:r>
      <w:r>
        <w:rPr>
          <w:rFonts w:ascii="Times New Roman" w:hAnsi="Times New Roman" w:cs="Times New Roman" w:eastAsia="Times New Roman" w:hint="default"/>
        </w:rPr>
        <w:t>”</w:t>
      </w:r>
      <w:r>
        <w:rPr/>
        <w:t>再到</w:t>
      </w:r>
      <w:r>
        <w:rPr>
          <w:rFonts w:ascii="Times New Roman" w:hAnsi="Times New Roman" w:cs="Times New Roman" w:eastAsia="Times New Roman" w:hint="default"/>
        </w:rPr>
        <w:t>“</w:t>
      </w:r>
      <w:r>
        <w:rPr/>
        <w:t>新基建</w:t>
      </w:r>
      <w:r>
        <w:rPr>
          <w:rFonts w:ascii="Times New Roman" w:hAnsi="Times New Roman" w:cs="Times New Roman" w:eastAsia="Times New Roman" w:hint="default"/>
        </w:rPr>
        <w:t>”</w:t>
      </w:r>
      <w:r>
        <w:rPr/>
        <w:t>，以高新 </w:t>
      </w:r>
      <w:r>
        <w:rPr>
          <w:spacing w:val="-2"/>
        </w:rPr>
        <w:t>科技为依托，必将加速国内城际高速铁路和城市轨道交通的网络信息数字化。未来，随着京津翼、长三角、珠三角、粤港澳</w:t>
      </w:r>
      <w:r>
        <w:rPr>
          <w:spacing w:val="-64"/>
        </w:rPr>
        <w:t> </w:t>
      </w:r>
      <w:r>
        <w:rPr>
          <w:spacing w:val="-64"/>
        </w:rPr>
      </w:r>
      <w:r>
        <w:rPr>
          <w:spacing w:val="-2"/>
        </w:rPr>
        <w:t>大湾区等城市群的规划政策逐渐明确，一方面，实现城市群之间的互联互通工作将进一步深化，票务服务由单城市向城市圈</w:t>
      </w:r>
      <w:r>
        <w:rPr>
          <w:spacing w:val="-63"/>
        </w:rPr>
        <w:t> </w:t>
      </w:r>
      <w:r>
        <w:rPr>
          <w:spacing w:val="-63"/>
        </w:rPr>
      </w:r>
      <w:r>
        <w:rPr/>
        <w:t>演变。另一方面，在融入人工智能、云计算、大数据、</w:t>
      </w:r>
      <w:r>
        <w:rPr>
          <w:rFonts w:ascii="Times New Roman" w:hAnsi="Times New Roman" w:cs="Times New Roman" w:eastAsia="Times New Roman" w:hint="default"/>
        </w:rPr>
        <w:t>5G</w:t>
      </w:r>
      <w:r>
        <w:rPr/>
        <w:t>等技术之后，基于用户群体建模及大数据引擎，将实现</w:t>
      </w:r>
      <w:r>
        <w:rPr>
          <w:rFonts w:ascii="Times New Roman" w:hAnsi="Times New Roman" w:cs="Times New Roman" w:eastAsia="Times New Roman" w:hint="default"/>
        </w:rPr>
        <w:t>“</w:t>
      </w:r>
      <w:r>
        <w:rPr/>
        <w:t>人、车、 路、环境</w:t>
      </w:r>
      <w:r>
        <w:rPr>
          <w:rFonts w:ascii="Times New Roman" w:hAnsi="Times New Roman" w:cs="Times New Roman" w:eastAsia="Times New Roman" w:hint="default"/>
        </w:rPr>
        <w:t>”</w:t>
      </w:r>
      <w:r>
        <w:rPr/>
        <w:t>等有机协同，能够为更大的城市圈提供个性化、协同性、智能化的出行服务体验，并在协助社会治安治理方面发</w:t>
      </w:r>
      <w:r>
        <w:rPr>
          <w:spacing w:val="-76"/>
        </w:rPr>
        <w:t> </w:t>
      </w:r>
      <w:r>
        <w:rPr>
          <w:spacing w:val="-76"/>
        </w:rPr>
      </w:r>
      <w:r>
        <w:rPr/>
        <w:t>挥越来越重要的作用。</w:t>
      </w:r>
    </w:p>
    <w:p>
      <w:pPr>
        <w:pStyle w:val="BodyText"/>
        <w:spacing w:line="240" w:lineRule="auto" w:before="146"/>
        <w:ind w:left="472" w:right="1394"/>
        <w:jc w:val="left"/>
      </w:pPr>
      <w:r>
        <w:rPr>
          <w:rFonts w:ascii="Times New Roman" w:hAnsi="Times New Roman" w:cs="Times New Roman" w:eastAsia="Times New Roman" w:hint="default"/>
        </w:rPr>
        <w:t>4</w:t>
      </w:r>
      <w:r>
        <w:rPr/>
        <w:t>、</w:t>
      </w:r>
      <w:r>
        <w:rPr>
          <w:rFonts w:ascii="Times New Roman" w:hAnsi="Times New Roman" w:cs="Times New Roman" w:eastAsia="Times New Roman" w:hint="default"/>
        </w:rPr>
        <w:t>AI+</w:t>
      </w:r>
      <w:r>
        <w:rPr/>
        <w:t>便民领域发展趋势</w:t>
      </w:r>
    </w:p>
    <w:p>
      <w:pPr>
        <w:pStyle w:val="BodyText"/>
        <w:spacing w:line="430" w:lineRule="atLeast" w:before="2"/>
        <w:ind w:left="472" w:right="1132"/>
        <w:jc w:val="left"/>
      </w:pPr>
      <w:r>
        <w:rPr/>
        <w:t>（</w:t>
      </w:r>
      <w:r>
        <w:rPr>
          <w:rFonts w:ascii="Times New Roman" w:hAnsi="Times New Roman" w:cs="Times New Roman" w:eastAsia="Times New Roman" w:hint="default"/>
        </w:rPr>
        <w:t>1</w:t>
      </w:r>
      <w:r>
        <w:rPr/>
        <w:t>）新零售领域 目前我国智能新零售行业仍处于发展前期，市场前景广阔。根据前瞻产业研究院发布数据显示，</w:t>
      </w:r>
      <w:r>
        <w:rPr>
          <w:rFonts w:ascii="Times New Roman" w:hAnsi="Times New Roman" w:cs="Times New Roman" w:eastAsia="Times New Roman" w:hint="default"/>
        </w:rPr>
        <w:t>2017-2022</w:t>
      </w:r>
      <w:r>
        <w:rPr/>
        <w:t>年新零售市</w:t>
      </w:r>
    </w:p>
    <w:p>
      <w:pPr>
        <w:pStyle w:val="BodyText"/>
        <w:spacing w:line="300" w:lineRule="auto" w:before="63"/>
        <w:ind w:right="1130"/>
        <w:jc w:val="both"/>
      </w:pPr>
      <w:r>
        <w:rPr/>
        <w:t>场规模将由</w:t>
      </w:r>
      <w:r>
        <w:rPr>
          <w:rFonts w:ascii="Times New Roman" w:hAnsi="Times New Roman" w:cs="Times New Roman" w:eastAsia="Times New Roman" w:hint="default"/>
        </w:rPr>
        <w:t>389.4</w:t>
      </w:r>
      <w:r>
        <w:rPr/>
        <w:t>亿元增加至</w:t>
      </w:r>
      <w:r>
        <w:rPr>
          <w:rFonts w:ascii="Times New Roman" w:hAnsi="Times New Roman" w:cs="Times New Roman" w:eastAsia="Times New Roman" w:hint="default"/>
        </w:rPr>
        <w:t>1.8</w:t>
      </w:r>
      <w:r>
        <w:rPr/>
        <w:t>万亿元，复合增长率为</w:t>
      </w:r>
      <w:r>
        <w:rPr>
          <w:rFonts w:ascii="Times New Roman" w:hAnsi="Times New Roman" w:cs="Times New Roman" w:eastAsia="Times New Roman" w:hint="default"/>
        </w:rPr>
        <w:t>115.27%</w:t>
      </w:r>
      <w:r>
        <w:rPr/>
        <w:t>，未来市场空间可期。从机器的保有量来看，我国自助售货</w:t>
      </w:r>
      <w:r>
        <w:rPr>
          <w:spacing w:val="-28"/>
        </w:rPr>
        <w:t> </w:t>
      </w:r>
      <w:r>
        <w:rPr>
          <w:spacing w:val="-28"/>
        </w:rPr>
      </w:r>
      <w:r>
        <w:rPr/>
        <w:t>机总量</w:t>
      </w:r>
      <w:r>
        <w:rPr>
          <w:rFonts w:ascii="Times New Roman" w:hAnsi="Times New Roman" w:cs="Times New Roman" w:eastAsia="Times New Roman" w:hint="default"/>
        </w:rPr>
        <w:t>40</w:t>
      </w:r>
      <w:r>
        <w:rPr/>
        <w:t>万台，每万人拥有量</w:t>
      </w:r>
      <w:r>
        <w:rPr>
          <w:rFonts w:ascii="Times New Roman" w:hAnsi="Times New Roman" w:cs="Times New Roman" w:eastAsia="Times New Roman" w:hint="default"/>
        </w:rPr>
        <w:t>2.9</w:t>
      </w:r>
      <w:r>
        <w:rPr/>
        <w:t>台，</w:t>
      </w:r>
      <w:r>
        <w:rPr>
          <w:spacing w:val="-2"/>
        </w:rPr>
        <w:t> </w:t>
      </w:r>
      <w:r>
        <w:rPr/>
        <w:t>远低于日本的</w:t>
      </w:r>
      <w:r>
        <w:rPr>
          <w:rFonts w:ascii="Times New Roman" w:hAnsi="Times New Roman" w:cs="Times New Roman" w:eastAsia="Times New Roman" w:hint="default"/>
        </w:rPr>
        <w:t>466.7</w:t>
      </w:r>
      <w:r>
        <w:rPr/>
        <w:t>台、美国的</w:t>
      </w:r>
      <w:r>
        <w:rPr>
          <w:rFonts w:ascii="Times New Roman" w:hAnsi="Times New Roman" w:cs="Times New Roman" w:eastAsia="Times New Roman" w:hint="default"/>
        </w:rPr>
        <w:t>266.7</w:t>
      </w:r>
      <w:r>
        <w:rPr/>
        <w:t>台、欧洲的</w:t>
      </w:r>
      <w:r>
        <w:rPr>
          <w:rFonts w:ascii="Times New Roman" w:hAnsi="Times New Roman" w:cs="Times New Roman" w:eastAsia="Times New Roman" w:hint="default"/>
        </w:rPr>
        <w:t>5.7</w:t>
      </w:r>
      <w:r>
        <w:rPr/>
        <w:t>台。未来几年，智能新零售的设备 布放量，将保持</w:t>
      </w:r>
      <w:r>
        <w:rPr>
          <w:rFonts w:ascii="Times New Roman" w:hAnsi="Times New Roman" w:cs="Times New Roman" w:eastAsia="Times New Roman" w:hint="default"/>
        </w:rPr>
        <w:t>30%</w:t>
      </w:r>
      <w:r>
        <w:rPr/>
        <w:t>左右的复合增长。预计到</w:t>
      </w:r>
      <w:r>
        <w:rPr>
          <w:rFonts w:ascii="Times New Roman" w:hAnsi="Times New Roman" w:cs="Times New Roman" w:eastAsia="Times New Roman" w:hint="default"/>
        </w:rPr>
        <w:t>2022</w:t>
      </w:r>
      <w:r>
        <w:rPr/>
        <w:t>年，售货机总量将达到</w:t>
      </w:r>
      <w:r>
        <w:rPr>
          <w:rFonts w:ascii="Times New Roman" w:hAnsi="Times New Roman" w:cs="Times New Roman" w:eastAsia="Times New Roman" w:hint="default"/>
        </w:rPr>
        <w:t>107.8</w:t>
      </w:r>
      <w:r>
        <w:rPr/>
        <w:t>万台。随着移动技术的引入，自动售货机将</w:t>
      </w:r>
      <w:r>
        <w:rPr>
          <w:spacing w:val="-23"/>
        </w:rPr>
        <w:t> </w:t>
      </w:r>
      <w:r>
        <w:rPr>
          <w:spacing w:val="-23"/>
        </w:rPr>
      </w:r>
      <w:r>
        <w:rPr/>
        <w:t>成为快消品零售的一大新兴渠道。目前，主要是向一、二线城市铺放，三四线市仍待开发，市场空间巨大。</w:t>
      </w:r>
    </w:p>
    <w:p>
      <w:pPr>
        <w:pStyle w:val="BodyText"/>
        <w:spacing w:line="312" w:lineRule="auto" w:before="151"/>
        <w:ind w:right="1130" w:firstLine="360"/>
        <w:jc w:val="both"/>
      </w:pPr>
      <w:r>
        <w:rPr/>
        <w:t>根据艾媒《</w:t>
      </w:r>
      <w:r>
        <w:rPr>
          <w:rFonts w:ascii="Times New Roman" w:hAnsi="Times New Roman" w:cs="Times New Roman" w:eastAsia="Times New Roman" w:hint="default"/>
        </w:rPr>
        <w:t>2019-2020</w:t>
      </w:r>
      <w:r>
        <w:rPr/>
        <w:t>年中国新零售产业研究报告》，在消费升级和新兴技术推动下，新零售产业蓬勃发展，万亿市场 </w:t>
      </w:r>
      <w:r>
        <w:rPr>
          <w:spacing w:val="-2"/>
        </w:rPr>
        <w:t>规模加速形成。当前，新零售产业线上线下加速融合，新式营销层出不穷，整体呈现全渠道、数字化、社群化等特点。由数</w:t>
      </w:r>
      <w:r>
        <w:rPr>
          <w:spacing w:val="-62"/>
        </w:rPr>
        <w:t> </w:t>
      </w:r>
      <w:r>
        <w:rPr>
          <w:spacing w:val="-62"/>
        </w:rPr>
      </w:r>
      <w:r>
        <w:rPr>
          <w:spacing w:val="-2"/>
        </w:rPr>
        <w:t>据、供应链、物流、支付、金融组成的新零售生态系统不断完善，促使面向细分人群、细分品类、细分市场的多种新零售业</w:t>
      </w:r>
      <w:r>
        <w:rPr>
          <w:spacing w:val="-62"/>
        </w:rPr>
        <w:t> </w:t>
      </w:r>
      <w:r>
        <w:rPr>
          <w:spacing w:val="-62"/>
        </w:rPr>
      </w:r>
      <w:r>
        <w:rPr/>
        <w:t>态快速发展，随之涌现出一批较具发展潜力的新零售标杆企业。</w:t>
      </w:r>
    </w:p>
    <w:p>
      <w:pPr>
        <w:pStyle w:val="BodyText"/>
        <w:spacing w:line="314" w:lineRule="auto" w:before="142"/>
        <w:ind w:right="0" w:firstLine="360"/>
        <w:jc w:val="left"/>
      </w:pPr>
      <w:r>
        <w:rPr>
          <w:spacing w:val="-2"/>
        </w:rPr>
        <w:t>专业分析师认为，新零售挑战与机遇并存。短期，互联网人口增长红利趋尽，行业竞争日趋激烈，对新零售产业链上下</w:t>
      </w:r>
      <w:r>
        <w:rPr/>
        <w:t> </w:t>
      </w:r>
      <w:r>
        <w:rPr>
          <w:spacing w:val="-2"/>
        </w:rPr>
        <w:t>游玩家提出更高要求，考验营销能力、精细化运营能力，智能新零售设备进入</w:t>
      </w:r>
      <w:r>
        <w:rPr>
          <w:rFonts w:ascii="Times New Roman" w:hAnsi="Times New Roman" w:cs="Times New Roman" w:eastAsia="Times New Roman" w:hint="default"/>
          <w:spacing w:val="-2"/>
        </w:rPr>
        <w:t>3.0</w:t>
      </w:r>
      <w:r>
        <w:rPr>
          <w:spacing w:val="-2"/>
        </w:rPr>
        <w:t>阶段；长期，借助</w:t>
      </w:r>
      <w:r>
        <w:rPr>
          <w:rFonts w:ascii="Times New Roman" w:hAnsi="Times New Roman" w:cs="Times New Roman" w:eastAsia="Times New Roman" w:hint="default"/>
          <w:spacing w:val="-2"/>
        </w:rPr>
        <w:t>5G</w:t>
      </w:r>
      <w:r>
        <w:rPr>
          <w:spacing w:val="-2"/>
        </w:rPr>
        <w:t>、大数据、人工智能、</w:t>
      </w:r>
      <w:r>
        <w:rPr>
          <w:spacing w:val="-55"/>
        </w:rPr>
        <w:t> </w:t>
      </w:r>
      <w:r>
        <w:rPr>
          <w:spacing w:val="-55"/>
        </w:rPr>
      </w:r>
      <w:r>
        <w:rPr>
          <w:spacing w:val="-2"/>
        </w:rPr>
        <w:t>区块链等新兴信息技术手段，新老零售企业将被赋予更多能力，自动售货机未来将以智能为核心开展多种服务方式加速零售</w:t>
      </w:r>
      <w:r>
        <w:rPr>
          <w:spacing w:val="-64"/>
        </w:rPr>
        <w:t> </w:t>
      </w:r>
      <w:r>
        <w:rPr>
          <w:spacing w:val="-64"/>
        </w:rPr>
      </w:r>
      <w:r>
        <w:rPr>
          <w:spacing w:val="-2"/>
        </w:rPr>
        <w:t>行业的数字化转型，促进自动售货机能够服务更多场景，加快进一步释放技术红利，提振物联网等多项技术运行效率、扩展</w:t>
      </w:r>
      <w:r>
        <w:rPr>
          <w:spacing w:val="-64"/>
        </w:rPr>
        <w:t> </w:t>
      </w:r>
      <w:r>
        <w:rPr>
          <w:spacing w:val="-64"/>
        </w:rPr>
      </w:r>
      <w:r>
        <w:rPr>
          <w:spacing w:val="-2"/>
        </w:rPr>
        <w:t>零售行业服务边界。通过线上线下联动，对用户支付数据的挖掘打造新零售支付生态系统，产业整体效率有望大幅提升，市</w:t>
      </w:r>
      <w:r>
        <w:rPr>
          <w:spacing w:val="-64"/>
        </w:rPr>
        <w:t> </w:t>
      </w:r>
      <w:r>
        <w:rPr>
          <w:spacing w:val="-64"/>
        </w:rPr>
      </w:r>
      <w:r>
        <w:rPr/>
        <w:t>场规模也将加速扩大，无人零售也将迎来更多落地场景。</w:t>
      </w:r>
    </w:p>
    <w:p>
      <w:pPr>
        <w:pStyle w:val="BodyText"/>
        <w:spacing w:line="240" w:lineRule="auto" w:before="140"/>
        <w:ind w:left="472" w:right="1394"/>
        <w:jc w:val="left"/>
      </w:pPr>
      <w:r>
        <w:rPr/>
        <w:t>（</w:t>
      </w:r>
      <w:r>
        <w:rPr>
          <w:rFonts w:ascii="Times New Roman" w:hAnsi="Times New Roman" w:cs="Times New Roman" w:eastAsia="Times New Roman" w:hint="default"/>
        </w:rPr>
        <w:t>2</w:t>
      </w:r>
      <w:r>
        <w:rPr/>
        <w:t>）智能文旅领域</w:t>
      </w:r>
    </w:p>
    <w:p>
      <w:pPr>
        <w:spacing w:line="240" w:lineRule="auto" w:before="13"/>
        <w:rPr>
          <w:rFonts w:ascii="宋体" w:hAnsi="宋体" w:cs="宋体" w:eastAsia="宋体" w:hint="default"/>
          <w:sz w:val="13"/>
          <w:szCs w:val="13"/>
        </w:rPr>
      </w:pPr>
    </w:p>
    <w:p>
      <w:pPr>
        <w:pStyle w:val="BodyText"/>
        <w:spacing w:line="309" w:lineRule="auto"/>
        <w:ind w:right="1129" w:firstLine="360"/>
        <w:jc w:val="both"/>
      </w:pPr>
      <w:r>
        <w:rPr/>
        <w:t>据国家旅游局预计，未来十年，我国文旅市场规模预计达</w:t>
      </w:r>
      <w:r>
        <w:rPr>
          <w:rFonts w:ascii="Times New Roman" w:hAnsi="Times New Roman" w:cs="Times New Roman" w:eastAsia="Times New Roman" w:hint="default"/>
        </w:rPr>
        <w:t>30</w:t>
      </w:r>
      <w:r>
        <w:rPr/>
        <w:t>万亿</w:t>
      </w:r>
      <w:r>
        <w:rPr>
          <w:rFonts w:ascii="Times New Roman" w:hAnsi="Times New Roman" w:cs="Times New Roman" w:eastAsia="Times New Roman" w:hint="default"/>
        </w:rPr>
        <w:t>-50</w:t>
      </w:r>
      <w:r>
        <w:rPr/>
        <w:t>万亿元，文旅行业面临几十万亿级的市场机会，科 </w:t>
      </w:r>
      <w:r>
        <w:rPr>
          <w:spacing w:val="-1"/>
        </w:rPr>
        <w:t>技创新正在成为文旅产业发展的新动能。</w:t>
      </w:r>
      <w:r>
        <w:rPr>
          <w:rFonts w:ascii="Times New Roman" w:hAnsi="Times New Roman" w:cs="Times New Roman" w:eastAsia="Times New Roman" w:hint="default"/>
          <w:spacing w:val="-1"/>
        </w:rPr>
        <w:t>“</w:t>
      </w:r>
      <w:r>
        <w:rPr>
          <w:spacing w:val="-1"/>
        </w:rPr>
        <w:t>十三五</w:t>
      </w:r>
      <w:r>
        <w:rPr>
          <w:rFonts w:ascii="Times New Roman" w:hAnsi="Times New Roman" w:cs="Times New Roman" w:eastAsia="Times New Roman" w:hint="default"/>
          <w:spacing w:val="-1"/>
        </w:rPr>
        <w:t>”</w:t>
      </w:r>
      <w:r>
        <w:rPr>
          <w:spacing w:val="-1"/>
        </w:rPr>
        <w:t>规划提出，到</w:t>
      </w:r>
      <w:r>
        <w:rPr>
          <w:rFonts w:ascii="Times New Roman" w:hAnsi="Times New Roman" w:cs="Times New Roman" w:eastAsia="Times New Roman" w:hint="default"/>
          <w:spacing w:val="-1"/>
        </w:rPr>
        <w:t>2020</w:t>
      </w:r>
      <w:r>
        <w:rPr>
          <w:spacing w:val="-1"/>
        </w:rPr>
        <w:t>年，旅游</w:t>
      </w:r>
      <w:r>
        <w:rPr>
          <w:rFonts w:ascii="Times New Roman" w:hAnsi="Times New Roman" w:cs="Times New Roman" w:eastAsia="Times New Roman" w:hint="default"/>
          <w:spacing w:val="-1"/>
        </w:rPr>
        <w:t>“</w:t>
      </w:r>
      <w:r>
        <w:rPr>
          <w:spacing w:val="-1"/>
        </w:rPr>
        <w:t>云、网、端</w:t>
      </w:r>
      <w:r>
        <w:rPr>
          <w:rFonts w:ascii="Times New Roman" w:hAnsi="Times New Roman" w:cs="Times New Roman" w:eastAsia="Times New Roman" w:hint="default"/>
          <w:spacing w:val="-1"/>
        </w:rPr>
        <w:t>”</w:t>
      </w:r>
      <w:r>
        <w:rPr>
          <w:spacing w:val="-1"/>
        </w:rPr>
        <w:t>基础设施建设逐步完善，信息新</w:t>
      </w:r>
      <w:r>
        <w:rPr>
          <w:spacing w:val="-78"/>
        </w:rPr>
        <w:t> </w:t>
      </w:r>
      <w:r>
        <w:rPr>
          <w:spacing w:val="-78"/>
        </w:rPr>
      </w:r>
      <w:r>
        <w:rPr>
          <w:spacing w:val="-2"/>
        </w:rPr>
        <w:t>技术创新应用在行业不断深化，旅游数字化、网络化、智能化取得明显进展，旅游公共信息服务水平显著提高，旅游在线营</w:t>
      </w:r>
      <w:r>
        <w:rPr>
          <w:spacing w:val="-63"/>
        </w:rPr>
        <w:t> </w:t>
      </w:r>
      <w:r>
        <w:rPr>
          <w:spacing w:val="-63"/>
        </w:rPr>
      </w:r>
      <w:r>
        <w:rPr>
          <w:spacing w:val="-2"/>
        </w:rPr>
        <w:t>销能力全面发展，行业监管能力进一步增强，旅游电子政务支撑行业治理体系和治理能力现代化坚实有力，信息化引领旅游</w:t>
      </w:r>
      <w:r>
        <w:rPr>
          <w:spacing w:val="-63"/>
        </w:rPr>
        <w:t> </w:t>
      </w:r>
      <w:r>
        <w:rPr>
          <w:spacing w:val="-63"/>
        </w:rPr>
      </w:r>
      <w:r>
        <w:rPr/>
        <w:t>业转型升级取得明显成效。</w:t>
      </w:r>
    </w:p>
    <w:p>
      <w:pPr>
        <w:pStyle w:val="BodyText"/>
        <w:spacing w:line="304" w:lineRule="auto" w:before="144"/>
        <w:ind w:right="1054" w:firstLine="360"/>
        <w:jc w:val="left"/>
      </w:pPr>
      <w:r>
        <w:rPr/>
        <w:t>随着</w:t>
      </w:r>
      <w:r>
        <w:rPr>
          <w:rFonts w:ascii="Times New Roman" w:hAnsi="Times New Roman" w:cs="Times New Roman" w:eastAsia="Times New Roman" w:hint="default"/>
        </w:rPr>
        <w:t>“</w:t>
      </w:r>
      <w:r>
        <w:rPr/>
        <w:t>数字中国</w:t>
      </w:r>
      <w:r>
        <w:rPr>
          <w:rFonts w:ascii="Times New Roman" w:hAnsi="Times New Roman" w:cs="Times New Roman" w:eastAsia="Times New Roman" w:hint="default"/>
        </w:rPr>
        <w:t>”</w:t>
      </w:r>
      <w:r>
        <w:rPr/>
        <w:t>战略的深化推进，目前智能设施和人工智能服务，已经成为改进旅游产品、帮助旅游供应商提效降本、 </w:t>
      </w:r>
      <w:r>
        <w:rPr>
          <w:spacing w:val="-2"/>
        </w:rPr>
        <w:t>提升服务品质的重要推动力。智能化投入覆盖到用户行前决策、行中游玩、消费、问答等全场景融合。旅游的智能化应用将</w:t>
      </w:r>
      <w:r>
        <w:rPr>
          <w:spacing w:val="-64"/>
        </w:rPr>
        <w:t> </w:t>
      </w:r>
      <w:r>
        <w:rPr>
          <w:spacing w:val="-64"/>
        </w:rPr>
      </w:r>
      <w:r>
        <w:rPr>
          <w:spacing w:val="-3"/>
        </w:rPr>
        <w:t>趋向全程、全域、全产品、全服务覆盖，</w:t>
      </w:r>
      <w:r>
        <w:rPr>
          <w:rFonts w:ascii="Times New Roman" w:hAnsi="Times New Roman" w:cs="Times New Roman" w:eastAsia="Times New Roman" w:hint="default"/>
          <w:spacing w:val="-3"/>
        </w:rPr>
        <w:t>“</w:t>
      </w:r>
      <w:r>
        <w:rPr>
          <w:spacing w:val="-3"/>
        </w:rPr>
        <w:t>一机游</w:t>
      </w:r>
      <w:r>
        <w:rPr>
          <w:rFonts w:ascii="Times New Roman" w:hAnsi="Times New Roman" w:cs="Times New Roman" w:eastAsia="Times New Roman" w:hint="default"/>
          <w:spacing w:val="-3"/>
        </w:rPr>
        <w:t>”</w:t>
      </w:r>
      <w:r>
        <w:rPr>
          <w:spacing w:val="-3"/>
        </w:rPr>
        <w:t>云南、景区、博物馆、展览、演艺、餐厅、公交、酒店</w:t>
      </w:r>
      <w:r>
        <w:rPr>
          <w:rFonts w:ascii="Times New Roman" w:hAnsi="Times New Roman" w:cs="Times New Roman" w:eastAsia="Times New Roman" w:hint="default"/>
          <w:spacing w:val="-3"/>
        </w:rPr>
        <w:t>……</w:t>
      </w:r>
      <w:r>
        <w:rPr>
          <w:spacing w:val="-3"/>
        </w:rPr>
        <w:t>围绕</w:t>
      </w:r>
      <w:r>
        <w:rPr>
          <w:rFonts w:ascii="Times New Roman" w:hAnsi="Times New Roman" w:cs="Times New Roman" w:eastAsia="Times New Roman" w:hint="default"/>
          <w:spacing w:val="-3"/>
        </w:rPr>
        <w:t>“AI+</w:t>
      </w:r>
      <w:r>
        <w:rPr>
          <w:spacing w:val="-3"/>
        </w:rPr>
        <w:t>文旅</w:t>
      </w:r>
      <w:r>
        <w:rPr>
          <w:rFonts w:ascii="Times New Roman" w:hAnsi="Times New Roman" w:cs="Times New Roman" w:eastAsia="Times New Roman" w:hint="default"/>
          <w:spacing w:val="-3"/>
        </w:rPr>
        <w:t>”</w:t>
      </w:r>
      <w:r>
        <w:rPr>
          <w:rFonts w:ascii="Times New Roman" w:hAnsi="Times New Roman" w:cs="Times New Roman" w:eastAsia="Times New Roman" w:hint="default"/>
          <w:spacing w:val="-25"/>
        </w:rPr>
        <w:t> </w:t>
      </w:r>
      <w:r>
        <w:rPr/>
        <w:t>加速遍地开花，刺激旅游</w:t>
      </w:r>
      <w:r>
        <w:rPr>
          <w:rFonts w:ascii="Times New Roman" w:hAnsi="Times New Roman" w:cs="Times New Roman" w:eastAsia="Times New Roman" w:hint="default"/>
        </w:rPr>
        <w:t>“</w:t>
      </w:r>
      <w:r>
        <w:rPr/>
        <w:t>二次发育</w:t>
      </w:r>
      <w:r>
        <w:rPr>
          <w:rFonts w:ascii="Times New Roman" w:hAnsi="Times New Roman" w:cs="Times New Roman" w:eastAsia="Times New Roman" w:hint="default"/>
        </w:rPr>
        <w:t>”</w:t>
      </w:r>
      <w:r>
        <w:rPr/>
        <w:t>。加之景区</w:t>
      </w:r>
      <w:r>
        <w:rPr>
          <w:rFonts w:ascii="Times New Roman" w:hAnsi="Times New Roman" w:cs="Times New Roman" w:eastAsia="Times New Roman" w:hint="default"/>
        </w:rPr>
        <w:t>IP</w:t>
      </w:r>
      <w:r>
        <w:rPr/>
        <w:t>挖掘文化内涵赋能产业链，带动</w:t>
      </w:r>
      <w:r>
        <w:rPr>
          <w:rFonts w:ascii="Times New Roman" w:hAnsi="Times New Roman" w:cs="Times New Roman" w:eastAsia="Times New Roman" w:hint="default"/>
        </w:rPr>
        <w:t>“</w:t>
      </w:r>
      <w:r>
        <w:rPr/>
        <w:t>文旅融合</w:t>
      </w:r>
      <w:r>
        <w:rPr>
          <w:rFonts w:ascii="Times New Roman" w:hAnsi="Times New Roman" w:cs="Times New Roman" w:eastAsia="Times New Roman" w:hint="default"/>
        </w:rPr>
        <w:t>”</w:t>
      </w:r>
      <w:r>
        <w:rPr/>
        <w:t>发展进入快车道。专家预测， 在科技发展和政策支持双重利好之下，文旅产业有望迎来新一轮爆发期。</w:t>
      </w:r>
      <w:r>
        <w:rPr>
          <w:rFonts w:ascii="Times New Roman" w:hAnsi="Times New Roman" w:cs="Times New Roman" w:eastAsia="Times New Roman" w:hint="default"/>
        </w:rPr>
        <w:t>5G</w:t>
      </w:r>
      <w:r>
        <w:rPr/>
        <w:t>在文旅产业的应用，将催生新的文旅业态和商</w:t>
      </w:r>
      <w:r>
        <w:rPr>
          <w:spacing w:val="-40"/>
        </w:rPr>
        <w:t> </w:t>
      </w:r>
      <w:r>
        <w:rPr>
          <w:spacing w:val="-40"/>
        </w:rPr>
      </w:r>
      <w:r>
        <w:rPr/>
        <w:t>业模式，而区块链在文旅产业的落地，有望重构文旅经济体系。</w:t>
      </w:r>
    </w:p>
    <w:p>
      <w:pPr>
        <w:pStyle w:val="BodyText"/>
        <w:spacing w:line="304" w:lineRule="auto" w:before="148"/>
        <w:ind w:right="1130" w:firstLine="360"/>
        <w:jc w:val="both"/>
      </w:pPr>
      <w:r>
        <w:rPr/>
        <w:t>在智能文旅的终端应用与解决方案方面，据国家旅游数据预测，全国</w:t>
      </w:r>
      <w:r>
        <w:rPr>
          <w:rFonts w:ascii="Times New Roman" w:hAnsi="Times New Roman" w:cs="Times New Roman" w:eastAsia="Times New Roman" w:hint="default"/>
        </w:rPr>
        <w:t>3</w:t>
      </w:r>
      <w:r>
        <w:rPr/>
        <w:t>万家景区信息化向移动互联升级迭代增速每年约 </w:t>
      </w:r>
      <w:r>
        <w:rPr>
          <w:rFonts w:ascii="Times New Roman" w:hAnsi="Times New Roman" w:cs="Times New Roman" w:eastAsia="Times New Roman" w:hint="default"/>
        </w:rPr>
        <w:t>10%</w:t>
      </w:r>
      <w:r>
        <w:rPr/>
        <w:t>，目前转化不足</w:t>
      </w:r>
      <w:r>
        <w:rPr>
          <w:rFonts w:ascii="Times New Roman" w:hAnsi="Times New Roman" w:cs="Times New Roman" w:eastAsia="Times New Roman" w:hint="default"/>
        </w:rPr>
        <w:t>30%</w:t>
      </w:r>
      <w:r>
        <w:rPr/>
        <w:t>，剩余景区跨业态综合运营解决方案类项目容量超</w:t>
      </w:r>
      <w:r>
        <w:rPr>
          <w:rFonts w:ascii="Times New Roman" w:hAnsi="Times New Roman" w:cs="Times New Roman" w:eastAsia="Times New Roman" w:hint="default"/>
        </w:rPr>
        <w:t>20</w:t>
      </w:r>
      <w:r>
        <w:rPr/>
        <w:t>亿元。业务需求持续约</w:t>
      </w:r>
      <w:r>
        <w:rPr>
          <w:rFonts w:ascii="Times New Roman" w:hAnsi="Times New Roman" w:cs="Times New Roman" w:eastAsia="Times New Roman" w:hint="default"/>
        </w:rPr>
        <w:t>5~8</w:t>
      </w:r>
      <w:r>
        <w:rPr/>
        <w:t>年，仅自助终端配</w:t>
      </w:r>
      <w:r>
        <w:rPr>
          <w:spacing w:val="-41"/>
        </w:rPr>
        <w:t> </w:t>
      </w:r>
      <w:r>
        <w:rPr>
          <w:spacing w:val="-41"/>
        </w:rPr>
      </w:r>
      <w:r>
        <w:rPr>
          <w:spacing w:val="-2"/>
        </w:rPr>
        <w:t>套总量将达</w:t>
      </w:r>
      <w:r>
        <w:rPr>
          <w:rFonts w:ascii="Times New Roman" w:hAnsi="Times New Roman" w:cs="Times New Roman" w:eastAsia="Times New Roman" w:hint="default"/>
          <w:spacing w:val="-2"/>
        </w:rPr>
        <w:t>24</w:t>
      </w:r>
      <w:r>
        <w:rPr>
          <w:spacing w:val="-2"/>
        </w:rPr>
        <w:t>万台规模，市场容量超</w:t>
      </w:r>
      <w:r>
        <w:rPr>
          <w:rFonts w:ascii="Times New Roman" w:hAnsi="Times New Roman" w:cs="Times New Roman" w:eastAsia="Times New Roman" w:hint="default"/>
          <w:spacing w:val="-2"/>
        </w:rPr>
        <w:t>50</w:t>
      </w:r>
      <w:r>
        <w:rPr>
          <w:spacing w:val="-2"/>
        </w:rPr>
        <w:t>亿元，存量迭代及增量转化是重大机遇。可以预见，文旅客户主体跨业态综合运营管</w:t>
      </w:r>
      <w:r>
        <w:rPr>
          <w:spacing w:val="-62"/>
        </w:rPr>
        <w:t> </w:t>
      </w:r>
      <w:r>
        <w:rPr>
          <w:spacing w:val="-62"/>
        </w:rPr>
      </w:r>
      <w:r>
        <w:rPr>
          <w:spacing w:val="-2"/>
        </w:rPr>
        <w:t>理解决方案即将迎来迭代增量，线下自助售检类设备将迎来巨大增量，同时行业自助终端租赁趋势已来。此外，景区系统集</w:t>
      </w:r>
      <w:r>
        <w:rPr>
          <w:spacing w:val="-64"/>
        </w:rPr>
        <w:t> </w:t>
      </w:r>
      <w:r>
        <w:rPr>
          <w:spacing w:val="-64"/>
        </w:rPr>
      </w:r>
      <w:r>
        <w:rPr/>
        <w:t>成层面头部企业极少，未来行业并购趋势明显，业务切入正当其时。</w:t>
      </w:r>
    </w:p>
    <w:p>
      <w:pPr>
        <w:spacing w:after="0" w:line="304" w:lineRule="auto"/>
        <w:jc w:val="both"/>
        <w:sectPr>
          <w:pgSz w:w="11910" w:h="16840"/>
          <w:pgMar w:header="878" w:footer="978" w:top="1100" w:bottom="1160" w:left="1020" w:right="0"/>
        </w:sectPr>
      </w:pPr>
    </w:p>
    <w:p>
      <w:pPr>
        <w:spacing w:line="240" w:lineRule="auto" w:before="1"/>
        <w:rPr>
          <w:rFonts w:ascii="宋体" w:hAnsi="宋体" w:cs="宋体" w:eastAsia="宋体" w:hint="default"/>
          <w:sz w:val="22"/>
          <w:szCs w:val="22"/>
        </w:rPr>
      </w:pPr>
    </w:p>
    <w:p>
      <w:pPr>
        <w:pStyle w:val="Heading6"/>
        <w:spacing w:line="240" w:lineRule="auto" w:before="44"/>
        <w:ind w:right="1394"/>
        <w:jc w:val="left"/>
        <w:rPr>
          <w:b w:val="0"/>
          <w:bCs w:val="0"/>
        </w:rPr>
      </w:pPr>
      <w:r>
        <w:rPr/>
        <w:t>（二）公司的发展规划</w:t>
      </w:r>
      <w:r>
        <w:rPr>
          <w:b w:val="0"/>
          <w:bCs w:val="0"/>
        </w:rPr>
      </w:r>
    </w:p>
    <w:p>
      <w:pPr>
        <w:spacing w:line="240" w:lineRule="auto" w:before="0"/>
        <w:rPr>
          <w:rFonts w:ascii="宋体" w:hAnsi="宋体" w:cs="宋体" w:eastAsia="宋体" w:hint="default"/>
          <w:b/>
          <w:bCs/>
          <w:sz w:val="15"/>
          <w:szCs w:val="15"/>
        </w:rPr>
      </w:pPr>
    </w:p>
    <w:p>
      <w:pPr>
        <w:pStyle w:val="BodyText"/>
        <w:spacing w:line="312" w:lineRule="auto"/>
        <w:ind w:right="1129" w:firstLine="360"/>
        <w:jc w:val="both"/>
      </w:pPr>
      <w:r>
        <w:rPr>
          <w:spacing w:val="-2"/>
        </w:rPr>
        <w:t>在习近平新时代中国特色社会主义思想指引下，充分发挥国有控股的竞争优势、员工持股的机制优势、科技创新的技术</w:t>
      </w:r>
      <w:r>
        <w:rPr/>
        <w:t> 优势、布局全国的人才优势，实施以</w:t>
      </w:r>
      <w:r>
        <w:rPr>
          <w:rFonts w:ascii="Times New Roman" w:hAnsi="Times New Roman" w:cs="Times New Roman" w:eastAsia="Times New Roman" w:hint="default"/>
        </w:rPr>
        <w:t>“AI+”</w:t>
      </w:r>
      <w:r>
        <w:rPr/>
        <w:t>引领的战略转型和产业升级。继续聚焦金融主业，同时快速扩展人工智能的产业</w:t>
      </w:r>
      <w:r>
        <w:rPr>
          <w:spacing w:val="-83"/>
        </w:rPr>
        <w:t> </w:t>
      </w:r>
      <w:r>
        <w:rPr>
          <w:spacing w:val="-83"/>
        </w:rPr>
      </w:r>
      <w:r>
        <w:rPr>
          <w:spacing w:val="-2"/>
        </w:rPr>
        <w:t>增量，在各领域为客户构建智能化应用与场景，致力于成为领先的人工智能全栈式服务商，为人民带来更便捷、更智能、更</w:t>
      </w:r>
      <w:r>
        <w:rPr>
          <w:spacing w:val="-62"/>
        </w:rPr>
        <w:t> </w:t>
      </w:r>
      <w:r>
        <w:rPr>
          <w:spacing w:val="-62"/>
        </w:rPr>
      </w:r>
      <w:r>
        <w:rPr/>
        <w:t>安全的服务与体验，成为构建科技强国、智慧中国的重要力量。</w:t>
      </w:r>
    </w:p>
    <w:p>
      <w:pPr>
        <w:pStyle w:val="Heading6"/>
        <w:spacing w:line="240" w:lineRule="auto" w:before="142"/>
        <w:ind w:right="1394"/>
        <w:jc w:val="left"/>
        <w:rPr>
          <w:b w:val="0"/>
          <w:bCs w:val="0"/>
        </w:rPr>
      </w:pPr>
      <w:r>
        <w:rPr/>
        <w:t>（三）</w:t>
      </w:r>
      <w:r>
        <w:rPr>
          <w:rFonts w:ascii="Times New Roman" w:hAnsi="Times New Roman" w:cs="Times New Roman" w:eastAsia="Times New Roman" w:hint="default"/>
        </w:rPr>
        <w:t>2020</w:t>
      </w:r>
      <w:r>
        <w:rPr/>
        <w:t>年经营计划</w:t>
      </w:r>
      <w:r>
        <w:rPr>
          <w:b w:val="0"/>
          <w:bCs w:val="0"/>
        </w:rPr>
      </w:r>
    </w:p>
    <w:p>
      <w:pPr>
        <w:spacing w:line="240" w:lineRule="auto" w:before="13"/>
        <w:rPr>
          <w:rFonts w:ascii="宋体" w:hAnsi="宋体" w:cs="宋体" w:eastAsia="宋体" w:hint="default"/>
          <w:b/>
          <w:bCs/>
          <w:sz w:val="13"/>
          <w:szCs w:val="13"/>
        </w:rPr>
      </w:pPr>
    </w:p>
    <w:p>
      <w:pPr>
        <w:pStyle w:val="BodyText"/>
        <w:spacing w:line="300" w:lineRule="auto"/>
        <w:ind w:right="1128" w:firstLine="360"/>
        <w:jc w:val="both"/>
      </w:pPr>
      <w:r>
        <w:rPr>
          <w:rFonts w:ascii="Times New Roman" w:hAnsi="Times New Roman" w:cs="Times New Roman" w:eastAsia="Times New Roman" w:hint="default"/>
        </w:rPr>
        <w:t>2020</w:t>
      </w:r>
      <w:r>
        <w:rPr/>
        <w:t>年又一个全新的</w:t>
      </w:r>
      <w:r>
        <w:rPr>
          <w:rFonts w:ascii="Times New Roman" w:hAnsi="Times New Roman" w:cs="Times New Roman" w:eastAsia="Times New Roman" w:hint="default"/>
        </w:rPr>
        <w:t>20</w:t>
      </w:r>
      <w:r>
        <w:rPr/>
        <w:t>年拉开序幕，公司将积极把握国家战略发展机遇，围绕</w:t>
      </w:r>
      <w:r>
        <w:rPr>
          <w:rFonts w:ascii="Times New Roman" w:hAnsi="Times New Roman" w:cs="Times New Roman" w:eastAsia="Times New Roman" w:hint="default"/>
        </w:rPr>
        <w:t>“</w:t>
      </w:r>
      <w:r>
        <w:rPr/>
        <w:t>深化技术创新、深耕场景落地，全面推 动</w:t>
      </w:r>
      <w:r>
        <w:rPr>
          <w:spacing w:val="29"/>
        </w:rPr>
        <w:t> </w:t>
      </w:r>
      <w:r>
        <w:rPr>
          <w:rFonts w:ascii="Times New Roman" w:hAnsi="Times New Roman" w:cs="Times New Roman" w:eastAsia="Times New Roman" w:hint="default"/>
        </w:rPr>
        <w:t>AIOT</w:t>
      </w:r>
      <w:r>
        <w:rPr/>
        <w:t>高质量协同发展</w:t>
      </w:r>
      <w:r>
        <w:rPr>
          <w:rFonts w:ascii="Times New Roman" w:hAnsi="Times New Roman" w:cs="Times New Roman" w:eastAsia="Times New Roman" w:hint="default"/>
        </w:rPr>
        <w:t>”</w:t>
      </w:r>
      <w:r>
        <w:rPr/>
        <w:t>的年度经营主题，坚持技术引领，加强核心技术攻关；坚持内外联动协同，构筑产业智能生态；</w:t>
      </w:r>
      <w:r>
        <w:rPr>
          <w:spacing w:val="-86"/>
        </w:rPr>
        <w:t> </w:t>
      </w:r>
      <w:r>
        <w:rPr>
          <w:spacing w:val="-86"/>
        </w:rPr>
      </w:r>
      <w:r>
        <w:rPr/>
        <w:t>坚持资本与产业双轮驱动，构筑各板块的核心竞争力，加快公司新一轮高质量发展。</w:t>
      </w:r>
    </w:p>
    <w:p>
      <w:pPr>
        <w:pStyle w:val="BodyText"/>
        <w:spacing w:line="240" w:lineRule="auto" w:before="151"/>
        <w:ind w:left="472" w:right="1394"/>
        <w:jc w:val="left"/>
      </w:pPr>
      <w:r>
        <w:rPr/>
        <w:t>重点做好以下几方面工作：</w:t>
      </w:r>
    </w:p>
    <w:p>
      <w:pPr>
        <w:spacing w:line="240" w:lineRule="auto" w:before="0"/>
        <w:rPr>
          <w:rFonts w:ascii="宋体" w:hAnsi="宋体" w:cs="宋体" w:eastAsia="宋体" w:hint="default"/>
          <w:sz w:val="15"/>
          <w:szCs w:val="15"/>
        </w:rPr>
      </w:pPr>
    </w:p>
    <w:p>
      <w:pPr>
        <w:pStyle w:val="BodyText"/>
        <w:spacing w:line="240" w:lineRule="auto"/>
        <w:ind w:left="472" w:right="1394"/>
        <w:jc w:val="left"/>
      </w:pPr>
      <w:r>
        <w:rPr>
          <w:rFonts w:ascii="Times New Roman" w:hAnsi="Times New Roman" w:cs="Times New Roman" w:eastAsia="Times New Roman" w:hint="default"/>
        </w:rPr>
        <w:t>1</w:t>
      </w:r>
      <w:r>
        <w:rPr/>
        <w:t>、业务拓展方面，发挥事业群的灵活性和创新力，促进公司业务高质量发展。其中：</w:t>
      </w:r>
    </w:p>
    <w:p>
      <w:pPr>
        <w:spacing w:line="240" w:lineRule="auto" w:before="13"/>
        <w:rPr>
          <w:rFonts w:ascii="宋体" w:hAnsi="宋体" w:cs="宋体" w:eastAsia="宋体" w:hint="default"/>
          <w:sz w:val="13"/>
          <w:szCs w:val="13"/>
        </w:rPr>
      </w:pPr>
    </w:p>
    <w:p>
      <w:pPr>
        <w:pStyle w:val="BodyText"/>
        <w:spacing w:line="312" w:lineRule="auto"/>
        <w:ind w:right="1034" w:firstLine="360"/>
        <w:jc w:val="left"/>
      </w:pPr>
      <w:r>
        <w:rPr/>
        <w:t>（</w:t>
      </w:r>
      <w:r>
        <w:rPr>
          <w:rFonts w:ascii="Times New Roman" w:hAnsi="Times New Roman" w:cs="Times New Roman" w:eastAsia="Times New Roman" w:hint="default"/>
        </w:rPr>
        <w:t>1</w:t>
      </w:r>
      <w:r>
        <w:rPr/>
        <w:t>）智能金融</w:t>
      </w:r>
      <w:r>
        <w:rPr>
          <w:rFonts w:ascii="Times New Roman" w:hAnsi="Times New Roman" w:cs="Times New Roman" w:eastAsia="Times New Roman" w:hint="default"/>
        </w:rPr>
        <w:t>——</w:t>
      </w:r>
      <w:r>
        <w:rPr/>
        <w:t>做银行</w:t>
      </w:r>
      <w:r>
        <w:rPr>
          <w:rFonts w:ascii="Times New Roman" w:hAnsi="Times New Roman" w:cs="Times New Roman" w:eastAsia="Times New Roman" w:hint="default"/>
        </w:rPr>
        <w:t>“</w:t>
      </w:r>
      <w:r>
        <w:rPr/>
        <w:t>前台</w:t>
      </w:r>
      <w:r>
        <w:rPr>
          <w:rFonts w:ascii="Times New Roman" w:hAnsi="Times New Roman" w:cs="Times New Roman" w:eastAsia="Times New Roman" w:hint="default"/>
        </w:rPr>
        <w:t>”</w:t>
      </w:r>
      <w:r>
        <w:rPr/>
        <w:t>金融科技领跑者：智能设备在现有总行入围的基础上，加强空白市场拓展，保持行业 </w:t>
      </w:r>
      <w:r>
        <w:rPr>
          <w:spacing w:val="-4"/>
        </w:rPr>
        <w:t>领先地位；同时紧跟智慧银行发展趋势，打造更多的银行网点转型及场景融合标杆案例，推动金融科技业务取得实质性突破；</w:t>
      </w:r>
      <w:r>
        <w:rPr>
          <w:spacing w:val="-40"/>
        </w:rPr>
        <w:t> </w:t>
      </w:r>
      <w:r>
        <w:rPr>
          <w:spacing w:val="-40"/>
        </w:rPr>
      </w:r>
      <w:r>
        <w:rPr/>
        <w:t>打造智慧财政全面解决方案，树立大数据应用标杆案例，形成规模化应用；关注央行数字货币的进展，做好技术研发储备， 并围绕智能资产服务、数字供应链打造</w:t>
      </w:r>
      <w:r>
        <w:rPr>
          <w:rFonts w:ascii="Times New Roman" w:hAnsi="Times New Roman" w:cs="Times New Roman" w:eastAsia="Times New Roman" w:hint="default"/>
        </w:rPr>
        <w:t>“</w:t>
      </w:r>
      <w:r>
        <w:rPr/>
        <w:t>区块链</w:t>
      </w:r>
      <w:r>
        <w:rPr>
          <w:rFonts w:ascii="Times New Roman" w:hAnsi="Times New Roman" w:cs="Times New Roman" w:eastAsia="Times New Roman" w:hint="default"/>
        </w:rPr>
        <w:t>+”</w:t>
      </w:r>
      <w:r>
        <w:rPr/>
        <w:t>服务生态圈。</w:t>
      </w:r>
    </w:p>
    <w:p>
      <w:pPr>
        <w:pStyle w:val="BodyText"/>
        <w:spacing w:line="312" w:lineRule="auto" w:before="123"/>
        <w:ind w:right="1032" w:firstLine="360"/>
        <w:jc w:val="left"/>
      </w:pPr>
      <w:r>
        <w:rPr/>
        <w:t>（</w:t>
      </w:r>
      <w:r>
        <w:rPr>
          <w:rFonts w:ascii="Times New Roman" w:hAnsi="Times New Roman" w:cs="Times New Roman" w:eastAsia="Times New Roman" w:hint="default"/>
        </w:rPr>
        <w:t>2</w:t>
      </w:r>
      <w:r>
        <w:rPr/>
        <w:t>）智能安全</w:t>
      </w:r>
      <w:r>
        <w:rPr>
          <w:rFonts w:ascii="Times New Roman" w:hAnsi="Times New Roman" w:cs="Times New Roman" w:eastAsia="Times New Roman" w:hint="default"/>
        </w:rPr>
        <w:t>——</w:t>
      </w:r>
      <w:r>
        <w:rPr/>
        <w:t>推动</w:t>
      </w:r>
      <w:r>
        <w:rPr>
          <w:rFonts w:ascii="Times New Roman" w:hAnsi="Times New Roman" w:cs="Times New Roman" w:eastAsia="Times New Roman" w:hint="default"/>
        </w:rPr>
        <w:t>“AI+</w:t>
      </w:r>
      <w:r>
        <w:rPr/>
        <w:t>公共安全</w:t>
      </w:r>
      <w:r>
        <w:rPr>
          <w:rFonts w:ascii="Times New Roman" w:hAnsi="Times New Roman" w:cs="Times New Roman" w:eastAsia="Times New Roman" w:hint="default"/>
        </w:rPr>
        <w:t>”</w:t>
      </w:r>
      <w:r>
        <w:rPr/>
        <w:t>业务规模化发展：携手行业头部企业，持续拓展公安、交通、商业地产、教育、 </w:t>
      </w:r>
      <w:r>
        <w:rPr>
          <w:spacing w:val="-2"/>
        </w:rPr>
        <w:t>金融等行业智能安全解决方案应用，打造粤港澳湾区公共安全以及智慧城市标杆项目，并向周边省市及全国范围扩张；充分</w:t>
      </w:r>
      <w:r>
        <w:rPr>
          <w:spacing w:val="-63"/>
        </w:rPr>
        <w:t> </w:t>
      </w:r>
      <w:r>
        <w:rPr>
          <w:spacing w:val="-63"/>
        </w:rPr>
      </w:r>
      <w:r>
        <w:rPr>
          <w:spacing w:val="-2"/>
        </w:rPr>
        <w:t>利用武装押运企业特种行业经营资质，整合现金储备、配送、清分、金融设备托管等业务，进一步夯实金融安全服务业务根</w:t>
      </w:r>
      <w:r>
        <w:rPr>
          <w:spacing w:val="-63"/>
        </w:rPr>
        <w:t> </w:t>
      </w:r>
      <w:r>
        <w:rPr>
          <w:spacing w:val="-63"/>
        </w:rPr>
      </w:r>
      <w:r>
        <w:rPr/>
        <w:t>基。同时以各地安保子公司为桥头堡，打造区域业务运营中心，加速拓展智能安全等新业务。</w:t>
      </w:r>
    </w:p>
    <w:p>
      <w:pPr>
        <w:pStyle w:val="BodyText"/>
        <w:spacing w:line="300" w:lineRule="auto" w:before="142"/>
        <w:ind w:right="1129" w:firstLine="360"/>
        <w:jc w:val="both"/>
      </w:pPr>
      <w:r>
        <w:rPr/>
        <w:t>（</w:t>
      </w:r>
      <w:r>
        <w:rPr>
          <w:rFonts w:ascii="Times New Roman" w:hAnsi="Times New Roman" w:cs="Times New Roman" w:eastAsia="Times New Roman" w:hint="default"/>
        </w:rPr>
        <w:t>3</w:t>
      </w:r>
      <w:r>
        <w:rPr/>
        <w:t>）智能交通</w:t>
      </w:r>
      <w:r>
        <w:rPr>
          <w:rFonts w:ascii="Times New Roman" w:hAnsi="Times New Roman" w:cs="Times New Roman" w:eastAsia="Times New Roman" w:hint="default"/>
        </w:rPr>
        <w:t>——</w:t>
      </w:r>
      <w:r>
        <w:rPr/>
        <w:t>开启大交通业务新局面：聚焦重点城市轨道交通项目，持续扩大核心模块市场占有率，深入拓展智 </w:t>
      </w:r>
      <w:r>
        <w:rPr>
          <w:spacing w:val="-2"/>
        </w:rPr>
        <w:t>慧安检、无感乘车、智能客服等创新项目，提高创新业务占比；围绕</w:t>
      </w:r>
      <w:r>
        <w:rPr>
          <w:rFonts w:ascii="Times New Roman" w:hAnsi="Times New Roman" w:cs="Times New Roman" w:eastAsia="Times New Roman" w:hint="default"/>
          <w:spacing w:val="-2"/>
        </w:rPr>
        <w:t>“</w:t>
      </w:r>
      <w:r>
        <w:rPr>
          <w:spacing w:val="-2"/>
        </w:rPr>
        <w:t>大交通</w:t>
      </w:r>
      <w:r>
        <w:rPr>
          <w:rFonts w:ascii="Times New Roman" w:hAnsi="Times New Roman" w:cs="Times New Roman" w:eastAsia="Times New Roman" w:hint="default"/>
          <w:spacing w:val="-2"/>
        </w:rPr>
        <w:t>”</w:t>
      </w:r>
      <w:r>
        <w:rPr>
          <w:spacing w:val="-2"/>
        </w:rPr>
        <w:t>战略定位，推动</w:t>
      </w:r>
      <w:r>
        <w:rPr>
          <w:rFonts w:ascii="Times New Roman" w:hAnsi="Times New Roman" w:cs="Times New Roman" w:eastAsia="Times New Roman" w:hint="default"/>
          <w:spacing w:val="-2"/>
        </w:rPr>
        <w:t>AI</w:t>
      </w:r>
      <w:r>
        <w:rPr>
          <w:spacing w:val="-2"/>
        </w:rPr>
        <w:t>产品及解决方案在民航、客</w:t>
      </w:r>
      <w:r>
        <w:rPr>
          <w:spacing w:val="-48"/>
        </w:rPr>
        <w:t> </w:t>
      </w:r>
      <w:r>
        <w:rPr>
          <w:spacing w:val="-48"/>
        </w:rPr>
      </w:r>
      <w:r>
        <w:rPr/>
        <w:t>运交通业务领域的复制及规模应用。</w:t>
      </w:r>
    </w:p>
    <w:p>
      <w:pPr>
        <w:pStyle w:val="BodyText"/>
        <w:spacing w:line="307" w:lineRule="auto" w:before="151"/>
        <w:ind w:right="1034" w:firstLine="360"/>
        <w:jc w:val="left"/>
      </w:pPr>
      <w:r>
        <w:rPr/>
        <w:t>（</w:t>
      </w:r>
      <w:r>
        <w:rPr>
          <w:rFonts w:ascii="Times New Roman" w:hAnsi="Times New Roman" w:cs="Times New Roman" w:eastAsia="Times New Roman" w:hint="default"/>
        </w:rPr>
        <w:t>4</w:t>
      </w:r>
      <w:r>
        <w:rPr/>
        <w:t>）智能便民</w:t>
      </w:r>
      <w:r>
        <w:rPr>
          <w:rFonts w:ascii="Times New Roman" w:hAnsi="Times New Roman" w:cs="Times New Roman" w:eastAsia="Times New Roman" w:hint="default"/>
        </w:rPr>
        <w:t>——</w:t>
      </w:r>
      <w:r>
        <w:rPr/>
        <w:t>打造智能便民业务生态圈：巩固传统维保业务市场份额，并拓展金融</w:t>
      </w:r>
      <w:r>
        <w:rPr>
          <w:rFonts w:ascii="Times New Roman" w:hAnsi="Times New Roman" w:cs="Times New Roman" w:eastAsia="Times New Roman" w:hint="default"/>
        </w:rPr>
        <w:t>IT</w:t>
      </w:r>
      <w:r>
        <w:rPr/>
        <w:t>运维、商显等领域业务。同 时，优化组织模式与运营体系，推动企业向成熟化、专业化的金融全设备服务解决方案提供商迈进；</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服务</w:t>
      </w:r>
      <w:r>
        <w:rPr>
          <w:rFonts w:ascii="Times New Roman" w:hAnsi="Times New Roman" w:cs="Times New Roman" w:eastAsia="Times New Roman" w:hint="default"/>
        </w:rPr>
        <w:t>”</w:t>
      </w:r>
      <w:r>
        <w:rPr/>
        <w:t>平台聚</w:t>
      </w:r>
      <w:r>
        <w:rPr>
          <w:spacing w:val="-76"/>
        </w:rPr>
        <w:t> </w:t>
      </w:r>
      <w:r>
        <w:rPr/>
        <w:t>焦服务价值创造，升级建设差异化的服务供应链竞争壁垒，并将商用显示、自助设备等行业成功经验延伸到更多细分市场， </w:t>
      </w:r>
      <w:r>
        <w:rPr>
          <w:spacing w:val="-2"/>
        </w:rPr>
        <w:t>实现多行业可复制增长；同时，梳理和优化全自助服务流程，多措并举引流拓客，挖掘中小客户长尾市场流量价值，提升平</w:t>
      </w:r>
      <w:r>
        <w:rPr>
          <w:spacing w:val="-63"/>
        </w:rPr>
        <w:t> </w:t>
      </w:r>
      <w:r>
        <w:rPr>
          <w:spacing w:val="-63"/>
        </w:rPr>
      </w:r>
      <w:r>
        <w:rPr>
          <w:spacing w:val="-2"/>
        </w:rPr>
        <w:t>台运转效能；新零售平台重点完善运营平台，提升精细化运营水平，促进</w:t>
      </w:r>
      <w:r>
        <w:rPr>
          <w:rFonts w:ascii="Times New Roman" w:hAnsi="Times New Roman" w:cs="Times New Roman" w:eastAsia="Times New Roman" w:hint="default"/>
          <w:spacing w:val="-2"/>
        </w:rPr>
        <w:t>“</w:t>
      </w:r>
      <w:r>
        <w:rPr>
          <w:spacing w:val="-2"/>
        </w:rPr>
        <w:t>金融</w:t>
      </w:r>
      <w:r>
        <w:rPr>
          <w:rFonts w:ascii="Times New Roman" w:hAnsi="Times New Roman" w:cs="Times New Roman" w:eastAsia="Times New Roman" w:hint="default"/>
          <w:spacing w:val="-2"/>
        </w:rPr>
        <w:t>+</w:t>
      </w:r>
      <w:r>
        <w:rPr>
          <w:spacing w:val="-2"/>
        </w:rPr>
        <w:t>新零售</w:t>
      </w:r>
      <w:r>
        <w:rPr>
          <w:rFonts w:ascii="Times New Roman" w:hAnsi="Times New Roman" w:cs="Times New Roman" w:eastAsia="Times New Roman" w:hint="default"/>
          <w:spacing w:val="-2"/>
        </w:rPr>
        <w:t>”</w:t>
      </w:r>
      <w:r>
        <w:rPr>
          <w:spacing w:val="-2"/>
        </w:rPr>
        <w:t>的深度融合。重点推动政务、文旅、</w:t>
      </w:r>
      <w:r>
        <w:rPr>
          <w:spacing w:val="-53"/>
        </w:rPr>
        <w:t> </w:t>
      </w:r>
      <w:r>
        <w:rPr>
          <w:spacing w:val="-53"/>
        </w:rPr>
      </w:r>
      <w:r>
        <w:rPr/>
        <w:t>酒店、运营商等领域 </w:t>
      </w:r>
      <w:r>
        <w:rPr>
          <w:rFonts w:ascii="Times New Roman" w:hAnsi="Times New Roman" w:cs="Times New Roman" w:eastAsia="Times New Roman" w:hint="default"/>
        </w:rPr>
        <w:t>AI</w:t>
      </w:r>
      <w:r>
        <w:rPr>
          <w:rFonts w:ascii="Times New Roman" w:hAnsi="Times New Roman" w:cs="Times New Roman" w:eastAsia="Times New Roman" w:hint="default"/>
          <w:spacing w:val="42"/>
        </w:rPr>
        <w:t> </w:t>
      </w:r>
      <w:r>
        <w:rPr/>
        <w:t>场景应用落地，快速提高市场占有率，扩大市场份额，构筑</w:t>
      </w:r>
      <w:r>
        <w:rPr>
          <w:rFonts w:ascii="Times New Roman" w:hAnsi="Times New Roman" w:cs="Times New Roman" w:eastAsia="Times New Roman" w:hint="default"/>
        </w:rPr>
        <w:t>“</w:t>
      </w:r>
      <w:r>
        <w:rPr/>
        <w:t>智能便民服务生态系统</w:t>
      </w:r>
      <w:r>
        <w:rPr>
          <w:rFonts w:ascii="Times New Roman" w:hAnsi="Times New Roman" w:cs="Times New Roman" w:eastAsia="Times New Roman" w:hint="default"/>
        </w:rPr>
        <w:t>”</w:t>
      </w:r>
      <w:r>
        <w:rPr/>
        <w:t>。</w:t>
      </w:r>
    </w:p>
    <w:p>
      <w:pPr>
        <w:pStyle w:val="BodyText"/>
        <w:spacing w:line="300" w:lineRule="auto" w:before="127"/>
        <w:ind w:right="0" w:firstLine="360"/>
        <w:jc w:val="left"/>
      </w:pPr>
      <w:r>
        <w:rPr/>
        <w:t>（</w:t>
      </w:r>
      <w:r>
        <w:rPr>
          <w:rFonts w:ascii="Times New Roman" w:hAnsi="Times New Roman" w:cs="Times New Roman" w:eastAsia="Times New Roman" w:hint="default"/>
        </w:rPr>
        <w:t>5</w:t>
      </w:r>
      <w:r>
        <w:rPr/>
        <w:t>）海外事业群：细化重点市场营销策略，加大</w:t>
      </w:r>
      <w:r>
        <w:rPr>
          <w:rFonts w:ascii="Times New Roman" w:hAnsi="Times New Roman" w:cs="Times New Roman" w:eastAsia="Times New Roman" w:hint="default"/>
        </w:rPr>
        <w:t>AI+</w:t>
      </w:r>
      <w:r>
        <w:rPr/>
        <w:t>创新业务拓展力度，借助国内标杆项目示范效应，加快推进创新 项目在海外市场落地；持续推进国际化支撑体系建设，重点完善服务体系，优化技术支持体系。</w:t>
      </w:r>
    </w:p>
    <w:p>
      <w:pPr>
        <w:pStyle w:val="BodyText"/>
        <w:spacing w:line="240" w:lineRule="auto" w:before="151"/>
        <w:ind w:left="472" w:right="1394"/>
        <w:jc w:val="left"/>
      </w:pPr>
      <w:r>
        <w:rPr>
          <w:rFonts w:ascii="Times New Roman" w:hAnsi="Times New Roman" w:cs="Times New Roman" w:eastAsia="Times New Roman" w:hint="default"/>
        </w:rPr>
        <w:t>2</w:t>
      </w:r>
      <w:r>
        <w:rPr/>
        <w:t>、技术研发方面，明确清晰的技术发展路径，加强核心技术研发，主要工作如下：</w:t>
      </w:r>
    </w:p>
    <w:p>
      <w:pPr>
        <w:spacing w:line="240" w:lineRule="auto" w:before="13"/>
        <w:rPr>
          <w:rFonts w:ascii="宋体" w:hAnsi="宋体" w:cs="宋体" w:eastAsia="宋体" w:hint="default"/>
          <w:sz w:val="13"/>
          <w:szCs w:val="13"/>
        </w:rPr>
      </w:pPr>
    </w:p>
    <w:p>
      <w:pPr>
        <w:pStyle w:val="BodyText"/>
        <w:spacing w:line="300" w:lineRule="auto"/>
        <w:ind w:right="1123" w:firstLine="360"/>
        <w:jc w:val="both"/>
      </w:pPr>
      <w:r>
        <w:rPr/>
        <w:t>（</w:t>
      </w:r>
      <w:r>
        <w:rPr>
          <w:rFonts w:ascii="Times New Roman" w:hAnsi="Times New Roman" w:cs="Times New Roman" w:eastAsia="Times New Roman" w:hint="default"/>
        </w:rPr>
        <w:t>1</w:t>
      </w:r>
      <w:r>
        <w:rPr/>
        <w:t>）研究总院全面推进 </w:t>
      </w:r>
      <w:r>
        <w:rPr>
          <w:rFonts w:ascii="Times New Roman" w:hAnsi="Times New Roman" w:cs="Times New Roman" w:eastAsia="Times New Roman" w:hint="default"/>
        </w:rPr>
        <w:t>AIOT </w:t>
      </w:r>
      <w:r>
        <w:rPr/>
        <w:t>生态建设，通过产学融合提升创新能力、完善标准强化内外协同；强化</w:t>
      </w:r>
      <w:r>
        <w:rPr>
          <w:rFonts w:ascii="Times New Roman" w:hAnsi="Times New Roman" w:cs="Times New Roman" w:eastAsia="Times New Roman" w:hint="default"/>
        </w:rPr>
        <w:t>aiCore</w:t>
      </w:r>
      <w:r>
        <w:rPr>
          <w:rFonts w:ascii="Times New Roman" w:hAnsi="Times New Roman" w:cs="Times New Roman" w:eastAsia="Times New Roman" w:hint="default"/>
          <w:spacing w:val="-8"/>
        </w:rPr>
        <w:t> </w:t>
      </w:r>
      <w:r>
        <w:rPr>
          <w:rFonts w:ascii="Times New Roman" w:hAnsi="Times New Roman" w:cs="Times New Roman" w:eastAsia="Times New Roman" w:hint="default"/>
        </w:rPr>
        <w:t>system</w:t>
      </w:r>
      <w:r>
        <w:rPr/>
        <w:t>智 能视频、生物识别、时序数据分析等关键技术研发能力，构建外部技术生态，完善</w:t>
      </w:r>
      <w:r>
        <w:rPr>
          <w:rFonts w:ascii="Times New Roman" w:hAnsi="Times New Roman" w:cs="Times New Roman" w:eastAsia="Times New Roman" w:hint="default"/>
        </w:rPr>
        <w:t>aiCore</w:t>
      </w:r>
      <w:r>
        <w:rPr>
          <w:rFonts w:ascii="Times New Roman" w:hAnsi="Times New Roman" w:cs="Times New Roman" w:eastAsia="Times New Roman" w:hint="default"/>
          <w:spacing w:val="-20"/>
        </w:rPr>
        <w:t> </w:t>
      </w:r>
      <w:r>
        <w:rPr>
          <w:rFonts w:ascii="Times New Roman" w:hAnsi="Times New Roman" w:cs="Times New Roman" w:eastAsia="Times New Roman" w:hint="default"/>
        </w:rPr>
        <w:t>system</w:t>
      </w:r>
      <w:r>
        <w:rPr/>
        <w:t>平台功能和性能，推动有竞 争力的行业解决方案落地。</w:t>
      </w:r>
    </w:p>
    <w:p>
      <w:pPr>
        <w:pStyle w:val="BodyText"/>
        <w:spacing w:line="300" w:lineRule="auto" w:before="151"/>
        <w:ind w:right="1124" w:firstLine="360"/>
        <w:jc w:val="left"/>
      </w:pPr>
      <w:r>
        <w:rPr/>
        <w:t>（</w:t>
      </w:r>
      <w:r>
        <w:rPr>
          <w:rFonts w:ascii="Times New Roman" w:hAnsi="Times New Roman" w:cs="Times New Roman" w:eastAsia="Times New Roman" w:hint="default"/>
        </w:rPr>
        <w:t>2</w:t>
      </w:r>
      <w:r>
        <w:rPr/>
        <w:t>）持续推进人脸识别、智能视频等通用技术在各专业研究院的共建共享，积极参与人工智能、智慧城市领域的行业 标准建设，加强与行业优秀技术厂商、运营商以及外部专家的联动，内外协同推进</w:t>
      </w:r>
      <w:r>
        <w:rPr>
          <w:rFonts w:ascii="Times New Roman" w:hAnsi="Times New Roman" w:cs="Times New Roman" w:eastAsia="Times New Roman" w:hint="default"/>
        </w:rPr>
        <w:t>AIOT</w:t>
      </w:r>
      <w:r>
        <w:rPr/>
        <w:t>生态建设。</w:t>
      </w:r>
    </w:p>
    <w:p>
      <w:pPr>
        <w:pStyle w:val="BodyText"/>
        <w:spacing w:line="300" w:lineRule="auto" w:before="133"/>
        <w:ind w:right="0" w:firstLine="360"/>
        <w:jc w:val="left"/>
      </w:pPr>
      <w:r>
        <w:rPr>
          <w:spacing w:val="-1"/>
        </w:rPr>
        <w:t>（</w:t>
      </w:r>
      <w:r>
        <w:rPr>
          <w:rFonts w:ascii="Times New Roman" w:hAnsi="Times New Roman" w:cs="Times New Roman" w:eastAsia="Times New Roman" w:hint="default"/>
          <w:spacing w:val="-1"/>
        </w:rPr>
        <w:t>3</w:t>
      </w:r>
      <w:r>
        <w:rPr>
          <w:spacing w:val="-1"/>
        </w:rPr>
        <w:t>）各专业研究院打造具有核心竞争优势的</w:t>
      </w:r>
      <w:r>
        <w:rPr>
          <w:rFonts w:ascii="Times New Roman" w:hAnsi="Times New Roman" w:cs="Times New Roman" w:eastAsia="Times New Roman" w:hint="default"/>
          <w:spacing w:val="-1"/>
        </w:rPr>
        <w:t>AI+</w:t>
      </w:r>
      <w:r>
        <w:rPr>
          <w:spacing w:val="-1"/>
        </w:rPr>
        <w:t>产品或系统解决方案，继续贴近市场，完善各领域产品线及解决方案，</w:t>
      </w:r>
      <w:r>
        <w:rPr/>
        <w:t> 为各事业群场景应用提供技术支撑，推进产品国际化。</w:t>
      </w:r>
    </w:p>
    <w:p>
      <w:pPr>
        <w:pStyle w:val="BodyText"/>
        <w:spacing w:line="240" w:lineRule="auto" w:before="151"/>
        <w:ind w:left="472" w:right="0"/>
        <w:jc w:val="left"/>
      </w:pPr>
      <w:r>
        <w:rPr>
          <w:rFonts w:ascii="Times New Roman" w:hAnsi="Times New Roman" w:cs="Times New Roman" w:eastAsia="Times New Roman" w:hint="default"/>
        </w:rPr>
        <w:t>3</w:t>
      </w:r>
      <w:r>
        <w:rPr/>
        <w:t>、投融资方面，在人工智能基础技术以及金融、交通、安全、便民四大业务领域开展产业投资，积极拓展融资渠道。</w:t>
      </w:r>
    </w:p>
    <w:p>
      <w:pPr>
        <w:spacing w:after="0" w:line="240" w:lineRule="auto"/>
        <w:jc w:val="left"/>
        <w:sectPr>
          <w:pgSz w:w="11910" w:h="16840"/>
          <w:pgMar w:header="878" w:footer="978" w:top="1100" w:bottom="1160" w:left="1020" w:right="0"/>
        </w:sectPr>
      </w:pPr>
    </w:p>
    <w:p>
      <w:pPr>
        <w:spacing w:line="240" w:lineRule="auto" w:before="1"/>
        <w:rPr>
          <w:rFonts w:ascii="宋体" w:hAnsi="宋体" w:cs="宋体" w:eastAsia="宋体" w:hint="default"/>
          <w:sz w:val="22"/>
          <w:szCs w:val="22"/>
        </w:rPr>
      </w:pPr>
    </w:p>
    <w:p>
      <w:pPr>
        <w:pStyle w:val="BodyText"/>
        <w:spacing w:line="240" w:lineRule="auto" w:before="44"/>
        <w:ind w:right="1394"/>
        <w:jc w:val="left"/>
      </w:pPr>
      <w:r>
        <w:rPr/>
        <w:t>加速落地存量资产盘活重组工作，通过资产重组推动子公司业务转型升级，促进公司资产保值增值。</w:t>
      </w:r>
    </w:p>
    <w:p>
      <w:pPr>
        <w:spacing w:line="240" w:lineRule="auto" w:before="0"/>
        <w:rPr>
          <w:rFonts w:ascii="宋体" w:hAnsi="宋体" w:cs="宋体" w:eastAsia="宋体" w:hint="default"/>
          <w:sz w:val="15"/>
          <w:szCs w:val="15"/>
        </w:rPr>
      </w:pPr>
    </w:p>
    <w:p>
      <w:pPr>
        <w:pStyle w:val="BodyText"/>
        <w:spacing w:line="240" w:lineRule="auto"/>
        <w:ind w:left="472" w:right="1394"/>
        <w:jc w:val="left"/>
      </w:pPr>
      <w:r>
        <w:rPr>
          <w:rFonts w:ascii="Times New Roman" w:hAnsi="Times New Roman" w:cs="Times New Roman" w:eastAsia="Times New Roman" w:hint="default"/>
        </w:rPr>
        <w:t>4</w:t>
      </w:r>
      <w:r>
        <w:rPr/>
        <w:t>、经营管理方面，重点工作如下：</w:t>
      </w:r>
    </w:p>
    <w:p>
      <w:pPr>
        <w:spacing w:line="240" w:lineRule="auto" w:before="13"/>
        <w:rPr>
          <w:rFonts w:ascii="宋体" w:hAnsi="宋体" w:cs="宋体" w:eastAsia="宋体" w:hint="default"/>
          <w:sz w:val="13"/>
          <w:szCs w:val="13"/>
        </w:rPr>
      </w:pPr>
    </w:p>
    <w:p>
      <w:pPr>
        <w:pStyle w:val="BodyText"/>
        <w:spacing w:line="300" w:lineRule="auto"/>
        <w:ind w:right="1124" w:firstLine="360"/>
        <w:jc w:val="left"/>
      </w:pPr>
      <w:r>
        <w:rPr/>
        <w:t>（</w:t>
      </w:r>
      <w:r>
        <w:rPr>
          <w:rFonts w:ascii="Times New Roman" w:hAnsi="Times New Roman" w:cs="Times New Roman" w:eastAsia="Times New Roman" w:hint="default"/>
        </w:rPr>
        <w:t>1</w:t>
      </w:r>
      <w:r>
        <w:rPr/>
        <w:t>）组织制定十四五发展战略规划，持续加强企业内部控制体系和制度规范建设，严格把控重点领域项目风险。着力 完善对子公司的集团化管控模式，强化子公司三会运作管理。</w:t>
      </w:r>
    </w:p>
    <w:p>
      <w:pPr>
        <w:pStyle w:val="BodyText"/>
        <w:spacing w:line="240" w:lineRule="auto" w:before="151"/>
        <w:ind w:left="472" w:right="1394"/>
        <w:jc w:val="left"/>
      </w:pPr>
      <w:r>
        <w:rPr/>
        <w:t>（</w:t>
      </w:r>
      <w:r>
        <w:rPr>
          <w:rFonts w:ascii="Times New Roman" w:hAnsi="Times New Roman" w:cs="Times New Roman" w:eastAsia="Times New Roman" w:hint="default"/>
        </w:rPr>
        <w:t>2</w:t>
      </w:r>
      <w:r>
        <w:rPr/>
        <w:t>）构建符合新时期战略发展要求的创新激励机制，持续推动公司人才升级，打造一支富有竞争力的人才队伍。</w:t>
      </w:r>
    </w:p>
    <w:p>
      <w:pPr>
        <w:spacing w:line="240" w:lineRule="auto" w:before="13"/>
        <w:rPr>
          <w:rFonts w:ascii="宋体" w:hAnsi="宋体" w:cs="宋体" w:eastAsia="宋体" w:hint="default"/>
          <w:sz w:val="13"/>
          <w:szCs w:val="13"/>
        </w:rPr>
      </w:pPr>
    </w:p>
    <w:p>
      <w:pPr>
        <w:pStyle w:val="BodyText"/>
        <w:spacing w:line="300" w:lineRule="auto"/>
        <w:ind w:right="1124" w:firstLine="360"/>
        <w:jc w:val="left"/>
      </w:pPr>
      <w:r>
        <w:rPr/>
        <w:t>（</w:t>
      </w:r>
      <w:r>
        <w:rPr>
          <w:rFonts w:ascii="Times New Roman" w:hAnsi="Times New Roman" w:cs="Times New Roman" w:eastAsia="Times New Roman" w:hint="default"/>
        </w:rPr>
        <w:t>3</w:t>
      </w:r>
      <w:r>
        <w:rPr/>
        <w:t>）系统布局人工智能相关专利、标准，占领行业制高点，加强与高校、科研院所的深度交流及合作，提升行业地位 及影响力。</w:t>
      </w:r>
    </w:p>
    <w:p>
      <w:pPr>
        <w:pStyle w:val="BodyText"/>
        <w:spacing w:line="240" w:lineRule="auto" w:before="151"/>
        <w:ind w:left="472" w:right="1394"/>
        <w:jc w:val="left"/>
      </w:pPr>
      <w:r>
        <w:rPr/>
        <w:t>（</w:t>
      </w:r>
      <w:r>
        <w:rPr>
          <w:rFonts w:ascii="Times New Roman" w:hAnsi="Times New Roman" w:cs="Times New Roman" w:eastAsia="Times New Roman" w:hint="default"/>
        </w:rPr>
        <w:t>4</w:t>
      </w:r>
      <w:r>
        <w:rPr/>
        <w:t>）整合各类渠道资源，积极做好人工智能品牌形象传播，持续提升品牌影响力。</w:t>
      </w:r>
    </w:p>
    <w:p>
      <w:pPr>
        <w:spacing w:line="240" w:lineRule="auto" w:before="13"/>
        <w:rPr>
          <w:rFonts w:ascii="宋体" w:hAnsi="宋体" w:cs="宋体" w:eastAsia="宋体" w:hint="default"/>
          <w:sz w:val="13"/>
          <w:szCs w:val="13"/>
        </w:rPr>
      </w:pPr>
    </w:p>
    <w:p>
      <w:pPr>
        <w:pStyle w:val="BodyText"/>
        <w:spacing w:line="240" w:lineRule="auto"/>
        <w:ind w:left="472" w:right="1394"/>
        <w:jc w:val="left"/>
      </w:pPr>
      <w:r>
        <w:rPr/>
        <w:t>（</w:t>
      </w:r>
      <w:r>
        <w:rPr>
          <w:rFonts w:ascii="Times New Roman" w:hAnsi="Times New Roman" w:cs="Times New Roman" w:eastAsia="Times New Roman" w:hint="default"/>
        </w:rPr>
        <w:t>5</w:t>
      </w:r>
      <w:r>
        <w:rPr/>
        <w:t>）规划建设深圳人工智能创新基地及中新知识城高端智能终端智造基地。</w:t>
      </w:r>
    </w:p>
    <w:p>
      <w:pPr>
        <w:spacing w:line="240" w:lineRule="auto" w:before="13"/>
        <w:rPr>
          <w:rFonts w:ascii="宋体" w:hAnsi="宋体" w:cs="宋体" w:eastAsia="宋体" w:hint="default"/>
          <w:sz w:val="13"/>
          <w:szCs w:val="13"/>
        </w:rPr>
      </w:pPr>
    </w:p>
    <w:p>
      <w:pPr>
        <w:pStyle w:val="Heading6"/>
        <w:spacing w:line="240" w:lineRule="auto"/>
        <w:ind w:right="1394"/>
        <w:jc w:val="left"/>
        <w:rPr>
          <w:b w:val="0"/>
          <w:bCs w:val="0"/>
        </w:rPr>
      </w:pPr>
      <w:r>
        <w:rPr/>
        <w:t>（四）资金需求及使用计划</w:t>
      </w:r>
      <w:r>
        <w:rPr>
          <w:b w:val="0"/>
          <w:bCs w:val="0"/>
        </w:rPr>
      </w:r>
    </w:p>
    <w:p>
      <w:pPr>
        <w:spacing w:line="240" w:lineRule="auto" w:before="0"/>
        <w:rPr>
          <w:rFonts w:ascii="宋体" w:hAnsi="宋体" w:cs="宋体" w:eastAsia="宋体" w:hint="default"/>
          <w:b/>
          <w:bCs/>
          <w:sz w:val="15"/>
          <w:szCs w:val="15"/>
        </w:rPr>
      </w:pPr>
    </w:p>
    <w:p>
      <w:pPr>
        <w:pStyle w:val="BodyText"/>
        <w:spacing w:line="309" w:lineRule="auto"/>
        <w:ind w:right="1130" w:firstLine="360"/>
        <w:jc w:val="both"/>
      </w:pPr>
      <w:r>
        <w:rPr>
          <w:rFonts w:ascii="Times New Roman" w:hAnsi="Times New Roman" w:cs="Times New Roman" w:eastAsia="Times New Roman" w:hint="default"/>
          <w:spacing w:val="-2"/>
        </w:rPr>
        <w:t>2020</w:t>
      </w:r>
      <w:r>
        <w:rPr>
          <w:spacing w:val="-2"/>
        </w:rPr>
        <w:t>年，公司将紧跟行业、技术发展大势，深入拓展生物识别、智能视频、大数据等人工智能技术应用，扎实耕耘智能</w:t>
      </w:r>
      <w:r>
        <w:rPr/>
        <w:t> </w:t>
      </w:r>
      <w:r>
        <w:rPr>
          <w:spacing w:val="-2"/>
        </w:rPr>
        <w:t>金融行业，大力开拓创新领域。随着公司在人工智能应用场景开拓的不断深入，公司对于资金的需求将有所增加。目前公司</w:t>
      </w:r>
      <w:r>
        <w:rPr>
          <w:spacing w:val="-64"/>
        </w:rPr>
        <w:t> </w:t>
      </w:r>
      <w:r>
        <w:rPr>
          <w:spacing w:val="-64"/>
        </w:rPr>
      </w:r>
      <w:r>
        <w:rPr/>
        <w:t>资产结构稳健、偿债能力较强、信贷资信良好，各种融资渠道畅通，公司及各子公司发展的资金来源有一定的保障。</w:t>
      </w:r>
    </w:p>
    <w:p>
      <w:pPr>
        <w:pStyle w:val="Heading6"/>
        <w:spacing w:line="240" w:lineRule="auto" w:before="144"/>
        <w:ind w:right="1394"/>
        <w:jc w:val="left"/>
        <w:rPr>
          <w:b w:val="0"/>
          <w:bCs w:val="0"/>
        </w:rPr>
      </w:pPr>
      <w:r>
        <w:rPr/>
        <w:t>（五）公司面临的风险及应对措施</w:t>
      </w:r>
      <w:r>
        <w:rPr>
          <w:b w:val="0"/>
          <w:bCs w:val="0"/>
        </w:rPr>
      </w:r>
    </w:p>
    <w:p>
      <w:pPr>
        <w:pStyle w:val="BodyText"/>
        <w:spacing w:line="420" w:lineRule="atLeast" w:before="25"/>
        <w:ind w:left="472" w:right="1120"/>
        <w:jc w:val="left"/>
      </w:pPr>
      <w:r>
        <w:rPr>
          <w:rFonts w:ascii="Times New Roman" w:hAnsi="Times New Roman" w:cs="Times New Roman" w:eastAsia="Times New Roman" w:hint="default"/>
        </w:rPr>
        <w:t>1</w:t>
      </w:r>
      <w:r>
        <w:rPr/>
        <w:t>、市场风险 </w:t>
      </w:r>
      <w:r>
        <w:rPr>
          <w:spacing w:val="-2"/>
        </w:rPr>
        <w:t>随着银行网点转型的持续推进，银行业对网点转型产品的需求不断扩大，而对传统现金设备的需求则持续缩减，传统现</w:t>
      </w:r>
    </w:p>
    <w:p>
      <w:pPr>
        <w:pStyle w:val="BodyText"/>
        <w:spacing w:line="240" w:lineRule="auto" w:before="76"/>
        <w:ind w:right="1394"/>
        <w:jc w:val="left"/>
      </w:pPr>
      <w:r>
        <w:rPr/>
        <w:t>金设备行业洗牌加速，价格持续下滑，整个行业利润持续趋窄。</w:t>
      </w:r>
    </w:p>
    <w:p>
      <w:pPr>
        <w:spacing w:line="240" w:lineRule="auto" w:before="0"/>
        <w:rPr>
          <w:rFonts w:ascii="宋体" w:hAnsi="宋体" w:cs="宋体" w:eastAsia="宋体" w:hint="default"/>
          <w:sz w:val="15"/>
          <w:szCs w:val="15"/>
        </w:rPr>
      </w:pPr>
    </w:p>
    <w:p>
      <w:pPr>
        <w:pStyle w:val="BodyText"/>
        <w:spacing w:line="316" w:lineRule="auto"/>
        <w:ind w:right="1132" w:firstLine="360"/>
        <w:jc w:val="both"/>
      </w:pPr>
      <w:r>
        <w:rPr>
          <w:spacing w:val="-2"/>
        </w:rPr>
        <w:t>为此，公司将深度拓展传统现金设备市场，巩固国内传统现金类设备市场第一的行业地位；紧跟银行需求变化，系统规</w:t>
      </w:r>
      <w:r>
        <w:rPr/>
        <w:t> </w:t>
      </w:r>
      <w:r>
        <w:rPr>
          <w:spacing w:val="-2"/>
        </w:rPr>
        <w:t>划创新产品线，提升智能金融设备市场占有率；构筑网点转型综合解决方案竞争优势，打造行业网点集成样板工程；围绕银</w:t>
      </w:r>
      <w:r>
        <w:rPr>
          <w:spacing w:val="-66"/>
        </w:rPr>
        <w:t> </w:t>
      </w:r>
      <w:r>
        <w:rPr>
          <w:spacing w:val="-66"/>
        </w:rPr>
      </w:r>
      <w:r>
        <w:rPr>
          <w:spacing w:val="-2"/>
        </w:rPr>
        <w:t>行新需求，布局与实施金库智能化改造解决方案。同时，深入拓展生物识别、智能视频、大数据等人工智能技术应用，在智</w:t>
      </w:r>
      <w:r>
        <w:rPr>
          <w:spacing w:val="-66"/>
        </w:rPr>
        <w:t> </w:t>
      </w:r>
      <w:r>
        <w:rPr>
          <w:spacing w:val="-66"/>
        </w:rPr>
      </w:r>
      <w:r>
        <w:rPr>
          <w:spacing w:val="-2"/>
        </w:rPr>
        <w:t>能金融、智能安全、智能交通、智能便民四大战略领域同步发力，利用公司原有客户、渠道、人员、技术等协同资源，围绕</w:t>
      </w:r>
      <w:r>
        <w:rPr>
          <w:spacing w:val="-66"/>
        </w:rPr>
        <w:t> </w:t>
      </w:r>
      <w:r>
        <w:rPr>
          <w:spacing w:val="-66"/>
        </w:rPr>
      </w:r>
      <w:r>
        <w:rPr/>
        <w:t>人工智能技术开展技术创新、产业升级，逐步降低现金相关业务在公司所占比例。</w:t>
      </w:r>
    </w:p>
    <w:p>
      <w:pPr>
        <w:pStyle w:val="BodyText"/>
        <w:spacing w:line="240" w:lineRule="auto" w:before="139"/>
        <w:ind w:left="472" w:right="1394"/>
        <w:jc w:val="left"/>
      </w:pPr>
      <w:r>
        <w:rPr>
          <w:rFonts w:ascii="Times New Roman" w:hAnsi="Times New Roman" w:cs="Times New Roman" w:eastAsia="Times New Roman" w:hint="default"/>
        </w:rPr>
        <w:t>2</w:t>
      </w:r>
      <w:r>
        <w:rPr/>
        <w:t>、投资风险</w:t>
      </w:r>
    </w:p>
    <w:p>
      <w:pPr>
        <w:spacing w:line="240" w:lineRule="auto" w:before="13"/>
        <w:rPr>
          <w:rFonts w:ascii="宋体" w:hAnsi="宋体" w:cs="宋体" w:eastAsia="宋体" w:hint="default"/>
          <w:sz w:val="13"/>
          <w:szCs w:val="13"/>
        </w:rPr>
      </w:pPr>
    </w:p>
    <w:p>
      <w:pPr>
        <w:pStyle w:val="BodyText"/>
        <w:spacing w:line="309" w:lineRule="auto"/>
        <w:ind w:right="1132" w:firstLine="360"/>
        <w:jc w:val="both"/>
      </w:pPr>
      <w:r>
        <w:rPr>
          <w:rFonts w:ascii="Times New Roman" w:hAnsi="Times New Roman" w:cs="Times New Roman" w:eastAsia="Times New Roman" w:hint="default"/>
          <w:spacing w:val="-2"/>
        </w:rPr>
        <w:t>2020</w:t>
      </w:r>
      <w:r>
        <w:rPr>
          <w:spacing w:val="-2"/>
        </w:rPr>
        <w:t>年，公司将继续加大投资并购力度，把握市场机遇，瞄准人工智能行业方向，重点把握战略领域并购机会，拓宽公</w:t>
      </w:r>
      <w:r>
        <w:rPr/>
        <w:t> </w:t>
      </w:r>
      <w:r>
        <w:rPr>
          <w:spacing w:val="-2"/>
        </w:rPr>
        <w:t>司产业空间。公司在投资过程中将面临宏观经济波动影响、对新领域不熟悉、收益不及预期、未来团队整合及运营管理等风</w:t>
      </w:r>
      <w:r>
        <w:rPr>
          <w:spacing w:val="-66"/>
        </w:rPr>
        <w:t> </w:t>
      </w:r>
      <w:r>
        <w:rPr>
          <w:spacing w:val="-66"/>
        </w:rPr>
      </w:r>
      <w:r>
        <w:rPr/>
        <w:t>险。</w:t>
      </w:r>
    </w:p>
    <w:p>
      <w:pPr>
        <w:pStyle w:val="BodyText"/>
        <w:spacing w:line="316" w:lineRule="auto" w:before="144"/>
        <w:ind w:right="1024" w:firstLine="360"/>
        <w:jc w:val="left"/>
      </w:pPr>
      <w:r>
        <w:rPr>
          <w:spacing w:val="-2"/>
        </w:rPr>
        <w:t>为此，公司一方面将加强市场分析和调研，严格执行《风险投资管理制度》及对外股权投资相关制度，必要时聘请外部</w:t>
      </w:r>
      <w:r>
        <w:rPr/>
        <w:t> </w:t>
      </w:r>
      <w:r>
        <w:rPr>
          <w:spacing w:val="-2"/>
        </w:rPr>
        <w:t>具有丰富投资实战管理经验的人员为公司对外投资提供咨询服务，努力降低投资风险。另一方面，公司将最大限度保留原管</w:t>
      </w:r>
      <w:r>
        <w:rPr>
          <w:spacing w:val="-65"/>
        </w:rPr>
        <w:t> </w:t>
      </w:r>
      <w:r>
        <w:rPr>
          <w:spacing w:val="-65"/>
        </w:rPr>
      </w:r>
      <w:r>
        <w:rPr>
          <w:spacing w:val="-4"/>
        </w:rPr>
        <w:t>理团队，利用原管理团队对项目进行日常管理，并保持与当地政府、客户之间良好的关系，使投资完成后的公司能平稳过渡、</w:t>
      </w:r>
      <w:r>
        <w:rPr>
          <w:spacing w:val="-43"/>
        </w:rPr>
        <w:t> </w:t>
      </w:r>
      <w:r>
        <w:rPr>
          <w:spacing w:val="-43"/>
        </w:rPr>
      </w:r>
      <w:r>
        <w:rPr/>
        <w:t>顺利运转。</w:t>
      </w:r>
    </w:p>
    <w:p>
      <w:pPr>
        <w:pStyle w:val="BodyText"/>
        <w:spacing w:line="432" w:lineRule="exact" w:before="3"/>
        <w:ind w:left="472" w:right="1034"/>
        <w:jc w:val="left"/>
      </w:pPr>
      <w:r>
        <w:rPr>
          <w:rFonts w:ascii="Times New Roman" w:hAnsi="Times New Roman" w:cs="Times New Roman" w:eastAsia="Times New Roman" w:hint="default"/>
        </w:rPr>
        <w:t>3</w:t>
      </w:r>
      <w:r>
        <w:rPr/>
        <w:t>、经营规模迅速扩张导致的管理风险 随着公司各业务板块规模的扩大及投资并购的逐步开展，公司资产规模、经营规模、人员规模将迅速扩大，下设的分、</w:t>
      </w:r>
    </w:p>
    <w:p>
      <w:pPr>
        <w:pStyle w:val="BodyText"/>
        <w:spacing w:line="240" w:lineRule="auto" w:before="15"/>
        <w:ind w:right="1394"/>
        <w:jc w:val="left"/>
      </w:pPr>
      <w:r>
        <w:rPr/>
        <w:t>子、孙公司增多且分布分散，公司经营管理的复杂程度大大提高，面临着管理风险。</w:t>
      </w:r>
    </w:p>
    <w:p>
      <w:pPr>
        <w:spacing w:line="240" w:lineRule="auto" w:before="0"/>
        <w:rPr>
          <w:rFonts w:ascii="宋体" w:hAnsi="宋体" w:cs="宋体" w:eastAsia="宋体" w:hint="default"/>
          <w:sz w:val="15"/>
          <w:szCs w:val="15"/>
        </w:rPr>
      </w:pPr>
    </w:p>
    <w:p>
      <w:pPr>
        <w:pStyle w:val="BodyText"/>
        <w:spacing w:line="316" w:lineRule="auto"/>
        <w:ind w:right="0" w:firstLine="360"/>
        <w:jc w:val="left"/>
      </w:pPr>
      <w:r>
        <w:rPr>
          <w:spacing w:val="-2"/>
        </w:rPr>
        <w:t>为此，公司围绕集团化管理分工，细化总部服务、管理、监督、拓展职能，系统推进企管、财务、人力资源、品牌、法</w:t>
      </w:r>
      <w:r>
        <w:rPr/>
        <w:t> </w:t>
      </w:r>
      <w:r>
        <w:rPr>
          <w:spacing w:val="-2"/>
        </w:rPr>
        <w:t>务、审计、证券等各子体系建设，进一步细化和完善分、子、孙公司的经营管理体系；加强集团化财务管控，细化子公司财</w:t>
      </w:r>
      <w:r>
        <w:rPr>
          <w:spacing w:val="-64"/>
        </w:rPr>
        <w:t> </w:t>
      </w:r>
      <w:r>
        <w:rPr>
          <w:spacing w:val="-64"/>
        </w:rPr>
      </w:r>
      <w:r>
        <w:rPr>
          <w:spacing w:val="-4"/>
        </w:rPr>
        <w:t>务负责人岗位职责，推进合并报表平台建设，研究建立集团资金管控中心，提升审计综合应对能力；同时加强企业文化建设，</w:t>
      </w:r>
      <w:r>
        <w:rPr>
          <w:spacing w:val="-43"/>
        </w:rPr>
        <w:t> </w:t>
      </w:r>
      <w:r>
        <w:rPr>
          <w:spacing w:val="-43"/>
        </w:rPr>
      </w:r>
      <w:r>
        <w:rPr/>
        <w:t>提高全体人员的企业认同感和归属感，努力降低管理风险。</w:t>
      </w:r>
    </w:p>
    <w:p>
      <w:pPr>
        <w:spacing w:after="0" w:line="316" w:lineRule="auto"/>
        <w:jc w:val="left"/>
        <w:sectPr>
          <w:pgSz w:w="11910" w:h="16840"/>
          <w:pgMar w:header="878" w:footer="978" w:top="1100" w:bottom="1160" w:left="1020" w:right="0"/>
        </w:sectPr>
      </w:pPr>
    </w:p>
    <w:p>
      <w:pPr>
        <w:spacing w:line="240" w:lineRule="auto" w:before="1"/>
        <w:rPr>
          <w:rFonts w:ascii="宋体" w:hAnsi="宋体" w:cs="宋体" w:eastAsia="宋体" w:hint="default"/>
          <w:sz w:val="22"/>
          <w:szCs w:val="22"/>
        </w:rPr>
      </w:pPr>
    </w:p>
    <w:p>
      <w:pPr>
        <w:pStyle w:val="BodyText"/>
        <w:spacing w:line="240" w:lineRule="auto" w:before="44"/>
        <w:ind w:left="672" w:right="1034"/>
        <w:jc w:val="left"/>
      </w:pPr>
      <w:r>
        <w:rPr>
          <w:rFonts w:ascii="Times New Roman" w:hAnsi="Times New Roman" w:cs="Times New Roman" w:eastAsia="Times New Roman" w:hint="default"/>
        </w:rPr>
        <w:t>4</w:t>
      </w:r>
      <w:r>
        <w:rPr/>
        <w:t>、商誉减值风险</w:t>
      </w:r>
    </w:p>
    <w:p>
      <w:pPr>
        <w:spacing w:line="240" w:lineRule="auto" w:before="13"/>
        <w:rPr>
          <w:rFonts w:ascii="宋体" w:hAnsi="宋体" w:cs="宋体" w:eastAsia="宋体" w:hint="default"/>
          <w:sz w:val="13"/>
          <w:szCs w:val="13"/>
        </w:rPr>
      </w:pPr>
    </w:p>
    <w:p>
      <w:pPr>
        <w:pStyle w:val="BodyText"/>
        <w:spacing w:line="316" w:lineRule="auto"/>
        <w:ind w:left="312" w:right="1034" w:firstLine="360"/>
        <w:jc w:val="left"/>
      </w:pPr>
      <w:r>
        <w:rPr>
          <w:spacing w:val="-2"/>
        </w:rPr>
        <w:t>公司在开展各类并购时多采用收益法对并购标的进行评估，由此协定的并购对价会形成较高的商誉。随着公司并购项目</w:t>
      </w:r>
      <w:r>
        <w:rPr/>
        <w:t> 的不断增多，因并购形成的商誉存在计提减值的风险。</w:t>
      </w:r>
    </w:p>
    <w:p>
      <w:pPr>
        <w:pStyle w:val="BodyText"/>
        <w:spacing w:line="316" w:lineRule="auto" w:before="139"/>
        <w:ind w:left="312" w:right="1034" w:firstLine="360"/>
        <w:jc w:val="left"/>
      </w:pPr>
      <w:r>
        <w:rPr>
          <w:spacing w:val="-2"/>
        </w:rPr>
        <w:t>为此，公司一方面强化收购成本的控制，避免产生过高的商誉；一方面加强投后管理，努力提高并购效益，减轻商誉减</w:t>
      </w:r>
      <w:r>
        <w:rPr/>
        <w:t> 值压力。</w:t>
      </w:r>
    </w:p>
    <w:p>
      <w:pPr>
        <w:pStyle w:val="BodyText"/>
        <w:spacing w:line="432" w:lineRule="exact" w:before="3"/>
        <w:ind w:left="672" w:right="1034"/>
        <w:jc w:val="left"/>
      </w:pPr>
      <w:r>
        <w:rPr>
          <w:rFonts w:ascii="Times New Roman" w:hAnsi="Times New Roman" w:cs="Times New Roman" w:eastAsia="Times New Roman" w:hint="default"/>
        </w:rPr>
        <w:t>5</w:t>
      </w:r>
      <w:r>
        <w:rPr/>
        <w:t>、汇率波动风险 </w:t>
      </w:r>
      <w:r>
        <w:rPr>
          <w:spacing w:val="-4"/>
        </w:rPr>
        <w:t>公司国际业务主要以美元、欧元、土耳其里拉等外币进行结算，随着公司国际业务的不断拓展，当汇率出现较大波动时，</w:t>
      </w:r>
    </w:p>
    <w:p>
      <w:pPr>
        <w:pStyle w:val="BodyText"/>
        <w:spacing w:line="240" w:lineRule="auto" w:before="15"/>
        <w:ind w:left="312" w:right="1034"/>
        <w:jc w:val="left"/>
      </w:pPr>
      <w:r>
        <w:rPr/>
        <w:t>公司可能存在较大的汇率风险。</w:t>
      </w:r>
    </w:p>
    <w:p>
      <w:pPr>
        <w:spacing w:line="240" w:lineRule="auto" w:before="0"/>
        <w:rPr>
          <w:rFonts w:ascii="宋体" w:hAnsi="宋体" w:cs="宋体" w:eastAsia="宋体" w:hint="default"/>
          <w:sz w:val="15"/>
          <w:szCs w:val="15"/>
        </w:rPr>
      </w:pPr>
    </w:p>
    <w:p>
      <w:pPr>
        <w:pStyle w:val="BodyText"/>
        <w:spacing w:line="316" w:lineRule="auto"/>
        <w:ind w:left="312" w:right="1034" w:firstLine="360"/>
        <w:jc w:val="left"/>
      </w:pPr>
      <w:r>
        <w:rPr/>
        <w:t>为此，公司制定了《外汇套期保值业务管理制度》，计划开展外汇套期保值业务，以降低汇率波动对公司利润的影响， 有效防范和控制外币汇率风险。</w:t>
      </w:r>
    </w:p>
    <w:p>
      <w:pPr>
        <w:spacing w:line="240" w:lineRule="auto" w:before="9"/>
        <w:rPr>
          <w:rFonts w:ascii="宋体" w:hAnsi="宋体" w:cs="宋体" w:eastAsia="宋体" w:hint="default"/>
          <w:sz w:val="20"/>
          <w:szCs w:val="20"/>
        </w:rPr>
      </w:pPr>
    </w:p>
    <w:p>
      <w:pPr>
        <w:pStyle w:val="Heading2"/>
        <w:spacing w:line="240" w:lineRule="auto"/>
        <w:ind w:left="312" w:right="1034"/>
        <w:jc w:val="left"/>
        <w:rPr>
          <w:b w:val="0"/>
          <w:bCs w:val="0"/>
        </w:rPr>
      </w:pPr>
      <w:bookmarkStart w:name="十、接待调研、沟通、采访等活动" w:id="60"/>
      <w:bookmarkEnd w:id="60"/>
      <w:r>
        <w:rPr>
          <w:b w:val="0"/>
          <w:bCs w:val="0"/>
        </w:rPr>
      </w:r>
      <w:r>
        <w:rPr/>
        <w:t>十、接待调研、沟通、采访等活动</w:t>
      </w:r>
      <w:r>
        <w:rPr>
          <w:b w:val="0"/>
          <w:bCs w:val="0"/>
        </w:rPr>
      </w:r>
    </w:p>
    <w:p>
      <w:pPr>
        <w:spacing w:line="240" w:lineRule="auto" w:before="3"/>
        <w:rPr>
          <w:rFonts w:ascii="宋体" w:hAnsi="宋体" w:cs="宋体" w:eastAsia="宋体" w:hint="default"/>
          <w:b/>
          <w:bCs/>
          <w:sz w:val="25"/>
          <w:szCs w:val="25"/>
        </w:rPr>
      </w:pPr>
    </w:p>
    <w:p>
      <w:pPr>
        <w:pStyle w:val="Heading5"/>
        <w:spacing w:line="240" w:lineRule="auto"/>
        <w:ind w:left="312" w:right="1034"/>
        <w:jc w:val="left"/>
        <w:rPr>
          <w:b w:val="0"/>
          <w:bCs w:val="0"/>
        </w:rPr>
      </w:pPr>
      <w:bookmarkStart w:name="1、报告期内接待调研、沟通、采访等活动登记表" w:id="61"/>
      <w:bookmarkEnd w:id="61"/>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left="312" w:right="10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tbl>
      <w:tblPr>
        <w:tblW w:w="0" w:type="auto"/>
        <w:jc w:val="left"/>
        <w:tblInd w:w="113" w:type="dxa"/>
        <w:tblLayout w:type="fixed"/>
        <w:tblCellMar>
          <w:top w:w="0" w:type="dxa"/>
          <w:left w:w="0" w:type="dxa"/>
          <w:bottom w:w="0" w:type="dxa"/>
          <w:right w:w="0" w:type="dxa"/>
        </w:tblCellMar>
        <w:tblLook w:val="01E0"/>
      </w:tblPr>
      <w:tblGrid>
        <w:gridCol w:w="1488"/>
        <w:gridCol w:w="850"/>
        <w:gridCol w:w="709"/>
        <w:gridCol w:w="6983"/>
      </w:tblGrid>
      <w:tr>
        <w:trPr>
          <w:trHeight w:val="714" w:hRule="exact"/>
        </w:trPr>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接待方式</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9" w:right="78"/>
              <w:jc w:val="left"/>
              <w:rPr>
                <w:rFonts w:ascii="宋体" w:hAnsi="宋体" w:cs="宋体" w:eastAsia="宋体" w:hint="default"/>
                <w:sz w:val="18"/>
                <w:szCs w:val="18"/>
              </w:rPr>
            </w:pPr>
            <w:r>
              <w:rPr>
                <w:rFonts w:ascii="宋体" w:hAnsi="宋体" w:cs="宋体" w:eastAsia="宋体" w:hint="default"/>
                <w:sz w:val="18"/>
                <w:szCs w:val="18"/>
              </w:rPr>
              <w:t>接待对 象类型</w:t>
            </w:r>
          </w:p>
        </w:tc>
        <w:tc>
          <w:tcPr>
            <w:tcW w:w="6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402" w:hRule="exact"/>
        </w:trPr>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4"/>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6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宋体" w:hAnsi="宋体" w:cs="宋体" w:eastAsia="宋体" w:hint="default"/>
                <w:spacing w:val="-49"/>
                <w:sz w:val="18"/>
                <w:szCs w:val="18"/>
              </w:rPr>
              <w:t> </w:t>
            </w:r>
            <w:hyperlink r:id="rId10">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《广电运通：</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日投资者关系活动记录表》</w:t>
            </w:r>
          </w:p>
        </w:tc>
      </w:tr>
      <w:tr>
        <w:trPr>
          <w:trHeight w:val="402" w:hRule="exact"/>
        </w:trPr>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4"/>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6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宋体" w:hAnsi="宋体" w:cs="宋体" w:eastAsia="宋体" w:hint="default"/>
                <w:spacing w:val="-49"/>
                <w:sz w:val="18"/>
                <w:szCs w:val="18"/>
              </w:rPr>
              <w:t> </w:t>
            </w:r>
            <w:hyperlink r:id="rId10">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《广电运通：</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日投资者关系活动记录表》</w:t>
            </w:r>
          </w:p>
        </w:tc>
      </w:tr>
      <w:tr>
        <w:trPr>
          <w:trHeight w:val="402" w:hRule="exact"/>
        </w:trPr>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4"/>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6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宋体" w:hAnsi="宋体" w:cs="宋体" w:eastAsia="宋体" w:hint="default"/>
                <w:spacing w:val="-49"/>
                <w:sz w:val="18"/>
                <w:szCs w:val="18"/>
              </w:rPr>
              <w:t> </w:t>
            </w:r>
            <w:hyperlink r:id="rId10">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《广电运通：</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日投资者关系活动记录表》</w:t>
            </w:r>
          </w:p>
        </w:tc>
      </w:tr>
      <w:tr>
        <w:trPr>
          <w:trHeight w:val="402" w:hRule="exact"/>
        </w:trPr>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4"/>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6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宋体" w:hAnsi="宋体" w:cs="宋体" w:eastAsia="宋体" w:hint="default"/>
                <w:spacing w:val="-49"/>
                <w:sz w:val="18"/>
                <w:szCs w:val="18"/>
              </w:rPr>
              <w:t> </w:t>
            </w:r>
            <w:hyperlink r:id="rId10">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《广电运通：</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日投资者关系活动记录表》</w:t>
            </w:r>
          </w:p>
        </w:tc>
      </w:tr>
      <w:tr>
        <w:trPr>
          <w:trHeight w:val="402" w:hRule="exact"/>
        </w:trPr>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4"/>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6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宋体" w:hAnsi="宋体" w:cs="宋体" w:eastAsia="宋体" w:hint="default"/>
                <w:spacing w:val="-49"/>
                <w:sz w:val="18"/>
                <w:szCs w:val="18"/>
              </w:rPr>
              <w:t> </w:t>
            </w:r>
            <w:hyperlink r:id="rId10">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《广电运通：</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日投资者关系活动记录表》</w:t>
            </w:r>
          </w:p>
        </w:tc>
      </w:tr>
      <w:tr>
        <w:trPr>
          <w:trHeight w:val="402" w:hRule="exact"/>
        </w:trPr>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4"/>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6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宋体" w:hAnsi="宋体" w:cs="宋体" w:eastAsia="宋体" w:hint="default"/>
                <w:spacing w:val="-49"/>
                <w:sz w:val="18"/>
                <w:szCs w:val="18"/>
              </w:rPr>
              <w:t> </w:t>
            </w:r>
            <w:hyperlink r:id="rId10">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《广电运通：</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日投资者关系活动记录表》</w:t>
            </w:r>
          </w:p>
        </w:tc>
      </w:tr>
      <w:tr>
        <w:trPr>
          <w:trHeight w:val="402" w:hRule="exact"/>
        </w:trPr>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4"/>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6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宋体" w:hAnsi="宋体" w:cs="宋体" w:eastAsia="宋体" w:hint="default"/>
                <w:spacing w:val="-49"/>
                <w:sz w:val="18"/>
                <w:szCs w:val="18"/>
              </w:rPr>
              <w:t> </w:t>
            </w:r>
            <w:hyperlink r:id="rId10">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《广电运通：</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日投资者关系活动记录表》</w:t>
            </w:r>
          </w:p>
        </w:tc>
      </w:tr>
      <w:tr>
        <w:trPr>
          <w:trHeight w:val="402" w:hRule="exact"/>
        </w:trPr>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4"/>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6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宋体" w:hAnsi="宋体" w:cs="宋体" w:eastAsia="宋体" w:hint="default"/>
                <w:spacing w:val="-49"/>
                <w:sz w:val="18"/>
                <w:szCs w:val="18"/>
              </w:rPr>
              <w:t> </w:t>
            </w:r>
            <w:hyperlink r:id="rId10">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《广电运通：</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日投资者关系活动记录表》</w:t>
            </w:r>
          </w:p>
        </w:tc>
      </w:tr>
      <w:tr>
        <w:trPr>
          <w:trHeight w:val="402" w:hRule="exact"/>
        </w:trPr>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4"/>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6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宋体" w:hAnsi="宋体" w:cs="宋体" w:eastAsia="宋体" w:hint="default"/>
                <w:spacing w:val="-49"/>
                <w:sz w:val="18"/>
                <w:szCs w:val="18"/>
              </w:rPr>
              <w:t> </w:t>
            </w:r>
            <w:hyperlink r:id="rId10">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《广电运通：</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日投资者关系活动记录表》</w:t>
            </w:r>
          </w:p>
        </w:tc>
      </w:tr>
    </w:tbl>
    <w:p>
      <w:pPr>
        <w:spacing w:after="0" w:line="240" w:lineRule="auto"/>
        <w:jc w:val="left"/>
        <w:rPr>
          <w:rFonts w:ascii="宋体" w:hAnsi="宋体" w:cs="宋体" w:eastAsia="宋体" w:hint="default"/>
          <w:sz w:val="18"/>
          <w:szCs w:val="18"/>
        </w:rPr>
        <w:sectPr>
          <w:pgSz w:w="11910" w:h="16840"/>
          <w:pgMar w:header="878" w:footer="978" w:top="1100" w:bottom="1160" w:left="8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pStyle w:val="Heading1"/>
        <w:spacing w:line="240" w:lineRule="auto"/>
        <w:ind w:right="1017"/>
        <w:jc w:val="center"/>
        <w:rPr>
          <w:b w:val="0"/>
          <w:bCs w:val="0"/>
        </w:rPr>
      </w:pPr>
      <w:bookmarkStart w:name="第五节 重要事项" w:id="62"/>
      <w:bookmarkEnd w:id="62"/>
      <w:r>
        <w:rPr>
          <w:b w:val="0"/>
          <w:bCs w:val="0"/>
        </w:rPr>
      </w:r>
      <w:bookmarkStart w:name="_bookmark4" w:id="63"/>
      <w:bookmarkEnd w:id="63"/>
      <w:r>
        <w:rPr>
          <w:b w:val="0"/>
          <w:bCs w:val="0"/>
        </w:rPr>
      </w:r>
      <w:r>
        <w:rPr/>
        <w:t>第五节</w:t>
      </w:r>
      <w:r>
        <w:rPr>
          <w:spacing w:val="-7"/>
        </w:rPr>
        <w:t> </w:t>
      </w:r>
      <w:r>
        <w:rPr/>
        <w:t>重要事项</w:t>
      </w:r>
      <w:r>
        <w:rPr>
          <w:b w:val="0"/>
          <w:bCs w:val="0"/>
        </w:rPr>
      </w:r>
    </w:p>
    <w:p>
      <w:pPr>
        <w:spacing w:line="240" w:lineRule="auto" w:before="10"/>
        <w:rPr>
          <w:rFonts w:ascii="宋体" w:hAnsi="宋体" w:cs="宋体" w:eastAsia="宋体" w:hint="default"/>
          <w:b/>
          <w:bCs/>
          <w:sz w:val="38"/>
          <w:szCs w:val="38"/>
        </w:rPr>
      </w:pPr>
    </w:p>
    <w:p>
      <w:pPr>
        <w:pStyle w:val="Heading2"/>
        <w:spacing w:line="240" w:lineRule="auto"/>
        <w:ind w:right="0"/>
        <w:jc w:val="both"/>
        <w:rPr>
          <w:b w:val="0"/>
          <w:bCs w:val="0"/>
        </w:rPr>
      </w:pPr>
      <w:bookmarkStart w:name="一、公司普通股利润分配及资本公积金转增股本情况" w:id="64"/>
      <w:bookmarkEnd w:id="64"/>
      <w:r>
        <w:rPr>
          <w:b w:val="0"/>
          <w:bCs w:val="0"/>
        </w:rPr>
      </w:r>
      <w:r>
        <w:rPr/>
        <w:t>一、公司普通股利润分配及资本公积金转增股本情况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both"/>
      </w:pPr>
      <w:r>
        <w:rPr/>
        <w:t>报告期内普通股利润分配政策，特别是现金分红政策的制定、执行或调整情况</w:t>
      </w:r>
    </w:p>
    <w:p>
      <w:pPr>
        <w:pStyle w:val="BodyText"/>
        <w:spacing w:line="340" w:lineRule="auto" w:before="117"/>
        <w:ind w:left="472" w:right="1120"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w:t>
      </w:r>
      <w:r>
        <w:rPr>
          <w:spacing w:val="-2"/>
        </w:rPr>
        <w:t>为建立和健全公司科学、持续、稳定的分红决策和监督机制，积极回报投资者，引导投资者树立长期投资和理性投资理</w:t>
      </w:r>
    </w:p>
    <w:p>
      <w:pPr>
        <w:pStyle w:val="BodyText"/>
        <w:spacing w:line="240" w:lineRule="auto" w:before="1"/>
        <w:ind w:right="0"/>
        <w:jc w:val="both"/>
      </w:pPr>
      <w:r>
        <w:rPr/>
        <w:t>念，董事会综合公司盈利能力、经营发展规划、股东回报、资金成本以及外部融资环境等因素，根据《公司法》《证券法》</w:t>
      </w:r>
    </w:p>
    <w:p>
      <w:pPr>
        <w:pStyle w:val="BodyText"/>
        <w:spacing w:line="300" w:lineRule="auto" w:before="76"/>
        <w:ind w:right="1131"/>
        <w:jc w:val="both"/>
      </w:pPr>
      <w:r>
        <w:rPr/>
        <w:t>《上市公司章程指引》《关于进一步落实上市公司现金分红有关事项的通知》《上市公司监管指引第</w:t>
      </w:r>
      <w:r>
        <w:rPr>
          <w:rFonts w:ascii="Times New Roman" w:hAnsi="Times New Roman" w:cs="Times New Roman" w:eastAsia="Times New Roman" w:hint="default"/>
        </w:rPr>
        <w:t>3</w:t>
      </w:r>
      <w:r>
        <w:rPr/>
        <w:t>号</w:t>
      </w:r>
      <w:r>
        <w:rPr>
          <w:rFonts w:ascii="Times New Roman" w:hAnsi="Times New Roman" w:cs="Times New Roman" w:eastAsia="Times New Roman" w:hint="default"/>
        </w:rPr>
        <w:t>——</w:t>
      </w:r>
      <w:r>
        <w:rPr/>
        <w:t>上市公司现金 </w:t>
      </w:r>
      <w:r>
        <w:rPr>
          <w:spacing w:val="-6"/>
        </w:rPr>
        <w:t>分红》等法律、法规、规章及《公司章程》的要求，公司制定了《广州广电运通金融电子股份有限公司未来三年（</w:t>
      </w:r>
      <w:r>
        <w:rPr>
          <w:rFonts w:ascii="Times New Roman" w:hAnsi="Times New Roman" w:cs="Times New Roman" w:eastAsia="Times New Roman" w:hint="default"/>
          <w:spacing w:val="-6"/>
        </w:rPr>
        <w:t>2018</w:t>
      </w:r>
      <w:r>
        <w:rPr>
          <w:spacing w:val="-6"/>
        </w:rPr>
        <w:t>年</w:t>
      </w:r>
      <w:r>
        <w:rPr>
          <w:rFonts w:ascii="Times New Roman" w:hAnsi="Times New Roman" w:cs="Times New Roman" w:eastAsia="Times New Roman" w:hint="default"/>
          <w:spacing w:val="-6"/>
        </w:rPr>
        <w:t>-2020</w:t>
      </w:r>
      <w:r>
        <w:rPr>
          <w:rFonts w:ascii="Times New Roman" w:hAnsi="Times New Roman" w:cs="Times New Roman" w:eastAsia="Times New Roman" w:hint="default"/>
          <w:spacing w:val="-13"/>
        </w:rPr>
        <w:t> </w:t>
      </w:r>
      <w:r>
        <w:rPr>
          <w:rFonts w:ascii="Times New Roman" w:hAnsi="Times New Roman" w:cs="Times New Roman" w:eastAsia="Times New Roman" w:hint="default"/>
          <w:spacing w:val="-13"/>
        </w:rPr>
      </w:r>
      <w:r>
        <w:rPr/>
        <w:t>年）股东回报规划》，并经公司第五届董事会第四次会议审议通过。</w:t>
      </w:r>
    </w:p>
    <w:p>
      <w:pPr>
        <w:spacing w:line="240" w:lineRule="auto" w:before="9"/>
        <w:rPr>
          <w:rFonts w:ascii="宋体" w:hAnsi="宋体" w:cs="宋体" w:eastAsia="宋体" w:hint="default"/>
          <w:sz w:val="4"/>
          <w:szCs w:val="4"/>
        </w:rPr>
      </w:pPr>
    </w:p>
    <w:tbl>
      <w:tblPr>
        <w:tblW w:w="0" w:type="auto"/>
        <w:jc w:val="left"/>
        <w:tblInd w:w="109" w:type="dxa"/>
        <w:tblLayout w:type="fixed"/>
        <w:tblCellMar>
          <w:top w:w="0" w:type="dxa"/>
          <w:left w:w="0" w:type="dxa"/>
          <w:bottom w:w="0" w:type="dxa"/>
          <w:right w:w="0" w:type="dxa"/>
        </w:tblCellMar>
        <w:tblLook w:val="01E0"/>
      </w:tblPr>
      <w:tblGrid>
        <w:gridCol w:w="6663"/>
        <w:gridCol w:w="2905"/>
      </w:tblGrid>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2" w:hRule="exact"/>
        </w:trPr>
        <w:tc>
          <w:tcPr>
            <w:tcW w:w="6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中小股东是否有充分表达意见和诉求的机会，其合法权益是否得到了充分保护：</w:t>
            </w:r>
          </w:p>
        </w:tc>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现金分红政策进行调整或变更的，条件及程序是否合规、透明：</w:t>
            </w:r>
          </w:p>
        </w:tc>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319" w:lineRule="auto" w:before="50"/>
        <w:ind w:left="472" w:right="1120" w:hanging="360"/>
        <w:jc w:val="left"/>
      </w:pPr>
      <w:r>
        <w:rPr/>
        <w:t>公司近</w:t>
      </w:r>
      <w:r>
        <w:rPr>
          <w:spacing w:val="-45"/>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年（包括本报告期）的普通股股利分配方案（预案）、资本公积金转增股本方案（预案）情况 </w:t>
      </w:r>
      <w:r>
        <w:rPr>
          <w:rFonts w:ascii="Times New Roman" w:hAnsi="Times New Roman" w:cs="Times New Roman" w:eastAsia="Times New Roman" w:hint="default"/>
        </w:rPr>
        <w:t>1</w:t>
      </w:r>
      <w:r>
        <w:rPr/>
        <w:t>、公司</w:t>
      </w:r>
      <w:r>
        <w:rPr>
          <w:rFonts w:ascii="Times New Roman" w:hAnsi="Times New Roman" w:cs="Times New Roman" w:eastAsia="Times New Roman" w:hint="default"/>
        </w:rPr>
        <w:t>2017</w:t>
      </w:r>
      <w:r>
        <w:rPr/>
        <w:t>年利润分配方案 以</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日公司总股本</w:t>
      </w:r>
      <w:r>
        <w:rPr>
          <w:rFonts w:ascii="Times New Roman" w:hAnsi="Times New Roman" w:cs="Times New Roman" w:eastAsia="Times New Roman" w:hint="default"/>
        </w:rPr>
        <w:t>2,428,885,725</w:t>
      </w:r>
      <w:r>
        <w:rPr/>
        <w:t>股为基数，向全体股东每</w:t>
      </w:r>
      <w:r>
        <w:rPr>
          <w:rFonts w:ascii="Times New Roman" w:hAnsi="Times New Roman" w:cs="Times New Roman" w:eastAsia="Times New Roman" w:hint="default"/>
        </w:rPr>
        <w:t>10</w:t>
      </w:r>
      <w:r>
        <w:rPr/>
        <w:t>股派发现金红利</w:t>
      </w:r>
      <w:r>
        <w:rPr>
          <w:rFonts w:ascii="Times New Roman" w:hAnsi="Times New Roman" w:cs="Times New Roman" w:eastAsia="Times New Roman" w:hint="default"/>
        </w:rPr>
        <w:t>2</w:t>
      </w:r>
      <w:r>
        <w:rPr/>
        <w:t>元（含税），共计派发现金红</w:t>
      </w:r>
    </w:p>
    <w:p>
      <w:pPr>
        <w:pStyle w:val="BodyText"/>
        <w:spacing w:line="300" w:lineRule="auto"/>
        <w:ind w:left="472" w:right="0" w:hanging="360"/>
        <w:jc w:val="left"/>
      </w:pPr>
      <w:r>
        <w:rPr/>
        <w:t>利</w:t>
      </w:r>
      <w:r>
        <w:rPr>
          <w:rFonts w:ascii="Times New Roman" w:hAnsi="Times New Roman" w:cs="Times New Roman" w:eastAsia="Times New Roman" w:hint="default"/>
        </w:rPr>
        <w:t>485,777,145.00</w:t>
      </w:r>
      <w:r>
        <w:rPr/>
        <w:t>元，剩余未分配利润</w:t>
      </w:r>
      <w:r>
        <w:rPr>
          <w:rFonts w:ascii="Times New Roman" w:hAnsi="Times New Roman" w:cs="Times New Roman" w:eastAsia="Times New Roman" w:hint="default"/>
        </w:rPr>
        <w:t>2,494,925,484.01</w:t>
      </w:r>
      <w:r>
        <w:rPr/>
        <w:t>元结转至下一年度。</w:t>
      </w:r>
      <w:r>
        <w:rPr>
          <w:rFonts w:ascii="Times New Roman" w:hAnsi="Times New Roman" w:cs="Times New Roman" w:eastAsia="Times New Roman" w:hint="default"/>
        </w:rPr>
        <w:t>2017</w:t>
      </w:r>
      <w:r>
        <w:rPr/>
        <w:t>年度，公司不进行资本公积转增股本。 </w:t>
      </w:r>
      <w:r>
        <w:rPr>
          <w:rFonts w:ascii="Times New Roman" w:hAnsi="Times New Roman" w:cs="Times New Roman" w:eastAsia="Times New Roman" w:hint="default"/>
        </w:rPr>
        <w:t>2</w:t>
      </w:r>
      <w:r>
        <w:rPr/>
        <w:t>、公司</w:t>
      </w:r>
      <w:r>
        <w:rPr>
          <w:rFonts w:ascii="Times New Roman" w:hAnsi="Times New Roman" w:cs="Times New Roman" w:eastAsia="Times New Roman" w:hint="default"/>
        </w:rPr>
        <w:t>2018</w:t>
      </w:r>
      <w:r>
        <w:rPr/>
        <w:t>年利润分配预案 </w:t>
      </w:r>
      <w:r>
        <w:rPr>
          <w:spacing w:val="9"/>
        </w:rPr>
        <w:t>以目前公司总股本</w:t>
      </w:r>
      <w:r>
        <w:rPr>
          <w:rFonts w:ascii="Times New Roman" w:hAnsi="Times New Roman" w:cs="Times New Roman" w:eastAsia="Times New Roman" w:hint="default"/>
          <w:spacing w:val="9"/>
        </w:rPr>
        <w:t>2,408,993,951</w:t>
      </w:r>
      <w:r>
        <w:rPr>
          <w:spacing w:val="9"/>
        </w:rPr>
        <w:t>股为基数，向全体股东每</w:t>
      </w:r>
      <w:r>
        <w:rPr>
          <w:rFonts w:ascii="Times New Roman" w:hAnsi="Times New Roman" w:cs="Times New Roman" w:eastAsia="Times New Roman" w:hint="default"/>
          <w:spacing w:val="9"/>
        </w:rPr>
        <w:t>10</w:t>
      </w:r>
      <w:r>
        <w:rPr>
          <w:spacing w:val="9"/>
        </w:rPr>
        <w:t>股派发现金红利</w:t>
      </w:r>
      <w:r>
        <w:rPr>
          <w:rFonts w:ascii="Times New Roman" w:hAnsi="Times New Roman" w:cs="Times New Roman" w:eastAsia="Times New Roman" w:hint="default"/>
          <w:spacing w:val="9"/>
        </w:rPr>
        <w:t>1.20</w:t>
      </w:r>
      <w:r>
        <w:rPr>
          <w:spacing w:val="9"/>
        </w:rPr>
        <w:t>元（含税），共计派发现金红利</w:t>
      </w:r>
    </w:p>
    <w:p>
      <w:pPr>
        <w:pStyle w:val="BodyText"/>
        <w:spacing w:line="240" w:lineRule="auto" w:before="13"/>
        <w:ind w:right="1394"/>
        <w:jc w:val="left"/>
      </w:pPr>
      <w:r>
        <w:rPr>
          <w:rFonts w:ascii="Times New Roman" w:hAnsi="Times New Roman" w:cs="Times New Roman" w:eastAsia="Times New Roman" w:hint="default"/>
        </w:rPr>
        <w:t>289,079,274.12</w:t>
      </w:r>
      <w:r>
        <w:rPr/>
        <w:t>元，剩余未分配利润</w:t>
      </w:r>
      <w:r>
        <w:rPr>
          <w:rFonts w:ascii="Times New Roman" w:hAnsi="Times New Roman" w:cs="Times New Roman" w:eastAsia="Times New Roman" w:hint="default"/>
        </w:rPr>
        <w:t>2,327,473,108.95</w:t>
      </w:r>
      <w:r>
        <w:rPr/>
        <w:t>元结转至下一年度。</w:t>
      </w:r>
      <w:r>
        <w:rPr>
          <w:rFonts w:ascii="Times New Roman" w:hAnsi="Times New Roman" w:cs="Times New Roman" w:eastAsia="Times New Roman" w:hint="default"/>
        </w:rPr>
        <w:t>2018</w:t>
      </w:r>
      <w:r>
        <w:rPr/>
        <w:t>年度，公司不进行资本公积转增股本。</w:t>
      </w:r>
    </w:p>
    <w:p>
      <w:pPr>
        <w:pStyle w:val="BodyText"/>
        <w:spacing w:line="300" w:lineRule="auto" w:before="63"/>
        <w:ind w:left="472" w:right="0"/>
        <w:jc w:val="left"/>
      </w:pPr>
      <w:r>
        <w:rPr>
          <w:rFonts w:ascii="Times New Roman" w:hAnsi="Times New Roman" w:cs="Times New Roman" w:eastAsia="Times New Roman" w:hint="default"/>
        </w:rPr>
        <w:t>3</w:t>
      </w:r>
      <w:r>
        <w:rPr/>
        <w:t>、公司</w:t>
      </w:r>
      <w:r>
        <w:rPr>
          <w:rFonts w:ascii="Times New Roman" w:hAnsi="Times New Roman" w:cs="Times New Roman" w:eastAsia="Times New Roman" w:hint="default"/>
        </w:rPr>
        <w:t>2019</w:t>
      </w:r>
      <w:r>
        <w:rPr/>
        <w:t>年利润分配预案 </w:t>
      </w:r>
      <w:r>
        <w:rPr>
          <w:spacing w:val="9"/>
        </w:rPr>
        <w:t>以目前公司总股本</w:t>
      </w:r>
      <w:r>
        <w:rPr>
          <w:rFonts w:ascii="Times New Roman" w:hAnsi="Times New Roman" w:cs="Times New Roman" w:eastAsia="Times New Roman" w:hint="default"/>
          <w:spacing w:val="9"/>
        </w:rPr>
        <w:t>2,408,993,951</w:t>
      </w:r>
      <w:r>
        <w:rPr>
          <w:spacing w:val="9"/>
        </w:rPr>
        <w:t>股为基数，向全体股东每</w:t>
      </w:r>
      <w:r>
        <w:rPr>
          <w:rFonts w:ascii="Times New Roman" w:hAnsi="Times New Roman" w:cs="Times New Roman" w:eastAsia="Times New Roman" w:hint="default"/>
          <w:spacing w:val="9"/>
        </w:rPr>
        <w:t>10</w:t>
      </w:r>
      <w:r>
        <w:rPr>
          <w:spacing w:val="9"/>
        </w:rPr>
        <w:t>股派发现金红利</w:t>
      </w:r>
      <w:r>
        <w:rPr>
          <w:rFonts w:ascii="Times New Roman" w:hAnsi="Times New Roman" w:cs="Times New Roman" w:eastAsia="Times New Roman" w:hint="default"/>
          <w:spacing w:val="9"/>
        </w:rPr>
        <w:t>1.20</w:t>
      </w:r>
      <w:r>
        <w:rPr>
          <w:spacing w:val="9"/>
        </w:rPr>
        <w:t>元（含税），共计派发现金红利</w:t>
      </w:r>
    </w:p>
    <w:p>
      <w:pPr>
        <w:pStyle w:val="BodyText"/>
        <w:spacing w:line="340" w:lineRule="auto" w:before="13"/>
        <w:ind w:right="1394"/>
        <w:jc w:val="left"/>
      </w:pPr>
      <w:r>
        <w:rPr>
          <w:rFonts w:ascii="Times New Roman" w:hAnsi="Times New Roman" w:cs="Times New Roman" w:eastAsia="Times New Roman" w:hint="default"/>
          <w:spacing w:val="-1"/>
        </w:rPr>
        <w:t>289,079,274.12</w:t>
      </w:r>
      <w:r>
        <w:rPr>
          <w:spacing w:val="-1"/>
        </w:rPr>
        <w:t>元，剩余未分配利润</w:t>
      </w:r>
      <w:r>
        <w:rPr>
          <w:rFonts w:ascii="Times New Roman" w:hAnsi="Times New Roman" w:cs="Times New Roman" w:eastAsia="Times New Roman" w:hint="default"/>
          <w:spacing w:val="-1"/>
        </w:rPr>
        <w:t>2,521,387,105.19</w:t>
      </w:r>
      <w:r>
        <w:rPr>
          <w:spacing w:val="-1"/>
        </w:rPr>
        <w:t>元结转至下一年度。</w:t>
      </w:r>
      <w:r>
        <w:rPr>
          <w:rFonts w:ascii="Times New Roman" w:hAnsi="Times New Roman" w:cs="Times New Roman" w:eastAsia="Times New Roman" w:hint="default"/>
          <w:spacing w:val="-1"/>
        </w:rPr>
        <w:t>2019</w:t>
      </w:r>
      <w:r>
        <w:rPr>
          <w:spacing w:val="-1"/>
        </w:rPr>
        <w:t>年度，公司不进行资本公积转增股本。</w:t>
      </w:r>
      <w:r>
        <w:rPr>
          <w:spacing w:val="-38"/>
        </w:rPr>
        <w:t> </w:t>
      </w:r>
      <w:r>
        <w:rPr/>
        <w:t>公司近三年（包括本报告期）普通股现金分红情况表</w:t>
      </w:r>
    </w:p>
    <w:p>
      <w:pPr>
        <w:pStyle w:val="BodyText"/>
        <w:spacing w:line="240" w:lineRule="auto" w:before="41"/>
        <w:ind w:left="0" w:right="1132"/>
        <w:jc w:val="right"/>
      </w:pPr>
      <w:r>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197"/>
        <w:gridCol w:w="1195"/>
        <w:gridCol w:w="1196"/>
        <w:gridCol w:w="1196"/>
        <w:gridCol w:w="1196"/>
        <w:gridCol w:w="1196"/>
        <w:gridCol w:w="1196"/>
        <w:gridCol w:w="1196"/>
      </w:tblGrid>
      <w:tr>
        <w:trPr>
          <w:trHeight w:val="356" w:hRule="exact"/>
        </w:trPr>
        <w:tc>
          <w:tcPr>
            <w:tcW w:w="1197"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49"/>
              <w:ind w:left="233"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195"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现金分红金额</w:t>
            </w:r>
          </w:p>
        </w:tc>
        <w:tc>
          <w:tcPr>
            <w:tcW w:w="1196"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分红年度合并</w:t>
            </w:r>
          </w:p>
        </w:tc>
        <w:tc>
          <w:tcPr>
            <w:tcW w:w="1196"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49"/>
              <w:ind w:right="50"/>
              <w:jc w:val="right"/>
              <w:rPr>
                <w:rFonts w:ascii="宋体" w:hAnsi="宋体" w:cs="宋体" w:eastAsia="宋体" w:hint="default"/>
                <w:sz w:val="18"/>
                <w:szCs w:val="18"/>
              </w:rPr>
            </w:pPr>
            <w:r>
              <w:rPr>
                <w:rFonts w:ascii="宋体" w:hAnsi="宋体" w:cs="宋体" w:eastAsia="宋体" w:hint="default"/>
                <w:sz w:val="18"/>
                <w:szCs w:val="18"/>
              </w:rPr>
              <w:t>现金分红金额</w:t>
            </w:r>
          </w:p>
        </w:tc>
        <w:tc>
          <w:tcPr>
            <w:tcW w:w="1196"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49"/>
              <w:ind w:left="142" w:right="0"/>
              <w:jc w:val="left"/>
              <w:rPr>
                <w:rFonts w:ascii="宋体" w:hAnsi="宋体" w:cs="宋体" w:eastAsia="宋体" w:hint="default"/>
                <w:sz w:val="18"/>
                <w:szCs w:val="18"/>
              </w:rPr>
            </w:pPr>
            <w:r>
              <w:rPr>
                <w:rFonts w:ascii="宋体" w:hAnsi="宋体" w:cs="宋体" w:eastAsia="宋体" w:hint="default"/>
                <w:sz w:val="18"/>
                <w:szCs w:val="18"/>
              </w:rPr>
              <w:t>以其他方式</w:t>
            </w:r>
          </w:p>
        </w:tc>
        <w:tc>
          <w:tcPr>
            <w:tcW w:w="1196"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49"/>
              <w:ind w:right="52"/>
              <w:jc w:val="right"/>
              <w:rPr>
                <w:rFonts w:ascii="宋体" w:hAnsi="宋体" w:cs="宋体" w:eastAsia="宋体" w:hint="default"/>
                <w:sz w:val="18"/>
                <w:szCs w:val="18"/>
              </w:rPr>
            </w:pPr>
            <w:r>
              <w:rPr>
                <w:rFonts w:ascii="宋体" w:hAnsi="宋体" w:cs="宋体" w:eastAsia="宋体" w:hint="default"/>
                <w:sz w:val="18"/>
                <w:szCs w:val="18"/>
              </w:rPr>
              <w:t>以其他方式现</w:t>
            </w:r>
          </w:p>
        </w:tc>
        <w:tc>
          <w:tcPr>
            <w:tcW w:w="1196"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现金分红总额</w:t>
            </w:r>
          </w:p>
        </w:tc>
        <w:tc>
          <w:tcPr>
            <w:tcW w:w="1196"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现金分红总额</w:t>
            </w:r>
          </w:p>
        </w:tc>
      </w:tr>
      <w:tr>
        <w:trPr>
          <w:trHeight w:val="312" w:hRule="exact"/>
        </w:trPr>
        <w:tc>
          <w:tcPr>
            <w:tcW w:w="1197" w:type="dxa"/>
            <w:tcBorders>
              <w:top w:val="nil" w:sz="6" w:space="0" w:color="auto"/>
              <w:left w:val="single" w:sz="4" w:space="0" w:color="000000"/>
              <w:bottom w:val="nil" w:sz="6" w:space="0" w:color="auto"/>
              <w:right w:val="single" w:sz="4" w:space="0" w:color="000000"/>
            </w:tcBorders>
            <w:shd w:val="clear" w:color="auto" w:fill="D2D2D2"/>
          </w:tcPr>
          <w:p>
            <w:pPr/>
          </w:p>
        </w:tc>
        <w:tc>
          <w:tcPr>
            <w:tcW w:w="11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（含税）</w:t>
            </w:r>
          </w:p>
        </w:tc>
        <w:tc>
          <w:tcPr>
            <w:tcW w:w="11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报表中归属于</w:t>
            </w:r>
          </w:p>
        </w:tc>
        <w:tc>
          <w:tcPr>
            <w:tcW w:w="11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50"/>
              <w:jc w:val="right"/>
              <w:rPr>
                <w:rFonts w:ascii="宋体" w:hAnsi="宋体" w:cs="宋体" w:eastAsia="宋体" w:hint="default"/>
                <w:sz w:val="18"/>
                <w:szCs w:val="18"/>
              </w:rPr>
            </w:pPr>
            <w:r>
              <w:rPr>
                <w:rFonts w:ascii="宋体" w:hAnsi="宋体" w:cs="宋体" w:eastAsia="宋体" w:hint="default"/>
                <w:sz w:val="18"/>
                <w:szCs w:val="18"/>
              </w:rPr>
              <w:t>占合并报表中</w:t>
            </w:r>
          </w:p>
        </w:tc>
        <w:tc>
          <w:tcPr>
            <w:tcW w:w="11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142" w:right="0"/>
              <w:jc w:val="left"/>
              <w:rPr>
                <w:rFonts w:ascii="宋体" w:hAnsi="宋体" w:cs="宋体" w:eastAsia="宋体" w:hint="default"/>
                <w:sz w:val="18"/>
                <w:szCs w:val="18"/>
              </w:rPr>
            </w:pPr>
            <w:r>
              <w:rPr>
                <w:rFonts w:ascii="宋体" w:hAnsi="宋体" w:cs="宋体" w:eastAsia="宋体" w:hint="default"/>
                <w:sz w:val="18"/>
                <w:szCs w:val="18"/>
              </w:rPr>
              <w:t>（如回购股</w:t>
            </w:r>
          </w:p>
        </w:tc>
        <w:tc>
          <w:tcPr>
            <w:tcW w:w="11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52"/>
              <w:jc w:val="right"/>
              <w:rPr>
                <w:rFonts w:ascii="宋体" w:hAnsi="宋体" w:cs="宋体" w:eastAsia="宋体" w:hint="default"/>
                <w:sz w:val="18"/>
                <w:szCs w:val="18"/>
              </w:rPr>
            </w:pPr>
            <w:r>
              <w:rPr>
                <w:rFonts w:ascii="宋体" w:hAnsi="宋体" w:cs="宋体" w:eastAsia="宋体" w:hint="default"/>
                <w:sz w:val="18"/>
                <w:szCs w:val="18"/>
              </w:rPr>
              <w:t>金分红金额占</w:t>
            </w:r>
          </w:p>
        </w:tc>
        <w:tc>
          <w:tcPr>
            <w:tcW w:w="11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（含其他方</w:t>
            </w:r>
          </w:p>
        </w:tc>
        <w:tc>
          <w:tcPr>
            <w:tcW w:w="11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141" w:right="0"/>
              <w:jc w:val="left"/>
              <w:rPr>
                <w:rFonts w:ascii="宋体" w:hAnsi="宋体" w:cs="宋体" w:eastAsia="宋体" w:hint="default"/>
                <w:sz w:val="18"/>
                <w:szCs w:val="18"/>
              </w:rPr>
            </w:pPr>
            <w:r>
              <w:rPr>
                <w:rFonts w:ascii="宋体" w:hAnsi="宋体" w:cs="宋体" w:eastAsia="宋体" w:hint="default"/>
                <w:sz w:val="18"/>
                <w:szCs w:val="18"/>
              </w:rPr>
              <w:t>（含其他方</w:t>
            </w:r>
          </w:p>
        </w:tc>
      </w:tr>
      <w:tr>
        <w:trPr>
          <w:trHeight w:val="312" w:hRule="exact"/>
        </w:trPr>
        <w:tc>
          <w:tcPr>
            <w:tcW w:w="1197" w:type="dxa"/>
            <w:tcBorders>
              <w:top w:val="nil" w:sz="6" w:space="0" w:color="auto"/>
              <w:left w:val="single" w:sz="4" w:space="0" w:color="000000"/>
              <w:bottom w:val="nil" w:sz="6" w:space="0" w:color="auto"/>
              <w:right w:val="single" w:sz="4" w:space="0" w:color="000000"/>
            </w:tcBorders>
            <w:shd w:val="clear" w:color="auto" w:fill="D2D2D2"/>
          </w:tcPr>
          <w:p>
            <w:pPr/>
          </w:p>
        </w:tc>
        <w:tc>
          <w:tcPr>
            <w:tcW w:w="1195" w:type="dxa"/>
            <w:tcBorders>
              <w:top w:val="nil" w:sz="6" w:space="0" w:color="auto"/>
              <w:left w:val="single" w:sz="4" w:space="0" w:color="000000"/>
              <w:bottom w:val="nil" w:sz="6" w:space="0" w:color="auto"/>
              <w:right w:val="single" w:sz="4" w:space="0" w:color="000000"/>
            </w:tcBorders>
            <w:shd w:val="clear" w:color="auto" w:fill="D2D2D2"/>
          </w:tcPr>
          <w:p>
            <w:pPr/>
          </w:p>
        </w:tc>
        <w:tc>
          <w:tcPr>
            <w:tcW w:w="11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上市公司普通</w:t>
            </w:r>
          </w:p>
        </w:tc>
        <w:tc>
          <w:tcPr>
            <w:tcW w:w="11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50"/>
              <w:jc w:val="right"/>
              <w:rPr>
                <w:rFonts w:ascii="宋体" w:hAnsi="宋体" w:cs="宋体" w:eastAsia="宋体" w:hint="default"/>
                <w:sz w:val="18"/>
                <w:szCs w:val="18"/>
              </w:rPr>
            </w:pPr>
            <w:r>
              <w:rPr>
                <w:rFonts w:ascii="宋体" w:hAnsi="宋体" w:cs="宋体" w:eastAsia="宋体" w:hint="default"/>
                <w:sz w:val="18"/>
                <w:szCs w:val="18"/>
              </w:rPr>
              <w:t>归属于上市公</w:t>
            </w:r>
          </w:p>
        </w:tc>
        <w:tc>
          <w:tcPr>
            <w:tcW w:w="11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51"/>
              <w:jc w:val="right"/>
              <w:rPr>
                <w:rFonts w:ascii="宋体" w:hAnsi="宋体" w:cs="宋体" w:eastAsia="宋体" w:hint="default"/>
                <w:sz w:val="18"/>
                <w:szCs w:val="18"/>
              </w:rPr>
            </w:pPr>
            <w:r>
              <w:rPr>
                <w:rFonts w:ascii="宋体" w:hAnsi="宋体" w:cs="宋体" w:eastAsia="宋体" w:hint="default"/>
                <w:sz w:val="18"/>
                <w:szCs w:val="18"/>
              </w:rPr>
              <w:t>份）现金分红</w:t>
            </w:r>
          </w:p>
        </w:tc>
        <w:tc>
          <w:tcPr>
            <w:tcW w:w="11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52"/>
              <w:jc w:val="right"/>
              <w:rPr>
                <w:rFonts w:ascii="宋体" w:hAnsi="宋体" w:cs="宋体" w:eastAsia="宋体" w:hint="default"/>
                <w:sz w:val="18"/>
                <w:szCs w:val="18"/>
              </w:rPr>
            </w:pPr>
            <w:r>
              <w:rPr>
                <w:rFonts w:ascii="宋体" w:hAnsi="宋体" w:cs="宋体" w:eastAsia="宋体" w:hint="default"/>
                <w:sz w:val="18"/>
                <w:szCs w:val="18"/>
              </w:rPr>
              <w:t>合并报表中归</w:t>
            </w:r>
          </w:p>
        </w:tc>
        <w:tc>
          <w:tcPr>
            <w:tcW w:w="11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式）</w:t>
            </w:r>
          </w:p>
        </w:tc>
        <w:tc>
          <w:tcPr>
            <w:tcW w:w="11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51"/>
              <w:jc w:val="right"/>
              <w:rPr>
                <w:rFonts w:ascii="宋体" w:hAnsi="宋体" w:cs="宋体" w:eastAsia="宋体" w:hint="default"/>
                <w:sz w:val="18"/>
                <w:szCs w:val="18"/>
              </w:rPr>
            </w:pPr>
            <w:r>
              <w:rPr>
                <w:rFonts w:ascii="宋体" w:hAnsi="宋体" w:cs="宋体" w:eastAsia="宋体" w:hint="default"/>
                <w:sz w:val="18"/>
                <w:szCs w:val="18"/>
              </w:rPr>
              <w:t>式）占合并报</w:t>
            </w:r>
          </w:p>
        </w:tc>
      </w:tr>
      <w:tr>
        <w:trPr>
          <w:trHeight w:val="312" w:hRule="exact"/>
        </w:trPr>
        <w:tc>
          <w:tcPr>
            <w:tcW w:w="1197" w:type="dxa"/>
            <w:tcBorders>
              <w:top w:val="nil" w:sz="6" w:space="0" w:color="auto"/>
              <w:left w:val="single" w:sz="4" w:space="0" w:color="000000"/>
              <w:bottom w:val="nil" w:sz="6" w:space="0" w:color="auto"/>
              <w:right w:val="single" w:sz="4" w:space="0" w:color="000000"/>
            </w:tcBorders>
            <w:shd w:val="clear" w:color="auto" w:fill="D2D2D2"/>
          </w:tcPr>
          <w:p>
            <w:pPr/>
          </w:p>
        </w:tc>
        <w:tc>
          <w:tcPr>
            <w:tcW w:w="1195" w:type="dxa"/>
            <w:tcBorders>
              <w:top w:val="nil" w:sz="6" w:space="0" w:color="auto"/>
              <w:left w:val="single" w:sz="4" w:space="0" w:color="000000"/>
              <w:bottom w:val="nil" w:sz="6" w:space="0" w:color="auto"/>
              <w:right w:val="single" w:sz="4" w:space="0" w:color="000000"/>
            </w:tcBorders>
            <w:shd w:val="clear" w:color="auto" w:fill="D2D2D2"/>
          </w:tcPr>
          <w:p>
            <w:pPr/>
          </w:p>
        </w:tc>
        <w:tc>
          <w:tcPr>
            <w:tcW w:w="11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股股东的净利</w:t>
            </w:r>
          </w:p>
        </w:tc>
        <w:tc>
          <w:tcPr>
            <w:tcW w:w="11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50"/>
              <w:jc w:val="right"/>
              <w:rPr>
                <w:rFonts w:ascii="宋体" w:hAnsi="宋体" w:cs="宋体" w:eastAsia="宋体" w:hint="default"/>
                <w:sz w:val="18"/>
                <w:szCs w:val="18"/>
              </w:rPr>
            </w:pPr>
            <w:r>
              <w:rPr>
                <w:rFonts w:ascii="宋体" w:hAnsi="宋体" w:cs="宋体" w:eastAsia="宋体" w:hint="default"/>
                <w:sz w:val="18"/>
                <w:szCs w:val="18"/>
              </w:rPr>
              <w:t>司普通股股东</w:t>
            </w:r>
          </w:p>
        </w:tc>
        <w:tc>
          <w:tcPr>
            <w:tcW w:w="11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322" w:right="0"/>
              <w:jc w:val="left"/>
              <w:rPr>
                <w:rFonts w:ascii="宋体" w:hAnsi="宋体" w:cs="宋体" w:eastAsia="宋体" w:hint="default"/>
                <w:sz w:val="18"/>
                <w:szCs w:val="18"/>
              </w:rPr>
            </w:pPr>
            <w:r>
              <w:rPr>
                <w:rFonts w:ascii="宋体" w:hAnsi="宋体" w:cs="宋体" w:eastAsia="宋体" w:hint="default"/>
                <w:sz w:val="18"/>
                <w:szCs w:val="18"/>
              </w:rPr>
              <w:t>的金额</w:t>
            </w:r>
          </w:p>
        </w:tc>
        <w:tc>
          <w:tcPr>
            <w:tcW w:w="11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52"/>
              <w:jc w:val="right"/>
              <w:rPr>
                <w:rFonts w:ascii="宋体" w:hAnsi="宋体" w:cs="宋体" w:eastAsia="宋体" w:hint="default"/>
                <w:sz w:val="18"/>
                <w:szCs w:val="18"/>
              </w:rPr>
            </w:pPr>
            <w:r>
              <w:rPr>
                <w:rFonts w:ascii="宋体" w:hAnsi="宋体" w:cs="宋体" w:eastAsia="宋体" w:hint="default"/>
                <w:sz w:val="18"/>
                <w:szCs w:val="18"/>
              </w:rPr>
              <w:t>属于上市公司</w:t>
            </w:r>
          </w:p>
        </w:tc>
        <w:tc>
          <w:tcPr>
            <w:tcW w:w="1196" w:type="dxa"/>
            <w:tcBorders>
              <w:top w:val="nil" w:sz="6" w:space="0" w:color="auto"/>
              <w:left w:val="single" w:sz="4" w:space="0" w:color="000000"/>
              <w:bottom w:val="nil" w:sz="6" w:space="0" w:color="auto"/>
              <w:right w:val="single" w:sz="4" w:space="0" w:color="000000"/>
            </w:tcBorders>
            <w:shd w:val="clear" w:color="auto" w:fill="D2D2D2"/>
          </w:tcPr>
          <w:p>
            <w:pPr/>
          </w:p>
        </w:tc>
        <w:tc>
          <w:tcPr>
            <w:tcW w:w="11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51"/>
              <w:jc w:val="right"/>
              <w:rPr>
                <w:rFonts w:ascii="宋体" w:hAnsi="宋体" w:cs="宋体" w:eastAsia="宋体" w:hint="default"/>
                <w:sz w:val="18"/>
                <w:szCs w:val="18"/>
              </w:rPr>
            </w:pPr>
            <w:r>
              <w:rPr>
                <w:rFonts w:ascii="宋体" w:hAnsi="宋体" w:cs="宋体" w:eastAsia="宋体" w:hint="default"/>
                <w:sz w:val="18"/>
                <w:szCs w:val="18"/>
              </w:rPr>
              <w:t>表中归属于上</w:t>
            </w:r>
          </w:p>
        </w:tc>
      </w:tr>
      <w:tr>
        <w:trPr>
          <w:trHeight w:val="312" w:hRule="exact"/>
        </w:trPr>
        <w:tc>
          <w:tcPr>
            <w:tcW w:w="1197" w:type="dxa"/>
            <w:tcBorders>
              <w:top w:val="nil" w:sz="6" w:space="0" w:color="auto"/>
              <w:left w:val="single" w:sz="4" w:space="0" w:color="000000"/>
              <w:bottom w:val="nil" w:sz="6" w:space="0" w:color="auto"/>
              <w:right w:val="single" w:sz="4" w:space="0" w:color="000000"/>
            </w:tcBorders>
            <w:shd w:val="clear" w:color="auto" w:fill="D2D2D2"/>
          </w:tcPr>
          <w:p>
            <w:pPr/>
          </w:p>
        </w:tc>
        <w:tc>
          <w:tcPr>
            <w:tcW w:w="1195" w:type="dxa"/>
            <w:tcBorders>
              <w:top w:val="nil" w:sz="6" w:space="0" w:color="auto"/>
              <w:left w:val="single" w:sz="4" w:space="0" w:color="000000"/>
              <w:bottom w:val="nil" w:sz="6" w:space="0" w:color="auto"/>
              <w:right w:val="single" w:sz="4" w:space="0" w:color="000000"/>
            </w:tcBorders>
            <w:shd w:val="clear" w:color="auto" w:fill="D2D2D2"/>
          </w:tcPr>
          <w:p>
            <w:pPr/>
          </w:p>
        </w:tc>
        <w:tc>
          <w:tcPr>
            <w:tcW w:w="11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润</w:t>
            </w:r>
          </w:p>
        </w:tc>
        <w:tc>
          <w:tcPr>
            <w:tcW w:w="11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50"/>
              <w:jc w:val="right"/>
              <w:rPr>
                <w:rFonts w:ascii="宋体" w:hAnsi="宋体" w:cs="宋体" w:eastAsia="宋体" w:hint="default"/>
                <w:sz w:val="18"/>
                <w:szCs w:val="18"/>
              </w:rPr>
            </w:pPr>
            <w:r>
              <w:rPr>
                <w:rFonts w:ascii="宋体" w:hAnsi="宋体" w:cs="宋体" w:eastAsia="宋体" w:hint="default"/>
                <w:sz w:val="18"/>
                <w:szCs w:val="18"/>
              </w:rPr>
              <w:t>的净利润的比</w:t>
            </w:r>
          </w:p>
        </w:tc>
        <w:tc>
          <w:tcPr>
            <w:tcW w:w="1196" w:type="dxa"/>
            <w:tcBorders>
              <w:top w:val="nil" w:sz="6" w:space="0" w:color="auto"/>
              <w:left w:val="single" w:sz="4" w:space="0" w:color="000000"/>
              <w:bottom w:val="nil" w:sz="6" w:space="0" w:color="auto"/>
              <w:right w:val="single" w:sz="4" w:space="0" w:color="000000"/>
            </w:tcBorders>
            <w:shd w:val="clear" w:color="auto" w:fill="D2D2D2"/>
          </w:tcPr>
          <w:p>
            <w:pPr/>
          </w:p>
        </w:tc>
        <w:tc>
          <w:tcPr>
            <w:tcW w:w="11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52"/>
              <w:jc w:val="right"/>
              <w:rPr>
                <w:rFonts w:ascii="宋体" w:hAnsi="宋体" w:cs="宋体" w:eastAsia="宋体" w:hint="default"/>
                <w:sz w:val="18"/>
                <w:szCs w:val="18"/>
              </w:rPr>
            </w:pPr>
            <w:r>
              <w:rPr>
                <w:rFonts w:ascii="宋体" w:hAnsi="宋体" w:cs="宋体" w:eastAsia="宋体" w:hint="default"/>
                <w:sz w:val="18"/>
                <w:szCs w:val="18"/>
              </w:rPr>
              <w:t>普通股股东的</w:t>
            </w:r>
          </w:p>
        </w:tc>
        <w:tc>
          <w:tcPr>
            <w:tcW w:w="1196" w:type="dxa"/>
            <w:tcBorders>
              <w:top w:val="nil" w:sz="6" w:space="0" w:color="auto"/>
              <w:left w:val="single" w:sz="4" w:space="0" w:color="000000"/>
              <w:bottom w:val="nil" w:sz="6" w:space="0" w:color="auto"/>
              <w:right w:val="single" w:sz="4" w:space="0" w:color="000000"/>
            </w:tcBorders>
            <w:shd w:val="clear" w:color="auto" w:fill="D2D2D2"/>
          </w:tcPr>
          <w:p>
            <w:pPr/>
          </w:p>
        </w:tc>
        <w:tc>
          <w:tcPr>
            <w:tcW w:w="11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51"/>
              <w:jc w:val="right"/>
              <w:rPr>
                <w:rFonts w:ascii="宋体" w:hAnsi="宋体" w:cs="宋体" w:eastAsia="宋体" w:hint="default"/>
                <w:sz w:val="18"/>
                <w:szCs w:val="18"/>
              </w:rPr>
            </w:pPr>
            <w:r>
              <w:rPr>
                <w:rFonts w:ascii="宋体" w:hAnsi="宋体" w:cs="宋体" w:eastAsia="宋体" w:hint="default"/>
                <w:sz w:val="18"/>
                <w:szCs w:val="18"/>
              </w:rPr>
              <w:t>市公司普通股</w:t>
            </w:r>
          </w:p>
        </w:tc>
      </w:tr>
      <w:tr>
        <w:trPr>
          <w:trHeight w:val="312" w:hRule="exact"/>
        </w:trPr>
        <w:tc>
          <w:tcPr>
            <w:tcW w:w="1197" w:type="dxa"/>
            <w:tcBorders>
              <w:top w:val="nil" w:sz="6" w:space="0" w:color="auto"/>
              <w:left w:val="single" w:sz="4" w:space="0" w:color="000000"/>
              <w:bottom w:val="nil" w:sz="6" w:space="0" w:color="auto"/>
              <w:right w:val="single" w:sz="4" w:space="0" w:color="000000"/>
            </w:tcBorders>
            <w:shd w:val="clear" w:color="auto" w:fill="D2D2D2"/>
          </w:tcPr>
          <w:p>
            <w:pPr/>
          </w:p>
        </w:tc>
        <w:tc>
          <w:tcPr>
            <w:tcW w:w="1195" w:type="dxa"/>
            <w:tcBorders>
              <w:top w:val="nil" w:sz="6" w:space="0" w:color="auto"/>
              <w:left w:val="single" w:sz="4" w:space="0" w:color="000000"/>
              <w:bottom w:val="nil" w:sz="6" w:space="0" w:color="auto"/>
              <w:right w:val="single" w:sz="4" w:space="0" w:color="000000"/>
            </w:tcBorders>
            <w:shd w:val="clear" w:color="auto" w:fill="D2D2D2"/>
          </w:tcPr>
          <w:p>
            <w:pPr/>
          </w:p>
        </w:tc>
        <w:tc>
          <w:tcPr>
            <w:tcW w:w="1196" w:type="dxa"/>
            <w:tcBorders>
              <w:top w:val="nil" w:sz="6" w:space="0" w:color="auto"/>
              <w:left w:val="single" w:sz="4" w:space="0" w:color="000000"/>
              <w:bottom w:val="nil" w:sz="6" w:space="0" w:color="auto"/>
              <w:right w:val="single" w:sz="4" w:space="0" w:color="000000"/>
            </w:tcBorders>
            <w:shd w:val="clear" w:color="auto" w:fill="D2D2D2"/>
          </w:tcPr>
          <w:p>
            <w:pPr/>
          </w:p>
        </w:tc>
        <w:tc>
          <w:tcPr>
            <w:tcW w:w="11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率</w:t>
            </w:r>
          </w:p>
        </w:tc>
        <w:tc>
          <w:tcPr>
            <w:tcW w:w="1196" w:type="dxa"/>
            <w:tcBorders>
              <w:top w:val="nil" w:sz="6" w:space="0" w:color="auto"/>
              <w:left w:val="single" w:sz="4" w:space="0" w:color="000000"/>
              <w:bottom w:val="nil" w:sz="6" w:space="0" w:color="auto"/>
              <w:right w:val="single" w:sz="4" w:space="0" w:color="000000"/>
            </w:tcBorders>
            <w:shd w:val="clear" w:color="auto" w:fill="D2D2D2"/>
          </w:tcPr>
          <w:p>
            <w:pPr/>
          </w:p>
        </w:tc>
        <w:tc>
          <w:tcPr>
            <w:tcW w:w="11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52"/>
              <w:jc w:val="right"/>
              <w:rPr>
                <w:rFonts w:ascii="宋体" w:hAnsi="宋体" w:cs="宋体" w:eastAsia="宋体" w:hint="default"/>
                <w:sz w:val="18"/>
                <w:szCs w:val="18"/>
              </w:rPr>
            </w:pPr>
            <w:r>
              <w:rPr>
                <w:rFonts w:ascii="宋体" w:hAnsi="宋体" w:cs="宋体" w:eastAsia="宋体" w:hint="default"/>
                <w:sz w:val="18"/>
                <w:szCs w:val="18"/>
              </w:rPr>
              <w:t>净利润的比例</w:t>
            </w:r>
          </w:p>
        </w:tc>
        <w:tc>
          <w:tcPr>
            <w:tcW w:w="1196" w:type="dxa"/>
            <w:tcBorders>
              <w:top w:val="nil" w:sz="6" w:space="0" w:color="auto"/>
              <w:left w:val="single" w:sz="4" w:space="0" w:color="000000"/>
              <w:bottom w:val="nil" w:sz="6" w:space="0" w:color="auto"/>
              <w:right w:val="single" w:sz="4" w:space="0" w:color="000000"/>
            </w:tcBorders>
            <w:shd w:val="clear" w:color="auto" w:fill="D2D2D2"/>
          </w:tcPr>
          <w:p>
            <w:pPr/>
          </w:p>
        </w:tc>
        <w:tc>
          <w:tcPr>
            <w:tcW w:w="11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51"/>
              <w:jc w:val="right"/>
              <w:rPr>
                <w:rFonts w:ascii="宋体" w:hAnsi="宋体" w:cs="宋体" w:eastAsia="宋体" w:hint="default"/>
                <w:sz w:val="18"/>
                <w:szCs w:val="18"/>
              </w:rPr>
            </w:pPr>
            <w:r>
              <w:rPr>
                <w:rFonts w:ascii="宋体" w:hAnsi="宋体" w:cs="宋体" w:eastAsia="宋体" w:hint="default"/>
                <w:sz w:val="18"/>
                <w:szCs w:val="18"/>
              </w:rPr>
              <w:t>股东的净利润</w:t>
            </w:r>
          </w:p>
        </w:tc>
      </w:tr>
      <w:tr>
        <w:trPr>
          <w:trHeight w:val="358" w:hRule="exact"/>
        </w:trPr>
        <w:tc>
          <w:tcPr>
            <w:tcW w:w="119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321" w:right="0"/>
              <w:jc w:val="left"/>
              <w:rPr>
                <w:rFonts w:ascii="宋体" w:hAnsi="宋体" w:cs="宋体" w:eastAsia="宋体" w:hint="default"/>
                <w:sz w:val="18"/>
                <w:szCs w:val="18"/>
              </w:rPr>
            </w:pPr>
            <w:r>
              <w:rPr>
                <w:rFonts w:ascii="宋体" w:hAnsi="宋体" w:cs="宋体" w:eastAsia="宋体" w:hint="default"/>
                <w:sz w:val="18"/>
                <w:szCs w:val="18"/>
              </w:rPr>
              <w:t>的比率</w:t>
            </w:r>
          </w:p>
        </w:tc>
      </w:tr>
      <w:tr>
        <w:trPr>
          <w:trHeight w:val="400"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4" w:right="0"/>
              <w:jc w:val="center"/>
              <w:rPr>
                <w:rFonts w:ascii="Times New Roman" w:hAnsi="Times New Roman" w:cs="Times New Roman" w:eastAsia="Times New Roman" w:hint="default"/>
                <w:sz w:val="18"/>
                <w:szCs w:val="18"/>
              </w:rPr>
            </w:pPr>
            <w:r>
              <w:rPr>
                <w:rFonts w:ascii="Times New Roman"/>
                <w:sz w:val="18"/>
              </w:rPr>
              <w:t>289,079,274.12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6" w:right="0"/>
              <w:jc w:val="center"/>
              <w:rPr>
                <w:rFonts w:ascii="Times New Roman" w:hAnsi="Times New Roman" w:cs="Times New Roman" w:eastAsia="Times New Roman" w:hint="default"/>
                <w:sz w:val="18"/>
                <w:szCs w:val="18"/>
              </w:rPr>
            </w:pPr>
            <w:r>
              <w:rPr>
                <w:rFonts w:ascii="Times New Roman"/>
                <w:sz w:val="18"/>
              </w:rPr>
              <w:t>757,975,682.12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38.14%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4" w:right="0"/>
              <w:jc w:val="center"/>
              <w:rPr>
                <w:rFonts w:ascii="Times New Roman" w:hAnsi="Times New Roman" w:cs="Times New Roman" w:eastAsia="Times New Roman" w:hint="default"/>
                <w:sz w:val="18"/>
                <w:szCs w:val="18"/>
              </w:rPr>
            </w:pPr>
            <w:r>
              <w:rPr>
                <w:rFonts w:ascii="Times New Roman"/>
                <w:sz w:val="18"/>
              </w:rPr>
              <w:t>289,079,274.12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Times New Roman" w:hAnsi="Times New Roman" w:cs="Times New Roman" w:eastAsia="Times New Roman" w:hint="default"/>
                <w:sz w:val="18"/>
                <w:szCs w:val="18"/>
              </w:rPr>
            </w:pPr>
            <w:r>
              <w:rPr>
                <w:rFonts w:ascii="Times New Roman"/>
                <w:spacing w:val="-1"/>
                <w:sz w:val="18"/>
              </w:rPr>
              <w:t>38.14%</w:t>
            </w:r>
          </w:p>
        </w:tc>
      </w:tr>
    </w:tbl>
    <w:p>
      <w:pPr>
        <w:spacing w:after="0" w:line="240" w:lineRule="auto"/>
        <w:jc w:val="right"/>
        <w:rPr>
          <w:rFonts w:ascii="Times New Roman" w:hAnsi="Times New Roman" w:cs="Times New Roman" w:eastAsia="Times New Roman" w:hint="default"/>
          <w:sz w:val="18"/>
          <w:szCs w:val="18"/>
        </w:rPr>
        <w:sectPr>
          <w:pgSz w:w="11910" w:h="16840"/>
          <w:pgMar w:header="878" w:footer="978" w:top="1100" w:bottom="1160" w:left="1020" w:right="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1197"/>
        <w:gridCol w:w="1195"/>
        <w:gridCol w:w="1196"/>
        <w:gridCol w:w="1196"/>
        <w:gridCol w:w="1196"/>
        <w:gridCol w:w="1196"/>
        <w:gridCol w:w="1196"/>
        <w:gridCol w:w="1196"/>
      </w:tblGrid>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289,079,274.12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670,297,043.52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43.13%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112,992,948.02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16.86%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7" w:right="0"/>
              <w:jc w:val="left"/>
              <w:rPr>
                <w:rFonts w:ascii="Times New Roman" w:hAnsi="Times New Roman" w:cs="Times New Roman" w:eastAsia="Times New Roman" w:hint="default"/>
                <w:sz w:val="18"/>
                <w:szCs w:val="18"/>
              </w:rPr>
            </w:pPr>
            <w:r>
              <w:rPr>
                <w:rFonts w:ascii="Times New Roman"/>
                <w:sz w:val="18"/>
              </w:rPr>
              <w:t>402,072,222.14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59.98%</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485,777,145.00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899,485,037.43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54.01%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7" w:right="0"/>
              <w:jc w:val="left"/>
              <w:rPr>
                <w:rFonts w:ascii="Times New Roman" w:hAnsi="Times New Roman" w:cs="Times New Roman" w:eastAsia="Times New Roman" w:hint="default"/>
                <w:sz w:val="18"/>
                <w:szCs w:val="18"/>
              </w:rPr>
            </w:pPr>
            <w:r>
              <w:rPr>
                <w:rFonts w:ascii="Times New Roman"/>
                <w:sz w:val="18"/>
              </w:rPr>
              <w:t>485,777,145.00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54.01%</w:t>
            </w:r>
          </w:p>
        </w:tc>
      </w:tr>
    </w:tbl>
    <w:p>
      <w:pPr>
        <w:pStyle w:val="BodyText"/>
        <w:spacing w:line="240" w:lineRule="auto" w:before="50"/>
        <w:ind w:right="1394"/>
        <w:jc w:val="left"/>
      </w:pPr>
      <w:r>
        <w:rPr/>
        <w:t>公司报告期内盈利且母公司可供普通股股东分配利润为正但未提出普通股现金红利分配预案</w:t>
      </w:r>
    </w:p>
    <w:p>
      <w:pPr>
        <w:pStyle w:val="BodyText"/>
        <w:spacing w:line="240" w:lineRule="auto" w:before="117"/>
        <w:ind w:right="13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394"/>
        <w:jc w:val="left"/>
        <w:rPr>
          <w:b w:val="0"/>
          <w:bCs w:val="0"/>
        </w:rPr>
      </w:pPr>
      <w:bookmarkStart w:name="二、本报告期利润分配及资本公积金转增股本情况" w:id="65"/>
      <w:bookmarkEnd w:id="65"/>
      <w:r>
        <w:rPr>
          <w:b w:val="0"/>
          <w:bCs w:val="0"/>
        </w:rPr>
      </w:r>
      <w:r>
        <w:rPr/>
        <w:t>二、本报告期利润分配及资本公积金转增股本情况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3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3"/>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3795"/>
        <w:gridCol w:w="5773"/>
      </w:tblGrid>
      <w:tr>
        <w:trPr>
          <w:trHeight w:val="402" w:hRule="exact"/>
        </w:trPr>
        <w:tc>
          <w:tcPr>
            <w:tcW w:w="3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股派息数（元）（含税）</w:t>
            </w:r>
          </w:p>
        </w:tc>
        <w:tc>
          <w:tcPr>
            <w:tcW w:w="5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1.20</w:t>
            </w:r>
          </w:p>
        </w:tc>
      </w:tr>
      <w:tr>
        <w:trPr>
          <w:trHeight w:val="402" w:hRule="exact"/>
        </w:trPr>
        <w:tc>
          <w:tcPr>
            <w:tcW w:w="3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2,408,993,951</w:t>
            </w:r>
          </w:p>
        </w:tc>
      </w:tr>
      <w:tr>
        <w:trPr>
          <w:trHeight w:val="402" w:hRule="exact"/>
        </w:trPr>
        <w:tc>
          <w:tcPr>
            <w:tcW w:w="3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现金分红金额（元）（含税）</w:t>
            </w:r>
          </w:p>
        </w:tc>
        <w:tc>
          <w:tcPr>
            <w:tcW w:w="5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289,079,274.12</w:t>
            </w:r>
          </w:p>
        </w:tc>
      </w:tr>
      <w:tr>
        <w:trPr>
          <w:trHeight w:val="402" w:hRule="exact"/>
        </w:trPr>
        <w:tc>
          <w:tcPr>
            <w:tcW w:w="3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18"/>
              <w:jc w:val="left"/>
              <w:rPr>
                <w:rFonts w:ascii="宋体" w:hAnsi="宋体" w:cs="宋体" w:eastAsia="宋体" w:hint="default"/>
                <w:sz w:val="18"/>
                <w:szCs w:val="18"/>
              </w:rPr>
            </w:pPr>
            <w:r>
              <w:rPr>
                <w:rFonts w:ascii="宋体" w:hAnsi="宋体" w:cs="宋体" w:eastAsia="宋体" w:hint="default"/>
                <w:sz w:val="18"/>
                <w:szCs w:val="18"/>
              </w:rPr>
              <w:t>以其他方式（如回购股份）现金分红金额（元）</w:t>
            </w:r>
          </w:p>
        </w:tc>
        <w:tc>
          <w:tcPr>
            <w:tcW w:w="5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现金分红总额（含其他方式）（元）</w:t>
            </w:r>
          </w:p>
        </w:tc>
        <w:tc>
          <w:tcPr>
            <w:tcW w:w="5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289,079,274.12</w:t>
            </w:r>
          </w:p>
        </w:tc>
      </w:tr>
      <w:tr>
        <w:trPr>
          <w:trHeight w:val="402" w:hRule="exact"/>
        </w:trPr>
        <w:tc>
          <w:tcPr>
            <w:tcW w:w="3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2,810,466,379.31</w:t>
            </w:r>
          </w:p>
        </w:tc>
      </w:tr>
      <w:tr>
        <w:trPr>
          <w:trHeight w:val="402" w:hRule="exact"/>
        </w:trPr>
        <w:tc>
          <w:tcPr>
            <w:tcW w:w="3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2"/>
                <w:sz w:val="18"/>
                <w:szCs w:val="18"/>
              </w:rPr>
              <w:t>公司发展阶段属成长期且有重大资金支出安排的，进行利润分配时，现金分红在本次利润分配中所占比例最低应达到</w:t>
            </w:r>
            <w:r>
              <w:rPr>
                <w:rFonts w:ascii="宋体" w:hAnsi="宋体" w:cs="宋体" w:eastAsia="宋体" w:hint="default"/>
                <w:spacing w:val="-15"/>
                <w:sz w:val="18"/>
                <w:szCs w:val="18"/>
              </w:rPr>
              <w:t> </w:t>
            </w:r>
            <w:r>
              <w:rPr>
                <w:rFonts w:ascii="Times New Roman" w:hAnsi="Times New Roman" w:cs="Times New Roman" w:eastAsia="Times New Roman" w:hint="default"/>
                <w:spacing w:val="-1"/>
                <w:sz w:val="18"/>
                <w:szCs w:val="18"/>
              </w:rPr>
              <w:t>20</w:t>
            </w:r>
            <w:r>
              <w:rPr>
                <w:rFonts w:ascii="宋体" w:hAnsi="宋体" w:cs="宋体" w:eastAsia="宋体" w:hint="default"/>
                <w:spacing w:val="-1"/>
                <w:sz w:val="18"/>
                <w:szCs w:val="18"/>
              </w:rPr>
              <w:t>％</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88"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2042"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2" w:firstLine="360"/>
              <w:jc w:val="both"/>
              <w:rPr>
                <w:rFonts w:ascii="宋体" w:hAnsi="宋体" w:cs="宋体" w:eastAsia="宋体" w:hint="default"/>
                <w:sz w:val="18"/>
                <w:szCs w:val="18"/>
              </w:rPr>
            </w:pPr>
            <w:r>
              <w:rPr>
                <w:rFonts w:ascii="宋体" w:hAnsi="宋体" w:cs="宋体" w:eastAsia="宋体" w:hint="default"/>
                <w:sz w:val="18"/>
                <w:szCs w:val="18"/>
              </w:rPr>
              <w:t>经立信会计师事务所（特殊普通合伙）审计确认，公司（母公司）</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年度实现净利润</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536,659,189.29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元。依照《公 </w:t>
            </w:r>
            <w:r>
              <w:rPr>
                <w:rFonts w:ascii="宋体" w:hAnsi="宋体" w:cs="宋体" w:eastAsia="宋体" w:hint="default"/>
                <w:spacing w:val="-5"/>
                <w:sz w:val="18"/>
                <w:szCs w:val="18"/>
              </w:rPr>
              <w:t>司法》和《公司章程》的规定，提取法定盈余公积金</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53,665,918.93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元后，公司可供股东分配利润为</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2,810,466,379.31</w:t>
            </w:r>
            <w:r>
              <w:rPr>
                <w:rFonts w:ascii="Times New Roman" w:hAnsi="Times New Roman" w:cs="Times New Roman" w:eastAsia="Times New Roman" w:hint="default"/>
                <w:spacing w:val="-8"/>
                <w:sz w:val="18"/>
                <w:szCs w:val="18"/>
              </w:rPr>
              <w:t> </w:t>
            </w:r>
            <w:r>
              <w:rPr>
                <w:rFonts w:ascii="宋体" w:hAnsi="宋体" w:cs="宋体" w:eastAsia="宋体" w:hint="default"/>
                <w:spacing w:val="-10"/>
                <w:sz w:val="18"/>
                <w:szCs w:val="18"/>
              </w:rPr>
              <w:t>元（含</w:t>
            </w:r>
            <w:r>
              <w:rPr>
                <w:rFonts w:ascii="宋体" w:hAnsi="宋体" w:cs="宋体" w:eastAsia="宋体" w:hint="default"/>
                <w:sz w:val="18"/>
                <w:szCs w:val="18"/>
              </w:rPr>
              <w:t> 以前年度未分配利润</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2,327,473,108.95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w:t>
            </w:r>
          </w:p>
          <w:p>
            <w:pPr>
              <w:pStyle w:val="TableParagraph"/>
              <w:spacing w:line="240" w:lineRule="auto" w:before="53"/>
              <w:ind w:left="382" w:right="0"/>
              <w:jc w:val="left"/>
              <w:rPr>
                <w:rFonts w:ascii="宋体" w:hAnsi="宋体" w:cs="宋体" w:eastAsia="宋体" w:hint="default"/>
                <w:sz w:val="18"/>
                <w:szCs w:val="18"/>
              </w:rPr>
            </w:pPr>
            <w:r>
              <w:rPr>
                <w:rFonts w:ascii="宋体" w:hAnsi="宋体" w:cs="宋体" w:eastAsia="宋体" w:hint="default"/>
                <w:sz w:val="18"/>
                <w:szCs w:val="18"/>
              </w:rPr>
              <w:t>根据公司利润实现情况和公司发展需要，</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年度公司利润分配预案为：</w:t>
            </w:r>
          </w:p>
          <w:p>
            <w:pPr>
              <w:pStyle w:val="TableParagraph"/>
              <w:spacing w:line="240" w:lineRule="auto" w:before="101"/>
              <w:ind w:left="382" w:right="0"/>
              <w:jc w:val="left"/>
              <w:rPr>
                <w:rFonts w:ascii="宋体" w:hAnsi="宋体" w:cs="宋体" w:eastAsia="宋体" w:hint="default"/>
                <w:sz w:val="18"/>
                <w:szCs w:val="18"/>
              </w:rPr>
            </w:pPr>
            <w:r>
              <w:rPr>
                <w:rFonts w:ascii="宋体" w:hAnsi="宋体" w:cs="宋体" w:eastAsia="宋体" w:hint="default"/>
                <w:sz w:val="18"/>
                <w:szCs w:val="18"/>
              </w:rPr>
              <w:t>以目前公司总股本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2,408,993,951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股为基数，向全体股东每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股派发现金红利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元（含税），共计派发现金红利</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289,079,274.12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元，剩余未分配利润</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2,521,387,105.19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元结转至下一年度。</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年度，公司不进行资本公积转增股本。</w:t>
            </w:r>
          </w:p>
        </w:tc>
      </w:tr>
    </w:tbl>
    <w:p>
      <w:pPr>
        <w:spacing w:line="240" w:lineRule="auto" w:before="1"/>
        <w:rPr>
          <w:rFonts w:ascii="宋体" w:hAnsi="宋体" w:cs="宋体" w:eastAsia="宋体" w:hint="default"/>
          <w:sz w:val="18"/>
          <w:szCs w:val="18"/>
        </w:rPr>
      </w:pPr>
    </w:p>
    <w:p>
      <w:pPr>
        <w:pStyle w:val="Heading2"/>
        <w:spacing w:line="240" w:lineRule="auto" w:before="26"/>
        <w:ind w:right="1394"/>
        <w:jc w:val="left"/>
        <w:rPr>
          <w:b w:val="0"/>
          <w:bCs w:val="0"/>
        </w:rPr>
      </w:pPr>
      <w:bookmarkStart w:name="三、承诺事项履行情况" w:id="66"/>
      <w:bookmarkEnd w:id="66"/>
      <w:r>
        <w:rPr>
          <w:b w:val="0"/>
          <w:bCs w:val="0"/>
        </w:rPr>
      </w:r>
      <w:r>
        <w:rPr/>
        <w:t>三、承诺事项履行情况</w:t>
      </w:r>
      <w:r>
        <w:rPr>
          <w:b w:val="0"/>
          <w:bCs w:val="0"/>
        </w:rPr>
      </w:r>
    </w:p>
    <w:p>
      <w:pPr>
        <w:spacing w:line="240" w:lineRule="auto" w:before="6"/>
        <w:rPr>
          <w:rFonts w:ascii="宋体" w:hAnsi="宋体" w:cs="宋体" w:eastAsia="宋体" w:hint="default"/>
          <w:b/>
          <w:bCs/>
          <w:sz w:val="25"/>
          <w:szCs w:val="25"/>
        </w:rPr>
      </w:pPr>
    </w:p>
    <w:p>
      <w:pPr>
        <w:pStyle w:val="Heading5"/>
        <w:spacing w:line="271" w:lineRule="auto"/>
        <w:ind w:right="1394"/>
        <w:jc w:val="left"/>
        <w:rPr>
          <w:b w:val="0"/>
          <w:bCs w:val="0"/>
        </w:rPr>
      </w:pPr>
      <w:bookmarkStart w:name="1、公司实际控制人、股东、关联方、收购人以及公司等承诺相关方在报告期内履行完毕及" w:id="67"/>
      <w:bookmarkEnd w:id="67"/>
      <w:r>
        <w:rPr>
          <w:b w:val="0"/>
          <w:bCs w:val="0"/>
        </w:rPr>
      </w:r>
      <w:r>
        <w:rPr>
          <w:rFonts w:ascii="Times New Roman" w:hAnsi="Times New Roman" w:cs="Times New Roman" w:eastAsia="Times New Roman" w:hint="default"/>
          <w:w w:val="95"/>
        </w:rPr>
        <w:t>1</w:t>
      </w:r>
      <w:r>
        <w:rPr>
          <w:w w:val="95"/>
        </w:rPr>
        <w:t>、公司实际控制人、股东、关联方、收购人以及公司等承诺相关方在报告期内履行完毕及截至报告期末尚未履</w:t>
      </w:r>
      <w:r>
        <w:rPr>
          <w:spacing w:val="14"/>
          <w:w w:val="95"/>
        </w:rPr>
        <w:t> </w:t>
      </w:r>
      <w:r>
        <w:rPr>
          <w:spacing w:val="14"/>
          <w:w w:val="95"/>
        </w:rPr>
      </w:r>
      <w:r>
        <w:rPr/>
        <w:t>行完毕的承诺事项</w:t>
      </w:r>
      <w:r>
        <w:rPr>
          <w:b w:val="0"/>
          <w:bCs w:val="0"/>
        </w:rPr>
      </w:r>
    </w:p>
    <w:p>
      <w:pPr>
        <w:spacing w:line="240" w:lineRule="auto" w:before="3"/>
        <w:rPr>
          <w:rFonts w:ascii="宋体" w:hAnsi="宋体" w:cs="宋体" w:eastAsia="宋体" w:hint="default"/>
          <w:b/>
          <w:bCs/>
          <w:sz w:val="26"/>
          <w:szCs w:val="26"/>
        </w:rPr>
      </w:pPr>
    </w:p>
    <w:p>
      <w:pPr>
        <w:pStyle w:val="BodyText"/>
        <w:spacing w:line="240" w:lineRule="auto"/>
        <w:ind w:right="13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701"/>
        <w:gridCol w:w="1418"/>
        <w:gridCol w:w="709"/>
        <w:gridCol w:w="3402"/>
        <w:gridCol w:w="425"/>
        <w:gridCol w:w="425"/>
        <w:gridCol w:w="1487"/>
      </w:tblGrid>
      <w:tr>
        <w:trPr>
          <w:trHeight w:val="714" w:hRule="exact"/>
        </w:trPr>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85" w:right="0"/>
              <w:jc w:val="left"/>
              <w:rPr>
                <w:rFonts w:ascii="宋体" w:hAnsi="宋体" w:cs="宋体" w:eastAsia="宋体" w:hint="default"/>
                <w:sz w:val="18"/>
                <w:szCs w:val="18"/>
              </w:rPr>
            </w:pPr>
            <w:r>
              <w:rPr>
                <w:rFonts w:ascii="宋体" w:hAnsi="宋体" w:cs="宋体" w:eastAsia="宋体" w:hint="default"/>
                <w:sz w:val="18"/>
                <w:szCs w:val="18"/>
              </w:rPr>
              <w:t>承诺事由</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承诺方</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58" w:right="78" w:hanging="180"/>
              <w:jc w:val="left"/>
              <w:rPr>
                <w:rFonts w:ascii="宋体" w:hAnsi="宋体" w:cs="宋体" w:eastAsia="宋体" w:hint="default"/>
                <w:sz w:val="18"/>
                <w:szCs w:val="18"/>
              </w:rPr>
            </w:pPr>
            <w:r>
              <w:rPr>
                <w:rFonts w:ascii="宋体" w:hAnsi="宋体" w:cs="宋体" w:eastAsia="宋体" w:hint="default"/>
                <w:sz w:val="18"/>
                <w:szCs w:val="18"/>
              </w:rPr>
              <w:t>承诺类 型</w:t>
            </w:r>
          </w:p>
        </w:tc>
        <w:tc>
          <w:tcPr>
            <w:tcW w:w="3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6" w:right="27"/>
              <w:jc w:val="left"/>
              <w:rPr>
                <w:rFonts w:ascii="宋体" w:hAnsi="宋体" w:cs="宋体" w:eastAsia="宋体" w:hint="default"/>
                <w:sz w:val="18"/>
                <w:szCs w:val="18"/>
              </w:rPr>
            </w:pPr>
            <w:r>
              <w:rPr>
                <w:rFonts w:ascii="宋体" w:hAnsi="宋体" w:cs="宋体" w:eastAsia="宋体" w:hint="default"/>
                <w:sz w:val="18"/>
                <w:szCs w:val="18"/>
              </w:rPr>
              <w:t>承诺 时间</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6" w:right="27"/>
              <w:jc w:val="left"/>
              <w:rPr>
                <w:rFonts w:ascii="宋体" w:hAnsi="宋体" w:cs="宋体" w:eastAsia="宋体" w:hint="default"/>
                <w:sz w:val="18"/>
                <w:szCs w:val="18"/>
              </w:rPr>
            </w:pPr>
            <w:r>
              <w:rPr>
                <w:rFonts w:ascii="宋体" w:hAnsi="宋体" w:cs="宋体" w:eastAsia="宋体" w:hint="default"/>
                <w:sz w:val="18"/>
                <w:szCs w:val="18"/>
              </w:rPr>
              <w:t>承诺 期限</w:t>
            </w:r>
          </w:p>
        </w:tc>
        <w:tc>
          <w:tcPr>
            <w:tcW w:w="14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2" w:hRule="exact"/>
        </w:trPr>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12" w:hRule="exact"/>
        </w:trPr>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46"/>
              <w:jc w:val="left"/>
              <w:rPr>
                <w:rFonts w:ascii="宋体" w:hAnsi="宋体" w:cs="宋体" w:eastAsia="宋体" w:hint="default"/>
                <w:sz w:val="18"/>
                <w:szCs w:val="18"/>
              </w:rPr>
            </w:pPr>
            <w:r>
              <w:rPr>
                <w:rFonts w:ascii="宋体" w:hAnsi="宋体" w:cs="宋体" w:eastAsia="宋体" w:hint="default"/>
                <w:sz w:val="18"/>
                <w:szCs w:val="18"/>
              </w:rPr>
              <w:t>收购报告书或权益变 动报告书中所作承诺</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after="0" w:line="240" w:lineRule="auto"/>
        <w:jc w:val="center"/>
        <w:rPr>
          <w:rFonts w:ascii="Times New Roman" w:hAnsi="Times New Roman" w:cs="Times New Roman" w:eastAsia="Times New Roman" w:hint="default"/>
          <w:sz w:val="18"/>
          <w:szCs w:val="18"/>
        </w:rPr>
        <w:sectPr>
          <w:pgSz w:w="11910" w:h="16840"/>
          <w:pgMar w:header="878" w:footer="978" w:top="1100" w:bottom="1160" w:left="1020" w:right="0"/>
        </w:sectPr>
      </w:pPr>
    </w:p>
    <w:p>
      <w:pPr>
        <w:spacing w:line="240" w:lineRule="auto" w:before="10"/>
        <w:rPr>
          <w:rFonts w:ascii="宋体" w:hAnsi="宋体" w:cs="宋体" w:eastAsia="宋体" w:hint="default"/>
          <w:sz w:val="25"/>
          <w:szCs w:val="25"/>
        </w:rPr>
      </w:pPr>
    </w:p>
    <w:p>
      <w:pPr>
        <w:pStyle w:val="BodyText"/>
        <w:tabs>
          <w:tab w:pos="2433" w:val="left" w:leader="none"/>
          <w:tab w:pos="3556" w:val="left" w:leader="none"/>
          <w:tab w:pos="5553" w:val="left" w:leader="none"/>
          <w:tab w:pos="7526" w:val="left" w:leader="none"/>
          <w:tab w:pos="7951" w:val="left" w:leader="none"/>
          <w:tab w:pos="8908" w:val="left" w:leader="none"/>
        </w:tabs>
        <w:spacing w:line="240" w:lineRule="auto" w:before="44"/>
        <w:ind w:left="141" w:right="1394"/>
        <w:jc w:val="left"/>
        <w:rPr>
          <w:rFonts w:ascii="Times New Roman" w:hAnsi="Times New Roman" w:cs="Times New Roman" w:eastAsia="Times New Roman" w:hint="default"/>
        </w:rPr>
      </w:pPr>
      <w:r>
        <w:rPr/>
        <w:t>资产重组时所作承诺</w:t>
        <w:tab/>
        <w:t>无</w:t>
        <w:tab/>
      </w:r>
      <w:r>
        <w:rPr>
          <w:rFonts w:ascii="Times New Roman" w:hAnsi="Times New Roman" w:cs="Times New Roman" w:eastAsia="Times New Roman" w:hint="default"/>
        </w:rPr>
        <w:t>-</w:t>
        <w:tab/>
      </w:r>
      <w:r>
        <w:rPr/>
        <w:t>无</w:t>
        <w:tab/>
      </w:r>
      <w:r>
        <w:rPr>
          <w:rFonts w:ascii="Times New Roman" w:hAnsi="Times New Roman" w:cs="Times New Roman" w:eastAsia="Times New Roman" w:hint="default"/>
        </w:rPr>
        <w:t>-</w:t>
        <w:tab/>
        <w:t>-</w:t>
        <w:tab/>
        <w:t>-</w:t>
      </w:r>
    </w:p>
    <w:p>
      <w:pPr>
        <w:spacing w:line="240" w:lineRule="auto" w:before="6"/>
        <w:rPr>
          <w:rFonts w:ascii="Times New Roman" w:hAnsi="Times New Roman" w:cs="Times New Roman" w:eastAsia="Times New Roman" w:hint="default"/>
          <w:sz w:val="9"/>
          <w:szCs w:val="9"/>
        </w:rPr>
      </w:pPr>
    </w:p>
    <w:p>
      <w:pPr>
        <w:spacing w:after="0" w:line="240" w:lineRule="auto"/>
        <w:rPr>
          <w:rFonts w:ascii="Times New Roman" w:hAnsi="Times New Roman" w:cs="Times New Roman" w:eastAsia="Times New Roman" w:hint="default"/>
          <w:sz w:val="9"/>
          <w:szCs w:val="9"/>
        </w:rPr>
        <w:sectPr>
          <w:pgSz w:w="11910" w:h="16840"/>
          <w:pgMar w:header="878" w:footer="978" w:top="1100" w:bottom="1160" w:left="1020" w:right="0"/>
        </w:sectPr>
      </w:pPr>
    </w:p>
    <w:p>
      <w:pPr>
        <w:pStyle w:val="BodyText"/>
        <w:spacing w:line="312" w:lineRule="exact" w:before="5"/>
        <w:ind w:left="1843" w:right="-20"/>
        <w:jc w:val="left"/>
      </w:pPr>
      <w:r>
        <w:rPr/>
        <w:t>公司控股股东无 线电集团和其他</w:t>
      </w:r>
    </w:p>
    <w:p>
      <w:pPr>
        <w:spacing w:line="240" w:lineRule="auto" w:before="4"/>
        <w:rPr>
          <w:rFonts w:ascii="宋体" w:hAnsi="宋体" w:cs="宋体" w:eastAsia="宋体" w:hint="default"/>
          <w:sz w:val="15"/>
          <w:szCs w:val="15"/>
        </w:rPr>
      </w:pPr>
      <w:r>
        <w:rPr/>
        <w:br w:type="column"/>
      </w:r>
      <w:r>
        <w:rPr>
          <w:rFonts w:ascii="宋体"/>
          <w:sz w:val="15"/>
        </w:rPr>
      </w:r>
    </w:p>
    <w:p>
      <w:pPr>
        <w:pStyle w:val="BodyText"/>
        <w:spacing w:line="240" w:lineRule="auto"/>
        <w:ind w:left="118" w:right="-20"/>
        <w:jc w:val="left"/>
      </w:pPr>
      <w:r>
        <w:rPr/>
        <w:t>关于同</w:t>
      </w:r>
    </w:p>
    <w:p>
      <w:pPr>
        <w:pStyle w:val="BodyText"/>
        <w:spacing w:line="312" w:lineRule="exact" w:before="5"/>
        <w:ind w:left="127" w:right="-18"/>
        <w:jc w:val="left"/>
      </w:pPr>
      <w:r>
        <w:rPr>
          <w:spacing w:val="-4"/>
        </w:rPr>
        <w:br w:type="column"/>
      </w:r>
      <w:r>
        <w:rPr>
          <w:spacing w:val="-4"/>
        </w:rPr>
        <w:t>为避免在以后的经营中产生同业竞争，公司</w:t>
      </w:r>
      <w:r>
        <w:rPr/>
        <w:t> 控股股东无线电集团和其他三名发起人股</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6"/>
        <w:rPr>
          <w:rFonts w:ascii="宋体" w:hAnsi="宋体" w:cs="宋体" w:eastAsia="宋体" w:hint="default"/>
          <w:sz w:val="12"/>
          <w:szCs w:val="12"/>
        </w:rPr>
      </w:pPr>
    </w:p>
    <w:p>
      <w:pPr>
        <w:pStyle w:val="BodyText"/>
        <w:spacing w:line="169" w:lineRule="exact"/>
        <w:ind w:left="17" w:right="0"/>
        <w:jc w:val="left"/>
        <w:rPr>
          <w:rFonts w:ascii="Times New Roman" w:hAnsi="Times New Roman" w:cs="Times New Roman" w:eastAsia="Times New Roman" w:hint="default"/>
        </w:rPr>
      </w:pPr>
      <w:r>
        <w:rPr>
          <w:rFonts w:ascii="Times New Roman"/>
        </w:rPr>
        <w:t>2007</w:t>
      </w:r>
    </w:p>
    <w:p>
      <w:pPr>
        <w:spacing w:after="0" w:line="169" w:lineRule="exact"/>
        <w:jc w:val="left"/>
        <w:rPr>
          <w:rFonts w:ascii="Times New Roman" w:hAnsi="Times New Roman" w:cs="Times New Roman" w:eastAsia="Times New Roman" w:hint="default"/>
        </w:rPr>
        <w:sectPr>
          <w:type w:val="continuous"/>
          <w:pgSz w:w="11910" w:h="16840"/>
          <w:pgMar w:top="1100" w:bottom="1160" w:left="1020" w:right="0"/>
          <w:cols w:num="4" w:equalWidth="0">
            <w:col w:w="3104" w:space="40"/>
            <w:col w:w="659" w:space="40"/>
            <w:col w:w="3474" w:space="40"/>
            <w:col w:w="3533"/>
          </w:cols>
        </w:sectPr>
      </w:pPr>
    </w:p>
    <w:p>
      <w:pPr>
        <w:pStyle w:val="BodyText"/>
        <w:spacing w:line="316" w:lineRule="auto" w:before="39"/>
        <w:ind w:left="1843" w:right="-19"/>
        <w:jc w:val="left"/>
      </w:pPr>
      <w:r>
        <w:rPr/>
        <w:t>三名发起人股东 梅州敬基实业有 </w:t>
      </w:r>
      <w:r>
        <w:rPr>
          <w:spacing w:val="-10"/>
        </w:rPr>
        <w:t>限公司、盈富泰克</w:t>
      </w:r>
      <w:r>
        <w:rPr/>
        <w:t> 创业投资有限公</w:t>
      </w:r>
    </w:p>
    <w:p>
      <w:pPr>
        <w:pStyle w:val="BodyText"/>
        <w:spacing w:line="79" w:lineRule="exact"/>
        <w:ind w:left="17" w:right="-19"/>
        <w:jc w:val="left"/>
      </w:pPr>
      <w:r>
        <w:rPr/>
        <w:br w:type="column"/>
      </w:r>
      <w:r>
        <w:rPr/>
        <w:t>业竞争、</w:t>
      </w:r>
    </w:p>
    <w:p>
      <w:pPr>
        <w:pStyle w:val="BodyText"/>
        <w:spacing w:line="156" w:lineRule="exact"/>
        <w:ind w:left="725" w:right="-19"/>
        <w:jc w:val="left"/>
      </w:pPr>
      <w:r>
        <w:rPr/>
        <w:t>东梅州敬基实业有限公司</w:t>
      </w:r>
      <w:r>
        <w:rPr>
          <w:spacing w:val="-75"/>
        </w:rPr>
        <w:t>、</w:t>
      </w:r>
      <w:r>
        <w:rPr/>
        <w:t>盈富泰克创业投</w:t>
      </w:r>
      <w:r>
        <w:rPr>
          <w:spacing w:val="-33"/>
        </w:rPr>
        <w:t> </w:t>
      </w:r>
      <w:r>
        <w:rPr/>
        <w:t>年</w:t>
      </w:r>
    </w:p>
    <w:p>
      <w:pPr>
        <w:pStyle w:val="BodyText"/>
        <w:spacing w:line="156" w:lineRule="exact"/>
        <w:ind w:left="17" w:right="-19"/>
        <w:jc w:val="left"/>
      </w:pPr>
      <w:r>
        <w:rPr/>
        <w:t>关联交</w:t>
      </w:r>
    </w:p>
    <w:p>
      <w:pPr>
        <w:pStyle w:val="BodyText"/>
        <w:spacing w:line="163" w:lineRule="exact"/>
        <w:ind w:left="725" w:right="-17"/>
        <w:jc w:val="left"/>
        <w:rPr>
          <w:rFonts w:ascii="Times New Roman" w:hAnsi="Times New Roman" w:cs="Times New Roman" w:eastAsia="Times New Roman" w:hint="default"/>
        </w:rPr>
      </w:pPr>
      <w:r>
        <w:rPr/>
        <w:t>资有限公司</w:t>
      </w:r>
      <w:r>
        <w:rPr>
          <w:spacing w:val="-75"/>
        </w:rPr>
        <w:t>、</w:t>
      </w:r>
      <w:r>
        <w:rPr/>
        <w:t>广州藤川科技有限公司向公司</w:t>
      </w:r>
      <w:r>
        <w:rPr>
          <w:spacing w:val="-33"/>
        </w:rPr>
        <w:t> </w:t>
      </w:r>
      <w:r>
        <w:rPr>
          <w:rFonts w:ascii="Times New Roman" w:hAnsi="Times New Roman" w:cs="Times New Roman" w:eastAsia="Times New Roman" w:hint="default"/>
          <w:spacing w:val="-2"/>
        </w:rPr>
        <w:t>0</w:t>
      </w:r>
      <w:r>
        <w:rPr>
          <w:rFonts w:ascii="Times New Roman" w:hAnsi="Times New Roman" w:cs="Times New Roman" w:eastAsia="Times New Roman" w:hint="default"/>
        </w:rPr>
        <w:t>8</w:t>
      </w:r>
    </w:p>
    <w:p>
      <w:pPr>
        <w:pStyle w:val="BodyText"/>
        <w:spacing w:line="149" w:lineRule="exact"/>
        <w:ind w:left="17" w:right="-19"/>
        <w:jc w:val="left"/>
      </w:pPr>
      <w:r>
        <w:rPr>
          <w:spacing w:val="-17"/>
        </w:rPr>
        <w:t>易、资金</w:t>
      </w:r>
    </w:p>
    <w:p>
      <w:pPr>
        <w:pStyle w:val="BodyText"/>
        <w:spacing w:line="156" w:lineRule="exact"/>
        <w:ind w:left="725" w:right="-19"/>
        <w:jc w:val="left"/>
      </w:pPr>
      <w:r>
        <w:rPr/>
        <w:t>出具</w:t>
      </w:r>
      <w:r>
        <w:rPr>
          <w:spacing w:val="-75"/>
        </w:rPr>
        <w:t>了</w:t>
      </w:r>
      <w:r>
        <w:rPr/>
        <w:t>《关于避免与广州广电运通金融电子</w:t>
      </w:r>
      <w:r>
        <w:rPr>
          <w:spacing w:val="-33"/>
        </w:rPr>
        <w:t> </w:t>
      </w:r>
      <w:r>
        <w:rPr/>
        <w:t>月</w:t>
      </w:r>
    </w:p>
    <w:p>
      <w:pPr>
        <w:pStyle w:val="BodyText"/>
        <w:spacing w:line="156" w:lineRule="exact"/>
        <w:ind w:left="17" w:right="-19"/>
        <w:jc w:val="left"/>
      </w:pPr>
      <w:r>
        <w:rPr/>
        <w:t>占用方</w:t>
      </w:r>
    </w:p>
    <w:p>
      <w:pPr>
        <w:pStyle w:val="BodyText"/>
        <w:spacing w:line="163" w:lineRule="exact"/>
        <w:ind w:left="725" w:right="-17"/>
        <w:jc w:val="left"/>
        <w:rPr>
          <w:rFonts w:ascii="Times New Roman" w:hAnsi="Times New Roman" w:cs="Times New Roman" w:eastAsia="Times New Roman" w:hint="default"/>
        </w:rPr>
      </w:pPr>
      <w:r>
        <w:rPr>
          <w:spacing w:val="-4"/>
        </w:rPr>
        <w:t>股份有限公司同业竞争的承诺函》，承诺其</w:t>
      </w:r>
      <w:r>
        <w:rPr>
          <w:spacing w:val="-34"/>
        </w:rPr>
        <w:t> </w:t>
      </w:r>
      <w:r>
        <w:rPr>
          <w:rFonts w:ascii="Times New Roman" w:hAnsi="Times New Roman" w:cs="Times New Roman" w:eastAsia="Times New Roman" w:hint="default"/>
        </w:rPr>
        <w:t>13</w:t>
      </w:r>
    </w:p>
    <w:p>
      <w:pPr>
        <w:pStyle w:val="BodyText"/>
        <w:spacing w:line="165" w:lineRule="exact"/>
        <w:ind w:left="17" w:right="-19"/>
        <w:jc w:val="left"/>
      </w:pPr>
      <w:r>
        <w:rPr/>
        <w:t>面的承</w:t>
      </w:r>
    </w:p>
    <w:p>
      <w:pPr>
        <w:spacing w:line="240" w:lineRule="auto" w:before="11"/>
        <w:rPr>
          <w:rFonts w:ascii="宋体" w:hAnsi="宋体" w:cs="宋体" w:eastAsia="宋体" w:hint="default"/>
          <w:sz w:val="26"/>
          <w:szCs w:val="26"/>
        </w:rPr>
      </w:pPr>
      <w:r>
        <w:rPr/>
        <w:br w:type="column"/>
      </w:r>
      <w:r>
        <w:rPr>
          <w:rFonts w:ascii="宋体"/>
          <w:sz w:val="26"/>
        </w:rPr>
      </w:r>
    </w:p>
    <w:p>
      <w:pPr>
        <w:pStyle w:val="BodyText"/>
        <w:spacing w:line="196" w:lineRule="exact"/>
        <w:ind w:left="204" w:right="1218"/>
        <w:jc w:val="left"/>
      </w:pPr>
      <w:r>
        <w:rPr/>
        <w:t>长期</w:t>
      </w:r>
    </w:p>
    <w:p>
      <w:pPr>
        <w:pStyle w:val="BodyText"/>
        <w:spacing w:line="156" w:lineRule="exact"/>
        <w:ind w:left="629" w:right="1218"/>
        <w:jc w:val="left"/>
      </w:pPr>
      <w:r>
        <w:rPr/>
        <w:t>严格履行</w:t>
      </w:r>
    </w:p>
    <w:p>
      <w:pPr>
        <w:pStyle w:val="BodyText"/>
        <w:spacing w:line="196" w:lineRule="exact"/>
        <w:ind w:left="204" w:right="1218"/>
        <w:jc w:val="left"/>
      </w:pPr>
      <w:r>
        <w:rPr/>
        <w:t>有效</w:t>
      </w:r>
    </w:p>
    <w:p>
      <w:pPr>
        <w:spacing w:after="0" w:line="196" w:lineRule="exact"/>
        <w:jc w:val="left"/>
        <w:sectPr>
          <w:type w:val="continuous"/>
          <w:pgSz w:w="11910" w:h="16840"/>
          <w:pgMar w:top="1100" w:bottom="1160" w:left="1020" w:right="0"/>
          <w:cols w:num="3" w:equalWidth="0">
            <w:col w:w="3205" w:space="40"/>
            <w:col w:w="4309" w:space="40"/>
            <w:col w:w="3296"/>
          </w:cols>
        </w:sectPr>
      </w:pPr>
    </w:p>
    <w:p>
      <w:pPr>
        <w:pStyle w:val="BodyText"/>
        <w:spacing w:line="163" w:lineRule="exact"/>
        <w:ind w:left="141" w:right="0"/>
        <w:jc w:val="left"/>
      </w:pPr>
      <w:r>
        <w:rPr/>
        <w:t>首次公开发行或再融</w:t>
      </w:r>
      <w:r>
        <w:rPr>
          <w:spacing w:val="-9"/>
        </w:rPr>
        <w:t> </w:t>
      </w:r>
      <w:r>
        <w:rPr>
          <w:position w:val="5"/>
        </w:rPr>
        <w:t>司</w:t>
      </w:r>
      <w:r>
        <w:rPr>
          <w:spacing w:val="-80"/>
          <w:position w:val="5"/>
        </w:rPr>
        <w:t>、</w:t>
      </w:r>
      <w:r>
        <w:rPr>
          <w:position w:val="5"/>
        </w:rPr>
        <w:t>广州藤川科技</w:t>
      </w:r>
      <w:r>
        <w:rPr/>
      </w:r>
    </w:p>
    <w:p>
      <w:pPr>
        <w:pStyle w:val="BodyText"/>
        <w:spacing w:line="149" w:lineRule="exact"/>
        <w:ind w:left="0" w:right="0"/>
        <w:jc w:val="right"/>
      </w:pPr>
      <w:r>
        <w:rPr/>
        <w:t>诺</w:t>
      </w:r>
    </w:p>
    <w:p>
      <w:pPr>
        <w:pStyle w:val="BodyText"/>
        <w:spacing w:line="180" w:lineRule="exact"/>
        <w:ind w:left="141" w:right="0"/>
        <w:jc w:val="left"/>
      </w:pPr>
      <w:r>
        <w:rPr/>
        <w:br w:type="column"/>
      </w:r>
      <w:r>
        <w:rPr/>
        <w:t>以后不从事与本公司业务相同或相近的业</w:t>
      </w:r>
      <w:r>
        <w:rPr>
          <w:spacing w:val="73"/>
        </w:rPr>
        <w:t> </w:t>
      </w:r>
      <w:r>
        <w:rPr/>
        <w:t>日</w:t>
      </w:r>
    </w:p>
    <w:p>
      <w:pPr>
        <w:spacing w:after="0" w:line="180" w:lineRule="exact"/>
        <w:jc w:val="left"/>
        <w:sectPr>
          <w:type w:val="continuous"/>
          <w:pgSz w:w="11910" w:h="16840"/>
          <w:pgMar w:top="1100" w:bottom="1160" w:left="1020" w:right="0"/>
          <w:cols w:num="2" w:equalWidth="0">
            <w:col w:w="3442" w:space="386"/>
            <w:col w:w="7062"/>
          </w:cols>
        </w:sectPr>
      </w:pPr>
    </w:p>
    <w:p>
      <w:pPr>
        <w:pStyle w:val="BodyText"/>
        <w:spacing w:line="226" w:lineRule="exact"/>
        <w:ind w:left="141" w:right="-20"/>
        <w:jc w:val="left"/>
      </w:pPr>
      <w:r>
        <w:rPr/>
        <w:t>资时所作承诺</w:t>
      </w:r>
    </w:p>
    <w:p>
      <w:pPr>
        <w:pStyle w:val="BodyText"/>
        <w:spacing w:line="180" w:lineRule="exact"/>
        <w:ind w:left="141" w:right="-20"/>
        <w:jc w:val="left"/>
      </w:pPr>
      <w:r>
        <w:rPr/>
        <w:br w:type="column"/>
      </w:r>
      <w:r>
        <w:rPr/>
        <w:t>有限公司</w:t>
      </w:r>
    </w:p>
    <w:p>
      <w:pPr>
        <w:spacing w:line="240" w:lineRule="auto" w:before="7"/>
        <w:rPr>
          <w:rFonts w:ascii="宋体" w:hAnsi="宋体" w:cs="宋体" w:eastAsia="宋体" w:hint="default"/>
          <w:sz w:val="24"/>
          <w:szCs w:val="24"/>
        </w:rPr>
      </w:pPr>
    </w:p>
    <w:p>
      <w:pPr>
        <w:pStyle w:val="BodyText"/>
        <w:spacing w:line="212" w:lineRule="exact"/>
        <w:ind w:left="141" w:right="-20"/>
        <w:jc w:val="left"/>
      </w:pPr>
      <w:r>
        <w:rPr/>
        <w:t>广州广电运通金</w:t>
      </w:r>
    </w:p>
    <w:p>
      <w:pPr>
        <w:spacing w:line="180" w:lineRule="exact" w:before="0"/>
        <w:ind w:left="141" w:right="-17" w:firstLine="0"/>
        <w:jc w:val="left"/>
        <w:rPr>
          <w:rFonts w:ascii="宋体" w:hAnsi="宋体" w:cs="宋体" w:eastAsia="宋体" w:hint="default"/>
          <w:sz w:val="18"/>
          <w:szCs w:val="18"/>
        </w:rPr>
      </w:pPr>
      <w:r>
        <w:rPr/>
        <w:br w:type="column"/>
      </w:r>
      <w:r>
        <w:rPr>
          <w:rFonts w:ascii="宋体" w:hAnsi="宋体" w:cs="宋体" w:eastAsia="宋体" w:hint="default"/>
          <w:sz w:val="18"/>
          <w:szCs w:val="18"/>
        </w:rPr>
        <w:t>务。</w:t>
      </w:r>
    </w:p>
    <w:p>
      <w:pPr>
        <w:spacing w:line="240" w:lineRule="auto" w:before="8"/>
        <w:rPr>
          <w:rFonts w:ascii="宋体" w:hAnsi="宋体" w:cs="宋体" w:eastAsia="宋体" w:hint="default"/>
          <w:sz w:val="12"/>
          <w:szCs w:val="12"/>
        </w:rPr>
      </w:pPr>
    </w:p>
    <w:p>
      <w:pPr>
        <w:pStyle w:val="BodyText"/>
        <w:spacing w:line="240" w:lineRule="auto"/>
        <w:ind w:left="141" w:right="-17"/>
        <w:jc w:val="left"/>
        <w:rPr>
          <w:rFonts w:ascii="Times New Roman" w:hAnsi="Times New Roman" w:cs="Times New Roman" w:eastAsia="Times New Roman" w:hint="default"/>
        </w:rPr>
      </w:pPr>
      <w:r>
        <w:rPr/>
        <w:t>本次非公开发行对象无线电集团</w:t>
      </w:r>
      <w:r>
        <w:rPr>
          <w:spacing w:val="-75"/>
        </w:rPr>
        <w:t>、</w:t>
      </w:r>
      <w:r>
        <w:rPr/>
        <w:t>广州广电</w:t>
      </w:r>
      <w:r>
        <w:rPr>
          <w:spacing w:val="-33"/>
        </w:rPr>
        <w:t> </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01</w:t>
      </w:r>
      <w:r>
        <w:rPr>
          <w:rFonts w:ascii="Times New Roman" w:hAnsi="Times New Roman" w:cs="Times New Roman" w:eastAsia="Times New Roman" w:hint="default"/>
        </w:rPr>
        <w:t>6</w:t>
      </w:r>
    </w:p>
    <w:p>
      <w:pPr>
        <w:spacing w:line="240" w:lineRule="auto" w:before="0"/>
        <w:rPr>
          <w:rFonts w:ascii="Times New Roman" w:hAnsi="Times New Roman" w:cs="Times New Roman" w:eastAsia="Times New Roman" w:hint="default"/>
          <w:sz w:val="18"/>
          <w:szCs w:val="18"/>
        </w:rPr>
      </w:pPr>
      <w:r>
        <w:rPr/>
        <w:br w:type="column"/>
      </w:r>
      <w:r>
        <w:rPr>
          <w:rFonts w:ascii="Times New Roman"/>
          <w:sz w:val="18"/>
        </w:rPr>
      </w:r>
    </w:p>
    <w:p>
      <w:pPr>
        <w:spacing w:line="240" w:lineRule="auto" w:before="0"/>
        <w:rPr>
          <w:rFonts w:ascii="Times New Roman" w:hAnsi="Times New Roman" w:cs="Times New Roman" w:eastAsia="Times New Roman" w:hint="default"/>
          <w:sz w:val="18"/>
          <w:szCs w:val="18"/>
        </w:rPr>
      </w:pPr>
    </w:p>
    <w:p>
      <w:pPr>
        <w:pStyle w:val="BodyText"/>
        <w:spacing w:line="169" w:lineRule="exact" w:before="129"/>
        <w:ind w:left="25" w:right="0"/>
        <w:jc w:val="left"/>
        <w:rPr>
          <w:rFonts w:ascii="Times New Roman" w:hAnsi="Times New Roman" w:cs="Times New Roman" w:eastAsia="Times New Roman" w:hint="default"/>
        </w:rPr>
      </w:pPr>
      <w:r>
        <w:rPr>
          <w:rFonts w:ascii="Times New Roman"/>
        </w:rPr>
        <w:t>2019</w:t>
      </w:r>
    </w:p>
    <w:p>
      <w:pPr>
        <w:spacing w:after="0" w:line="169" w:lineRule="exact"/>
        <w:jc w:val="left"/>
        <w:rPr>
          <w:rFonts w:ascii="Times New Roman" w:hAnsi="Times New Roman" w:cs="Times New Roman" w:eastAsia="Times New Roman" w:hint="default"/>
        </w:rPr>
        <w:sectPr>
          <w:type w:val="continuous"/>
          <w:pgSz w:w="11910" w:h="16840"/>
          <w:pgMar w:top="1100" w:bottom="1160" w:left="1020" w:right="0"/>
          <w:cols w:num="4" w:equalWidth="0">
            <w:col w:w="1222" w:space="479"/>
            <w:col w:w="1402" w:space="724"/>
            <w:col w:w="3904" w:space="40"/>
            <w:col w:w="3119"/>
          </w:cols>
        </w:sectPr>
      </w:pPr>
    </w:p>
    <w:p>
      <w:pPr>
        <w:pStyle w:val="BodyText"/>
        <w:spacing w:line="212" w:lineRule="exact" w:before="100"/>
        <w:ind w:left="1843" w:right="-20"/>
        <w:jc w:val="left"/>
      </w:pPr>
      <w:r>
        <w:rPr/>
        <w:t>融电子股份有限</w:t>
      </w:r>
    </w:p>
    <w:p>
      <w:pPr>
        <w:pStyle w:val="BodyText"/>
        <w:spacing w:line="140" w:lineRule="exact"/>
        <w:ind w:left="826" w:right="0"/>
        <w:jc w:val="left"/>
      </w:pPr>
      <w:r>
        <w:rPr/>
        <w:br w:type="column"/>
      </w:r>
      <w:r>
        <w:rPr/>
        <w:t>运通金融电子股份有限公司第一期员工持</w:t>
      </w:r>
      <w:r>
        <w:rPr>
          <w:spacing w:val="73"/>
        </w:rPr>
        <w:t> </w:t>
      </w:r>
      <w:r>
        <w:rPr/>
        <w:t>年</w:t>
      </w:r>
    </w:p>
    <w:p>
      <w:pPr>
        <w:pStyle w:val="BodyText"/>
        <w:spacing w:line="172" w:lineRule="exact"/>
        <w:ind w:left="4634" w:right="2755"/>
        <w:jc w:val="center"/>
        <w:rPr>
          <w:rFonts w:ascii="Times New Roman" w:hAnsi="Times New Roman" w:cs="Times New Roman" w:eastAsia="Times New Roman" w:hint="default"/>
        </w:rPr>
      </w:pPr>
      <w:r>
        <w:rPr/>
        <w:t>年</w:t>
      </w:r>
      <w:r>
        <w:rPr>
          <w:spacing w:val="-47"/>
        </w:rPr>
        <w:t> </w:t>
      </w:r>
      <w:r>
        <w:rPr>
          <w:rFonts w:ascii="Times New Roman" w:hAnsi="Times New Roman" w:cs="Times New Roman" w:eastAsia="Times New Roman" w:hint="default"/>
        </w:rPr>
        <w:t>3</w:t>
      </w:r>
    </w:p>
    <w:p>
      <w:pPr>
        <w:spacing w:after="0" w:line="172" w:lineRule="exact"/>
        <w:jc w:val="center"/>
        <w:rPr>
          <w:rFonts w:ascii="Times New Roman" w:hAnsi="Times New Roman" w:cs="Times New Roman" w:eastAsia="Times New Roman" w:hint="default"/>
        </w:rPr>
        <w:sectPr>
          <w:type w:val="continuous"/>
          <w:pgSz w:w="11910" w:h="16840"/>
          <w:pgMar w:top="1100" w:bottom="1160" w:left="1020" w:right="0"/>
          <w:cols w:num="2" w:equalWidth="0">
            <w:col w:w="3104" w:space="40"/>
            <w:col w:w="7746"/>
          </w:cols>
        </w:sectPr>
      </w:pPr>
    </w:p>
    <w:p>
      <w:pPr>
        <w:pStyle w:val="BodyText"/>
        <w:spacing w:line="300" w:lineRule="atLeast" w:before="49"/>
        <w:ind w:left="1843" w:right="-19"/>
        <w:jc w:val="left"/>
      </w:pPr>
      <w:r>
        <w:rPr/>
        <w:t>公司</w:t>
      </w:r>
      <w:r>
        <w:rPr>
          <w:rFonts w:ascii="Times New Roman" w:hAnsi="Times New Roman" w:cs="Times New Roman" w:eastAsia="Times New Roman" w:hint="default"/>
        </w:rPr>
        <w:t>-</w:t>
      </w:r>
      <w:r>
        <w:rPr/>
        <w:t>第一期员工 </w:t>
      </w:r>
      <w:r>
        <w:rPr>
          <w:spacing w:val="-10"/>
        </w:rPr>
        <w:t>持股计划、无线电</w:t>
      </w:r>
    </w:p>
    <w:p>
      <w:pPr>
        <w:spacing w:line="180" w:lineRule="exact" w:before="0"/>
        <w:ind w:left="17"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股份限</w:t>
      </w:r>
    </w:p>
    <w:p>
      <w:pPr>
        <w:pStyle w:val="BodyText"/>
        <w:spacing w:line="240" w:lineRule="auto" w:before="76"/>
        <w:ind w:left="17" w:right="-20"/>
        <w:jc w:val="left"/>
      </w:pPr>
      <w:r>
        <w:rPr/>
        <w:t>售承诺</w:t>
      </w:r>
    </w:p>
    <w:p>
      <w:pPr>
        <w:pStyle w:val="BodyText"/>
        <w:spacing w:line="194" w:lineRule="exact"/>
        <w:ind w:left="127" w:right="-15"/>
        <w:jc w:val="left"/>
        <w:rPr>
          <w:rFonts w:ascii="Times New Roman" w:hAnsi="Times New Roman" w:cs="Times New Roman" w:eastAsia="Times New Roman" w:hint="default"/>
        </w:rPr>
      </w:pPr>
      <w:r>
        <w:rPr/>
        <w:br w:type="column"/>
      </w:r>
      <w:r>
        <w:rPr/>
        <w:t>股计划（鲲鹏运通</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11"/>
        </w:rPr>
        <w:t> </w:t>
      </w:r>
      <w:r>
        <w:rPr/>
        <w:t>号定向资产管理计划）</w:t>
      </w:r>
      <w:r>
        <w:rPr>
          <w:rFonts w:ascii="Times New Roman" w:hAnsi="Times New Roman" w:cs="Times New Roman" w:eastAsia="Times New Roman" w:hint="default"/>
        </w:rPr>
        <w:t>03</w:t>
      </w:r>
    </w:p>
    <w:p>
      <w:pPr>
        <w:pStyle w:val="BodyText"/>
        <w:spacing w:line="240" w:lineRule="auto" w:before="63"/>
        <w:ind w:left="127" w:right="-18"/>
        <w:jc w:val="left"/>
      </w:pPr>
      <w:r>
        <w:rPr/>
        <w:t>承诺：自本次发行结束之日起 </w:t>
      </w:r>
      <w:r>
        <w:rPr>
          <w:rFonts w:ascii="Times New Roman" w:hAnsi="Times New Roman" w:cs="Times New Roman" w:eastAsia="Times New Roman" w:hint="default"/>
        </w:rPr>
        <w:t>36 </w:t>
      </w:r>
      <w:r>
        <w:rPr/>
        <w:t>个月内，</w:t>
      </w:r>
      <w:r>
        <w:rPr>
          <w:spacing w:val="-63"/>
        </w:rPr>
        <w:t> </w:t>
      </w:r>
      <w:r>
        <w:rPr/>
        <w:t>月</w:t>
      </w:r>
    </w:p>
    <w:p>
      <w:pPr>
        <w:pStyle w:val="BodyText"/>
        <w:tabs>
          <w:tab w:pos="629" w:val="left" w:leader="none"/>
        </w:tabs>
        <w:spacing w:line="240" w:lineRule="auto" w:before="100"/>
        <w:ind w:left="204" w:right="1218"/>
        <w:jc w:val="left"/>
      </w:pPr>
      <w:r>
        <w:rPr/>
        <w:br w:type="column"/>
      </w:r>
      <w:r>
        <w:rPr/>
        <w:t>月</w:t>
        <w:tab/>
        <w:t>履行完毕</w:t>
      </w:r>
    </w:p>
    <w:p>
      <w:pPr>
        <w:pStyle w:val="BodyText"/>
        <w:spacing w:line="169" w:lineRule="exact" w:before="118"/>
        <w:ind w:left="204" w:right="1218"/>
        <w:jc w:val="left"/>
        <w:rPr>
          <w:rFonts w:ascii="Times New Roman" w:hAnsi="Times New Roman" w:cs="Times New Roman" w:eastAsia="Times New Roman" w:hint="default"/>
        </w:rPr>
      </w:pPr>
      <w:r>
        <w:rPr>
          <w:rFonts w:ascii="Times New Roman"/>
        </w:rPr>
        <w:t>11</w:t>
      </w:r>
    </w:p>
    <w:p>
      <w:pPr>
        <w:spacing w:after="0" w:line="169" w:lineRule="exact"/>
        <w:jc w:val="left"/>
        <w:rPr>
          <w:rFonts w:ascii="Times New Roman" w:hAnsi="Times New Roman" w:cs="Times New Roman" w:eastAsia="Times New Roman" w:hint="default"/>
        </w:rPr>
        <w:sectPr>
          <w:type w:val="continuous"/>
          <w:pgSz w:w="11910" w:h="16840"/>
          <w:pgMar w:top="1100" w:bottom="1160" w:left="1020" w:right="0"/>
          <w:cols w:num="4" w:equalWidth="0">
            <w:col w:w="3205" w:space="40"/>
            <w:col w:w="558" w:space="40"/>
            <w:col w:w="3712" w:space="40"/>
            <w:col w:w="3295"/>
          </w:cols>
        </w:sectPr>
      </w:pPr>
    </w:p>
    <w:p>
      <w:pPr>
        <w:pStyle w:val="BodyText"/>
        <w:spacing w:line="123" w:lineRule="exact"/>
        <w:ind w:left="3969" w:right="1394"/>
        <w:jc w:val="left"/>
        <w:rPr>
          <w:rFonts w:ascii="Times New Roman" w:hAnsi="Times New Roman" w:cs="Times New Roman" w:eastAsia="Times New Roman" w:hint="default"/>
        </w:rPr>
      </w:pPr>
      <w:r>
        <w:rPr/>
        <w:t>不以任何方式转让在本次发行中认购的广</w:t>
      </w:r>
      <w:r>
        <w:rPr>
          <w:spacing w:val="71"/>
        </w:rPr>
        <w:t> </w:t>
      </w:r>
      <w:r>
        <w:rPr>
          <w:rFonts w:ascii="Times New Roman" w:hAnsi="Times New Roman" w:cs="Times New Roman" w:eastAsia="Times New Roman" w:hint="default"/>
        </w:rPr>
        <w:t>11</w:t>
      </w:r>
    </w:p>
    <w:p>
      <w:pPr>
        <w:pStyle w:val="BodyText"/>
        <w:tabs>
          <w:tab w:pos="7797" w:val="left" w:leader="none"/>
        </w:tabs>
        <w:spacing w:line="149" w:lineRule="exact"/>
        <w:ind w:left="1843" w:right="1394"/>
        <w:jc w:val="left"/>
      </w:pPr>
      <w:r>
        <w:rPr/>
        <w:t>集团</w:t>
        <w:tab/>
        <w:t>日</w:t>
      </w:r>
    </w:p>
    <w:p>
      <w:pPr>
        <w:pStyle w:val="BodyText"/>
        <w:tabs>
          <w:tab w:pos="7372" w:val="left" w:leader="none"/>
        </w:tabs>
        <w:spacing w:line="196" w:lineRule="exact"/>
        <w:ind w:left="3969" w:right="1394"/>
        <w:jc w:val="left"/>
      </w:pPr>
      <w:r>
        <w:rPr/>
        <w:t>电运通的股份。</w:t>
        <w:tab/>
        <w:t>日</w:t>
      </w:r>
    </w:p>
    <w:p>
      <w:pPr>
        <w:spacing w:line="240" w:lineRule="auto" w:before="5"/>
        <w:rPr>
          <w:rFonts w:ascii="宋体" w:hAnsi="宋体" w:cs="宋体" w:eastAsia="宋体" w:hint="default"/>
          <w:sz w:val="9"/>
          <w:szCs w:val="9"/>
        </w:rPr>
      </w:pPr>
    </w:p>
    <w:p>
      <w:pPr>
        <w:pStyle w:val="BodyText"/>
        <w:tabs>
          <w:tab w:pos="2433" w:val="left" w:leader="none"/>
          <w:tab w:pos="3556" w:val="left" w:leader="none"/>
          <w:tab w:pos="5553" w:val="left" w:leader="none"/>
          <w:tab w:pos="7526" w:val="left" w:leader="none"/>
          <w:tab w:pos="7951" w:val="left" w:leader="none"/>
          <w:tab w:pos="8908" w:val="left" w:leader="none"/>
        </w:tabs>
        <w:spacing w:line="240" w:lineRule="auto" w:before="44"/>
        <w:ind w:left="141" w:right="1394"/>
        <w:jc w:val="left"/>
        <w:rPr>
          <w:rFonts w:ascii="Times New Roman" w:hAnsi="Times New Roman" w:cs="Times New Roman" w:eastAsia="Times New Roman" w:hint="default"/>
        </w:rPr>
      </w:pPr>
      <w:r>
        <w:rPr/>
        <w:pict>
          <v:shape style="position:absolute;margin-left:412.320007pt;margin-top:19.661724pt;width:27.05pt;height:177.7pt;mso-position-horizontal-relative:page;mso-position-vertical-relative:paragraph;z-index:-1487824" type="#_x0000_t202" filled="false" stroked="false">
            <v:textbox inset="0,0,0,0">
              <w:txbxContent>
                <w:p>
                  <w:pPr>
                    <w:spacing w:line="240" w:lineRule="auto" w:before="0"/>
                    <w:rPr>
                      <w:rFonts w:ascii="宋体" w:hAnsi="宋体" w:cs="宋体" w:eastAsia="宋体" w:hint="default"/>
                      <w:sz w:val="18"/>
                      <w:szCs w:val="18"/>
                    </w:rPr>
                  </w:pPr>
                </w:p>
                <w:p>
                  <w:pPr>
                    <w:pStyle w:val="BodyText"/>
                    <w:spacing w:line="240" w:lineRule="auto" w:before="128"/>
                    <w:ind w:left="0" w:right="0"/>
                    <w:jc w:val="left"/>
                  </w:pPr>
                  <w:r>
                    <w:rPr/>
                    <w:t>、</w:t>
                  </w:r>
                </w:p>
              </w:txbxContent>
            </v:textbox>
            <w10:wrap type="none"/>
          </v:shape>
        </w:pict>
      </w:r>
      <w:r>
        <w:rPr/>
        <w:t>股权激励承诺</w:t>
        <w:tab/>
        <w:t>无</w:t>
        <w:tab/>
      </w:r>
      <w:r>
        <w:rPr>
          <w:rFonts w:ascii="Times New Roman" w:hAnsi="Times New Roman" w:cs="Times New Roman" w:eastAsia="Times New Roman" w:hint="default"/>
        </w:rPr>
        <w:t>-</w:t>
        <w:tab/>
      </w:r>
      <w:r>
        <w:rPr/>
        <w:t>无</w:t>
        <w:tab/>
      </w:r>
      <w:r>
        <w:rPr>
          <w:rFonts w:ascii="Times New Roman" w:hAnsi="Times New Roman" w:cs="Times New Roman" w:eastAsia="Times New Roman" w:hint="default"/>
        </w:rPr>
        <w:t>-</w:t>
        <w:tab/>
        <w:t>-</w:t>
        <w:tab/>
        <w:t>-</w:t>
      </w:r>
    </w:p>
    <w:p>
      <w:pPr>
        <w:spacing w:line="240" w:lineRule="auto" w:before="4"/>
        <w:rPr>
          <w:rFonts w:ascii="Times New Roman" w:hAnsi="Times New Roman" w:cs="Times New Roman" w:eastAsia="Times New Roman" w:hint="default"/>
          <w:sz w:val="9"/>
          <w:szCs w:val="9"/>
        </w:rPr>
      </w:pPr>
    </w:p>
    <w:p>
      <w:pPr>
        <w:spacing w:after="0" w:line="240" w:lineRule="auto"/>
        <w:rPr>
          <w:rFonts w:ascii="Times New Roman" w:hAnsi="Times New Roman" w:cs="Times New Roman" w:eastAsia="Times New Roman" w:hint="default"/>
          <w:sz w:val="9"/>
          <w:szCs w:val="9"/>
        </w:rPr>
        <w:sectPr>
          <w:type w:val="continuous"/>
          <w:pgSz w:w="11910" w:h="16840"/>
          <w:pgMar w:top="1100" w:bottom="1160" w:left="1020" w:right="0"/>
        </w:sectPr>
      </w:pPr>
    </w:p>
    <w:p>
      <w:pPr>
        <w:pStyle w:val="BodyText"/>
        <w:spacing w:line="316" w:lineRule="auto" w:before="44"/>
        <w:ind w:left="1843" w:right="-20"/>
        <w:jc w:val="left"/>
      </w:pPr>
      <w:r>
        <w:rPr/>
        <w:t>广州广电运通金 融电子股份有限</w:t>
      </w:r>
    </w:p>
    <w:p>
      <w:pPr>
        <w:pStyle w:val="BodyText"/>
        <w:spacing w:line="316" w:lineRule="auto" w:before="44"/>
        <w:ind w:left="118" w:right="-20"/>
        <w:jc w:val="left"/>
      </w:pPr>
      <w:r>
        <w:rPr/>
        <w:br w:type="column"/>
      </w:r>
      <w:r>
        <w:rPr/>
        <w:t>募集资 金使用</w:t>
      </w:r>
    </w:p>
    <w:p>
      <w:pPr>
        <w:pStyle w:val="BodyText"/>
        <w:tabs>
          <w:tab w:pos="3955" w:val="left" w:leader="none"/>
        </w:tabs>
        <w:spacing w:line="300" w:lineRule="auto" w:before="44"/>
        <w:ind w:left="127" w:right="1941"/>
        <w:jc w:val="left"/>
      </w:pPr>
      <w:r>
        <w:rPr/>
        <w:br w:type="column"/>
      </w:r>
      <w:r>
        <w:rPr/>
        <w:t>公司在以下期间，不进行风险投资：</w:t>
      </w:r>
      <w:r>
        <w:rPr>
          <w:rFonts w:ascii="Times New Roman" w:hAnsi="Times New Roman" w:cs="Times New Roman" w:eastAsia="Times New Roman" w:hint="default"/>
        </w:rPr>
        <w:t>1</w:t>
      </w:r>
      <w:r>
        <w:rPr/>
        <w:t>、使 </w:t>
      </w:r>
      <w:r>
        <w:rPr>
          <w:rFonts w:ascii="Times New Roman" w:hAnsi="Times New Roman" w:cs="Times New Roman" w:eastAsia="Times New Roman" w:hint="default"/>
        </w:rPr>
        <w:t>2016 </w:t>
      </w:r>
      <w:r>
        <w:rPr/>
        <w:t>进行</w:t>
      </w:r>
      <w:r>
        <w:rPr>
          <w:spacing w:val="-29"/>
        </w:rPr>
        <w:t> </w:t>
      </w:r>
      <w:r>
        <w:rPr/>
        <w:t>严格履行</w:t>
      </w:r>
      <w:r>
        <w:rPr/>
        <w:t> </w:t>
      </w:r>
      <w:r>
        <w:rPr>
          <w:spacing w:val="-4"/>
        </w:rPr>
        <w:t>用闲置募集资金暂时补充流动资金期间；</w:t>
      </w:r>
      <w:r>
        <w:rPr>
          <w:rFonts w:ascii="Times New Roman" w:hAnsi="Times New Roman" w:cs="Times New Roman" w:eastAsia="Times New Roman" w:hint="default"/>
          <w:spacing w:val="-4"/>
        </w:rPr>
        <w:t>2</w:t>
      </w:r>
      <w:r>
        <w:rPr>
          <w:rFonts w:ascii="Times New Roman" w:hAnsi="Times New Roman" w:cs="Times New Roman" w:eastAsia="Times New Roman" w:hint="default"/>
        </w:rPr>
        <w:t>  </w:t>
      </w:r>
      <w:r>
        <w:rPr>
          <w:rFonts w:ascii="Times New Roman" w:hAnsi="Times New Roman" w:cs="Times New Roman" w:eastAsia="Times New Roman" w:hint="default"/>
          <w:spacing w:val="13"/>
        </w:rPr>
        <w:t> </w:t>
      </w:r>
      <w:r>
        <w:rPr/>
        <w:t>年</w:t>
        <w:tab/>
        <w:t>风险</w:t>
      </w:r>
    </w:p>
    <w:p>
      <w:pPr>
        <w:spacing w:after="0" w:line="300" w:lineRule="auto"/>
        <w:jc w:val="left"/>
        <w:sectPr>
          <w:type w:val="continuous"/>
          <w:pgSz w:w="11910" w:h="16840"/>
          <w:pgMar w:top="1100" w:bottom="1160" w:left="1020" w:right="0"/>
          <w:cols w:num="3" w:equalWidth="0">
            <w:col w:w="3104" w:space="40"/>
            <w:col w:w="659" w:space="40"/>
            <w:col w:w="7047"/>
          </w:cols>
        </w:sectPr>
      </w:pPr>
    </w:p>
    <w:p>
      <w:pPr>
        <w:pStyle w:val="BodyText"/>
        <w:tabs>
          <w:tab w:pos="3261" w:val="left" w:leader="none"/>
        </w:tabs>
        <w:spacing w:line="240" w:lineRule="auto" w:before="13"/>
        <w:ind w:left="1843" w:right="-20"/>
        <w:jc w:val="left"/>
      </w:pPr>
      <w:r>
        <w:rPr/>
        <w:t>公司</w:t>
        <w:tab/>
        <w:t>承诺</w:t>
      </w:r>
    </w:p>
    <w:p>
      <w:pPr>
        <w:pStyle w:val="BodyText"/>
        <w:spacing w:line="300" w:lineRule="auto" w:before="13"/>
        <w:ind w:left="307" w:right="2726"/>
        <w:jc w:val="both"/>
      </w:pPr>
      <w:r>
        <w:rPr>
          <w:spacing w:val="5"/>
        </w:rPr>
        <w:br w:type="column"/>
      </w:r>
      <w:r>
        <w:rPr>
          <w:spacing w:val="5"/>
        </w:rPr>
        <w:t>将募集资金投向变更为永久性补充流动资 </w:t>
      </w:r>
      <w:r>
        <w:rPr>
          <w:rFonts w:ascii="Times New Roman" w:hAnsi="Times New Roman" w:cs="Times New Roman" w:eastAsia="Times New Roman" w:hint="default"/>
        </w:rPr>
        <w:t>02</w:t>
      </w:r>
      <w:r>
        <w:rPr>
          <w:rFonts w:ascii="Times New Roman" w:hAnsi="Times New Roman" w:cs="Times New Roman" w:eastAsia="Times New Roman" w:hint="default"/>
          <w:spacing w:val="33"/>
        </w:rPr>
        <w:t> </w:t>
      </w:r>
      <w:r>
        <w:rPr/>
        <w:t>投资 金后十二个月内；</w:t>
      </w:r>
      <w:r>
        <w:rPr>
          <w:rFonts w:ascii="Times New Roman" w:hAnsi="Times New Roman" w:cs="Times New Roman" w:eastAsia="Times New Roman" w:hint="default"/>
        </w:rPr>
        <w:t>3</w:t>
      </w:r>
      <w:r>
        <w:rPr/>
        <w:t>、将超募资金永久性用 月</w:t>
      </w:r>
      <w:r>
        <w:rPr>
          <w:spacing w:val="43"/>
        </w:rPr>
        <w:t> </w:t>
      </w:r>
      <w:r>
        <w:rPr/>
        <w:t>后的</w:t>
      </w:r>
      <w:r>
        <w:rPr/>
        <w:t> </w:t>
      </w:r>
      <w:r>
        <w:rPr>
          <w:spacing w:val="5"/>
        </w:rPr>
        <w:t>于补充流动资金或者归还银行贷款后的十 </w:t>
      </w:r>
      <w:r>
        <w:rPr>
          <w:rFonts w:ascii="Times New Roman" w:hAnsi="Times New Roman" w:cs="Times New Roman" w:eastAsia="Times New Roman" w:hint="default"/>
        </w:rPr>
        <w:t>03   </w:t>
      </w:r>
      <w:r>
        <w:rPr>
          <w:rFonts w:ascii="Times New Roman" w:hAnsi="Times New Roman" w:cs="Times New Roman" w:eastAsia="Times New Roman" w:hint="default"/>
          <w:spacing w:val="33"/>
        </w:rPr>
        <w:t> </w:t>
      </w:r>
      <w:r>
        <w:rPr/>
        <w:t>十二</w:t>
      </w:r>
    </w:p>
    <w:p>
      <w:pPr>
        <w:spacing w:after="0" w:line="300" w:lineRule="auto"/>
        <w:jc w:val="both"/>
        <w:sectPr>
          <w:type w:val="continuous"/>
          <w:pgSz w:w="11910" w:h="16840"/>
          <w:pgMar w:top="1100" w:bottom="1160" w:left="1020" w:right="0"/>
          <w:cols w:num="2" w:equalWidth="0">
            <w:col w:w="3622" w:space="40"/>
            <w:col w:w="7228"/>
          </w:cols>
        </w:sectPr>
      </w:pPr>
    </w:p>
    <w:p>
      <w:pPr>
        <w:pStyle w:val="BodyText"/>
        <w:tabs>
          <w:tab w:pos="7372" w:val="left" w:leader="none"/>
          <w:tab w:pos="7797" w:val="left" w:leader="none"/>
        </w:tabs>
        <w:spacing w:line="240" w:lineRule="auto" w:before="13"/>
        <w:ind w:left="3969" w:right="1394"/>
        <w:jc w:val="left"/>
      </w:pPr>
      <w:r>
        <w:rPr/>
        <w:t>二个月内。</w:t>
        <w:tab/>
        <w:t>日</w:t>
        <w:tab/>
        <w:t>个月</w:t>
      </w:r>
    </w:p>
    <w:p>
      <w:pPr>
        <w:pStyle w:val="BodyText"/>
        <w:tabs>
          <w:tab w:pos="7797" w:val="left" w:leader="none"/>
        </w:tabs>
        <w:spacing w:line="307" w:lineRule="auto" w:before="77"/>
        <w:ind w:left="3969" w:right="2906"/>
        <w:jc w:val="left"/>
      </w:pPr>
      <w:r>
        <w:rPr/>
        <w:t>公司承诺进行风险投资后的十二个月内</w:t>
      </w:r>
      <w:r>
        <w:rPr>
          <w:spacing w:val="-75"/>
        </w:rPr>
        <w:t>，</w:t>
      </w:r>
      <w:r>
        <w:rPr/>
        <w:t>不</w:t>
        <w:tab/>
      </w:r>
      <w:r>
        <w:rPr>
          <w:position w:val="4"/>
        </w:rPr>
        <w:t>内</w:t>
      </w:r>
      <w:r>
        <w:rPr>
          <w:position w:val="4"/>
        </w:rPr>
        <w:t> </w:t>
      </w:r>
      <w:r>
        <w:rPr/>
        <w:t>使用闲置募集资金暂时补充流动资金</w:t>
      </w:r>
      <w:r>
        <w:rPr>
          <w:spacing w:val="-75"/>
        </w:rPr>
        <w:t>，</w:t>
      </w:r>
      <w:r>
        <w:rPr/>
        <w:t>不将</w:t>
      </w:r>
    </w:p>
    <w:p>
      <w:pPr>
        <w:pStyle w:val="BodyText"/>
        <w:spacing w:line="316" w:lineRule="auto" w:before="26"/>
        <w:ind w:left="3969" w:right="3477"/>
        <w:jc w:val="left"/>
      </w:pPr>
      <w:r>
        <w:rPr/>
        <w:t>募集资金投向变更为永久性补充流动资金， 不将超募资金永久性用于补充流动资金或 归还银行贷款。</w:t>
      </w:r>
    </w:p>
    <w:p>
      <w:pPr>
        <w:pStyle w:val="BodyText"/>
        <w:tabs>
          <w:tab w:pos="3261" w:val="left" w:leader="none"/>
        </w:tabs>
        <w:spacing w:line="240" w:lineRule="auto" w:before="110"/>
        <w:ind w:left="1843" w:right="1394"/>
        <w:jc w:val="left"/>
      </w:pPr>
      <w:r>
        <w:rPr/>
        <w:t>郑孙满</w:t>
        <w:tab/>
        <w:t>股份回</w:t>
      </w:r>
      <w:r>
        <w:rPr>
          <w:spacing w:val="76"/>
        </w:rPr>
        <w:t> </w:t>
      </w:r>
      <w:r>
        <w:rPr/>
        <w:t>若美电贝尔于</w:t>
      </w:r>
      <w:r>
        <w:rPr>
          <w:spacing w:val="-46"/>
        </w:rPr>
        <w:t> </w:t>
      </w:r>
      <w:r>
        <w:rPr>
          <w:rFonts w:ascii="Times New Roman" w:hAnsi="Times New Roman" w:cs="Times New Roman" w:eastAsia="Times New Roman" w:hint="default"/>
        </w:rPr>
        <w:t>2021</w:t>
      </w:r>
      <w:r>
        <w:rPr>
          <w:rFonts w:ascii="Times New Roman" w:hAnsi="Times New Roman" w:cs="Times New Roman" w:eastAsia="Times New Roman" w:hint="default"/>
          <w:spacing w:val="-2"/>
        </w:rPr>
        <w:t> </w:t>
      </w:r>
      <w:r>
        <w:rPr/>
        <w:t>年</w:t>
      </w:r>
      <w:r>
        <w:rPr>
          <w:spacing w:val="-48"/>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日前未实现</w:t>
      </w:r>
      <w:r>
        <w:rPr>
          <w:spacing w:val="-19"/>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0"/>
        </w:rPr>
        <w:t> </w:t>
      </w:r>
      <w:r>
        <w:rPr>
          <w:rFonts w:ascii="Times New Roman" w:hAnsi="Times New Roman" w:cs="Times New Roman" w:eastAsia="Times New Roman" w:hint="default"/>
        </w:rPr>
        <w:t>2021</w:t>
      </w:r>
      <w:r>
        <w:rPr>
          <w:rFonts w:ascii="Times New Roman" w:hAnsi="Times New Roman" w:cs="Times New Roman" w:eastAsia="Times New Roman" w:hint="default"/>
          <w:spacing w:val="20"/>
        </w:rPr>
        <w:t> </w:t>
      </w:r>
      <w:r>
        <w:rPr/>
        <w:t>严格履行</w:t>
      </w:r>
    </w:p>
    <w:p>
      <w:pPr>
        <w:spacing w:after="0" w:line="240" w:lineRule="auto"/>
        <w:jc w:val="left"/>
        <w:sectPr>
          <w:type w:val="continuous"/>
          <w:pgSz w:w="11910" w:h="16840"/>
          <w:pgMar w:top="1100" w:bottom="1160" w:left="1020" w:right="0"/>
        </w:sectPr>
      </w:pPr>
    </w:p>
    <w:p>
      <w:pPr>
        <w:pStyle w:val="BodyText"/>
        <w:spacing w:line="316" w:lineRule="auto" w:before="22"/>
        <w:ind w:left="141" w:right="-20"/>
        <w:jc w:val="left"/>
      </w:pPr>
      <w:r>
        <w:rPr/>
        <w:t>其他对公司中小股东 所作承诺</w:t>
      </w:r>
    </w:p>
    <w:p>
      <w:pPr>
        <w:spacing w:before="63"/>
        <w:ind w:left="141"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购承诺</w:t>
      </w:r>
    </w:p>
    <w:p>
      <w:pPr>
        <w:pStyle w:val="BodyText"/>
        <w:spacing w:line="307" w:lineRule="auto" w:before="63"/>
        <w:ind w:left="127" w:right="2905"/>
        <w:jc w:val="both"/>
        <w:rPr>
          <w:rFonts w:ascii="Times New Roman" w:hAnsi="Times New Roman" w:cs="Times New Roman" w:eastAsia="Times New Roman" w:hint="default"/>
        </w:rPr>
      </w:pPr>
      <w:r>
        <w:rPr>
          <w:spacing w:val="-6"/>
        </w:rPr>
        <w:br w:type="column"/>
      </w:r>
      <w:r>
        <w:rPr>
          <w:spacing w:val="-6"/>
        </w:rPr>
        <w:t>上市，对于广电运通持有美电贝尔</w:t>
      </w:r>
      <w:r>
        <w:rPr/>
        <w:t> </w:t>
      </w:r>
      <w:r>
        <w:rPr>
          <w:rFonts w:ascii="Times New Roman" w:hAnsi="Times New Roman" w:cs="Times New Roman" w:eastAsia="Times New Roman" w:hint="default"/>
          <w:spacing w:val="-1"/>
        </w:rPr>
        <w:t>25%</w:t>
      </w:r>
      <w:r>
        <w:rPr>
          <w:spacing w:val="-1"/>
        </w:rPr>
        <w:t>股份</w:t>
      </w:r>
      <w:r>
        <w:rPr/>
        <w:t> 年</w:t>
      </w:r>
      <w:r>
        <w:rPr>
          <w:spacing w:val="78"/>
        </w:rPr>
        <w:t> </w:t>
      </w:r>
      <w:r>
        <w:rPr/>
        <w:t>年</w:t>
      </w:r>
      <w:r>
        <w:rPr/>
        <w:t> 中截至 </w:t>
      </w:r>
      <w:r>
        <w:rPr>
          <w:rFonts w:ascii="Times New Roman" w:hAnsi="Times New Roman" w:cs="Times New Roman" w:eastAsia="Times New Roman" w:hint="default"/>
        </w:rPr>
        <w:t>2018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 </w:t>
      </w:r>
      <w:r>
        <w:rPr/>
        <w:t>日剩余未签订正式 </w:t>
      </w:r>
      <w:r>
        <w:rPr>
          <w:rFonts w:ascii="Times New Roman" w:hAnsi="Times New Roman" w:cs="Times New Roman" w:eastAsia="Times New Roman" w:hint="default"/>
        </w:rPr>
        <w:t>11</w:t>
      </w:r>
      <w:r>
        <w:rPr>
          <w:rFonts w:ascii="Times New Roman" w:hAnsi="Times New Roman" w:cs="Times New Roman" w:eastAsia="Times New Roman" w:hint="default"/>
          <w:spacing w:val="41"/>
        </w:rPr>
        <w:t> </w:t>
      </w:r>
      <w:r>
        <w:rPr>
          <w:rFonts w:ascii="Times New Roman" w:hAnsi="Times New Roman" w:cs="Times New Roman" w:eastAsia="Times New Roman" w:hint="default"/>
        </w:rPr>
        <w:t>12</w:t>
      </w:r>
      <w:r>
        <w:rPr>
          <w:rFonts w:ascii="Times New Roman" w:hAnsi="Times New Roman" w:cs="Times New Roman" w:eastAsia="Times New Roman" w:hint="default"/>
        </w:rPr>
        <w:t> </w:t>
      </w:r>
      <w:r>
        <w:rPr>
          <w:spacing w:val="-4"/>
        </w:rPr>
        <w:t>股权转让协议的部分，郑孙满承诺自行或寻</w:t>
      </w:r>
      <w:r>
        <w:rPr/>
        <w:t> 月</w:t>
      </w:r>
      <w:r>
        <w:rPr>
          <w:spacing w:val="32"/>
        </w:rPr>
        <w:t> </w:t>
      </w:r>
      <w:r>
        <w:rPr/>
        <w:t>月</w:t>
      </w:r>
      <w:r>
        <w:rPr/>
        <w:t> 找第三方投资者按年化 </w:t>
      </w:r>
      <w:r>
        <w:rPr>
          <w:rFonts w:ascii="Times New Roman" w:hAnsi="Times New Roman" w:cs="Times New Roman" w:eastAsia="Times New Roman" w:hint="default"/>
        </w:rPr>
        <w:t>8%</w:t>
      </w:r>
      <w:r>
        <w:rPr/>
        <w:t>的资金成本率， </w:t>
      </w:r>
      <w:r>
        <w:rPr>
          <w:rFonts w:ascii="Times New Roman" w:hAnsi="Times New Roman" w:cs="Times New Roman" w:eastAsia="Times New Roman" w:hint="default"/>
        </w:rPr>
        <w:t>23  </w:t>
      </w:r>
      <w:r>
        <w:rPr>
          <w:rFonts w:ascii="Times New Roman" w:hAnsi="Times New Roman" w:cs="Times New Roman" w:eastAsia="Times New Roman" w:hint="default"/>
          <w:spacing w:val="32"/>
        </w:rPr>
        <w:t> </w:t>
      </w:r>
      <w:r>
        <w:rPr>
          <w:rFonts w:ascii="Times New Roman" w:hAnsi="Times New Roman" w:cs="Times New Roman" w:eastAsia="Times New Roman" w:hint="default"/>
        </w:rPr>
        <w:t>31</w:t>
      </w:r>
    </w:p>
    <w:p>
      <w:pPr>
        <w:pStyle w:val="BodyText"/>
        <w:spacing w:line="240" w:lineRule="auto" w:before="7"/>
        <w:ind w:left="127" w:right="0"/>
        <w:jc w:val="both"/>
      </w:pPr>
      <w:r>
        <w:rPr/>
        <w:t>于</w:t>
      </w:r>
      <w:r>
        <w:rPr>
          <w:spacing w:val="-45"/>
        </w:rPr>
        <w:t> </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2</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年</w:t>
      </w:r>
      <w:r>
        <w:rPr>
          <w:spacing w:val="-47"/>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spacing w:val="1"/>
        </w:rPr>
        <w:t>3</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日前回购该股份</w:t>
      </w:r>
      <w:r>
        <w:rPr>
          <w:spacing w:val="-75"/>
        </w:rPr>
        <w:t>，</w:t>
      </w:r>
      <w:r>
        <w:rPr/>
        <w:t>每股回</w:t>
      </w:r>
      <w:r>
        <w:rPr>
          <w:spacing w:val="-33"/>
        </w:rPr>
        <w:t> </w:t>
      </w:r>
      <w:r>
        <w:rPr/>
        <w:t>日</w:t>
      </w:r>
    </w:p>
    <w:p>
      <w:pPr>
        <w:pStyle w:val="BodyText"/>
        <w:spacing w:line="300" w:lineRule="auto" w:before="63"/>
        <w:ind w:left="127" w:right="3556"/>
        <w:jc w:val="left"/>
      </w:pPr>
      <w:r>
        <w:rPr/>
        <w:t>购价不低于</w:t>
      </w:r>
      <w:r>
        <w:rPr>
          <w:spacing w:val="-43"/>
        </w:rPr>
        <w:t> </w:t>
      </w:r>
      <w:r>
        <w:rPr>
          <w:rFonts w:ascii="Times New Roman" w:hAnsi="Times New Roman" w:cs="Times New Roman" w:eastAsia="Times New Roman" w:hint="default"/>
        </w:rPr>
        <w:t>5.754</w:t>
      </w:r>
      <w:r>
        <w:rPr>
          <w:rFonts w:ascii="Times New Roman" w:hAnsi="Times New Roman" w:cs="Times New Roman" w:eastAsia="Times New Roman" w:hint="default"/>
          <w:spacing w:val="-2"/>
        </w:rPr>
        <w:t> </w:t>
      </w:r>
      <w:r>
        <w:rPr>
          <w:spacing w:val="-7"/>
          <w:w w:val="99"/>
        </w:rPr>
        <w:t>元</w:t>
      </w:r>
      <w:r>
        <w:rPr>
          <w:rFonts w:ascii="Times New Roman" w:hAnsi="Times New Roman" w:cs="Times New Roman" w:eastAsia="Times New Roman" w:hint="default"/>
          <w:spacing w:val="-7"/>
          <w:w w:val="99"/>
        </w:rPr>
        <w:t>/</w:t>
      </w:r>
      <w:r>
        <w:rPr>
          <w:spacing w:val="-7"/>
          <w:w w:val="99"/>
        </w:rPr>
        <w:t>股，且在符合国有资产</w:t>
      </w:r>
      <w:r>
        <w:rPr/>
        <w:t> 相关规定的条件下进行回购。</w:t>
      </w:r>
    </w:p>
    <w:p>
      <w:pPr>
        <w:spacing w:after="0" w:line="300" w:lineRule="auto"/>
        <w:jc w:val="left"/>
        <w:sectPr>
          <w:type w:val="continuous"/>
          <w:pgSz w:w="11910" w:h="16840"/>
          <w:pgMar w:top="1100" w:bottom="1160" w:left="1020" w:right="0"/>
          <w:cols w:num="3" w:equalWidth="0">
            <w:col w:w="1762" w:space="1358"/>
            <w:col w:w="682" w:space="40"/>
            <w:col w:w="7048"/>
          </w:cols>
        </w:sectPr>
      </w:pPr>
    </w:p>
    <w:p>
      <w:pPr>
        <w:pStyle w:val="BodyText"/>
        <w:spacing w:line="240" w:lineRule="auto" w:before="120"/>
        <w:ind w:left="1843" w:right="-20"/>
        <w:jc w:val="left"/>
      </w:pPr>
      <w:r>
        <w:rPr/>
        <w:t>湖北琪顺投资有</w:t>
      </w:r>
    </w:p>
    <w:p>
      <w:pPr>
        <w:spacing w:before="120"/>
        <w:ind w:left="118"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业绩承</w:t>
      </w:r>
    </w:p>
    <w:p>
      <w:pPr>
        <w:pStyle w:val="BodyText"/>
        <w:spacing w:line="240" w:lineRule="auto" w:before="120"/>
        <w:ind w:left="127" w:right="-17"/>
        <w:jc w:val="left"/>
        <w:rPr>
          <w:rFonts w:ascii="Times New Roman" w:hAnsi="Times New Roman" w:cs="Times New Roman" w:eastAsia="Times New Roman" w:hint="default"/>
        </w:rPr>
      </w:pPr>
      <w:r>
        <w:rPr/>
        <w:br w:type="column"/>
      </w:r>
      <w:r>
        <w:rPr/>
        <w:t>湖北琪顺投资有限公司承诺湖北融信</w:t>
      </w:r>
      <w:r>
        <w:rPr>
          <w:spacing w:val="-48"/>
        </w:rPr>
        <w:t> </w:t>
      </w:r>
      <w:r>
        <w:rPr>
          <w:rFonts w:ascii="Times New Roman" w:hAnsi="Times New Roman" w:cs="Times New Roman" w:eastAsia="Times New Roman" w:hint="default"/>
        </w:rPr>
        <w:t>2017</w:t>
      </w:r>
    </w:p>
    <w:p>
      <w:pPr>
        <w:pStyle w:val="BodyText"/>
        <w:spacing w:line="240" w:lineRule="auto" w:before="120"/>
        <w:ind w:left="78" w:right="0"/>
        <w:jc w:val="left"/>
      </w:pPr>
      <w:r>
        <w:rPr/>
        <w:br w:type="column"/>
      </w:r>
      <w:r>
        <w:rPr>
          <w:rFonts w:ascii="Times New Roman" w:hAnsi="Times New Roman" w:cs="Times New Roman" w:eastAsia="Times New Roman" w:hint="default"/>
        </w:rPr>
        <w:t>2017 2019 </w:t>
      </w:r>
      <w:r>
        <w:rPr/>
        <w:t>湖北融信 </w:t>
      </w:r>
      <w:r>
        <w:rPr>
          <w:rFonts w:ascii="Times New Roman" w:hAnsi="Times New Roman" w:cs="Times New Roman" w:eastAsia="Times New Roman" w:hint="default"/>
        </w:rPr>
        <w:t>2017</w:t>
      </w:r>
      <w:r>
        <w:rPr>
          <w:rFonts w:ascii="Times New Roman" w:hAnsi="Times New Roman" w:cs="Times New Roman" w:eastAsia="Times New Roman" w:hint="default"/>
          <w:spacing w:val="-19"/>
        </w:rPr>
        <w:t> </w:t>
      </w:r>
      <w:r>
        <w:rPr/>
        <w:t>年、</w:t>
      </w:r>
    </w:p>
    <w:p>
      <w:pPr>
        <w:spacing w:after="0" w:line="240" w:lineRule="auto"/>
        <w:jc w:val="left"/>
        <w:sectPr>
          <w:type w:val="continuous"/>
          <w:pgSz w:w="11910" w:h="16840"/>
          <w:pgMar w:top="1100" w:bottom="1160" w:left="1020" w:right="0"/>
          <w:cols w:num="4" w:equalWidth="0">
            <w:col w:w="3104" w:space="40"/>
            <w:col w:w="659" w:space="40"/>
            <w:col w:w="3413" w:space="40"/>
            <w:col w:w="3594"/>
          </w:cols>
        </w:sectPr>
      </w:pPr>
    </w:p>
    <w:p>
      <w:pPr>
        <w:pStyle w:val="BodyText"/>
        <w:spacing w:line="240" w:lineRule="auto" w:before="63"/>
        <w:ind w:left="0" w:right="0"/>
        <w:jc w:val="right"/>
      </w:pPr>
      <w:r>
        <w:rPr/>
        <w:pict>
          <v:group style="position:absolute;margin-left:56.220001pt;margin-top:71.760025pt;width:479.35pt;height:687.6pt;mso-position-horizontal-relative:page;mso-position-vertical-relative:page;z-index:-1487800" coordorigin="1124,1435" coordsize="9587,13752">
            <v:group style="position:absolute;left:1137;top:1448;width:1696;height:397" coordorigin="1137,1448" coordsize="1696,397">
              <v:shape style="position:absolute;left:1137;top:1448;width:1696;height:397" coordorigin="1137,1448" coordsize="1696,397" path="m1137,1448l2833,1448,2833,1845,1137,1845,1137,1448xe" filled="true" fillcolor="#d2d2d2" stroked="false">
                <v:path arrowok="t"/>
                <v:fill type="solid"/>
              </v:shape>
            </v:group>
            <v:group style="position:absolute;left:1137;top:1850;width:1696;height:4543" coordorigin="1137,1850" coordsize="1696,4543">
              <v:shape style="position:absolute;left:1137;top:1850;width:1696;height:4543" coordorigin="1137,1850" coordsize="1696,4543" path="m1137,1850l2833,1850,2833,6393,1137,6393,1137,1850xe" filled="true" fillcolor="#d2d2d2" stroked="false">
                <v:path arrowok="t"/>
                <v:fill type="solid"/>
              </v:shape>
            </v:group>
            <v:group style="position:absolute;left:1137;top:6398;width:1696;height:397" coordorigin="1137,6398" coordsize="1696,397">
              <v:shape style="position:absolute;left:1137;top:6398;width:1696;height:397" coordorigin="1137,6398" coordsize="1696,397" path="m1137,6398l2833,6398,2833,6795,1137,6795,1137,6398xe" filled="true" fillcolor="#d2d2d2" stroked="false">
                <v:path arrowok="t"/>
                <v:fill type="solid"/>
              </v:shape>
            </v:group>
            <v:group style="position:absolute;left:1137;top:6800;width:1696;height:8377" coordorigin="1137,6800" coordsize="1696,8377">
              <v:shape style="position:absolute;left:1137;top:6800;width:1696;height:8377" coordorigin="1137,6800" coordsize="1696,8377" path="m1137,6800l2833,6800,2833,15177,1137,15177,1137,6800xe" filled="true" fillcolor="#d2d2d2" stroked="false">
                <v:path arrowok="t"/>
                <v:fill type="solid"/>
              </v:shape>
            </v:group>
            <v:group style="position:absolute;left:1129;top:1445;width:9577;height:2" coordorigin="1129,1445" coordsize="9577,2">
              <v:shape style="position:absolute;left:1129;top:1445;width:9577;height:2" coordorigin="1129,1445" coordsize="9577,0" path="m1129,1445l10706,1445e" filled="false" stroked="true" strokeweight=".48pt" strokecolor="#000000">
                <v:path arrowok="t"/>
              </v:shape>
            </v:group>
            <v:group style="position:absolute;left:4965;top:1850;width:3397;height:2581" coordorigin="4965,1850" coordsize="3397,2581">
              <v:shape style="position:absolute;left:4965;top:1850;width:3397;height:2581" coordorigin="4965,1850" coordsize="3397,2581" path="m4965,1850l8362,1850,8362,4431,4965,4431,4965,1850xe" filled="true" fillcolor="#ffffff" stroked="false">
                <v:path arrowok="t"/>
                <v:fill type="solid"/>
              </v:shape>
            </v:group>
            <v:group style="position:absolute;left:8367;top:4436;width:420;height:1957" coordorigin="8367,4436" coordsize="420,1957">
              <v:shape style="position:absolute;left:8367;top:4436;width:420;height:1957" coordorigin="8367,4436" coordsize="420,1957" path="m8367,4436l8787,4436,8787,6393,8367,6393,8367,4436xe" filled="true" fillcolor="#ffffff" stroked="false">
                <v:path arrowok="t"/>
                <v:fill type="solid"/>
              </v:shape>
            </v:group>
            <v:group style="position:absolute;left:1129;top:1847;width:9577;height:2" coordorigin="1129,1847" coordsize="9577,2">
              <v:shape style="position:absolute;left:1129;top:1847;width:9577;height:2" coordorigin="1129,1847" coordsize="9577,0" path="m1129,1847l10706,1847e" filled="false" stroked="true" strokeweight=".48pt" strokecolor="#000000">
                <v:path arrowok="t"/>
              </v:shape>
            </v:group>
            <v:group style="position:absolute;left:2830;top:4433;width:7876;height:2" coordorigin="2830,4433" coordsize="7876,2">
              <v:shape style="position:absolute;left:2830;top:4433;width:7876;height:2" coordorigin="2830,4433" coordsize="7876,0" path="m2830,4433l10706,4433e" filled="false" stroked="true" strokeweight=".48pt" strokecolor="#000000">
                <v:path arrowok="t"/>
              </v:shape>
            </v:group>
            <v:group style="position:absolute;left:1129;top:6395;width:9577;height:2" coordorigin="1129,6395" coordsize="9577,2">
              <v:shape style="position:absolute;left:1129;top:6395;width:9577;height:2" coordorigin="1129,6395" coordsize="9577,0" path="m1129,6395l10706,6395e" filled="false" stroked="true" strokeweight=".48pt" strokecolor="#000000">
                <v:path arrowok="t"/>
              </v:shape>
            </v:group>
            <v:group style="position:absolute;left:8367;top:6800;width:420;height:3557" coordorigin="8367,6800" coordsize="420,3557">
              <v:shape style="position:absolute;left:8367;top:6800;width:420;height:3557" coordorigin="8367,6800" coordsize="420,3557" path="m8367,6800l8787,6800,8787,10357,8367,10357,8367,6800xe" filled="true" fillcolor="#ffffff" stroked="false">
                <v:path arrowok="t"/>
                <v:fill type="solid"/>
              </v:shape>
            </v:group>
            <v:group style="position:absolute;left:1129;top:6797;width:9577;height:2" coordorigin="1129,6797" coordsize="9577,2">
              <v:shape style="position:absolute;left:1129;top:6797;width:9577;height:2" coordorigin="1129,6797" coordsize="9577,0" path="m1129,6797l10706,6797e" filled="false" stroked="true" strokeweight=".48pt" strokecolor="#000000">
                <v:path arrowok="t"/>
              </v:shape>
            </v:group>
            <v:group style="position:absolute;left:2830;top:10359;width:7876;height:2" coordorigin="2830,10359" coordsize="7876,2">
              <v:shape style="position:absolute;left:2830;top:10359;width:7876;height:2" coordorigin="2830,10359" coordsize="7876,0" path="m2830,10359l10706,10359e" filled="false" stroked="true" strokeweight=".48pt" strokecolor="#000000">
                <v:path arrowok="t"/>
              </v:shape>
            </v:group>
            <v:group style="position:absolute;left:2830;top:12945;width:7876;height:2" coordorigin="2830,12945" coordsize="7876,2">
              <v:shape style="position:absolute;left:2830;top:12945;width:7876;height:2" coordorigin="2830,12945" coordsize="7876,0" path="m2830,12945l10706,12945e" filled="false" stroked="true" strokeweight=".48pt" strokecolor="#000000">
                <v:path arrowok="t"/>
              </v:shape>
            </v:group>
            <v:group style="position:absolute;left:1129;top:15177;width:9577;height:2" coordorigin="1129,15177" coordsize="9577,2">
              <v:shape style="position:absolute;left:1129;top:15177;width:9577;height:2" coordorigin="1129,15177" coordsize="9577,0" path="m1129,15177l10706,15177e" filled="false" stroked="true" strokeweight=".48pt" strokecolor="#000000">
                <v:path arrowok="t"/>
              </v:shape>
            </v:group>
            <v:group style="position:absolute;left:1134;top:1440;width:2;height:13742" coordorigin="1134,1440" coordsize="2,13742">
              <v:shape style="position:absolute;left:1134;top:1440;width:2;height:13742" coordorigin="1134,1440" coordsize="0,13742" path="m1134,1440l1134,15182e" filled="false" stroked="true" strokeweight=".48pt" strokecolor="#000000">
                <v:path arrowok="t"/>
              </v:shape>
            </v:group>
            <v:group style="position:absolute;left:2835;top:1440;width:2;height:13732" coordorigin="2835,1440" coordsize="2,13732">
              <v:shape style="position:absolute;left:2835;top:1440;width:2;height:13732" coordorigin="2835,1440" coordsize="0,13732" path="m2835,1440l2835,15172e" filled="false" stroked="true" strokeweight=".48pt" strokecolor="#000000">
                <v:path arrowok="t"/>
              </v:shape>
            </v:group>
            <v:group style="position:absolute;left:4253;top:1440;width:2;height:13732" coordorigin="4253,1440" coordsize="2,13732">
              <v:shape style="position:absolute;left:4253;top:1440;width:2;height:13732" coordorigin="4253,1440" coordsize="0,13732" path="m4253,1440l4253,15172e" filled="false" stroked="true" strokeweight=".48pt" strokecolor="#000000">
                <v:path arrowok="t"/>
              </v:shape>
            </v:group>
            <v:group style="position:absolute;left:4962;top:1440;width:2;height:13732" coordorigin="4962,1440" coordsize="2,13732">
              <v:shape style="position:absolute;left:4962;top:1440;width:2;height:13732" coordorigin="4962,1440" coordsize="0,13732" path="m4962,1440l4962,15172e" filled="false" stroked="true" strokeweight=".48pt" strokecolor="#000000">
                <v:path arrowok="t"/>
              </v:shape>
            </v:group>
            <v:group style="position:absolute;left:8364;top:1440;width:2;height:13732" coordorigin="8364,1440" coordsize="2,13732">
              <v:shape style="position:absolute;left:8364;top:1440;width:2;height:13732" coordorigin="8364,1440" coordsize="0,13732" path="m8364,1440l8364,15172e" filled="false" stroked="true" strokeweight=".48pt" strokecolor="#000000">
                <v:path arrowok="t"/>
              </v:shape>
            </v:group>
            <v:group style="position:absolute;left:8789;top:1440;width:2;height:13732" coordorigin="8789,1440" coordsize="2,13732">
              <v:shape style="position:absolute;left:8789;top:1440;width:2;height:13732" coordorigin="8789,1440" coordsize="0,13732" path="m8789,1440l8789,15172e" filled="false" stroked="true" strokeweight=".48pt" strokecolor="#000000">
                <v:path arrowok="t"/>
              </v:shape>
            </v:group>
            <v:group style="position:absolute;left:9214;top:1440;width:2;height:13732" coordorigin="9214,1440" coordsize="2,13732">
              <v:shape style="position:absolute;left:9214;top:1440;width:2;height:13732" coordorigin="9214,1440" coordsize="0,13732" path="m9214,1440l9214,15172e" filled="false" stroked="true" strokeweight=".48pt" strokecolor="#000000">
                <v:path arrowok="t"/>
              </v:shape>
            </v:group>
            <v:group style="position:absolute;left:10701;top:1450;width:2;height:13732" coordorigin="10701,1450" coordsize="2,13732">
              <v:shape style="position:absolute;left:10701;top:1450;width:2;height:13732" coordorigin="10701,1450" coordsize="0,13732" path="m10701,1450l10701,15182e" filled="false" stroked="true" strokeweight=".48pt" strokecolor="#000000">
                <v:path arrowok="t"/>
              </v:shape>
            </v:group>
            <w10:wrap type="none"/>
          </v:group>
        </w:pict>
      </w:r>
      <w:r>
        <w:rPr/>
        <w:t>限公司</w:t>
      </w:r>
    </w:p>
    <w:p>
      <w:pPr>
        <w:pStyle w:val="BodyText"/>
        <w:spacing w:line="316" w:lineRule="auto" w:before="63"/>
        <w:ind w:left="838" w:right="-20"/>
        <w:jc w:val="left"/>
      </w:pPr>
      <w:r>
        <w:rPr/>
        <w:br w:type="column"/>
      </w:r>
      <w:r>
        <w:rPr/>
        <w:t>诺及补 偿安排</w:t>
      </w:r>
    </w:p>
    <w:p>
      <w:pPr>
        <w:pStyle w:val="BodyText"/>
        <w:spacing w:line="300" w:lineRule="auto" w:before="63"/>
        <w:ind w:left="0" w:right="0"/>
        <w:jc w:val="right"/>
        <w:rPr>
          <w:rFonts w:ascii="Times New Roman" w:hAnsi="Times New Roman" w:cs="Times New Roman" w:eastAsia="Times New Roman" w:hint="default"/>
        </w:rPr>
      </w:pPr>
      <w:r>
        <w:rPr/>
        <w:br w:type="column"/>
      </w:r>
      <w:r>
        <w:rPr/>
        <w:t>年、</w:t>
      </w:r>
      <w:r>
        <w:rPr>
          <w:rFonts w:ascii="Times New Roman" w:hAnsi="Times New Roman" w:cs="Times New Roman" w:eastAsia="Times New Roman" w:hint="default"/>
        </w:rPr>
        <w:t>2018 </w:t>
      </w:r>
      <w:r>
        <w:rPr/>
        <w:t>年、</w:t>
      </w:r>
      <w:r>
        <w:rPr>
          <w:rFonts w:ascii="Times New Roman" w:hAnsi="Times New Roman" w:cs="Times New Roman" w:eastAsia="Times New Roman" w:hint="default"/>
        </w:rPr>
        <w:t>2019 </w:t>
      </w:r>
      <w:r>
        <w:rPr/>
        <w:t>年三个会计年度扣除非</w:t>
      </w:r>
      <w:r>
        <w:rPr>
          <w:spacing w:val="-20"/>
        </w:rPr>
        <w:t> </w:t>
      </w:r>
      <w:r>
        <w:rPr/>
        <w:t>年</w:t>
      </w:r>
      <w:r>
        <w:rPr/>
        <w:t> </w:t>
      </w:r>
      <w:r>
        <w:rPr>
          <w:spacing w:val="-4"/>
        </w:rPr>
        <w:t>经常性损益后的净利润（经具有证券业务资</w:t>
      </w:r>
      <w:r>
        <w:rPr>
          <w:spacing w:val="-32"/>
        </w:rPr>
        <w:t> </w:t>
      </w:r>
      <w:r>
        <w:rPr>
          <w:rFonts w:ascii="Times New Roman" w:hAnsi="Times New Roman" w:cs="Times New Roman" w:eastAsia="Times New Roman" w:hint="default"/>
          <w:spacing w:val="-1"/>
        </w:rPr>
        <w:t>01</w:t>
      </w:r>
    </w:p>
    <w:p>
      <w:pPr>
        <w:pStyle w:val="BodyText"/>
        <w:spacing w:line="240" w:lineRule="auto" w:before="13"/>
        <w:ind w:left="0" w:right="0"/>
        <w:jc w:val="right"/>
      </w:pPr>
      <w:r>
        <w:rPr/>
        <w:t>格的审计机构审计</w:t>
      </w:r>
      <w:r>
        <w:rPr>
          <w:spacing w:val="-89"/>
        </w:rPr>
        <w:t>）</w:t>
      </w:r>
      <w:r>
        <w:rPr/>
        <w:t>累计不低于</w:t>
      </w:r>
      <w:r>
        <w:rPr>
          <w:spacing w:val="-62"/>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w:t>
      </w:r>
      <w:r>
        <w:rPr>
          <w:rFonts w:ascii="Times New Roman" w:hAnsi="Times New Roman" w:cs="Times New Roman" w:eastAsia="Times New Roman" w:hint="default"/>
          <w:spacing w:val="-2"/>
        </w:rPr>
        <w:t>94</w:t>
      </w:r>
      <w:r>
        <w:rPr>
          <w:rFonts w:ascii="Times New Roman" w:hAnsi="Times New Roman" w:cs="Times New Roman" w:eastAsia="Times New Roman" w:hint="default"/>
        </w:rPr>
        <w:t>6</w:t>
      </w:r>
      <w:r>
        <w:rPr>
          <w:rFonts w:ascii="Times New Roman" w:hAnsi="Times New Roman" w:cs="Times New Roman" w:eastAsia="Times New Roman" w:hint="default"/>
          <w:spacing w:val="-13"/>
        </w:rPr>
        <w:t> </w:t>
      </w:r>
      <w:r>
        <w:rPr/>
        <w:t>万元</w:t>
      </w:r>
      <w:r>
        <w:rPr>
          <w:spacing w:val="-34"/>
        </w:rPr>
        <w:t>。</w:t>
      </w:r>
      <w:r>
        <w:rPr/>
        <w:t>月</w:t>
      </w:r>
    </w:p>
    <w:p>
      <w:pPr>
        <w:pStyle w:val="BodyText"/>
        <w:spacing w:line="240" w:lineRule="auto" w:before="105"/>
        <w:ind w:left="0" w:right="1"/>
        <w:jc w:val="right"/>
        <w:rPr>
          <w:rFonts w:ascii="Times New Roman" w:hAnsi="Times New Roman" w:cs="Times New Roman" w:eastAsia="Times New Roman" w:hint="default"/>
        </w:rPr>
      </w:pPr>
      <w:r>
        <w:rPr>
          <w:rFonts w:ascii="Times New Roman"/>
          <w:spacing w:val="-1"/>
          <w:w w:val="95"/>
        </w:rPr>
        <w:t>01</w:t>
      </w:r>
    </w:p>
    <w:p>
      <w:pPr>
        <w:pStyle w:val="BodyText"/>
        <w:spacing w:line="240" w:lineRule="auto" w:before="63"/>
        <w:ind w:left="0" w:right="0"/>
        <w:jc w:val="right"/>
      </w:pPr>
      <w:r>
        <w:rPr/>
        <w:t>日</w:t>
      </w:r>
    </w:p>
    <w:p>
      <w:pPr>
        <w:pStyle w:val="BodyText"/>
        <w:spacing w:line="240" w:lineRule="auto" w:before="63"/>
        <w:ind w:left="204" w:right="0"/>
        <w:jc w:val="both"/>
      </w:pPr>
      <w:r>
        <w:rPr/>
        <w:br w:type="column"/>
      </w:r>
      <w:r>
        <w:rPr/>
        <w:t>年  </w:t>
      </w:r>
      <w:r>
        <w:rPr>
          <w:rFonts w:ascii="Times New Roman" w:hAnsi="Times New Roman" w:cs="Times New Roman" w:eastAsia="Times New Roman" w:hint="default"/>
        </w:rPr>
        <w:t>2018 </w:t>
      </w:r>
      <w:r>
        <w:rPr/>
        <w:t>年和 </w:t>
      </w:r>
      <w:r>
        <w:rPr>
          <w:rFonts w:ascii="Times New Roman" w:hAnsi="Times New Roman" w:cs="Times New Roman" w:eastAsia="Times New Roman" w:hint="default"/>
        </w:rPr>
        <w:t>2019</w:t>
      </w:r>
      <w:r>
        <w:rPr>
          <w:rFonts w:ascii="Times New Roman" w:hAnsi="Times New Roman" w:cs="Times New Roman" w:eastAsia="Times New Roman" w:hint="default"/>
          <w:spacing w:val="15"/>
        </w:rPr>
        <w:t> </w:t>
      </w:r>
      <w:r>
        <w:rPr/>
        <w:t>年</w:t>
      </w:r>
    </w:p>
    <w:p>
      <w:pPr>
        <w:pStyle w:val="BodyText"/>
        <w:spacing w:line="309" w:lineRule="auto" w:before="63"/>
        <w:ind w:left="204" w:right="1401"/>
        <w:jc w:val="both"/>
      </w:pPr>
      <w:r>
        <w:rPr>
          <w:rFonts w:ascii="Times New Roman" w:hAnsi="Times New Roman" w:cs="Times New Roman" w:eastAsia="Times New Roman" w:hint="default"/>
        </w:rPr>
        <w:t>12 </w:t>
      </w:r>
      <w:r>
        <w:rPr>
          <w:rFonts w:ascii="Times New Roman" w:hAnsi="Times New Roman" w:cs="Times New Roman" w:eastAsia="Times New Roman" w:hint="default"/>
          <w:spacing w:val="19"/>
        </w:rPr>
        <w:t> </w:t>
      </w:r>
      <w:r>
        <w:rPr/>
        <w:t>经审计的扣除非 月</w:t>
      </w:r>
      <w:r>
        <w:rPr>
          <w:spacing w:val="64"/>
        </w:rPr>
        <w:t> </w:t>
      </w:r>
      <w:r>
        <w:rPr/>
        <w:t>经常性损益后的</w:t>
      </w:r>
      <w:r>
        <w:rPr/>
        <w:t> </w:t>
      </w:r>
      <w:r>
        <w:rPr>
          <w:rFonts w:ascii="Times New Roman" w:hAnsi="Times New Roman" w:cs="Times New Roman" w:eastAsia="Times New Roman" w:hint="default"/>
        </w:rPr>
        <w:t>31    </w:t>
      </w:r>
      <w:r>
        <w:rPr>
          <w:rFonts w:ascii="Times New Roman" w:hAnsi="Times New Roman" w:cs="Times New Roman" w:eastAsia="Times New Roman" w:hint="default"/>
          <w:spacing w:val="19"/>
        </w:rPr>
        <w:t> </w:t>
      </w:r>
      <w:r>
        <w:rPr/>
        <w:t>净利润分别为</w:t>
      </w:r>
    </w:p>
    <w:p>
      <w:pPr>
        <w:pStyle w:val="BodyText"/>
        <w:spacing w:line="240" w:lineRule="auto" w:before="5"/>
        <w:ind w:left="204" w:right="0"/>
        <w:jc w:val="both"/>
      </w:pPr>
      <w:r>
        <w:rPr/>
        <w:t>日  </w:t>
      </w:r>
      <w:r>
        <w:rPr>
          <w:rFonts w:ascii="Times New Roman" w:hAnsi="Times New Roman" w:cs="Times New Roman" w:eastAsia="Times New Roman" w:hint="default"/>
        </w:rPr>
        <w:t>-1,287.45 </w:t>
      </w:r>
      <w:r>
        <w:rPr>
          <w:rFonts w:ascii="Times New Roman" w:hAnsi="Times New Roman" w:cs="Times New Roman" w:eastAsia="Times New Roman" w:hint="default"/>
          <w:spacing w:val="14"/>
        </w:rPr>
        <w:t> </w:t>
      </w:r>
      <w:r>
        <w:rPr/>
        <w:t>万元、</w:t>
      </w:r>
    </w:p>
    <w:p>
      <w:pPr>
        <w:pStyle w:val="BodyText"/>
        <w:spacing w:line="240" w:lineRule="auto" w:before="63"/>
        <w:ind w:left="612" w:right="1506"/>
        <w:jc w:val="center"/>
      </w:pPr>
      <w:r>
        <w:rPr>
          <w:rFonts w:ascii="Times New Roman" w:hAnsi="Times New Roman" w:cs="Times New Roman" w:eastAsia="Times New Roman" w:hint="default"/>
        </w:rPr>
        <w:t>-462.46</w:t>
      </w:r>
      <w:r>
        <w:rPr>
          <w:rFonts w:ascii="Times New Roman" w:hAnsi="Times New Roman" w:cs="Times New Roman" w:eastAsia="Times New Roman" w:hint="default"/>
          <w:spacing w:val="-5"/>
        </w:rPr>
        <w:t> </w:t>
      </w:r>
      <w:r>
        <w:rPr/>
        <w:t>万元和</w:t>
      </w:r>
    </w:p>
    <w:p>
      <w:pPr>
        <w:spacing w:after="0" w:line="240" w:lineRule="auto"/>
        <w:jc w:val="center"/>
        <w:sectPr>
          <w:type w:val="continuous"/>
          <w:pgSz w:w="11910" w:h="16840"/>
          <w:pgMar w:top="1100" w:bottom="1160" w:left="1020" w:right="0"/>
          <w:cols w:num="4" w:equalWidth="0">
            <w:col w:w="2384" w:space="40"/>
            <w:col w:w="1379" w:space="40"/>
            <w:col w:w="3712" w:space="40"/>
            <w:col w:w="3295"/>
          </w:cols>
        </w:sectPr>
      </w:pPr>
    </w:p>
    <w:p>
      <w:pPr>
        <w:spacing w:line="240" w:lineRule="auto" w:before="10"/>
        <w:rPr>
          <w:rFonts w:ascii="宋体" w:hAnsi="宋体" w:cs="宋体" w:eastAsia="宋体" w:hint="default"/>
          <w:sz w:val="22"/>
          <w:szCs w:val="22"/>
        </w:rPr>
      </w:pPr>
    </w:p>
    <w:p>
      <w:pPr>
        <w:pStyle w:val="BodyText"/>
        <w:spacing w:line="314" w:lineRule="auto" w:before="44"/>
        <w:ind w:left="8222" w:right="1220"/>
        <w:jc w:val="left"/>
      </w:pPr>
      <w:r>
        <w:rPr>
          <w:rFonts w:ascii="Times New Roman" w:hAnsi="Times New Roman" w:cs="Times New Roman" w:eastAsia="Times New Roman" w:hint="default"/>
        </w:rPr>
        <w:t>84.31</w:t>
      </w:r>
      <w:r>
        <w:rPr>
          <w:rFonts w:ascii="Times New Roman" w:hAnsi="Times New Roman" w:cs="Times New Roman" w:eastAsia="Times New Roman" w:hint="default"/>
          <w:spacing w:val="-3"/>
        </w:rPr>
        <w:t> </w:t>
      </w:r>
      <w:r>
        <w:rPr/>
        <w:t>万元，未完 </w:t>
      </w:r>
      <w:r>
        <w:rPr>
          <w:spacing w:val="-2"/>
        </w:rPr>
        <w:t>成业绩承诺。依据</w:t>
      </w:r>
      <w:r>
        <w:rPr>
          <w:spacing w:val="-84"/>
        </w:rPr>
        <w:t> </w:t>
      </w:r>
      <w:r>
        <w:rPr>
          <w:spacing w:val="-84"/>
        </w:rPr>
      </w:r>
      <w:r>
        <w:rPr>
          <w:spacing w:val="-2"/>
        </w:rPr>
        <w:t>经营业绩承诺，公</w:t>
      </w:r>
      <w:r>
        <w:rPr>
          <w:spacing w:val="-84"/>
        </w:rPr>
        <w:t> </w:t>
      </w:r>
      <w:r>
        <w:rPr>
          <w:spacing w:val="-84"/>
        </w:rPr>
      </w:r>
      <w:r>
        <w:rPr/>
        <w:t>司正在与湖北琪 顺投资有限公司 协商赔付方案。</w:t>
      </w:r>
    </w:p>
    <w:p>
      <w:pPr>
        <w:spacing w:after="0" w:line="314" w:lineRule="auto"/>
        <w:jc w:val="left"/>
        <w:sectPr>
          <w:pgSz w:w="11910" w:h="16840"/>
          <w:pgMar w:header="878" w:footer="978" w:top="1100" w:bottom="1160" w:left="1020" w:right="0"/>
        </w:sectPr>
      </w:pPr>
    </w:p>
    <w:p>
      <w:pPr>
        <w:pStyle w:val="BodyText"/>
        <w:tabs>
          <w:tab w:pos="3261" w:val="left" w:leader="none"/>
        </w:tabs>
        <w:spacing w:line="240" w:lineRule="auto" w:before="109"/>
        <w:ind w:left="1843" w:right="-20"/>
        <w:jc w:val="left"/>
      </w:pPr>
      <w:r>
        <w:rPr/>
        <w:t>中科江南</w:t>
        <w:tab/>
        <w:t>业绩承</w:t>
      </w:r>
    </w:p>
    <w:p>
      <w:pPr>
        <w:pStyle w:val="BodyText"/>
        <w:spacing w:line="240" w:lineRule="auto" w:before="109"/>
        <w:ind w:left="127" w:right="-19"/>
        <w:jc w:val="left"/>
      </w:pPr>
      <w:r>
        <w:rPr/>
        <w:br w:type="column"/>
      </w:r>
      <w:r>
        <w:rPr/>
        <w:t>丁绍连、天津融商力源企业管理咨询中心</w:t>
      </w:r>
    </w:p>
    <w:p>
      <w:pPr>
        <w:pStyle w:val="BodyText"/>
        <w:spacing w:line="240" w:lineRule="auto" w:before="109"/>
        <w:ind w:left="123" w:right="0"/>
        <w:jc w:val="left"/>
      </w:pPr>
      <w:r>
        <w:rPr/>
        <w:br w:type="column"/>
      </w:r>
      <w:r>
        <w:rPr>
          <w:rFonts w:ascii="Times New Roman" w:hAnsi="Times New Roman" w:cs="Times New Roman" w:eastAsia="Times New Roman" w:hint="default"/>
        </w:rPr>
        <w:t>2017 2020 </w:t>
      </w:r>
      <w:r>
        <w:rPr/>
        <w:t>中科江南 </w:t>
      </w:r>
      <w:r>
        <w:rPr>
          <w:rFonts w:ascii="Times New Roman" w:hAnsi="Times New Roman" w:cs="Times New Roman" w:eastAsia="Times New Roman" w:hint="default"/>
        </w:rPr>
        <w:t>2017</w:t>
      </w:r>
      <w:r>
        <w:rPr>
          <w:rFonts w:ascii="Times New Roman" w:hAnsi="Times New Roman" w:cs="Times New Roman" w:eastAsia="Times New Roman" w:hint="default"/>
          <w:spacing w:val="-19"/>
        </w:rPr>
        <w:t> </w:t>
      </w:r>
      <w:r>
        <w:rPr/>
        <w:t>年、</w:t>
      </w:r>
    </w:p>
    <w:p>
      <w:pPr>
        <w:spacing w:after="0" w:line="240" w:lineRule="auto"/>
        <w:jc w:val="left"/>
        <w:sectPr>
          <w:type w:val="continuous"/>
          <w:pgSz w:w="11910" w:h="16840"/>
          <w:pgMar w:top="1100" w:bottom="1160" w:left="1020" w:right="0"/>
          <w:cols w:num="3" w:equalWidth="0">
            <w:col w:w="3802" w:space="40"/>
            <w:col w:w="3368" w:space="40"/>
            <w:col w:w="3640"/>
          </w:cols>
        </w:sectPr>
      </w:pPr>
    </w:p>
    <w:p>
      <w:pPr>
        <w:pStyle w:val="BodyText"/>
        <w:spacing w:line="316" w:lineRule="auto" w:before="63"/>
        <w:ind w:left="2741" w:right="0"/>
        <w:jc w:val="right"/>
      </w:pPr>
      <w:r>
        <w:rPr/>
        <w:t>诺及补 偿安排</w:t>
      </w:r>
    </w:p>
    <w:p>
      <w:pPr>
        <w:pStyle w:val="BodyText"/>
        <w:spacing w:line="240" w:lineRule="auto" w:before="63"/>
        <w:ind w:left="127" w:right="-18"/>
        <w:jc w:val="left"/>
      </w:pPr>
      <w:r>
        <w:rPr>
          <w:spacing w:val="-4"/>
        </w:rPr>
        <w:br w:type="column"/>
      </w:r>
      <w:r>
        <w:rPr>
          <w:spacing w:val="-4"/>
        </w:rPr>
        <w:t>（有限合伙）、天津科鼎好友信息技术中心</w:t>
      </w:r>
      <w:r>
        <w:rPr>
          <w:spacing w:val="-32"/>
        </w:rPr>
        <w:t> </w:t>
      </w:r>
      <w:r>
        <w:rPr/>
        <w:t>年</w:t>
      </w:r>
    </w:p>
    <w:p>
      <w:pPr>
        <w:pStyle w:val="BodyText"/>
        <w:spacing w:line="240" w:lineRule="auto" w:before="76"/>
        <w:ind w:left="127" w:right="-16"/>
        <w:jc w:val="left"/>
        <w:rPr>
          <w:rFonts w:ascii="Times New Roman" w:hAnsi="Times New Roman" w:cs="Times New Roman" w:eastAsia="Times New Roman" w:hint="default"/>
        </w:rPr>
      </w:pPr>
      <w:r>
        <w:rPr>
          <w:spacing w:val="-4"/>
        </w:rPr>
        <w:t>（有限合伙）、天津众志软科信息技术中心</w:t>
      </w:r>
      <w:r>
        <w:rPr>
          <w:spacing w:val="-34"/>
        </w:rPr>
        <w:t> </w:t>
      </w:r>
      <w:r>
        <w:rPr>
          <w:rFonts w:ascii="Times New Roman" w:hAnsi="Times New Roman" w:cs="Times New Roman" w:eastAsia="Times New Roman" w:hint="default"/>
        </w:rPr>
        <w:t>01</w:t>
      </w:r>
    </w:p>
    <w:p>
      <w:pPr>
        <w:pStyle w:val="BodyText"/>
        <w:spacing w:line="300" w:lineRule="auto" w:before="63"/>
        <w:ind w:left="127" w:right="-15"/>
        <w:jc w:val="left"/>
        <w:rPr>
          <w:rFonts w:ascii="Times New Roman" w:hAnsi="Times New Roman" w:cs="Times New Roman" w:eastAsia="Times New Roman" w:hint="default"/>
        </w:rPr>
      </w:pPr>
      <w:r>
        <w:rPr/>
        <w:t>（有限合伙）承诺中科江南 </w:t>
      </w:r>
      <w:r>
        <w:rPr>
          <w:rFonts w:ascii="Times New Roman" w:hAnsi="Times New Roman" w:cs="Times New Roman" w:eastAsia="Times New Roman" w:hint="default"/>
        </w:rPr>
        <w:t>2017 </w:t>
      </w:r>
      <w:r>
        <w:rPr/>
        <w:t>年、</w:t>
      </w:r>
      <w:r>
        <w:rPr>
          <w:rFonts w:ascii="Times New Roman" w:hAnsi="Times New Roman" w:cs="Times New Roman" w:eastAsia="Times New Roman" w:hint="default"/>
        </w:rPr>
        <w:t>2018</w:t>
      </w:r>
      <w:r>
        <w:rPr>
          <w:rFonts w:ascii="Times New Roman" w:hAnsi="Times New Roman" w:cs="Times New Roman" w:eastAsia="Times New Roman" w:hint="default"/>
          <w:spacing w:val="-21"/>
        </w:rPr>
        <w:t> </w:t>
      </w:r>
      <w:r>
        <w:rPr/>
        <w:t>月 </w:t>
      </w:r>
      <w:r>
        <w:rPr>
          <w:spacing w:val="-5"/>
        </w:rPr>
        <w:t>年、</w:t>
      </w:r>
      <w:r>
        <w:rPr>
          <w:rFonts w:ascii="Times New Roman" w:hAnsi="Times New Roman" w:cs="Times New Roman" w:eastAsia="Times New Roman" w:hint="default"/>
          <w:spacing w:val="-5"/>
        </w:rPr>
        <w:t>2019</w:t>
      </w:r>
      <w:r>
        <w:rPr>
          <w:rFonts w:ascii="Times New Roman" w:hAnsi="Times New Roman" w:cs="Times New Roman" w:eastAsia="Times New Roman" w:hint="default"/>
          <w:spacing w:val="-2"/>
        </w:rPr>
        <w:t> </w:t>
      </w:r>
      <w:r>
        <w:rPr/>
        <w:t>年及</w:t>
      </w:r>
      <w:r>
        <w:rPr>
          <w:spacing w:val="-46"/>
        </w:rPr>
        <w:t> </w:t>
      </w:r>
      <w:r>
        <w:rPr>
          <w:rFonts w:ascii="Times New Roman" w:hAnsi="Times New Roman" w:cs="Times New Roman" w:eastAsia="Times New Roman" w:hint="default"/>
        </w:rPr>
        <w:t>2020</w:t>
      </w:r>
      <w:r>
        <w:rPr>
          <w:rFonts w:ascii="Times New Roman" w:hAnsi="Times New Roman" w:cs="Times New Roman" w:eastAsia="Times New Roman" w:hint="default"/>
          <w:spacing w:val="-4"/>
        </w:rPr>
        <w:t> </w:t>
      </w:r>
      <w:r>
        <w:rPr/>
        <w:t>年扣除非经常性损益后</w:t>
      </w:r>
      <w:r>
        <w:rPr>
          <w:spacing w:val="-34"/>
        </w:rPr>
        <w:t> </w:t>
      </w:r>
      <w:r>
        <w:rPr>
          <w:rFonts w:ascii="Times New Roman" w:hAnsi="Times New Roman" w:cs="Times New Roman" w:eastAsia="Times New Roman" w:hint="default"/>
        </w:rPr>
        <w:t>01</w:t>
      </w:r>
    </w:p>
    <w:p>
      <w:pPr>
        <w:pStyle w:val="BodyText"/>
        <w:spacing w:line="240" w:lineRule="auto" w:before="63"/>
        <w:ind w:left="204" w:right="0"/>
        <w:jc w:val="both"/>
      </w:pPr>
      <w:r>
        <w:rPr/>
        <w:br w:type="column"/>
      </w:r>
      <w:r>
        <w:rPr/>
        <w:t>年  </w:t>
      </w:r>
      <w:r>
        <w:rPr>
          <w:rFonts w:ascii="Times New Roman" w:hAnsi="Times New Roman" w:cs="Times New Roman" w:eastAsia="Times New Roman" w:hint="default"/>
        </w:rPr>
        <w:t>2018 </w:t>
      </w:r>
      <w:r>
        <w:rPr/>
        <w:t>年和 </w:t>
      </w:r>
      <w:r>
        <w:rPr>
          <w:rFonts w:ascii="Times New Roman" w:hAnsi="Times New Roman" w:cs="Times New Roman" w:eastAsia="Times New Roman" w:hint="default"/>
        </w:rPr>
        <w:t>2019</w:t>
      </w:r>
      <w:r>
        <w:rPr>
          <w:rFonts w:ascii="Times New Roman" w:hAnsi="Times New Roman" w:cs="Times New Roman" w:eastAsia="Times New Roman" w:hint="default"/>
          <w:spacing w:val="15"/>
        </w:rPr>
        <w:t> </w:t>
      </w:r>
      <w:r>
        <w:rPr/>
        <w:t>年</w:t>
      </w:r>
    </w:p>
    <w:p>
      <w:pPr>
        <w:pStyle w:val="BodyText"/>
        <w:spacing w:line="309" w:lineRule="auto" w:before="63"/>
        <w:ind w:left="204" w:right="1401"/>
        <w:jc w:val="both"/>
      </w:pPr>
      <w:r>
        <w:rPr>
          <w:rFonts w:ascii="Times New Roman" w:hAnsi="Times New Roman" w:cs="Times New Roman" w:eastAsia="Times New Roman" w:hint="default"/>
        </w:rPr>
        <w:t>12 </w:t>
      </w:r>
      <w:r>
        <w:rPr>
          <w:rFonts w:ascii="Times New Roman" w:hAnsi="Times New Roman" w:cs="Times New Roman" w:eastAsia="Times New Roman" w:hint="default"/>
          <w:spacing w:val="19"/>
        </w:rPr>
        <w:t> </w:t>
      </w:r>
      <w:r>
        <w:rPr/>
        <w:t>经审计的扣除非 月</w:t>
      </w:r>
      <w:r>
        <w:rPr>
          <w:spacing w:val="64"/>
        </w:rPr>
        <w:t> </w:t>
      </w:r>
      <w:r>
        <w:rPr/>
        <w:t>经常性损益后的</w:t>
      </w:r>
      <w:r>
        <w:rPr/>
        <w:t> </w:t>
      </w:r>
      <w:r>
        <w:rPr>
          <w:rFonts w:ascii="Times New Roman" w:hAnsi="Times New Roman" w:cs="Times New Roman" w:eastAsia="Times New Roman" w:hint="default"/>
        </w:rPr>
        <w:t>31    </w:t>
      </w:r>
      <w:r>
        <w:rPr>
          <w:rFonts w:ascii="Times New Roman" w:hAnsi="Times New Roman" w:cs="Times New Roman" w:eastAsia="Times New Roman" w:hint="default"/>
          <w:spacing w:val="19"/>
        </w:rPr>
        <w:t> </w:t>
      </w:r>
      <w:r>
        <w:rPr/>
        <w:t>净利润分别为</w:t>
      </w:r>
    </w:p>
    <w:p>
      <w:pPr>
        <w:spacing w:after="0" w:line="309" w:lineRule="auto"/>
        <w:jc w:val="both"/>
        <w:sectPr>
          <w:type w:val="continuous"/>
          <w:pgSz w:w="11910" w:h="16840"/>
          <w:pgMar w:top="1100" w:bottom="1160" w:left="1020" w:right="0"/>
          <w:cols w:num="3" w:equalWidth="0">
            <w:col w:w="3802" w:space="40"/>
            <w:col w:w="3712" w:space="40"/>
            <w:col w:w="3296"/>
          </w:cols>
        </w:sectPr>
      </w:pPr>
    </w:p>
    <w:p>
      <w:pPr>
        <w:pStyle w:val="BodyText"/>
        <w:spacing w:line="300" w:lineRule="auto" w:before="5"/>
        <w:ind w:left="3969" w:right="-15"/>
        <w:jc w:val="left"/>
      </w:pPr>
      <w:r>
        <w:rPr/>
        <w:t>的净利润分别不低于 </w:t>
      </w:r>
      <w:r>
        <w:rPr>
          <w:rFonts w:ascii="Times New Roman" w:hAnsi="Times New Roman" w:cs="Times New Roman" w:eastAsia="Times New Roman" w:hint="default"/>
        </w:rPr>
        <w:t>4,000 </w:t>
      </w:r>
      <w:r>
        <w:rPr/>
        <w:t>万元、</w:t>
      </w:r>
      <w:r>
        <w:rPr>
          <w:rFonts w:ascii="Times New Roman" w:hAnsi="Times New Roman" w:cs="Times New Roman" w:eastAsia="Times New Roman" w:hint="default"/>
        </w:rPr>
        <w:t>4,500 </w:t>
      </w:r>
      <w:r>
        <w:rPr/>
        <w:t>万</w:t>
      </w:r>
      <w:r>
        <w:rPr>
          <w:spacing w:val="-22"/>
        </w:rPr>
        <w:t> </w:t>
      </w:r>
      <w:r>
        <w:rPr/>
        <w:t>日</w:t>
      </w:r>
      <w:r>
        <w:rPr/>
        <w:t> 元、</w:t>
      </w:r>
      <w:r>
        <w:rPr>
          <w:rFonts w:ascii="Times New Roman" w:hAnsi="Times New Roman" w:cs="Times New Roman" w:eastAsia="Times New Roman" w:hint="default"/>
        </w:rPr>
        <w:t>5,100</w:t>
      </w:r>
      <w:r>
        <w:rPr>
          <w:rFonts w:ascii="Times New Roman" w:hAnsi="Times New Roman" w:cs="Times New Roman" w:eastAsia="Times New Roman" w:hint="default"/>
          <w:spacing w:val="-1"/>
        </w:rPr>
        <w:t> </w:t>
      </w:r>
      <w:r>
        <w:rPr/>
        <w:t>万元及</w:t>
      </w:r>
      <w:r>
        <w:rPr>
          <w:spacing w:val="-47"/>
        </w:rPr>
        <w:t> </w:t>
      </w:r>
      <w:r>
        <w:rPr>
          <w:rFonts w:ascii="Times New Roman" w:hAnsi="Times New Roman" w:cs="Times New Roman" w:eastAsia="Times New Roman" w:hint="default"/>
        </w:rPr>
        <w:t>6,000</w:t>
      </w:r>
      <w:r>
        <w:rPr>
          <w:rFonts w:ascii="Times New Roman" w:hAnsi="Times New Roman" w:cs="Times New Roman" w:eastAsia="Times New Roman" w:hint="default"/>
          <w:spacing w:val="-1"/>
        </w:rPr>
        <w:t> </w:t>
      </w:r>
      <w:r>
        <w:rPr/>
        <w:t>万元。</w:t>
      </w:r>
    </w:p>
    <w:p>
      <w:pPr>
        <w:pStyle w:val="BodyText"/>
        <w:tabs>
          <w:tab w:pos="629" w:val="left" w:leader="none"/>
        </w:tabs>
        <w:spacing w:line="240" w:lineRule="auto" w:before="5"/>
        <w:ind w:left="204" w:right="1218"/>
        <w:jc w:val="left"/>
      </w:pPr>
      <w:r>
        <w:rPr/>
        <w:br w:type="column"/>
      </w:r>
      <w:r>
        <w:rPr/>
        <w:t>日</w:t>
        <w:tab/>
      </w:r>
      <w:r>
        <w:rPr>
          <w:rFonts w:ascii="Times New Roman" w:hAnsi="Times New Roman" w:cs="Times New Roman" w:eastAsia="Times New Roman" w:hint="default"/>
        </w:rPr>
        <w:t>4,657.23</w:t>
      </w:r>
      <w:r>
        <w:rPr>
          <w:rFonts w:ascii="Times New Roman" w:hAnsi="Times New Roman" w:cs="Times New Roman" w:eastAsia="Times New Roman" w:hint="default"/>
          <w:spacing w:val="-5"/>
        </w:rPr>
        <w:t> </w:t>
      </w:r>
      <w:r>
        <w:rPr/>
        <w:t>万元、</w:t>
      </w:r>
    </w:p>
    <w:p>
      <w:pPr>
        <w:pStyle w:val="BodyText"/>
        <w:spacing w:line="240" w:lineRule="auto" w:before="63"/>
        <w:ind w:left="629" w:right="1218"/>
        <w:jc w:val="left"/>
      </w:pPr>
      <w:r>
        <w:rPr>
          <w:rFonts w:ascii="Times New Roman" w:hAnsi="Times New Roman" w:cs="Times New Roman" w:eastAsia="Times New Roman" w:hint="default"/>
        </w:rPr>
        <w:t>5,294.03</w:t>
      </w:r>
      <w:r>
        <w:rPr>
          <w:rFonts w:ascii="Times New Roman" w:hAnsi="Times New Roman" w:cs="Times New Roman" w:eastAsia="Times New Roman" w:hint="default"/>
          <w:spacing w:val="-5"/>
        </w:rPr>
        <w:t> </w:t>
      </w:r>
      <w:r>
        <w:rPr/>
        <w:t>万元和</w:t>
      </w:r>
    </w:p>
    <w:p>
      <w:pPr>
        <w:pStyle w:val="BodyText"/>
        <w:spacing w:line="240" w:lineRule="auto" w:before="63"/>
        <w:ind w:left="629" w:right="1218"/>
        <w:jc w:val="left"/>
      </w:pPr>
      <w:r>
        <w:rPr>
          <w:rFonts w:ascii="Times New Roman" w:hAnsi="Times New Roman" w:cs="Times New Roman" w:eastAsia="Times New Roman" w:hint="default"/>
        </w:rPr>
        <w:t>7,016.24</w:t>
      </w:r>
      <w:r>
        <w:rPr>
          <w:rFonts w:ascii="Times New Roman" w:hAnsi="Times New Roman" w:cs="Times New Roman" w:eastAsia="Times New Roman" w:hint="default"/>
          <w:spacing w:val="-5"/>
        </w:rPr>
        <w:t> </w:t>
      </w:r>
      <w:r>
        <w:rPr/>
        <w:t>万元。</w:t>
      </w:r>
    </w:p>
    <w:p>
      <w:pPr>
        <w:spacing w:after="0" w:line="240" w:lineRule="auto"/>
        <w:jc w:val="left"/>
        <w:sectPr>
          <w:type w:val="continuous"/>
          <w:pgSz w:w="11910" w:h="16840"/>
          <w:pgMar w:top="1100" w:bottom="1160" w:left="1020" w:right="0"/>
          <w:cols w:num="2" w:equalWidth="0">
            <w:col w:w="7553" w:space="40"/>
            <w:col w:w="3297"/>
          </w:cols>
        </w:sectPr>
      </w:pPr>
    </w:p>
    <w:p>
      <w:pPr>
        <w:spacing w:line="240" w:lineRule="auto" w:before="5"/>
        <w:rPr>
          <w:rFonts w:ascii="宋体" w:hAnsi="宋体" w:cs="宋体" w:eastAsia="宋体" w:hint="default"/>
          <w:sz w:val="8"/>
          <w:szCs w:val="8"/>
        </w:rPr>
      </w:pPr>
    </w:p>
    <w:p>
      <w:pPr>
        <w:pStyle w:val="BodyText"/>
        <w:tabs>
          <w:tab w:pos="3261" w:val="left" w:leader="none"/>
        </w:tabs>
        <w:spacing w:line="240" w:lineRule="auto" w:before="44"/>
        <w:ind w:left="1843" w:right="0"/>
        <w:jc w:val="left"/>
      </w:pPr>
      <w:r>
        <w:rPr/>
        <w:t>信义科技</w:t>
        <w:tab/>
        <w:t>业绩承 日照秉信网络科技合伙企业（有限合伙）、</w:t>
      </w:r>
      <w:r>
        <w:rPr>
          <w:rFonts w:ascii="Times New Roman" w:hAnsi="Times New Roman" w:cs="Times New Roman" w:eastAsia="Times New Roman" w:hint="default"/>
        </w:rPr>
        <w:t>2017 2019 </w:t>
      </w:r>
      <w:r>
        <w:rPr/>
        <w:t>信义科技 </w:t>
      </w:r>
      <w:r>
        <w:rPr>
          <w:rFonts w:ascii="Times New Roman" w:hAnsi="Times New Roman" w:cs="Times New Roman" w:eastAsia="Times New Roman" w:hint="default"/>
        </w:rPr>
        <w:t>2017</w:t>
      </w:r>
      <w:r>
        <w:rPr>
          <w:rFonts w:ascii="Times New Roman" w:hAnsi="Times New Roman" w:cs="Times New Roman" w:eastAsia="Times New Roman" w:hint="default"/>
          <w:spacing w:val="42"/>
        </w:rPr>
        <w:t> </w:t>
      </w:r>
      <w:r>
        <w:rPr/>
        <w:t>年、</w:t>
      </w:r>
    </w:p>
    <w:p>
      <w:pPr>
        <w:spacing w:after="0" w:line="240" w:lineRule="auto"/>
        <w:jc w:val="left"/>
        <w:sectPr>
          <w:type w:val="continuous"/>
          <w:pgSz w:w="11910" w:h="16840"/>
          <w:pgMar w:top="1100" w:bottom="1160" w:left="1020" w:right="0"/>
        </w:sectPr>
      </w:pPr>
    </w:p>
    <w:p>
      <w:pPr>
        <w:pStyle w:val="BodyText"/>
        <w:spacing w:line="316" w:lineRule="auto" w:before="63"/>
        <w:ind w:left="2741" w:right="0"/>
        <w:jc w:val="right"/>
      </w:pPr>
      <w:r>
        <w:rPr/>
        <w:t>诺及补 偿安排</w:t>
      </w:r>
    </w:p>
    <w:p>
      <w:pPr>
        <w:pStyle w:val="BodyText"/>
        <w:spacing w:line="309" w:lineRule="auto" w:before="63"/>
        <w:ind w:left="127" w:right="0"/>
        <w:jc w:val="both"/>
      </w:pPr>
      <w:r>
        <w:rPr/>
        <w:br w:type="column"/>
      </w:r>
      <w:r>
        <w:rPr/>
        <w:t>五莲正本清源网络科技合伙企业（有限合</w:t>
      </w:r>
      <w:r>
        <w:rPr>
          <w:spacing w:val="73"/>
        </w:rPr>
        <w:t> </w:t>
      </w:r>
      <w:r>
        <w:rPr/>
        <w:t>年</w:t>
      </w:r>
      <w:r>
        <w:rPr/>
        <w:t> </w:t>
      </w:r>
      <w:r>
        <w:rPr>
          <w:spacing w:val="-4"/>
        </w:rPr>
        <w:t>伙）、天津华霖股权投资基金合伙企业（有</w:t>
      </w:r>
      <w:r>
        <w:rPr>
          <w:spacing w:val="-34"/>
        </w:rPr>
        <w:t> </w:t>
      </w:r>
      <w:r>
        <w:rPr>
          <w:rFonts w:ascii="Times New Roman" w:hAnsi="Times New Roman" w:cs="Times New Roman" w:eastAsia="Times New Roman" w:hint="default"/>
        </w:rPr>
        <w:t>01 </w:t>
      </w:r>
      <w:r>
        <w:rPr>
          <w:spacing w:val="-13"/>
        </w:rPr>
        <w:t>限合伙）、深圳市致诚博瑞投资合伙企业（有</w:t>
      </w:r>
      <w:r>
        <w:rPr>
          <w:spacing w:val="-30"/>
        </w:rPr>
        <w:t> </w:t>
      </w:r>
      <w:r>
        <w:rPr/>
        <w:t>月</w:t>
      </w:r>
      <w:r>
        <w:rPr/>
        <w:t> </w:t>
      </w:r>
      <w:r>
        <w:rPr>
          <w:spacing w:val="-5"/>
        </w:rPr>
        <w:t>限合伙）、姜盈顺、叶国庆、程良钰、黄琼</w:t>
      </w:r>
      <w:r>
        <w:rPr>
          <w:spacing w:val="-19"/>
        </w:rPr>
        <w:t> </w:t>
      </w:r>
      <w:r>
        <w:rPr>
          <w:rFonts w:ascii="Times New Roman" w:hAnsi="Times New Roman" w:cs="Times New Roman" w:eastAsia="Times New Roman" w:hint="default"/>
        </w:rPr>
        <w:t>01 </w:t>
      </w:r>
      <w:r>
        <w:rPr/>
        <w:t>承诺信义科技 </w:t>
      </w:r>
      <w:r>
        <w:rPr>
          <w:rFonts w:ascii="Times New Roman" w:hAnsi="Times New Roman" w:cs="Times New Roman" w:eastAsia="Times New Roman" w:hint="default"/>
        </w:rPr>
        <w:t>2017 </w:t>
      </w:r>
      <w:r>
        <w:rPr>
          <w:spacing w:val="-7"/>
        </w:rPr>
        <w:t>年、</w:t>
      </w:r>
      <w:r>
        <w:rPr>
          <w:rFonts w:ascii="Times New Roman" w:hAnsi="Times New Roman" w:cs="Times New Roman" w:eastAsia="Times New Roman" w:hint="default"/>
          <w:spacing w:val="-7"/>
        </w:rPr>
        <w:t>2018 </w:t>
      </w:r>
      <w:r>
        <w:rPr>
          <w:spacing w:val="-6"/>
        </w:rPr>
        <w:t>年、</w:t>
      </w:r>
      <w:r>
        <w:rPr>
          <w:rFonts w:ascii="Times New Roman" w:hAnsi="Times New Roman" w:cs="Times New Roman" w:eastAsia="Times New Roman" w:hint="default"/>
          <w:spacing w:val="-6"/>
        </w:rPr>
        <w:t>2019 </w:t>
      </w:r>
      <w:r>
        <w:rPr/>
        <w:t>年的</w:t>
      </w:r>
      <w:r>
        <w:rPr>
          <w:spacing w:val="-67"/>
        </w:rPr>
        <w:t> </w:t>
      </w:r>
      <w:r>
        <w:rPr/>
        <w:t>日</w:t>
      </w:r>
    </w:p>
    <w:p>
      <w:pPr>
        <w:pStyle w:val="BodyText"/>
        <w:spacing w:line="316" w:lineRule="auto" w:before="5"/>
        <w:ind w:left="127" w:right="220"/>
        <w:jc w:val="left"/>
      </w:pPr>
      <w:r>
        <w:rPr>
          <w:spacing w:val="-4"/>
        </w:rPr>
        <w:t>（归属于公司的）扣除非经常性损益的税后</w:t>
      </w:r>
      <w:r>
        <w:rPr/>
        <w:t> 净利润合计不低于人民币</w:t>
      </w:r>
      <w:r>
        <w:rPr>
          <w:spacing w:val="-46"/>
        </w:rPr>
        <w:t> </w:t>
      </w:r>
      <w:r>
        <w:rPr>
          <w:rFonts w:ascii="Times New Roman" w:hAnsi="Times New Roman" w:cs="Times New Roman" w:eastAsia="Times New Roman" w:hint="default"/>
        </w:rPr>
        <w:t>12,740</w:t>
      </w:r>
      <w:r>
        <w:rPr>
          <w:rFonts w:ascii="Times New Roman" w:hAnsi="Times New Roman" w:cs="Times New Roman" w:eastAsia="Times New Roman" w:hint="default"/>
          <w:spacing w:val="-2"/>
        </w:rPr>
        <w:t> </w:t>
      </w:r>
      <w:r>
        <w:rPr/>
        <w:t>万元，其</w:t>
      </w:r>
    </w:p>
    <w:p>
      <w:pPr>
        <w:pStyle w:val="BodyText"/>
        <w:spacing w:line="248" w:lineRule="exact"/>
        <w:ind w:left="127" w:right="0"/>
        <w:jc w:val="both"/>
      </w:pPr>
      <w:r>
        <w:rPr/>
        <w:t>中</w:t>
      </w:r>
      <w:r>
        <w:rPr>
          <w:spacing w:val="-4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年不低于人民币</w:t>
      </w:r>
      <w:r>
        <w:rPr>
          <w:spacing w:val="-47"/>
        </w:rPr>
        <w:t> </w:t>
      </w:r>
      <w:r>
        <w:rPr>
          <w:rFonts w:ascii="Times New Roman" w:hAnsi="Times New Roman" w:cs="Times New Roman" w:eastAsia="Times New Roman" w:hint="default"/>
        </w:rPr>
        <w:t>2,500</w:t>
      </w:r>
      <w:r>
        <w:rPr>
          <w:rFonts w:ascii="Times New Roman" w:hAnsi="Times New Roman" w:cs="Times New Roman" w:eastAsia="Times New Roman" w:hint="default"/>
          <w:spacing w:val="-1"/>
        </w:rPr>
        <w:t> </w:t>
      </w:r>
      <w:r>
        <w:rPr/>
        <w:t>万元。</w:t>
      </w:r>
    </w:p>
    <w:p>
      <w:pPr>
        <w:pStyle w:val="BodyText"/>
        <w:spacing w:line="240" w:lineRule="auto" w:before="63"/>
        <w:ind w:left="204" w:right="0"/>
        <w:jc w:val="both"/>
      </w:pPr>
      <w:r>
        <w:rPr/>
        <w:br w:type="column"/>
      </w:r>
      <w:r>
        <w:rPr/>
        <w:t>年  </w:t>
      </w:r>
      <w:r>
        <w:rPr>
          <w:rFonts w:ascii="Times New Roman" w:hAnsi="Times New Roman" w:cs="Times New Roman" w:eastAsia="Times New Roman" w:hint="default"/>
        </w:rPr>
        <w:t>2018 </w:t>
      </w:r>
      <w:r>
        <w:rPr/>
        <w:t>年和 </w:t>
      </w:r>
      <w:r>
        <w:rPr>
          <w:rFonts w:ascii="Times New Roman" w:hAnsi="Times New Roman" w:cs="Times New Roman" w:eastAsia="Times New Roman" w:hint="default"/>
        </w:rPr>
        <w:t>2019</w:t>
      </w:r>
      <w:r>
        <w:rPr>
          <w:rFonts w:ascii="Times New Roman" w:hAnsi="Times New Roman" w:cs="Times New Roman" w:eastAsia="Times New Roman" w:hint="default"/>
          <w:spacing w:val="15"/>
        </w:rPr>
        <w:t> </w:t>
      </w:r>
      <w:r>
        <w:rPr/>
        <w:t>年</w:t>
      </w:r>
    </w:p>
    <w:p>
      <w:pPr>
        <w:pStyle w:val="BodyText"/>
        <w:spacing w:line="309" w:lineRule="auto" w:before="63"/>
        <w:ind w:left="204" w:right="1401"/>
        <w:jc w:val="both"/>
      </w:pPr>
      <w:r>
        <w:rPr>
          <w:rFonts w:ascii="Times New Roman" w:hAnsi="Times New Roman" w:cs="Times New Roman" w:eastAsia="Times New Roman" w:hint="default"/>
        </w:rPr>
        <w:t>12 </w:t>
      </w:r>
      <w:r>
        <w:rPr>
          <w:rFonts w:ascii="Times New Roman" w:hAnsi="Times New Roman" w:cs="Times New Roman" w:eastAsia="Times New Roman" w:hint="default"/>
          <w:spacing w:val="19"/>
        </w:rPr>
        <w:t> </w:t>
      </w:r>
      <w:r>
        <w:rPr/>
        <w:t>经审计的扣除非 月</w:t>
      </w:r>
      <w:r>
        <w:rPr>
          <w:spacing w:val="64"/>
        </w:rPr>
        <w:t> </w:t>
      </w:r>
      <w:r>
        <w:rPr/>
        <w:t>经常性损益后的</w:t>
      </w:r>
      <w:r>
        <w:rPr/>
        <w:t> </w:t>
      </w:r>
      <w:r>
        <w:rPr>
          <w:rFonts w:ascii="Times New Roman" w:hAnsi="Times New Roman" w:cs="Times New Roman" w:eastAsia="Times New Roman" w:hint="default"/>
        </w:rPr>
        <w:t>31    </w:t>
      </w:r>
      <w:r>
        <w:rPr>
          <w:rFonts w:ascii="Times New Roman" w:hAnsi="Times New Roman" w:cs="Times New Roman" w:eastAsia="Times New Roman" w:hint="default"/>
          <w:spacing w:val="19"/>
        </w:rPr>
        <w:t> </w:t>
      </w:r>
      <w:r>
        <w:rPr/>
        <w:t>净利润分别为</w:t>
      </w:r>
    </w:p>
    <w:p>
      <w:pPr>
        <w:pStyle w:val="BodyText"/>
        <w:spacing w:line="240" w:lineRule="auto" w:before="5"/>
        <w:ind w:left="204" w:right="0"/>
        <w:jc w:val="both"/>
      </w:pPr>
      <w:r>
        <w:rPr/>
        <w:t>日  </w:t>
      </w:r>
      <w:r>
        <w:rPr>
          <w:rFonts w:ascii="Times New Roman" w:hAnsi="Times New Roman" w:cs="Times New Roman" w:eastAsia="Times New Roman" w:hint="default"/>
        </w:rPr>
        <w:t>3,131.63 </w:t>
      </w:r>
      <w:r>
        <w:rPr>
          <w:rFonts w:ascii="Times New Roman" w:hAnsi="Times New Roman" w:cs="Times New Roman" w:eastAsia="Times New Roman" w:hint="default"/>
          <w:spacing w:val="14"/>
        </w:rPr>
        <w:t> </w:t>
      </w:r>
      <w:r>
        <w:rPr/>
        <w:t>万元、</w:t>
      </w:r>
    </w:p>
    <w:p>
      <w:pPr>
        <w:pStyle w:val="BodyText"/>
        <w:spacing w:line="240" w:lineRule="auto" w:before="63"/>
        <w:ind w:left="629" w:right="1218"/>
        <w:jc w:val="left"/>
      </w:pPr>
      <w:r>
        <w:rPr>
          <w:rFonts w:ascii="Times New Roman" w:hAnsi="Times New Roman" w:cs="Times New Roman" w:eastAsia="Times New Roman" w:hint="default"/>
        </w:rPr>
        <w:t>4,449.11</w:t>
      </w:r>
      <w:r>
        <w:rPr>
          <w:rFonts w:ascii="Times New Roman" w:hAnsi="Times New Roman" w:cs="Times New Roman" w:eastAsia="Times New Roman" w:hint="default"/>
          <w:spacing w:val="-5"/>
        </w:rPr>
        <w:t> </w:t>
      </w:r>
      <w:r>
        <w:rPr/>
        <w:t>万元和</w:t>
      </w:r>
    </w:p>
    <w:p>
      <w:pPr>
        <w:pStyle w:val="BodyText"/>
        <w:spacing w:line="307" w:lineRule="auto" w:before="63"/>
        <w:ind w:left="629" w:right="1218"/>
        <w:jc w:val="left"/>
      </w:pPr>
      <w:r>
        <w:rPr>
          <w:rFonts w:ascii="Times New Roman" w:hAnsi="Times New Roman" w:cs="Times New Roman" w:eastAsia="Times New Roman" w:hint="default"/>
        </w:rPr>
        <w:t>5,495.83</w:t>
      </w:r>
      <w:r>
        <w:rPr>
          <w:rFonts w:ascii="Times New Roman" w:hAnsi="Times New Roman" w:cs="Times New Roman" w:eastAsia="Times New Roman" w:hint="default"/>
          <w:spacing w:val="-3"/>
        </w:rPr>
        <w:t> </w:t>
      </w:r>
      <w:r>
        <w:rPr/>
        <w:t>万元，三 年净利润合计 </w:t>
      </w:r>
      <w:r>
        <w:rPr>
          <w:rFonts w:ascii="Times New Roman" w:hAnsi="Times New Roman" w:cs="Times New Roman" w:eastAsia="Times New Roman" w:hint="default"/>
        </w:rPr>
        <w:t>13,076.57</w:t>
      </w:r>
      <w:r>
        <w:rPr>
          <w:rFonts w:ascii="Times New Roman" w:hAnsi="Times New Roman" w:cs="Times New Roman" w:eastAsia="Times New Roman" w:hint="default"/>
          <w:spacing w:val="-3"/>
        </w:rPr>
        <w:t> </w:t>
      </w:r>
      <w:r>
        <w:rPr>
          <w:spacing w:val="-14"/>
        </w:rPr>
        <w:t>万元，完</w:t>
      </w:r>
      <w:r>
        <w:rPr/>
        <w:t> 成业绩承诺。</w:t>
      </w:r>
    </w:p>
    <w:p>
      <w:pPr>
        <w:spacing w:after="0" w:line="307" w:lineRule="auto"/>
        <w:jc w:val="left"/>
        <w:sectPr>
          <w:type w:val="continuous"/>
          <w:pgSz w:w="11910" w:h="16840"/>
          <w:pgMar w:top="1100" w:bottom="1160" w:left="1020" w:right="0"/>
          <w:cols w:num="3" w:equalWidth="0">
            <w:col w:w="3802" w:space="40"/>
            <w:col w:w="3712" w:space="40"/>
            <w:col w:w="3296"/>
          </w:cols>
        </w:sectPr>
      </w:pPr>
    </w:p>
    <w:p>
      <w:pPr>
        <w:pStyle w:val="BodyText"/>
        <w:spacing w:line="240" w:lineRule="auto" w:before="115"/>
        <w:ind w:left="1843" w:right="0"/>
        <w:jc w:val="left"/>
      </w:pPr>
      <w:r>
        <w:rPr/>
        <w:t>王朝晖</w:t>
      </w:r>
      <w:r>
        <w:rPr>
          <w:spacing w:val="-39"/>
        </w:rPr>
        <w:t>、</w:t>
      </w:r>
      <w:r>
        <w:rPr/>
        <w:t>李翔</w:t>
      </w:r>
      <w:r>
        <w:rPr>
          <w:spacing w:val="-41"/>
        </w:rPr>
        <w:t>、</w:t>
      </w:r>
      <w:r>
        <w:rPr/>
        <w:t>冯</w:t>
      </w:r>
      <w:r>
        <w:rPr>
          <w:spacing w:val="-33"/>
        </w:rPr>
        <w:t> </w:t>
      </w:r>
      <w:r>
        <w:rPr/>
        <w:t>业绩承 </w:t>
      </w:r>
      <w:r>
        <w:rPr>
          <w:spacing w:val="-12"/>
        </w:rPr>
        <w:t> </w:t>
      </w:r>
      <w:r>
        <w:rPr/>
        <w:t>创自技术在</w:t>
      </w:r>
      <w:r>
        <w:rPr>
          <w:spacing w:val="-45"/>
        </w:rPr>
        <w:t> </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年</w:t>
      </w:r>
      <w:r>
        <w:rPr>
          <w:rFonts w:ascii="Times New Roman" w:hAnsi="Times New Roman" w:cs="Times New Roman" w:eastAsia="Times New Roman" w:hint="default"/>
        </w:rPr>
        <w:t>-</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2</w:t>
      </w:r>
      <w:r>
        <w:rPr>
          <w:rFonts w:ascii="Times New Roman" w:hAnsi="Times New Roman" w:cs="Times New Roman" w:eastAsia="Times New Roman" w:hint="default"/>
        </w:rPr>
        <w:t>0</w:t>
      </w:r>
      <w:r>
        <w:rPr>
          <w:rFonts w:ascii="Times New Roman" w:hAnsi="Times New Roman" w:cs="Times New Roman" w:eastAsia="Times New Roman" w:hint="default"/>
          <w:spacing w:val="-3"/>
        </w:rPr>
        <w:t> </w:t>
      </w:r>
      <w:r>
        <w:rPr/>
        <w:t>年两年期间</w:t>
      </w:r>
      <w:r>
        <w:rPr>
          <w:spacing w:val="-89"/>
        </w:rPr>
        <w:t>，</w:t>
      </w:r>
      <w:r>
        <w:rPr/>
        <w:t>每年</w:t>
      </w:r>
      <w:r>
        <w:rPr>
          <w:spacing w:val="-33"/>
        </w:rPr>
        <w:t> </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01</w:t>
      </w:r>
      <w:r>
        <w:rPr>
          <w:rFonts w:ascii="Times New Roman" w:hAnsi="Times New Roman" w:cs="Times New Roman" w:eastAsia="Times New Roman" w:hint="default"/>
        </w:rPr>
        <w:t>9</w:t>
      </w:r>
      <w:r>
        <w:rPr>
          <w:rFonts w:ascii="Times New Roman" w:hAnsi="Times New Roman" w:cs="Times New Roman" w:eastAsia="Times New Roman" w:hint="default"/>
          <w:spacing w:val="21"/>
        </w:rPr>
        <w:t> </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02</w:t>
      </w:r>
      <w:r>
        <w:rPr>
          <w:rFonts w:ascii="Times New Roman" w:hAnsi="Times New Roman" w:cs="Times New Roman" w:eastAsia="Times New Roman" w:hint="default"/>
        </w:rPr>
        <w:t>0</w:t>
      </w:r>
      <w:r>
        <w:rPr>
          <w:rFonts w:ascii="Times New Roman" w:hAnsi="Times New Roman" w:cs="Times New Roman" w:eastAsia="Times New Roman" w:hint="default"/>
          <w:spacing w:val="21"/>
        </w:rPr>
        <w:t> </w:t>
      </w:r>
      <w:r>
        <w:rPr/>
        <w:t>创自技术</w:t>
      </w:r>
      <w:r>
        <w:rPr>
          <w:spacing w:val="-45"/>
        </w:rPr>
        <w:t> </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w:t>
      </w:r>
      <w:r>
        <w:rPr>
          <w:rFonts w:ascii="Times New Roman" w:hAnsi="Times New Roman" w:cs="Times New Roman" w:eastAsia="Times New Roman" w:hint="default"/>
        </w:rPr>
        <w:t>9</w:t>
      </w:r>
      <w:r>
        <w:rPr>
          <w:rFonts w:ascii="Times New Roman" w:hAnsi="Times New Roman" w:cs="Times New Roman" w:eastAsia="Times New Roman" w:hint="default"/>
          <w:spacing w:val="-3"/>
        </w:rPr>
        <w:t> </w:t>
      </w:r>
      <w:r>
        <w:rPr/>
        <w:t>年</w:t>
      </w:r>
    </w:p>
    <w:p>
      <w:pPr>
        <w:spacing w:after="0" w:line="240" w:lineRule="auto"/>
        <w:jc w:val="left"/>
        <w:sectPr>
          <w:type w:val="continuous"/>
          <w:pgSz w:w="11910" w:h="16840"/>
          <w:pgMar w:top="1100" w:bottom="1160" w:left="1020" w:right="0"/>
        </w:sectPr>
      </w:pPr>
    </w:p>
    <w:p>
      <w:pPr>
        <w:pStyle w:val="BodyText"/>
        <w:spacing w:line="240" w:lineRule="auto" w:before="63"/>
        <w:ind w:left="1843" w:right="-19"/>
        <w:jc w:val="left"/>
      </w:pPr>
      <w:r>
        <w:rPr>
          <w:spacing w:val="-10"/>
        </w:rPr>
        <w:t>彬、海玉芳、深圳</w:t>
      </w:r>
      <w:r>
        <w:rPr>
          <w:spacing w:val="-33"/>
        </w:rPr>
        <w:t> </w:t>
      </w:r>
      <w:r>
        <w:rPr/>
        <w:t>诺及补</w:t>
      </w:r>
    </w:p>
    <w:p>
      <w:pPr>
        <w:pStyle w:val="BodyText"/>
        <w:spacing w:line="240" w:lineRule="auto" w:before="63"/>
        <w:ind w:left="127" w:right="-17"/>
        <w:jc w:val="left"/>
      </w:pPr>
      <w:r>
        <w:rPr/>
        <w:br w:type="column"/>
      </w:r>
      <w:r>
        <w:rPr/>
        <w:t>度公司的净利润数不低于人民币</w:t>
      </w:r>
      <w:r>
        <w:rPr>
          <w:spacing w:val="-45"/>
        </w:rPr>
        <w:t> </w:t>
      </w:r>
      <w:r>
        <w:rPr>
          <w:rFonts w:ascii="Times New Roman" w:hAnsi="Times New Roman" w:cs="Times New Roman" w:eastAsia="Times New Roman" w:hint="default"/>
        </w:rPr>
        <w:t>2,000</w:t>
      </w:r>
      <w:r>
        <w:rPr>
          <w:rFonts w:ascii="Times New Roman" w:hAnsi="Times New Roman" w:cs="Times New Roman" w:eastAsia="Times New Roman" w:hint="default"/>
          <w:spacing w:val="-3"/>
        </w:rPr>
        <w:t> </w:t>
      </w:r>
      <w:r>
        <w:rPr/>
        <w:t>万</w:t>
      </w:r>
    </w:p>
    <w:p>
      <w:pPr>
        <w:pStyle w:val="BodyText"/>
        <w:spacing w:line="240" w:lineRule="auto" w:before="63"/>
        <w:ind w:left="168" w:right="-19"/>
        <w:jc w:val="left"/>
      </w:pPr>
      <w:r>
        <w:rPr/>
        <w:br w:type="column"/>
      </w:r>
      <w:r>
        <w:rPr/>
        <w:t>年 </w:t>
      </w:r>
      <w:r>
        <w:rPr>
          <w:rFonts w:ascii="Times New Roman" w:hAnsi="Times New Roman" w:cs="Times New Roman" w:eastAsia="Times New Roman" w:hint="default"/>
        </w:rPr>
        <w:t>3</w:t>
      </w:r>
      <w:r>
        <w:rPr>
          <w:rFonts w:ascii="Times New Roman" w:hAnsi="Times New Roman" w:cs="Times New Roman" w:eastAsia="Times New Roman" w:hint="default"/>
          <w:spacing w:val="19"/>
        </w:rPr>
        <w:t> </w:t>
      </w:r>
      <w:r>
        <w:rPr/>
        <w:t>年</w:t>
      </w:r>
    </w:p>
    <w:p>
      <w:pPr>
        <w:pStyle w:val="BodyText"/>
        <w:spacing w:line="240" w:lineRule="auto" w:before="63"/>
        <w:ind w:left="204" w:right="0"/>
        <w:jc w:val="left"/>
        <w:rPr>
          <w:rFonts w:ascii="Times New Roman" w:hAnsi="Times New Roman" w:cs="Times New Roman" w:eastAsia="Times New Roman" w:hint="default"/>
        </w:rPr>
      </w:pPr>
      <w:r>
        <w:rPr/>
        <w:br w:type="column"/>
      </w:r>
      <w:r>
        <w:rPr/>
        <w:t>净利润为</w:t>
      </w:r>
      <w:r>
        <w:rPr>
          <w:spacing w:val="-48"/>
        </w:rPr>
        <w:t> </w:t>
      </w:r>
      <w:r>
        <w:rPr>
          <w:rFonts w:ascii="Times New Roman" w:hAnsi="Times New Roman" w:cs="Times New Roman" w:eastAsia="Times New Roman" w:hint="default"/>
        </w:rPr>
        <w:t>2,151.01</w:t>
      </w:r>
    </w:p>
    <w:p>
      <w:pPr>
        <w:spacing w:after="0" w:line="240" w:lineRule="auto"/>
        <w:jc w:val="left"/>
        <w:rPr>
          <w:rFonts w:ascii="Times New Roman" w:hAnsi="Times New Roman" w:cs="Times New Roman" w:eastAsia="Times New Roman" w:hint="default"/>
        </w:rPr>
        <w:sectPr>
          <w:type w:val="continuous"/>
          <w:pgSz w:w="11910" w:h="16840"/>
          <w:pgMar w:top="1100" w:bottom="1160" w:left="1020" w:right="0"/>
          <w:cols w:num="4" w:equalWidth="0">
            <w:col w:w="3802" w:space="40"/>
            <w:col w:w="3323" w:space="40"/>
            <w:col w:w="774" w:space="40"/>
            <w:col w:w="2871"/>
          </w:cols>
        </w:sectPr>
      </w:pPr>
    </w:p>
    <w:p>
      <w:pPr>
        <w:pStyle w:val="BodyText"/>
        <w:spacing w:line="240" w:lineRule="auto" w:before="63"/>
        <w:ind w:left="1843" w:right="-20"/>
        <w:jc w:val="left"/>
      </w:pPr>
      <w:r>
        <w:rPr/>
        <w:t>市创自成长投资</w:t>
      </w:r>
    </w:p>
    <w:p>
      <w:pPr>
        <w:spacing w:before="63"/>
        <w:ind w:left="118"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偿安排</w:t>
      </w:r>
    </w:p>
    <w:p>
      <w:pPr>
        <w:pStyle w:val="BodyText"/>
        <w:spacing w:line="240" w:lineRule="auto" w:before="63"/>
        <w:ind w:left="127" w:right="-17"/>
        <w:jc w:val="left"/>
        <w:rPr>
          <w:rFonts w:ascii="Times New Roman" w:hAnsi="Times New Roman" w:cs="Times New Roman" w:eastAsia="Times New Roman" w:hint="default"/>
        </w:rPr>
      </w:pPr>
      <w:r>
        <w:rPr/>
        <w:br w:type="column"/>
      </w:r>
      <w:r>
        <w:rPr/>
        <w:t>元</w:t>
      </w:r>
      <w:r>
        <w:rPr>
          <w:spacing w:val="-75"/>
        </w:rPr>
        <w:t>，</w:t>
      </w:r>
      <w:r>
        <w:rPr/>
        <w:t>否则出让五方将向甲方补偿创自技术当</w:t>
      </w:r>
      <w:r>
        <w:rPr>
          <w:spacing w:val="-33"/>
        </w:rPr>
        <w:t> </w:t>
      </w:r>
      <w:r>
        <w:rPr/>
        <w:t>月</w:t>
      </w:r>
      <w:r>
        <w:rPr>
          <w:spacing w:val="-47"/>
        </w:rPr>
        <w:t> </w:t>
      </w:r>
      <w:r>
        <w:rPr>
          <w:rFonts w:ascii="Times New Roman" w:hAnsi="Times New Roman" w:cs="Times New Roman" w:eastAsia="Times New Roman" w:hint="default"/>
        </w:rPr>
        <w:t>8 </w:t>
      </w:r>
      <w:r>
        <w:rPr>
          <w:rFonts w:ascii="Times New Roman" w:hAnsi="Times New Roman" w:cs="Times New Roman" w:eastAsia="Times New Roman" w:hint="default"/>
          <w:spacing w:val="21"/>
        </w:rPr>
        <w:t> </w:t>
      </w:r>
      <w:r>
        <w:rPr>
          <w:rFonts w:ascii="Times New Roman" w:hAnsi="Times New Roman" w:cs="Times New Roman" w:eastAsia="Times New Roman" w:hint="default"/>
          <w:spacing w:val="-2"/>
        </w:rPr>
        <w:t>1</w:t>
      </w:r>
      <w:r>
        <w:rPr>
          <w:rFonts w:ascii="Times New Roman" w:hAnsi="Times New Roman" w:cs="Times New Roman" w:eastAsia="Times New Roman" w:hint="default"/>
        </w:rPr>
        <w:t>2</w:t>
      </w:r>
    </w:p>
    <w:p>
      <w:pPr>
        <w:spacing w:before="63"/>
        <w:ind w:left="205"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万元。</w:t>
      </w:r>
    </w:p>
    <w:p>
      <w:pPr>
        <w:spacing w:after="0"/>
        <w:jc w:val="left"/>
        <w:rPr>
          <w:rFonts w:ascii="宋体" w:hAnsi="宋体" w:cs="宋体" w:eastAsia="宋体" w:hint="default"/>
          <w:sz w:val="18"/>
          <w:szCs w:val="18"/>
        </w:rPr>
        <w:sectPr>
          <w:type w:val="continuous"/>
          <w:pgSz w:w="11910" w:h="16840"/>
          <w:pgMar w:top="1100" w:bottom="1160" w:left="1020" w:right="0"/>
          <w:cols w:num="4" w:equalWidth="0">
            <w:col w:w="3104" w:space="40"/>
            <w:col w:w="659" w:space="40"/>
            <w:col w:w="4135" w:space="40"/>
            <w:col w:w="2872"/>
          </w:cols>
        </w:sectPr>
      </w:pPr>
    </w:p>
    <w:p>
      <w:pPr>
        <w:pStyle w:val="BodyText"/>
        <w:spacing w:line="240" w:lineRule="auto" w:before="63"/>
        <w:ind w:left="1843" w:right="-20"/>
        <w:jc w:val="left"/>
      </w:pPr>
      <w:r>
        <w:rPr/>
        <w:t>企业（有限合伙）</w:t>
      </w:r>
    </w:p>
    <w:p>
      <w:pPr>
        <w:pStyle w:val="BodyText"/>
        <w:tabs>
          <w:tab w:pos="4474" w:val="left" w:leader="none"/>
          <w:tab w:pos="4637" w:val="right" w:leader="none"/>
        </w:tabs>
        <w:spacing w:line="300" w:lineRule="auto" w:before="63"/>
        <w:ind w:left="646" w:right="2906"/>
        <w:jc w:val="left"/>
        <w:rPr>
          <w:rFonts w:ascii="Times New Roman" w:hAnsi="Times New Roman" w:cs="Times New Roman" w:eastAsia="Times New Roman" w:hint="default"/>
        </w:rPr>
      </w:pPr>
      <w:r>
        <w:rPr/>
        <w:br w:type="column"/>
      </w:r>
      <w:r>
        <w:rPr/>
        <w:t>年度净利润与</w:t>
      </w:r>
      <w:r>
        <w:rPr>
          <w:spacing w:val="-45"/>
        </w:rPr>
        <w:t> </w:t>
      </w:r>
      <w:r>
        <w:rPr>
          <w:rFonts w:ascii="Times New Roman" w:hAnsi="Times New Roman" w:cs="Times New Roman" w:eastAsia="Times New Roman" w:hint="default"/>
        </w:rPr>
        <w:t>2,000</w:t>
      </w:r>
      <w:r>
        <w:rPr>
          <w:rFonts w:ascii="Times New Roman" w:hAnsi="Times New Roman" w:cs="Times New Roman" w:eastAsia="Times New Roman" w:hint="default"/>
          <w:spacing w:val="-3"/>
        </w:rPr>
        <w:t> </w:t>
      </w:r>
      <w:r>
        <w:rPr>
          <w:spacing w:val="-3"/>
        </w:rPr>
        <w:t>万元之间的差额（补偿</w:t>
      </w:r>
      <w:r>
        <w:rPr>
          <w:spacing w:val="-33"/>
        </w:rPr>
        <w:t> </w:t>
      </w:r>
      <w:r>
        <w:rPr/>
        <w:t>日</w:t>
        <w:tab/>
        <w:t>月</w:t>
      </w:r>
      <w:r>
        <w:rPr/>
        <w:t> 金额</w:t>
      </w:r>
      <w:r>
        <w:rPr>
          <w:rFonts w:ascii="Times New Roman" w:hAnsi="Times New Roman" w:cs="Times New Roman" w:eastAsia="Times New Roman" w:hint="default"/>
        </w:rPr>
        <w:t>=2,000</w:t>
      </w:r>
      <w:r>
        <w:rPr>
          <w:rFonts w:ascii="Times New Roman" w:hAnsi="Times New Roman" w:cs="Times New Roman" w:eastAsia="Times New Roman" w:hint="default"/>
          <w:spacing w:val="-3"/>
        </w:rPr>
        <w:t> </w:t>
      </w:r>
      <w:r>
        <w:rPr/>
        <w:t>万元</w:t>
      </w:r>
      <w:r>
        <w:rPr>
          <w:rFonts w:ascii="Times New Roman" w:hAnsi="Times New Roman" w:cs="Times New Roman" w:eastAsia="Times New Roman" w:hint="default"/>
        </w:rPr>
        <w:t>-</w:t>
      </w:r>
      <w:r>
        <w:rPr/>
        <w:t>创自技术经审计后并经甲</w:t>
      </w:r>
      <w:r>
        <w:rPr>
          <w:rFonts w:ascii="Times New Roman" w:hAnsi="Times New Roman" w:cs="Times New Roman" w:eastAsia="Times New Roman" w:hint="default"/>
        </w:rPr>
        <w:t> </w:t>
        <w:tab/>
        <w:tab/>
      </w:r>
      <w:r>
        <w:rPr>
          <w:rFonts w:ascii="Times New Roman" w:hAnsi="Times New Roman" w:cs="Times New Roman" w:eastAsia="Times New Roman" w:hint="default"/>
          <w:w w:val="35"/>
        </w:rPr>
        <w:t> </w:t>
      </w:r>
      <w:r>
        <w:rPr>
          <w:rFonts w:ascii="Times New Roman" w:hAnsi="Times New Roman" w:cs="Times New Roman" w:eastAsia="Times New Roman" w:hint="default"/>
        </w:rPr>
      </w:r>
      <w:r>
        <w:rPr>
          <w:rFonts w:ascii="Times New Roman" w:hAnsi="Times New Roman" w:cs="Times New Roman" w:eastAsia="Times New Roman" w:hint="default"/>
        </w:rPr>
        <w:t>31</w:t>
      </w:r>
    </w:p>
    <w:p>
      <w:pPr>
        <w:pStyle w:val="BodyText"/>
        <w:tabs>
          <w:tab w:pos="4474" w:val="left" w:leader="none"/>
        </w:tabs>
        <w:spacing w:line="240" w:lineRule="auto" w:before="13"/>
        <w:ind w:left="646" w:right="0"/>
        <w:jc w:val="left"/>
      </w:pPr>
      <w:r>
        <w:rPr/>
        <w:t>方上市公司年报公布的创自技术净利润额</w:t>
        <w:tab/>
        <w:t>日</w:t>
      </w:r>
    </w:p>
    <w:p>
      <w:pPr>
        <w:pStyle w:val="BodyText"/>
        <w:spacing w:line="240" w:lineRule="auto" w:before="76"/>
        <w:ind w:left="646" w:right="2906"/>
        <w:jc w:val="left"/>
        <w:rPr>
          <w:rFonts w:ascii="Times New Roman" w:hAnsi="Times New Roman" w:cs="Times New Roman" w:eastAsia="Times New Roman" w:hint="default"/>
        </w:rPr>
      </w:pPr>
      <w:r>
        <w:rPr/>
        <w:t>－超额成本</w:t>
      </w:r>
      <w:r>
        <w:rPr>
          <w:spacing w:val="-82"/>
        </w:rPr>
        <w:t>），</w:t>
      </w:r>
      <w:r>
        <w:rPr/>
        <w:t>每年度的补偿金上限为</w:t>
      </w:r>
      <w:r>
        <w:rPr>
          <w:spacing w:val="-45"/>
        </w:rPr>
        <w:t> </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0</w:t>
      </w:r>
      <w:r>
        <w:rPr>
          <w:rFonts w:ascii="Times New Roman" w:hAnsi="Times New Roman" w:cs="Times New Roman" w:eastAsia="Times New Roman" w:hint="default"/>
        </w:rPr>
        <w:t>0</w:t>
      </w:r>
    </w:p>
    <w:p>
      <w:pPr>
        <w:pStyle w:val="BodyText"/>
        <w:spacing w:line="240" w:lineRule="auto" w:before="63"/>
        <w:ind w:left="646" w:right="2906"/>
        <w:jc w:val="left"/>
      </w:pPr>
      <w:r>
        <w:rPr/>
        <w:t>万元。</w:t>
      </w:r>
    </w:p>
    <w:p>
      <w:pPr>
        <w:spacing w:after="0" w:line="240" w:lineRule="auto"/>
        <w:jc w:val="left"/>
        <w:sectPr>
          <w:type w:val="continuous"/>
          <w:pgSz w:w="11910" w:h="16840"/>
          <w:pgMar w:top="1100" w:bottom="1160" w:left="1020" w:right="0"/>
          <w:cols w:num="2" w:equalWidth="0">
            <w:col w:w="3284" w:space="40"/>
            <w:col w:w="7566"/>
          </w:cols>
        </w:sectPr>
      </w:pPr>
    </w:p>
    <w:p>
      <w:pPr>
        <w:spacing w:line="240" w:lineRule="auto" w:before="5"/>
        <w:rPr>
          <w:rFonts w:ascii="宋体" w:hAnsi="宋体" w:cs="宋体" w:eastAsia="宋体" w:hint="default"/>
          <w:sz w:val="9"/>
          <w:szCs w:val="9"/>
        </w:rPr>
      </w:pPr>
    </w:p>
    <w:p>
      <w:pPr>
        <w:pStyle w:val="BodyText"/>
        <w:tabs>
          <w:tab w:pos="3261" w:val="left" w:leader="none"/>
        </w:tabs>
        <w:spacing w:line="240" w:lineRule="auto" w:before="44"/>
        <w:ind w:left="1843" w:right="0"/>
        <w:jc w:val="left"/>
      </w:pPr>
      <w:r>
        <w:rPr/>
        <w:pict>
          <v:shape style="position:absolute;margin-left:412.320007pt;margin-top:-.458282pt;width:27.05pt;height:113.3pt;mso-position-horizontal-relative:page;mso-position-vertical-relative:paragraph;z-index:-1487776"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5"/>
                      <w:szCs w:val="15"/>
                    </w:rPr>
                  </w:pPr>
                </w:p>
                <w:p>
                  <w:pPr>
                    <w:pStyle w:val="BodyText"/>
                    <w:spacing w:line="240" w:lineRule="auto"/>
                    <w:ind w:left="0" w:right="0"/>
                    <w:jc w:val="left"/>
                  </w:pPr>
                  <w:r>
                    <w:rPr/>
                    <w:t>，</w:t>
                  </w:r>
                </w:p>
              </w:txbxContent>
            </v:textbox>
            <w10:wrap type="none"/>
          </v:shape>
        </w:pict>
      </w:r>
      <w:r>
        <w:rPr/>
        <w:t>无线电集团</w:t>
        <w:tab/>
        <w:t>股份减</w:t>
      </w:r>
      <w:r>
        <w:rPr>
          <w:spacing w:val="77"/>
        </w:rPr>
        <w:t> </w:t>
      </w:r>
      <w:r>
        <w:rPr/>
        <w:t>自本承诺之日起的</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spacing w:val="-6"/>
        </w:rPr>
        <w:t>个月内（即</w:t>
      </w:r>
      <w:r>
        <w:rPr>
          <w:spacing w:val="-48"/>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0"/>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0"/>
        </w:rPr>
        <w:t> </w:t>
      </w:r>
      <w:r>
        <w:rPr>
          <w:rFonts w:ascii="Times New Roman" w:hAnsi="Times New Roman" w:cs="Times New Roman" w:eastAsia="Times New Roman" w:hint="default"/>
        </w:rPr>
        <w:t>2020</w:t>
      </w:r>
      <w:r>
        <w:rPr>
          <w:rFonts w:ascii="Times New Roman" w:hAnsi="Times New Roman" w:cs="Times New Roman" w:eastAsia="Times New Roman" w:hint="default"/>
          <w:spacing w:val="20"/>
        </w:rPr>
        <w:t> </w:t>
      </w:r>
      <w:r>
        <w:rPr/>
        <w:t>截至</w:t>
      </w:r>
      <w:r>
        <w:rPr>
          <w:spacing w:val="-46"/>
        </w:rPr>
        <w:t> </w:t>
      </w:r>
      <w:r>
        <w:rPr>
          <w:rFonts w:ascii="Times New Roman" w:hAnsi="Times New Roman" w:cs="Times New Roman" w:eastAsia="Times New Roman" w:hint="default"/>
        </w:rPr>
        <w:t>2020</w:t>
      </w:r>
      <w:r>
        <w:rPr>
          <w:rFonts w:ascii="Times New Roman" w:hAnsi="Times New Roman" w:cs="Times New Roman" w:eastAsia="Times New Roman" w:hint="default"/>
          <w:spacing w:val="-4"/>
        </w:rPr>
        <w:t> </w:t>
      </w:r>
      <w:r>
        <w:rPr/>
        <w:t>年</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月</w:t>
      </w:r>
    </w:p>
    <w:p>
      <w:pPr>
        <w:spacing w:after="0" w:line="240" w:lineRule="auto"/>
        <w:jc w:val="left"/>
        <w:sectPr>
          <w:type w:val="continuous"/>
          <w:pgSz w:w="11910" w:h="16840"/>
          <w:pgMar w:top="1100" w:bottom="1160" w:left="1020" w:right="0"/>
        </w:sectPr>
      </w:pPr>
    </w:p>
    <w:p>
      <w:pPr>
        <w:pStyle w:val="BodyText"/>
        <w:spacing w:line="240" w:lineRule="auto" w:before="63"/>
        <w:ind w:left="2741" w:right="0"/>
        <w:jc w:val="right"/>
      </w:pPr>
      <w:r>
        <w:rPr/>
        <w:t>持承诺</w:t>
      </w:r>
    </w:p>
    <w:p>
      <w:pPr>
        <w:pStyle w:val="BodyText"/>
        <w:spacing w:line="240" w:lineRule="auto" w:before="63"/>
        <w:ind w:left="127" w:right="-12"/>
        <w:jc w:val="left"/>
        <w:rPr>
          <w:rFonts w:ascii="Times New Roman" w:hAnsi="Times New Roman" w:cs="Times New Roman" w:eastAsia="Times New Roman" w:hint="default"/>
        </w:rPr>
      </w:pPr>
      <w:r>
        <w:rPr/>
        <w:br w:type="column"/>
      </w:r>
      <w:r>
        <w:rPr/>
        <w:t>月</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日起至</w:t>
      </w:r>
      <w:r>
        <w:rPr>
          <w:spacing w:val="-47"/>
        </w:rPr>
        <w:t> </w:t>
      </w:r>
      <w:r>
        <w:rPr>
          <w:rFonts w:ascii="Times New Roman" w:hAnsi="Times New Roman" w:cs="Times New Roman" w:eastAsia="Times New Roman" w:hint="default"/>
        </w:rPr>
        <w:t>2020</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11</w:t>
      </w:r>
      <w:r>
        <w:rPr>
          <w:rFonts w:ascii="Times New Roman" w:hAnsi="Times New Roman" w:cs="Times New Roman" w:eastAsia="Times New Roman" w:hint="default"/>
          <w:spacing w:val="-1"/>
        </w:rPr>
        <w:t> </w:t>
      </w:r>
      <w:r>
        <w:rPr/>
        <w:t>日止），无线</w:t>
      </w:r>
      <w:r>
        <w:rPr>
          <w:spacing w:val="-18"/>
        </w:rPr>
        <w:t> </w:t>
      </w:r>
      <w:r>
        <w:rPr/>
        <w:t>年</w:t>
      </w:r>
      <w:r>
        <w:rPr>
          <w:spacing w:val="-47"/>
        </w:rPr>
        <w:t> </w:t>
      </w:r>
      <w:r>
        <w:rPr>
          <w:rFonts w:ascii="Times New Roman" w:hAnsi="Times New Roman" w:cs="Times New Roman" w:eastAsia="Times New Roman" w:hint="default"/>
        </w:rPr>
        <w:t>3</w:t>
      </w:r>
    </w:p>
    <w:p>
      <w:pPr>
        <w:pStyle w:val="BodyText"/>
        <w:spacing w:line="240" w:lineRule="auto" w:before="63"/>
        <w:ind w:left="71" w:right="0"/>
        <w:jc w:val="left"/>
      </w:pPr>
      <w:r>
        <w:rPr/>
        <w:br w:type="column"/>
      </w:r>
      <w:r>
        <w:rPr/>
        <w:t>年 </w:t>
      </w:r>
      <w:r>
        <w:rPr>
          <w:rFonts w:ascii="Times New Roman" w:hAnsi="Times New Roman" w:cs="Times New Roman" w:eastAsia="Times New Roman" w:hint="default"/>
        </w:rPr>
        <w:t>3  11</w:t>
      </w:r>
      <w:r>
        <w:rPr>
          <w:rFonts w:ascii="Times New Roman" w:hAnsi="Times New Roman" w:cs="Times New Roman" w:eastAsia="Times New Roman" w:hint="default"/>
          <w:spacing w:val="-26"/>
        </w:rPr>
        <w:t> </w:t>
      </w:r>
      <w:r>
        <w:rPr/>
        <w:t>日已履行完毕</w:t>
      </w:r>
    </w:p>
    <w:p>
      <w:pPr>
        <w:spacing w:after="0" w:line="240" w:lineRule="auto"/>
        <w:jc w:val="left"/>
        <w:sectPr>
          <w:type w:val="continuous"/>
          <w:pgSz w:w="11910" w:h="16840"/>
          <w:pgMar w:top="1100" w:bottom="1160" w:left="1020" w:right="0"/>
          <w:cols w:num="3" w:equalWidth="0">
            <w:col w:w="3802" w:space="40"/>
            <w:col w:w="3845" w:space="40"/>
            <w:col w:w="3163"/>
          </w:cols>
        </w:sectPr>
      </w:pPr>
    </w:p>
    <w:p>
      <w:pPr>
        <w:pStyle w:val="BodyText"/>
        <w:tabs>
          <w:tab w:pos="7797" w:val="left" w:leader="none"/>
        </w:tabs>
        <w:spacing w:line="240" w:lineRule="auto" w:before="63"/>
        <w:ind w:left="3969" w:right="1394"/>
        <w:jc w:val="left"/>
      </w:pPr>
      <w:r>
        <w:rPr/>
        <w:pict>
          <v:group style="position:absolute;margin-left:56.220001pt;margin-top:71.760025pt;width:479.35pt;height:686.1pt;mso-position-horizontal-relative:page;mso-position-vertical-relative:page;z-index:-1487752" coordorigin="1124,1435" coordsize="9587,13722">
            <v:group style="position:absolute;left:1137;top:1448;width:1696;height:12885" coordorigin="1137,1448" coordsize="1696,12885">
              <v:shape style="position:absolute;left:1137;top:1448;width:1696;height:12885" coordorigin="1137,1448" coordsize="1696,12885" path="m1137,1448l2833,1448,2833,14333,1137,14333,1137,1448xe" filled="true" fillcolor="#d2d2d2" stroked="false">
                <v:path arrowok="t"/>
                <v:fill type="solid"/>
              </v:shape>
            </v:group>
            <v:group style="position:absolute;left:1137;top:14338;width:1696;height:397" coordorigin="1137,14338" coordsize="1696,397">
              <v:shape style="position:absolute;left:1137;top:14338;width:1696;height:397" coordorigin="1137,14338" coordsize="1696,397" path="m1137,14338l2833,14338,2833,14735,1137,14735,1137,14338xe" filled="true" fillcolor="#d2d2d2" stroked="false">
                <v:path arrowok="t"/>
                <v:fill type="solid"/>
              </v:shape>
            </v:group>
            <v:group style="position:absolute;left:1137;top:14740;width:1696;height:397" coordorigin="1137,14740" coordsize="1696,397">
              <v:shape style="position:absolute;left:1137;top:14740;width:1696;height:397" coordorigin="1137,14740" coordsize="1696,397" path="m1137,14740l2833,14740,2833,15137,1137,15137,1137,14740xe" filled="true" fillcolor="#d2d2d2" stroked="false">
                <v:path arrowok="t"/>
                <v:fill type="solid"/>
              </v:shape>
            </v:group>
            <v:group style="position:absolute;left:1129;top:1445;width:9577;height:2" coordorigin="1129,1445" coordsize="9577,2">
              <v:shape style="position:absolute;left:1129;top:1445;width:9577;height:2" coordorigin="1129,1445" coordsize="9577,0" path="m1129,1445l10706,1445e" filled="false" stroked="true" strokeweight=".48pt" strokecolor="#000000">
                <v:path arrowok="t"/>
              </v:shape>
            </v:group>
            <v:group style="position:absolute;left:2830;top:3367;width:7876;height:2" coordorigin="2830,3367" coordsize="7876,2">
              <v:shape style="position:absolute;left:2830;top:3367;width:7876;height:2" coordorigin="2830,3367" coordsize="7876,0" path="m2830,3367l10706,3367e" filled="false" stroked="true" strokeweight=".48pt" strokecolor="#000000">
                <v:path arrowok="t"/>
              </v:shape>
            </v:group>
            <v:group style="position:absolute;left:8367;top:5956;width:420;height:3517" coordorigin="8367,5956" coordsize="420,3517">
              <v:shape style="position:absolute;left:8367;top:5956;width:420;height:3517" coordorigin="8367,5956" coordsize="420,3517" path="m8367,5956l8787,5956,8787,9473,8367,9473,8367,5956xe" filled="true" fillcolor="#ffffff" stroked="false">
                <v:path arrowok="t"/>
                <v:fill type="solid"/>
              </v:shape>
            </v:group>
            <v:group style="position:absolute;left:2830;top:5953;width:7876;height:2" coordorigin="2830,5953" coordsize="7876,2">
              <v:shape style="position:absolute;left:2830;top:5953;width:7876;height:2" coordorigin="2830,5953" coordsize="7876,0" path="m2830,5953l10706,5953e" filled="false" stroked="true" strokeweight=".48pt" strokecolor="#000000">
                <v:path arrowok="t"/>
              </v:shape>
            </v:group>
            <v:group style="position:absolute;left:4256;top:9478;width:704;height:2581" coordorigin="4256,9478" coordsize="704,2581">
              <v:shape style="position:absolute;left:4256;top:9478;width:704;height:2581" coordorigin="4256,9478" coordsize="704,2581" path="m4256,9478l4960,9478,4960,12059,4256,12059,4256,9478xe" filled="true" fillcolor="#ffffff" stroked="false">
                <v:path arrowok="t"/>
                <v:fill type="solid"/>
              </v:shape>
            </v:group>
            <v:group style="position:absolute;left:2830;top:9475;width:7876;height:2" coordorigin="2830,9475" coordsize="7876,2">
              <v:shape style="position:absolute;left:2830;top:9475;width:7876;height:2" coordorigin="2830,9475" coordsize="7876,0" path="m2830,9475l10706,9475e" filled="false" stroked="true" strokeweight=".48pt" strokecolor="#000000">
                <v:path arrowok="t"/>
              </v:shape>
            </v:group>
            <v:group style="position:absolute;left:8367;top:12064;width:420;height:2269" coordorigin="8367,12064" coordsize="420,2269">
              <v:shape style="position:absolute;left:8367;top:12064;width:420;height:2269" coordorigin="8367,12064" coordsize="420,2269" path="m8367,12064l8787,12064,8787,14333,8367,14333,8367,12064xe" filled="true" fillcolor="#ffffff" stroked="false">
                <v:path arrowok="t"/>
                <v:fill type="solid"/>
              </v:shape>
            </v:group>
            <v:group style="position:absolute;left:2830;top:12061;width:7876;height:2" coordorigin="2830,12061" coordsize="7876,2">
              <v:shape style="position:absolute;left:2830;top:12061;width:7876;height:2" coordorigin="2830,12061" coordsize="7876,0" path="m2830,12061l10706,12061e" filled="false" stroked="true" strokeweight=".48pt" strokecolor="#000000">
                <v:path arrowok="t"/>
              </v:shape>
            </v:group>
            <v:group style="position:absolute;left:1129;top:14335;width:9577;height:2" coordorigin="1129,14335" coordsize="9577,2">
              <v:shape style="position:absolute;left:1129;top:14335;width:9577;height:2" coordorigin="1129,14335" coordsize="9577,0" path="m1129,14335l10706,14335e" filled="false" stroked="true" strokeweight=".48pt" strokecolor="#000000">
                <v:path arrowok="t"/>
              </v:shape>
            </v:group>
            <v:group style="position:absolute;left:1129;top:14737;width:9577;height:2" coordorigin="1129,14737" coordsize="9577,2">
              <v:shape style="position:absolute;left:1129;top:14737;width:9577;height:2" coordorigin="1129,14737" coordsize="9577,0" path="m1129,14737l10706,14737e" filled="false" stroked="true" strokeweight=".48pt" strokecolor="#000000">
                <v:path arrowok="t"/>
              </v:shape>
            </v:group>
            <v:group style="position:absolute;left:1129;top:15147;width:9577;height:2" coordorigin="1129,15147" coordsize="9577,2">
              <v:shape style="position:absolute;left:1129;top:15147;width:9577;height:2" coordorigin="1129,15147" coordsize="9577,0" path="m1129,15147l10706,15147e" filled="false" stroked="true" strokeweight=".48pt" strokecolor="#000000">
                <v:path arrowok="t"/>
              </v:shape>
            </v:group>
            <v:group style="position:absolute;left:1134;top:1440;width:2;height:13712" coordorigin="1134,1440" coordsize="2,13712">
              <v:shape style="position:absolute;left:1134;top:1440;width:2;height:13712" coordorigin="1134,1440" coordsize="0,13712" path="m1134,1440l1134,15152e" filled="false" stroked="true" strokeweight=".48pt" strokecolor="#000000">
                <v:path arrowok="t"/>
              </v:shape>
            </v:group>
            <v:group style="position:absolute;left:2835;top:1440;width:2;height:13702" coordorigin="2835,1440" coordsize="2,13702">
              <v:shape style="position:absolute;left:2835;top:1440;width:2;height:13702" coordorigin="2835,1440" coordsize="0,13702" path="m2835,1440l2835,15142e" filled="false" stroked="true" strokeweight=".48pt" strokecolor="#000000">
                <v:path arrowok="t"/>
              </v:shape>
            </v:group>
            <v:group style="position:absolute;left:4253;top:1440;width:2;height:12890" coordorigin="4253,1440" coordsize="2,12890">
              <v:shape style="position:absolute;left:4253;top:1440;width:2;height:12890" coordorigin="4253,1440" coordsize="0,12890" path="m4253,1440l4253,14330e" filled="false" stroked="true" strokeweight=".48pt" strokecolor="#000000">
                <v:path arrowok="t"/>
              </v:shape>
            </v:group>
            <v:group style="position:absolute;left:4962;top:1440;width:2;height:12890" coordorigin="4962,1440" coordsize="2,12890">
              <v:shape style="position:absolute;left:4962;top:1440;width:2;height:12890" coordorigin="4962,1440" coordsize="0,12890" path="m4962,1440l4962,14330e" filled="false" stroked="true" strokeweight=".48pt" strokecolor="#000000">
                <v:path arrowok="t"/>
              </v:shape>
            </v:group>
            <v:group style="position:absolute;left:8364;top:1440;width:2;height:12890" coordorigin="8364,1440" coordsize="2,12890">
              <v:shape style="position:absolute;left:8364;top:1440;width:2;height:12890" coordorigin="8364,1440" coordsize="0,12890" path="m8364,1440l8364,14330e" filled="false" stroked="true" strokeweight=".48pt" strokecolor="#000000">
                <v:path arrowok="t"/>
              </v:shape>
            </v:group>
            <v:group style="position:absolute;left:8789;top:1440;width:2;height:12890" coordorigin="8789,1440" coordsize="2,12890">
              <v:shape style="position:absolute;left:8789;top:1440;width:2;height:12890" coordorigin="8789,1440" coordsize="0,12890" path="m8789,1440l8789,14330e" filled="false" stroked="true" strokeweight=".48pt" strokecolor="#000000">
                <v:path arrowok="t"/>
              </v:shape>
            </v:group>
            <v:group style="position:absolute;left:9214;top:1440;width:2;height:12890" coordorigin="9214,1440" coordsize="2,12890">
              <v:shape style="position:absolute;left:9214;top:1440;width:2;height:12890" coordorigin="9214,1440" coordsize="0,12890" path="m9214,1440l9214,14330e" filled="false" stroked="true" strokeweight=".48pt" strokecolor="#000000">
                <v:path arrowok="t"/>
              </v:shape>
            </v:group>
            <v:group style="position:absolute;left:10701;top:1450;width:2;height:13702" coordorigin="10701,1450" coordsize="2,13702">
              <v:shape style="position:absolute;left:10701;top:1450;width:2;height:13702" coordorigin="10701,1450" coordsize="0,13702" path="m10701,1450l10701,15152e" filled="false" stroked="true" strokeweight=".48pt" strokecolor="#000000">
                <v:path arrowok="t"/>
              </v:shape>
            </v:group>
            <w10:wrap type="none"/>
          </v:group>
        </w:pict>
      </w:r>
      <w:r>
        <w:rPr/>
        <w:t>电集团不通过集中竞价和大宗交易方式减</w:t>
      </w:r>
      <w:r>
        <w:rPr>
          <w:spacing w:val="73"/>
        </w:rPr>
        <w:t> </w:t>
      </w:r>
      <w:r>
        <w:rPr/>
        <w:t>月</w:t>
        <w:tab/>
        <w:t>月</w:t>
      </w:r>
    </w:p>
    <w:p>
      <w:pPr>
        <w:pStyle w:val="BodyText"/>
        <w:tabs>
          <w:tab w:pos="7797" w:val="left" w:leader="none"/>
        </w:tabs>
        <w:spacing w:line="312" w:lineRule="auto" w:before="76"/>
        <w:ind w:left="3969" w:right="2906"/>
        <w:jc w:val="left"/>
      </w:pPr>
      <w:r>
        <w:rPr>
          <w:spacing w:val="-4"/>
        </w:rPr>
        <w:t>持所持有的广电运通股份，包括承诺期间该</w:t>
      </w:r>
      <w:r>
        <w:rPr>
          <w:spacing w:val="-32"/>
        </w:rPr>
        <w:t> </w:t>
      </w:r>
      <w:r>
        <w:rPr>
          <w:rFonts w:ascii="Times New Roman" w:hAnsi="Times New Roman" w:cs="Times New Roman" w:eastAsia="Times New Roman" w:hint="default"/>
          <w:spacing w:val="-1"/>
        </w:rPr>
        <w:t>12</w:t>
        <w:tab/>
        <w:t>11</w:t>
      </w:r>
      <w:r>
        <w:rPr>
          <w:rFonts w:ascii="Times New Roman" w:hAnsi="Times New Roman" w:cs="Times New Roman" w:eastAsia="Times New Roman" w:hint="default"/>
        </w:rPr>
        <w:t> </w:t>
      </w:r>
      <w:r>
        <w:rPr>
          <w:spacing w:val="-1"/>
        </w:rPr>
        <w:t>部分股份因资本公积转增、派送股票红利、日</w:t>
        <w:tab/>
      </w:r>
      <w:r>
        <w:rPr/>
        <w:t>日</w:t>
      </w:r>
      <w:r>
        <w:rPr/>
        <w:t> </w:t>
      </w:r>
      <w:r>
        <w:rPr>
          <w:spacing w:val="-9"/>
        </w:rPr>
        <w:t>配股、增发等新增的股份。若违反上述承诺</w:t>
      </w:r>
      <w:r>
        <w:rPr>
          <w:spacing w:val="-83"/>
        </w:rPr>
        <w:t> </w:t>
      </w:r>
      <w:r>
        <w:rPr>
          <w:spacing w:val="-83"/>
        </w:rPr>
      </w:r>
      <w:r>
        <w:rPr/>
        <w:t>减持股份所得全部归广电运通所有。</w:t>
      </w:r>
    </w:p>
    <w:p>
      <w:pPr>
        <w:pStyle w:val="BodyText"/>
        <w:tabs>
          <w:tab w:pos="1843" w:val="left" w:leader="none"/>
        </w:tabs>
        <w:spacing w:line="240" w:lineRule="auto" w:before="111"/>
        <w:ind w:left="141" w:right="1394"/>
        <w:jc w:val="left"/>
      </w:pPr>
      <w:r>
        <w:rPr/>
        <w:t>承诺是否按时履行</w:t>
        <w:tab/>
        <w:t>是</w:t>
      </w:r>
    </w:p>
    <w:p>
      <w:pPr>
        <w:spacing w:line="240" w:lineRule="auto" w:before="5"/>
        <w:rPr>
          <w:rFonts w:ascii="宋体" w:hAnsi="宋体" w:cs="宋体" w:eastAsia="宋体" w:hint="default"/>
          <w:sz w:val="9"/>
          <w:szCs w:val="9"/>
        </w:rPr>
      </w:pPr>
    </w:p>
    <w:p>
      <w:pPr>
        <w:pStyle w:val="BodyText"/>
        <w:spacing w:line="240" w:lineRule="auto" w:before="43"/>
        <w:ind w:left="141" w:right="1394"/>
        <w:jc w:val="left"/>
      </w:pPr>
      <w:r>
        <w:rPr/>
        <w:t>如承诺超期未履行完</w:t>
      </w:r>
      <w:r>
        <w:rPr>
          <w:spacing w:val="-9"/>
        </w:rPr>
        <w:t> </w:t>
      </w:r>
      <w:r>
        <w:rPr>
          <w:position w:val="2"/>
        </w:rPr>
        <w:t>不适用</w:t>
      </w:r>
      <w:r>
        <w:rPr/>
      </w:r>
    </w:p>
    <w:p>
      <w:pPr>
        <w:spacing w:after="0" w:line="240" w:lineRule="auto"/>
        <w:jc w:val="left"/>
        <w:sectPr>
          <w:type w:val="continuous"/>
          <w:pgSz w:w="11910" w:h="16840"/>
          <w:pgMar w:top="1100" w:bottom="1160" w:left="1020" w:right="0"/>
        </w:sectPr>
      </w:pPr>
    </w:p>
    <w:p>
      <w:pPr>
        <w:spacing w:line="240" w:lineRule="auto" w:before="3"/>
        <w:rPr>
          <w:rFonts w:ascii="宋体" w:hAnsi="宋体" w:cs="宋体" w:eastAsia="宋体" w:hint="default"/>
          <w:sz w:val="24"/>
          <w:szCs w:val="24"/>
        </w:rPr>
      </w:pPr>
    </w:p>
    <w:p>
      <w:pPr>
        <w:spacing w:line="1312" w:lineRule="exact"/>
        <w:ind w:left="164" w:right="0" w:firstLine="0"/>
        <w:rPr>
          <w:rFonts w:ascii="宋体" w:hAnsi="宋体" w:cs="宋体" w:eastAsia="宋体" w:hint="default"/>
          <w:sz w:val="20"/>
          <w:szCs w:val="20"/>
        </w:rPr>
      </w:pPr>
      <w:r>
        <w:rPr>
          <w:rFonts w:ascii="宋体" w:hAnsi="宋体" w:cs="宋体" w:eastAsia="宋体" w:hint="default"/>
          <w:position w:val="-25"/>
          <w:sz w:val="20"/>
          <w:szCs w:val="20"/>
        </w:rPr>
        <w:pict>
          <v:group style="width:479.35pt;height:65.650pt;mso-position-horizontal-relative:char;mso-position-vertical-relative:line" coordorigin="0,0" coordsize="9587,1313">
            <v:group style="position:absolute;left:13;top:13;width:1696;height:1293" coordorigin="13,13" coordsize="1696,1293">
              <v:shape style="position:absolute;left:13;top:13;width:1696;height:1293" coordorigin="13,13" coordsize="1696,1293" path="m13,13l1709,13,1709,1306,13,1306,13,13xe" filled="true" fillcolor="#d2d2d2" stroked="false">
                <v:path arrowok="t"/>
                <v:fill type="solid"/>
              </v:shape>
            </v:group>
            <v:group style="position:absolute;left:5;top:10;width:9577;height:2" coordorigin="5,10" coordsize="9577,2">
              <v:shape style="position:absolute;left:5;top:10;width:9577;height:2" coordorigin="5,10" coordsize="9577,0" path="m5,10l9581,10e" filled="false" stroked="true" strokeweight=".48pt" strokecolor="#000000">
                <v:path arrowok="t"/>
              </v:shape>
            </v:group>
            <v:group style="position:absolute;left:5;top:1308;width:9577;height:2" coordorigin="5,1308" coordsize="9577,2">
              <v:shape style="position:absolute;left:5;top:1308;width:9577;height:2" coordorigin="5,1308" coordsize="9577,0" path="m5,1308l9581,1308e" filled="false" stroked="true" strokeweight=".48pt" strokecolor="#000000">
                <v:path arrowok="t"/>
              </v:shape>
            </v:group>
            <v:group style="position:absolute;left:10;top:5;width:2;height:1298" coordorigin="10,5" coordsize="2,1298">
              <v:shape style="position:absolute;left:10;top:5;width:2;height:1298" coordorigin="10,5" coordsize="0,1298" path="m10,5l10,1303e" filled="false" stroked="true" strokeweight=".48pt" strokecolor="#000000">
                <v:path arrowok="t"/>
              </v:shape>
            </v:group>
            <v:group style="position:absolute;left:1711;top:5;width:2;height:1298" coordorigin="1711,5" coordsize="2,1298">
              <v:shape style="position:absolute;left:1711;top:5;width:2;height:1298" coordorigin="1711,5" coordsize="0,1298" path="m1711,5l1711,1303e" filled="false" stroked="true" strokeweight=".48pt" strokecolor="#000000">
                <v:path arrowok="t"/>
              </v:shape>
            </v:group>
            <v:group style="position:absolute;left:9577;top:5;width:2;height:1298" coordorigin="9577,5" coordsize="2,1298">
              <v:shape style="position:absolute;left:9577;top:5;width:2;height:1298" coordorigin="9577,5" coordsize="0,1298" path="m9577,5l9577,1303e" filled="false" stroked="true" strokeweight=".48pt" strokecolor="#000000">
                <v:path arrowok="t"/>
              </v:shape>
              <v:shape style="position:absolute;left:10;top:10;width:1701;height:1298" type="#_x0000_t202" filled="false" stroked="false">
                <v:textbox inset="0,0,0,0">
                  <w:txbxContent>
                    <w:p>
                      <w:pPr>
                        <w:spacing w:line="316" w:lineRule="auto" w:before="16"/>
                        <w:ind w:left="27" w:right="51" w:firstLine="0"/>
                        <w:jc w:val="both"/>
                        <w:rPr>
                          <w:rFonts w:ascii="宋体" w:hAnsi="宋体" w:cs="宋体" w:eastAsia="宋体" w:hint="default"/>
                          <w:sz w:val="18"/>
                          <w:szCs w:val="18"/>
                        </w:rPr>
                      </w:pPr>
                      <w:r>
                        <w:rPr>
                          <w:rFonts w:ascii="宋体" w:hAnsi="宋体" w:cs="宋体" w:eastAsia="宋体" w:hint="default"/>
                          <w:sz w:val="18"/>
                          <w:szCs w:val="18"/>
                        </w:rPr>
                        <w:t>毕的，应当详细说明 未完成履行的具体原 因及下一步的工作计 划</w:t>
                      </w:r>
                    </w:p>
                  </w:txbxContent>
                </v:textbox>
                <w10:wrap type="none"/>
              </v:shape>
            </v:group>
          </v:group>
        </w:pict>
      </w:r>
      <w:r>
        <w:rPr>
          <w:rFonts w:ascii="宋体" w:hAnsi="宋体" w:cs="宋体" w:eastAsia="宋体" w:hint="default"/>
          <w:position w:val="-25"/>
          <w:sz w:val="20"/>
          <w:szCs w:val="20"/>
        </w:rPr>
      </w:r>
    </w:p>
    <w:p>
      <w:pPr>
        <w:spacing w:line="240" w:lineRule="auto" w:before="10"/>
        <w:rPr>
          <w:rFonts w:ascii="宋体" w:hAnsi="宋体" w:cs="宋体" w:eastAsia="宋体" w:hint="default"/>
          <w:sz w:val="19"/>
          <w:szCs w:val="19"/>
        </w:rPr>
      </w:pPr>
    </w:p>
    <w:p>
      <w:pPr>
        <w:pStyle w:val="Heading5"/>
        <w:spacing w:line="271" w:lineRule="auto" w:before="37"/>
        <w:ind w:left="172" w:right="740"/>
        <w:jc w:val="left"/>
        <w:rPr>
          <w:b w:val="0"/>
          <w:bCs w:val="0"/>
        </w:rPr>
      </w:pPr>
      <w:bookmarkStart w:name="2、公司资产或项目存在盈利预测，且报告期仍处在盈利预测期间，公司就资产或项目达到" w:id="68"/>
      <w:bookmarkEnd w:id="68"/>
      <w:r>
        <w:rPr>
          <w:b w:val="0"/>
          <w:bCs w:val="0"/>
        </w:rPr>
      </w:r>
      <w:r>
        <w:rPr>
          <w:rFonts w:ascii="Times New Roman" w:hAnsi="Times New Roman" w:cs="Times New Roman" w:eastAsia="Times New Roman" w:hint="default"/>
          <w:w w:val="95"/>
        </w:rPr>
        <w:t>2</w:t>
      </w:r>
      <w:r>
        <w:rPr>
          <w:w w:val="95"/>
        </w:rPr>
        <w:t>、公司资产或项目存在盈利预测，且报告期仍处在盈利预测期间，公司就资产或项目达到原盈利预测及其原因</w:t>
      </w:r>
      <w:r>
        <w:rPr>
          <w:spacing w:val="13"/>
          <w:w w:val="95"/>
        </w:rPr>
        <w:t> </w:t>
      </w:r>
      <w:r>
        <w:rPr>
          <w:spacing w:val="13"/>
          <w:w w:val="95"/>
        </w:rPr>
      </w:r>
      <w:r>
        <w:rPr/>
        <w:t>做出说明</w:t>
      </w:r>
      <w:r>
        <w:rPr>
          <w:b w:val="0"/>
          <w:bCs w:val="0"/>
        </w:rPr>
      </w:r>
    </w:p>
    <w:p>
      <w:pPr>
        <w:spacing w:line="240" w:lineRule="auto" w:before="0"/>
        <w:rPr>
          <w:rFonts w:ascii="宋体" w:hAnsi="宋体" w:cs="宋体" w:eastAsia="宋体" w:hint="default"/>
          <w:b/>
          <w:bCs/>
          <w:sz w:val="26"/>
          <w:szCs w:val="26"/>
        </w:rPr>
      </w:pPr>
    </w:p>
    <w:p>
      <w:pPr>
        <w:pStyle w:val="BodyText"/>
        <w:spacing w:line="240" w:lineRule="auto"/>
        <w:ind w:left="172" w:right="74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3"/>
        <w:rPr>
          <w:rFonts w:ascii="宋体" w:hAnsi="宋体" w:cs="宋体" w:eastAsia="宋体" w:hint="default"/>
          <w:sz w:val="7"/>
          <w:szCs w:val="7"/>
        </w:rPr>
      </w:pPr>
    </w:p>
    <w:tbl>
      <w:tblPr>
        <w:tblW w:w="0" w:type="auto"/>
        <w:jc w:val="left"/>
        <w:tblInd w:w="114" w:type="dxa"/>
        <w:tblLayout w:type="fixed"/>
        <w:tblCellMar>
          <w:top w:w="0" w:type="dxa"/>
          <w:left w:w="0" w:type="dxa"/>
          <w:bottom w:w="0" w:type="dxa"/>
          <w:right w:w="0" w:type="dxa"/>
        </w:tblCellMar>
        <w:tblLook w:val="01E0"/>
      </w:tblPr>
      <w:tblGrid>
        <w:gridCol w:w="1242"/>
        <w:gridCol w:w="851"/>
        <w:gridCol w:w="850"/>
        <w:gridCol w:w="1985"/>
        <w:gridCol w:w="1134"/>
        <w:gridCol w:w="1275"/>
        <w:gridCol w:w="851"/>
        <w:gridCol w:w="1559"/>
      </w:tblGrid>
      <w:tr>
        <w:trPr>
          <w:trHeight w:val="754" w:hRule="exact"/>
        </w:trPr>
        <w:tc>
          <w:tcPr>
            <w:tcW w:w="12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66" w:right="75" w:hanging="92"/>
              <w:jc w:val="left"/>
              <w:rPr>
                <w:rFonts w:ascii="宋体" w:hAnsi="宋体" w:cs="宋体" w:eastAsia="宋体" w:hint="default"/>
                <w:sz w:val="18"/>
                <w:szCs w:val="18"/>
              </w:rPr>
            </w:pPr>
            <w:r>
              <w:rPr>
                <w:rFonts w:ascii="宋体" w:hAnsi="宋体" w:cs="宋体" w:eastAsia="宋体" w:hint="default"/>
                <w:sz w:val="18"/>
                <w:szCs w:val="18"/>
              </w:rPr>
              <w:t>盈利预测资产 或项目名称</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39" w:right="59" w:hanging="180"/>
              <w:jc w:val="left"/>
              <w:rPr>
                <w:rFonts w:ascii="宋体" w:hAnsi="宋体" w:cs="宋体" w:eastAsia="宋体" w:hint="default"/>
                <w:sz w:val="18"/>
                <w:szCs w:val="18"/>
              </w:rPr>
            </w:pPr>
            <w:r>
              <w:rPr>
                <w:rFonts w:ascii="宋体" w:hAnsi="宋体" w:cs="宋体" w:eastAsia="宋体" w:hint="default"/>
                <w:sz w:val="18"/>
                <w:szCs w:val="18"/>
              </w:rPr>
              <w:t>预测起始 时间</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40" w:right="57" w:hanging="180"/>
              <w:jc w:val="left"/>
              <w:rPr>
                <w:rFonts w:ascii="宋体" w:hAnsi="宋体" w:cs="宋体" w:eastAsia="宋体" w:hint="default"/>
                <w:sz w:val="18"/>
                <w:szCs w:val="18"/>
              </w:rPr>
            </w:pPr>
            <w:r>
              <w:rPr>
                <w:rFonts w:ascii="宋体" w:hAnsi="宋体" w:cs="宋体" w:eastAsia="宋体" w:hint="default"/>
                <w:sz w:val="18"/>
                <w:szCs w:val="18"/>
              </w:rPr>
              <w:t>预测终止 时间</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当期预测业绩（万元）</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12" w:right="109"/>
              <w:jc w:val="left"/>
              <w:rPr>
                <w:rFonts w:ascii="宋体" w:hAnsi="宋体" w:cs="宋体" w:eastAsia="宋体" w:hint="default"/>
                <w:sz w:val="18"/>
                <w:szCs w:val="18"/>
              </w:rPr>
            </w:pPr>
            <w:r>
              <w:rPr>
                <w:rFonts w:ascii="宋体" w:hAnsi="宋体" w:cs="宋体" w:eastAsia="宋体" w:hint="default"/>
                <w:sz w:val="18"/>
                <w:szCs w:val="18"/>
              </w:rPr>
              <w:t>当期实际业 绩（万元）</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60" w:lineRule="auto" w:before="50"/>
              <w:ind w:left="361" w:right="270" w:hanging="89"/>
              <w:jc w:val="left"/>
              <w:rPr>
                <w:rFonts w:ascii="宋体" w:hAnsi="宋体" w:cs="宋体" w:eastAsia="宋体" w:hint="default"/>
                <w:sz w:val="18"/>
                <w:szCs w:val="18"/>
              </w:rPr>
            </w:pPr>
            <w:r>
              <w:rPr>
                <w:rFonts w:ascii="宋体" w:hAnsi="宋体" w:cs="宋体" w:eastAsia="宋体" w:hint="default"/>
                <w:sz w:val="18"/>
                <w:szCs w:val="18"/>
              </w:rPr>
              <w:t>未达预测 的原因</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49" w:right="58" w:hanging="89"/>
              <w:jc w:val="left"/>
              <w:rPr>
                <w:rFonts w:ascii="宋体" w:hAnsi="宋体" w:cs="宋体" w:eastAsia="宋体" w:hint="default"/>
                <w:sz w:val="18"/>
                <w:szCs w:val="18"/>
              </w:rPr>
            </w:pPr>
            <w:r>
              <w:rPr>
                <w:rFonts w:ascii="宋体" w:hAnsi="宋体" w:cs="宋体" w:eastAsia="宋体" w:hint="default"/>
                <w:sz w:val="18"/>
                <w:szCs w:val="18"/>
              </w:rPr>
              <w:t>原预测披 露日期</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原预测披露索引</w:t>
            </w:r>
          </w:p>
        </w:tc>
      </w:tr>
      <w:tr>
        <w:trPr>
          <w:trHeight w:val="361" w:hRule="exact"/>
        </w:trPr>
        <w:tc>
          <w:tcPr>
            <w:tcW w:w="124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收购湖北琪顺</w:t>
            </w:r>
          </w:p>
        </w:tc>
        <w:tc>
          <w:tcPr>
            <w:tcW w:w="85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01</w:t>
            </w:r>
          </w:p>
        </w:tc>
        <w:tc>
          <w:tcPr>
            <w:tcW w:w="85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12</w:t>
            </w:r>
          </w:p>
        </w:tc>
        <w:tc>
          <w:tcPr>
            <w:tcW w:w="198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三年经审计扣</w:t>
            </w:r>
          </w:p>
        </w:tc>
        <w:tc>
          <w:tcPr>
            <w:tcW w:w="113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84.31</w:t>
            </w:r>
          </w:p>
        </w:tc>
        <w:tc>
          <w:tcPr>
            <w:tcW w:w="127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92" w:right="0"/>
              <w:jc w:val="left"/>
              <w:rPr>
                <w:rFonts w:ascii="宋体" w:hAnsi="宋体" w:cs="宋体" w:eastAsia="宋体" w:hint="default"/>
                <w:sz w:val="18"/>
                <w:szCs w:val="18"/>
              </w:rPr>
            </w:pPr>
            <w:r>
              <w:rPr>
                <w:rFonts w:ascii="宋体" w:hAnsi="宋体" w:cs="宋体" w:eastAsia="宋体" w:hint="default"/>
                <w:sz w:val="18"/>
                <w:szCs w:val="18"/>
              </w:rPr>
              <w:t>武汉地区武装</w:t>
            </w:r>
          </w:p>
        </w:tc>
        <w:tc>
          <w:tcPr>
            <w:tcW w:w="85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08</w:t>
            </w:r>
          </w:p>
        </w:tc>
        <w:tc>
          <w:tcPr>
            <w:tcW w:w="155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《证券时报》及巨</w:t>
            </w:r>
          </w:p>
        </w:tc>
      </w:tr>
      <w:tr>
        <w:trPr>
          <w:trHeight w:val="312" w:hRule="exact"/>
        </w:trPr>
        <w:tc>
          <w:tcPr>
            <w:tcW w:w="124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
              <w:jc w:val="center"/>
              <w:rPr>
                <w:rFonts w:ascii="宋体" w:hAnsi="宋体" w:cs="宋体" w:eastAsia="宋体" w:hint="default"/>
                <w:sz w:val="18"/>
                <w:szCs w:val="18"/>
              </w:rPr>
            </w:pPr>
            <w:r>
              <w:rPr>
                <w:rFonts w:ascii="宋体" w:hAnsi="宋体" w:cs="宋体" w:eastAsia="宋体" w:hint="default"/>
                <w:sz w:val="18"/>
                <w:szCs w:val="18"/>
              </w:rPr>
              <w:t>投资有限公司</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
              <w:jc w:val="center"/>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
              <w:jc w:val="center"/>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
              <w:jc w:val="center"/>
              <w:rPr>
                <w:rFonts w:ascii="宋体" w:hAnsi="宋体" w:cs="宋体" w:eastAsia="宋体" w:hint="default"/>
                <w:sz w:val="18"/>
                <w:szCs w:val="18"/>
              </w:rPr>
            </w:pPr>
            <w:r>
              <w:rPr>
                <w:rFonts w:ascii="宋体" w:hAnsi="宋体" w:cs="宋体" w:eastAsia="宋体" w:hint="default"/>
                <w:sz w:val="18"/>
                <w:szCs w:val="18"/>
              </w:rPr>
              <w:t>除非经常性损益的税后</w:t>
            </w:r>
          </w:p>
        </w:tc>
        <w:tc>
          <w:tcPr>
            <w:tcW w:w="1134" w:type="dxa"/>
            <w:tcBorders>
              <w:top w:val="nil" w:sz="6" w:space="0" w:color="auto"/>
              <w:left w:val="single" w:sz="4" w:space="0" w:color="000000"/>
              <w:bottom w:val="nil" w:sz="6" w:space="0" w:color="auto"/>
              <w:right w:val="single" w:sz="4" w:space="0" w:color="000000"/>
            </w:tcBorders>
          </w:tcPr>
          <w:p>
            <w:pPr/>
          </w:p>
        </w:tc>
        <w:tc>
          <w:tcPr>
            <w:tcW w:w="127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92" w:right="0"/>
              <w:jc w:val="left"/>
              <w:rPr>
                <w:rFonts w:ascii="宋体" w:hAnsi="宋体" w:cs="宋体" w:eastAsia="宋体" w:hint="default"/>
                <w:sz w:val="18"/>
                <w:szCs w:val="18"/>
              </w:rPr>
            </w:pPr>
            <w:r>
              <w:rPr>
                <w:rFonts w:ascii="宋体" w:hAnsi="宋体" w:cs="宋体" w:eastAsia="宋体" w:hint="default"/>
                <w:sz w:val="18"/>
                <w:szCs w:val="18"/>
              </w:rPr>
              <w:t>押运市场竞争</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潮资讯网</w:t>
            </w:r>
          </w:p>
        </w:tc>
      </w:tr>
      <w:tr>
        <w:trPr>
          <w:trHeight w:val="312" w:hRule="exact"/>
        </w:trPr>
        <w:tc>
          <w:tcPr>
            <w:tcW w:w="124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
              <w:jc w:val="center"/>
              <w:rPr>
                <w:rFonts w:ascii="宋体" w:hAnsi="宋体" w:cs="宋体" w:eastAsia="宋体" w:hint="default"/>
                <w:sz w:val="18"/>
                <w:szCs w:val="18"/>
              </w:rPr>
            </w:pPr>
            <w:r>
              <w:rPr>
                <w:rFonts w:ascii="宋体" w:hAnsi="宋体" w:cs="宋体" w:eastAsia="宋体" w:hint="default"/>
                <w:sz w:val="18"/>
                <w:szCs w:val="18"/>
              </w:rPr>
              <w:t>持有的湖北融</w:t>
            </w:r>
          </w:p>
        </w:tc>
        <w:tc>
          <w:tcPr>
            <w:tcW w:w="851"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39"/>
              <w:jc w:val="center"/>
              <w:rPr>
                <w:rFonts w:ascii="Times New Roman" w:hAnsi="Times New Roman" w:cs="Times New Roman" w:eastAsia="Times New Roman" w:hint="default"/>
                <w:sz w:val="18"/>
                <w:szCs w:val="18"/>
              </w:rPr>
            </w:pPr>
            <w:r>
              <w:rPr>
                <w:rFonts w:ascii="宋体" w:hAnsi="宋体" w:cs="宋体" w:eastAsia="宋体" w:hint="default"/>
                <w:sz w:val="18"/>
                <w:szCs w:val="18"/>
              </w:rPr>
              <w:t>净利润累计不低于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1,946</w:t>
            </w:r>
          </w:p>
        </w:tc>
        <w:tc>
          <w:tcPr>
            <w:tcW w:w="1134" w:type="dxa"/>
            <w:tcBorders>
              <w:top w:val="nil" w:sz="6" w:space="0" w:color="auto"/>
              <w:left w:val="single" w:sz="4" w:space="0" w:color="000000"/>
              <w:bottom w:val="nil" w:sz="6" w:space="0" w:color="auto"/>
              <w:right w:val="single" w:sz="4" w:space="0" w:color="000000"/>
            </w:tcBorders>
          </w:tcPr>
          <w:p>
            <w:pPr/>
          </w:p>
        </w:tc>
        <w:tc>
          <w:tcPr>
            <w:tcW w:w="127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6"/>
                <w:sz w:val="18"/>
                <w:szCs w:val="18"/>
              </w:rPr>
              <w:t>日趋激烈，市场</w:t>
            </w:r>
          </w:p>
        </w:tc>
        <w:tc>
          <w:tcPr>
            <w:tcW w:w="851" w:type="dxa"/>
            <w:tcBorders>
              <w:top w:val="nil" w:sz="6" w:space="0" w:color="auto"/>
              <w:left w:val="single" w:sz="4" w:space="0" w:color="000000"/>
              <w:bottom w:val="nil" w:sz="6" w:space="0" w:color="auto"/>
              <w:right w:val="single" w:sz="4" w:space="0" w:color="000000"/>
            </w:tcBorders>
          </w:tcPr>
          <w:p>
            <w:pP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left="5" w:right="0"/>
              <w:jc w:val="center"/>
              <w:rPr>
                <w:rFonts w:ascii="Times New Roman" w:hAnsi="Times New Roman" w:cs="Times New Roman" w:eastAsia="Times New Roman" w:hint="default"/>
                <w:sz w:val="18"/>
                <w:szCs w:val="18"/>
              </w:rPr>
            </w:pPr>
            <w:hyperlink r:id="rId10">
              <w:r>
                <w:rPr>
                  <w:rFonts w:ascii="Times New Roman"/>
                  <w:sz w:val="18"/>
                </w:rPr>
                <w:t>www.cninfo.com.cn</w:t>
              </w:r>
            </w:hyperlink>
          </w:p>
        </w:tc>
      </w:tr>
      <w:tr>
        <w:trPr>
          <w:trHeight w:val="312" w:hRule="exact"/>
        </w:trPr>
        <w:tc>
          <w:tcPr>
            <w:tcW w:w="124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信</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49%</w:t>
            </w:r>
            <w:r>
              <w:rPr>
                <w:rFonts w:ascii="宋体" w:hAnsi="宋体" w:cs="宋体" w:eastAsia="宋体" w:hint="default"/>
                <w:sz w:val="18"/>
                <w:szCs w:val="18"/>
              </w:rPr>
              <w:t>股权</w:t>
            </w:r>
          </w:p>
        </w:tc>
        <w:tc>
          <w:tcPr>
            <w:tcW w:w="851"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
              <w:jc w:val="center"/>
              <w:rPr>
                <w:rFonts w:ascii="宋体" w:hAnsi="宋体" w:cs="宋体" w:eastAsia="宋体" w:hint="default"/>
                <w:sz w:val="18"/>
                <w:szCs w:val="18"/>
              </w:rPr>
            </w:pPr>
            <w:r>
              <w:rPr>
                <w:rFonts w:ascii="宋体" w:hAnsi="宋体" w:cs="宋体" w:eastAsia="宋体" w:hint="default"/>
                <w:sz w:val="18"/>
                <w:szCs w:val="18"/>
              </w:rPr>
              <w:t>万元</w:t>
            </w:r>
          </w:p>
        </w:tc>
        <w:tc>
          <w:tcPr>
            <w:tcW w:w="1134" w:type="dxa"/>
            <w:tcBorders>
              <w:top w:val="nil" w:sz="6" w:space="0" w:color="auto"/>
              <w:left w:val="single" w:sz="4" w:space="0" w:color="000000"/>
              <w:bottom w:val="nil" w:sz="6" w:space="0" w:color="auto"/>
              <w:right w:val="single" w:sz="4" w:space="0" w:color="000000"/>
            </w:tcBorders>
          </w:tcPr>
          <w:p>
            <w:pPr/>
          </w:p>
        </w:tc>
        <w:tc>
          <w:tcPr>
            <w:tcW w:w="127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92" w:right="0"/>
              <w:jc w:val="left"/>
              <w:rPr>
                <w:rFonts w:ascii="宋体" w:hAnsi="宋体" w:cs="宋体" w:eastAsia="宋体" w:hint="default"/>
                <w:sz w:val="18"/>
                <w:szCs w:val="18"/>
              </w:rPr>
            </w:pPr>
            <w:r>
              <w:rPr>
                <w:rFonts w:ascii="宋体" w:hAnsi="宋体" w:cs="宋体" w:eastAsia="宋体" w:hint="default"/>
                <w:sz w:val="18"/>
                <w:szCs w:val="18"/>
              </w:rPr>
              <w:t>价格战致使收</w:t>
            </w:r>
          </w:p>
        </w:tc>
        <w:tc>
          <w:tcPr>
            <w:tcW w:w="851" w:type="dxa"/>
            <w:tcBorders>
              <w:top w:val="nil" w:sz="6" w:space="0" w:color="auto"/>
              <w:left w:val="single" w:sz="4" w:space="0" w:color="000000"/>
              <w:bottom w:val="nil" w:sz="6" w:space="0" w:color="auto"/>
              <w:right w:val="single" w:sz="4" w:space="0" w:color="000000"/>
            </w:tcBorders>
          </w:tcPr>
          <w:p>
            <w:pP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上的《临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2017-037</w:t>
            </w:r>
          </w:p>
        </w:tc>
      </w:tr>
      <w:tr>
        <w:trPr>
          <w:trHeight w:val="307" w:hRule="exact"/>
        </w:trPr>
        <w:tc>
          <w:tcPr>
            <w:tcW w:w="124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985"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27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92" w:right="0"/>
              <w:jc w:val="left"/>
              <w:rPr>
                <w:rFonts w:ascii="宋体" w:hAnsi="宋体" w:cs="宋体" w:eastAsia="宋体" w:hint="default"/>
                <w:sz w:val="18"/>
                <w:szCs w:val="18"/>
              </w:rPr>
            </w:pPr>
            <w:r>
              <w:rPr>
                <w:rFonts w:ascii="宋体" w:hAnsi="宋体" w:cs="宋体" w:eastAsia="宋体" w:hint="default"/>
                <w:sz w:val="18"/>
                <w:szCs w:val="18"/>
              </w:rPr>
              <w:t>入和利润水平</w:t>
            </w:r>
          </w:p>
        </w:tc>
        <w:tc>
          <w:tcPr>
            <w:tcW w:w="851" w:type="dxa"/>
            <w:tcBorders>
              <w:top w:val="nil" w:sz="6" w:space="0" w:color="auto"/>
              <w:left w:val="single" w:sz="4" w:space="0" w:color="000000"/>
              <w:bottom w:val="nil" w:sz="6" w:space="0" w:color="auto"/>
              <w:right w:val="single" w:sz="4" w:space="0" w:color="000000"/>
            </w:tcBorders>
          </w:tcPr>
          <w:p>
            <w:pP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号公告</w:t>
            </w:r>
          </w:p>
        </w:tc>
      </w:tr>
      <w:tr>
        <w:trPr>
          <w:trHeight w:val="358" w:hRule="exact"/>
        </w:trPr>
        <w:tc>
          <w:tcPr>
            <w:tcW w:w="1242"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1985"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127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81" w:right="0"/>
              <w:jc w:val="left"/>
              <w:rPr>
                <w:rFonts w:ascii="宋体" w:hAnsi="宋体" w:cs="宋体" w:eastAsia="宋体" w:hint="default"/>
                <w:sz w:val="18"/>
                <w:szCs w:val="18"/>
              </w:rPr>
            </w:pPr>
            <w:r>
              <w:rPr>
                <w:rFonts w:ascii="宋体" w:hAnsi="宋体" w:cs="宋体" w:eastAsia="宋体" w:hint="default"/>
                <w:sz w:val="18"/>
                <w:szCs w:val="18"/>
              </w:rPr>
              <w:t>不如预期。</w:t>
            </w:r>
          </w:p>
        </w:tc>
        <w:tc>
          <w:tcPr>
            <w:tcW w:w="851" w:type="dxa"/>
            <w:tcBorders>
              <w:top w:val="nil" w:sz="6" w:space="0" w:color="auto"/>
              <w:left w:val="single" w:sz="4" w:space="0" w:color="000000"/>
              <w:bottom w:val="single" w:sz="4" w:space="0" w:color="000000"/>
              <w:right w:val="single" w:sz="4" w:space="0" w:color="000000"/>
            </w:tcBorders>
          </w:tcPr>
          <w:p>
            <w:pPr/>
          </w:p>
        </w:tc>
        <w:tc>
          <w:tcPr>
            <w:tcW w:w="1559" w:type="dxa"/>
            <w:tcBorders>
              <w:top w:val="nil" w:sz="6" w:space="0" w:color="auto"/>
              <w:left w:val="single" w:sz="4" w:space="0" w:color="000000"/>
              <w:bottom w:val="single" w:sz="4" w:space="0" w:color="000000"/>
              <w:right w:val="single" w:sz="4" w:space="0" w:color="000000"/>
            </w:tcBorders>
          </w:tcPr>
          <w:p>
            <w:pPr/>
          </w:p>
        </w:tc>
      </w:tr>
      <w:tr>
        <w:trPr>
          <w:trHeight w:val="361" w:hRule="exact"/>
        </w:trPr>
        <w:tc>
          <w:tcPr>
            <w:tcW w:w="124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中科江南</w:t>
            </w:r>
          </w:p>
        </w:tc>
        <w:tc>
          <w:tcPr>
            <w:tcW w:w="85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01</w:t>
            </w:r>
          </w:p>
        </w:tc>
        <w:tc>
          <w:tcPr>
            <w:tcW w:w="85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12</w:t>
            </w:r>
          </w:p>
        </w:tc>
        <w:tc>
          <w:tcPr>
            <w:tcW w:w="198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right="39"/>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2019</w:t>
            </w:r>
          </w:p>
        </w:tc>
        <w:tc>
          <w:tcPr>
            <w:tcW w:w="113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7,016.24</w:t>
            </w:r>
          </w:p>
        </w:tc>
        <w:tc>
          <w:tcPr>
            <w:tcW w:w="127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36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5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w:t>
            </w:r>
          </w:p>
        </w:tc>
        <w:tc>
          <w:tcPr>
            <w:tcW w:w="155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《证券时报》及巨</w:t>
            </w:r>
          </w:p>
        </w:tc>
      </w:tr>
      <w:tr>
        <w:trPr>
          <w:trHeight w:val="312" w:hRule="exact"/>
        </w:trPr>
        <w:tc>
          <w:tcPr>
            <w:tcW w:w="124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
              <w:jc w:val="center"/>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
              <w:jc w:val="center"/>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
              <w:jc w:val="center"/>
              <w:rPr>
                <w:rFonts w:ascii="宋体" w:hAnsi="宋体" w:cs="宋体" w:eastAsia="宋体" w:hint="default"/>
                <w:sz w:val="18"/>
                <w:szCs w:val="18"/>
              </w:rPr>
            </w:pPr>
            <w:r>
              <w:rPr>
                <w:rFonts w:ascii="宋体" w:hAnsi="宋体" w:cs="宋体" w:eastAsia="宋体" w:hint="default"/>
                <w:sz w:val="18"/>
                <w:szCs w:val="18"/>
              </w:rPr>
              <w:t>年及</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年扣除非经常</w:t>
            </w:r>
          </w:p>
        </w:tc>
        <w:tc>
          <w:tcPr>
            <w:tcW w:w="1134" w:type="dxa"/>
            <w:tcBorders>
              <w:top w:val="nil" w:sz="6" w:space="0" w:color="auto"/>
              <w:left w:val="single" w:sz="4" w:space="0" w:color="000000"/>
              <w:bottom w:val="nil" w:sz="6" w:space="0" w:color="auto"/>
              <w:right w:val="single" w:sz="4" w:space="0" w:color="000000"/>
            </w:tcBorders>
          </w:tcPr>
          <w:p>
            <w:pPr/>
          </w:p>
        </w:tc>
        <w:tc>
          <w:tcPr>
            <w:tcW w:w="1275"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center"/>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center"/>
              <w:rPr>
                <w:rFonts w:ascii="宋体" w:hAnsi="宋体" w:cs="宋体" w:eastAsia="宋体" w:hint="default"/>
                <w:sz w:val="18"/>
                <w:szCs w:val="18"/>
              </w:rPr>
            </w:pPr>
            <w:r>
              <w:rPr>
                <w:rFonts w:ascii="宋体" w:hAnsi="宋体" w:cs="宋体" w:eastAsia="宋体" w:hint="default"/>
                <w:sz w:val="18"/>
                <w:szCs w:val="18"/>
              </w:rPr>
              <w:t>潮资讯网</w:t>
            </w:r>
          </w:p>
        </w:tc>
      </w:tr>
      <w:tr>
        <w:trPr>
          <w:trHeight w:val="312" w:hRule="exact"/>
        </w:trPr>
        <w:tc>
          <w:tcPr>
            <w:tcW w:w="124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
              <w:jc w:val="center"/>
              <w:rPr>
                <w:rFonts w:ascii="宋体" w:hAnsi="宋体" w:cs="宋体" w:eastAsia="宋体" w:hint="default"/>
                <w:sz w:val="18"/>
                <w:szCs w:val="18"/>
              </w:rPr>
            </w:pPr>
            <w:r>
              <w:rPr>
                <w:rFonts w:ascii="宋体" w:hAnsi="宋体" w:cs="宋体" w:eastAsia="宋体" w:hint="default"/>
                <w:sz w:val="18"/>
                <w:szCs w:val="18"/>
              </w:rPr>
              <w:t>性损益后的净利润分别</w:t>
            </w:r>
          </w:p>
        </w:tc>
        <w:tc>
          <w:tcPr>
            <w:tcW w:w="1134" w:type="dxa"/>
            <w:tcBorders>
              <w:top w:val="nil" w:sz="6" w:space="0" w:color="auto"/>
              <w:left w:val="single" w:sz="4" w:space="0" w:color="000000"/>
              <w:bottom w:val="nil" w:sz="6" w:space="0" w:color="auto"/>
              <w:right w:val="single" w:sz="4" w:space="0" w:color="000000"/>
            </w:tcBorders>
          </w:tcPr>
          <w:p>
            <w:pPr/>
          </w:p>
        </w:tc>
        <w:tc>
          <w:tcPr>
            <w:tcW w:w="1275"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30"/>
              <w:jc w:val="center"/>
              <w:rPr>
                <w:rFonts w:ascii="Times New Roman" w:hAnsi="Times New Roman" w:cs="Times New Roman" w:eastAsia="Times New Roman" w:hint="default"/>
                <w:sz w:val="18"/>
                <w:szCs w:val="18"/>
              </w:rPr>
            </w:pPr>
            <w:hyperlink r:id="rId10">
              <w:r>
                <w:rPr>
                  <w:rFonts w:ascii="Times New Roman"/>
                  <w:sz w:val="18"/>
                </w:rPr>
                <w:t>www.cninfo.com.cn</w:t>
              </w:r>
            </w:hyperlink>
          </w:p>
        </w:tc>
      </w:tr>
      <w:tr>
        <w:trPr>
          <w:trHeight w:val="312" w:hRule="exact"/>
        </w:trPr>
        <w:tc>
          <w:tcPr>
            <w:tcW w:w="124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不低于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4,000 </w:t>
            </w:r>
            <w:r>
              <w:rPr>
                <w:rFonts w:ascii="宋体" w:hAnsi="宋体" w:cs="宋体" w:eastAsia="宋体" w:hint="default"/>
                <w:spacing w:val="-7"/>
                <w:sz w:val="18"/>
                <w:szCs w:val="18"/>
              </w:rPr>
              <w:t>万元、</w:t>
            </w:r>
            <w:r>
              <w:rPr>
                <w:rFonts w:ascii="Times New Roman" w:hAnsi="Times New Roman" w:cs="Times New Roman" w:eastAsia="Times New Roman" w:hint="default"/>
                <w:spacing w:val="-7"/>
                <w:sz w:val="18"/>
                <w:szCs w:val="18"/>
              </w:rPr>
              <w:t>4,500</w:t>
            </w:r>
          </w:p>
        </w:tc>
        <w:tc>
          <w:tcPr>
            <w:tcW w:w="1134" w:type="dxa"/>
            <w:tcBorders>
              <w:top w:val="nil" w:sz="6" w:space="0" w:color="auto"/>
              <w:left w:val="single" w:sz="4" w:space="0" w:color="000000"/>
              <w:bottom w:val="nil" w:sz="6" w:space="0" w:color="auto"/>
              <w:right w:val="single" w:sz="4" w:space="0" w:color="000000"/>
            </w:tcBorders>
          </w:tcPr>
          <w:p>
            <w:pPr/>
          </w:p>
        </w:tc>
        <w:tc>
          <w:tcPr>
            <w:tcW w:w="1275"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center"/>
              <w:rPr>
                <w:rFonts w:ascii="宋体" w:hAnsi="宋体" w:cs="宋体" w:eastAsia="宋体" w:hint="default"/>
                <w:sz w:val="18"/>
                <w:szCs w:val="18"/>
              </w:rPr>
            </w:pPr>
            <w:r>
              <w:rPr>
                <w:rFonts w:ascii="宋体" w:hAnsi="宋体" w:cs="宋体" w:eastAsia="宋体" w:hint="default"/>
                <w:sz w:val="18"/>
                <w:szCs w:val="18"/>
              </w:rPr>
              <w:t>上的临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2018-007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p>
        </w:tc>
      </w:tr>
      <w:tr>
        <w:trPr>
          <w:trHeight w:val="312" w:hRule="exact"/>
        </w:trPr>
        <w:tc>
          <w:tcPr>
            <w:tcW w:w="124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center"/>
              <w:rPr>
                <w:rFonts w:ascii="Times New Roman" w:hAnsi="Times New Roman" w:cs="Times New Roman" w:eastAsia="Times New Roman" w:hint="default"/>
                <w:sz w:val="18"/>
                <w:szCs w:val="18"/>
              </w:rPr>
            </w:pPr>
            <w:r>
              <w:rPr>
                <w:rFonts w:ascii="宋体" w:hAnsi="宋体" w:cs="宋体" w:eastAsia="宋体" w:hint="default"/>
                <w:spacing w:val="-7"/>
                <w:sz w:val="18"/>
                <w:szCs w:val="18"/>
              </w:rPr>
              <w:t>万元、</w:t>
            </w:r>
            <w:r>
              <w:rPr>
                <w:rFonts w:ascii="Times New Roman" w:hAnsi="Times New Roman" w:cs="Times New Roman" w:eastAsia="Times New Roman" w:hint="default"/>
                <w:spacing w:val="-7"/>
                <w:sz w:val="18"/>
                <w:szCs w:val="18"/>
              </w:rPr>
              <w:t>5,100 </w:t>
            </w:r>
            <w:r>
              <w:rPr>
                <w:rFonts w:ascii="宋体" w:hAnsi="宋体" w:cs="宋体" w:eastAsia="宋体" w:hint="default"/>
                <w:sz w:val="18"/>
                <w:szCs w:val="18"/>
              </w:rPr>
              <w:t>万元及</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6,000</w:t>
            </w:r>
          </w:p>
        </w:tc>
        <w:tc>
          <w:tcPr>
            <w:tcW w:w="1134" w:type="dxa"/>
            <w:tcBorders>
              <w:top w:val="nil" w:sz="6" w:space="0" w:color="auto"/>
              <w:left w:val="single" w:sz="4" w:space="0" w:color="000000"/>
              <w:bottom w:val="nil" w:sz="6" w:space="0" w:color="auto"/>
              <w:right w:val="single" w:sz="4" w:space="0" w:color="000000"/>
            </w:tcBorders>
          </w:tcPr>
          <w:p>
            <w:pPr/>
          </w:p>
        </w:tc>
        <w:tc>
          <w:tcPr>
            <w:tcW w:w="1275"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center"/>
              <w:rPr>
                <w:rFonts w:ascii="宋体" w:hAnsi="宋体" w:cs="宋体" w:eastAsia="宋体" w:hint="default"/>
                <w:sz w:val="18"/>
                <w:szCs w:val="18"/>
              </w:rPr>
            </w:pPr>
            <w:r>
              <w:rPr>
                <w:rFonts w:ascii="宋体" w:hAnsi="宋体" w:cs="宋体" w:eastAsia="宋体" w:hint="default"/>
                <w:sz w:val="18"/>
                <w:szCs w:val="18"/>
              </w:rPr>
              <w:t>公告</w:t>
            </w:r>
          </w:p>
        </w:tc>
      </w:tr>
      <w:tr>
        <w:trPr>
          <w:trHeight w:val="353" w:hRule="exact"/>
        </w:trPr>
        <w:tc>
          <w:tcPr>
            <w:tcW w:w="1242"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198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1134" w:type="dxa"/>
            <w:tcBorders>
              <w:top w:val="nil" w:sz="6" w:space="0" w:color="auto"/>
              <w:left w:val="single" w:sz="4" w:space="0" w:color="000000"/>
              <w:bottom w:val="single" w:sz="4" w:space="0" w:color="000000"/>
              <w:right w:val="single" w:sz="4" w:space="0" w:color="000000"/>
            </w:tcBorders>
          </w:tcPr>
          <w:p>
            <w:pPr/>
          </w:p>
        </w:tc>
        <w:tc>
          <w:tcPr>
            <w:tcW w:w="1275"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1559" w:type="dxa"/>
            <w:tcBorders>
              <w:top w:val="nil" w:sz="6" w:space="0" w:color="auto"/>
              <w:left w:val="single" w:sz="4" w:space="0" w:color="000000"/>
              <w:bottom w:val="single" w:sz="4" w:space="0" w:color="000000"/>
              <w:right w:val="single" w:sz="4" w:space="0" w:color="000000"/>
            </w:tcBorders>
          </w:tcPr>
          <w:p>
            <w:pPr/>
          </w:p>
        </w:tc>
      </w:tr>
      <w:tr>
        <w:trPr>
          <w:trHeight w:val="361" w:hRule="exact"/>
        </w:trPr>
        <w:tc>
          <w:tcPr>
            <w:tcW w:w="124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信义科技</w:t>
            </w:r>
          </w:p>
        </w:tc>
        <w:tc>
          <w:tcPr>
            <w:tcW w:w="85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01</w:t>
            </w:r>
          </w:p>
        </w:tc>
        <w:tc>
          <w:tcPr>
            <w:tcW w:w="85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12</w:t>
            </w:r>
          </w:p>
        </w:tc>
        <w:tc>
          <w:tcPr>
            <w:tcW w:w="198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right="39"/>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2019</w:t>
            </w:r>
          </w:p>
        </w:tc>
        <w:tc>
          <w:tcPr>
            <w:tcW w:w="113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5,495.83</w:t>
            </w:r>
          </w:p>
        </w:tc>
        <w:tc>
          <w:tcPr>
            <w:tcW w:w="127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36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5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p>
        </w:tc>
        <w:tc>
          <w:tcPr>
            <w:tcW w:w="155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《证券时报》及巨</w:t>
            </w:r>
          </w:p>
        </w:tc>
      </w:tr>
      <w:tr>
        <w:trPr>
          <w:trHeight w:val="312" w:hRule="exact"/>
        </w:trPr>
        <w:tc>
          <w:tcPr>
            <w:tcW w:w="124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
              <w:jc w:val="center"/>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
              <w:jc w:val="center"/>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
              <w:jc w:val="center"/>
              <w:rPr>
                <w:rFonts w:ascii="宋体" w:hAnsi="宋体" w:cs="宋体" w:eastAsia="宋体" w:hint="default"/>
                <w:sz w:val="18"/>
                <w:szCs w:val="18"/>
              </w:rPr>
            </w:pPr>
            <w:r>
              <w:rPr>
                <w:rFonts w:ascii="宋体" w:hAnsi="宋体" w:cs="宋体" w:eastAsia="宋体" w:hint="default"/>
                <w:spacing w:val="-5"/>
                <w:sz w:val="18"/>
                <w:szCs w:val="18"/>
              </w:rPr>
              <w:t>年的（归属于公司的）扣</w:t>
            </w:r>
          </w:p>
        </w:tc>
        <w:tc>
          <w:tcPr>
            <w:tcW w:w="1134" w:type="dxa"/>
            <w:tcBorders>
              <w:top w:val="nil" w:sz="6" w:space="0" w:color="auto"/>
              <w:left w:val="single" w:sz="4" w:space="0" w:color="000000"/>
              <w:bottom w:val="nil" w:sz="6" w:space="0" w:color="auto"/>
              <w:right w:val="single" w:sz="4" w:space="0" w:color="000000"/>
            </w:tcBorders>
          </w:tcPr>
          <w:p>
            <w:pPr/>
          </w:p>
        </w:tc>
        <w:tc>
          <w:tcPr>
            <w:tcW w:w="1275"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潮资讯网</w:t>
            </w:r>
          </w:p>
        </w:tc>
      </w:tr>
      <w:tr>
        <w:trPr>
          <w:trHeight w:val="312" w:hRule="exact"/>
        </w:trPr>
        <w:tc>
          <w:tcPr>
            <w:tcW w:w="124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
              <w:jc w:val="center"/>
              <w:rPr>
                <w:rFonts w:ascii="宋体" w:hAnsi="宋体" w:cs="宋体" w:eastAsia="宋体" w:hint="default"/>
                <w:sz w:val="18"/>
                <w:szCs w:val="18"/>
              </w:rPr>
            </w:pPr>
            <w:r>
              <w:rPr>
                <w:rFonts w:ascii="宋体" w:hAnsi="宋体" w:cs="宋体" w:eastAsia="宋体" w:hint="default"/>
                <w:sz w:val="18"/>
                <w:szCs w:val="18"/>
              </w:rPr>
              <w:t>除非经常性损益的税后</w:t>
            </w:r>
          </w:p>
        </w:tc>
        <w:tc>
          <w:tcPr>
            <w:tcW w:w="1134" w:type="dxa"/>
            <w:tcBorders>
              <w:top w:val="nil" w:sz="6" w:space="0" w:color="auto"/>
              <w:left w:val="single" w:sz="4" w:space="0" w:color="000000"/>
              <w:bottom w:val="nil" w:sz="6" w:space="0" w:color="auto"/>
              <w:right w:val="single" w:sz="4" w:space="0" w:color="000000"/>
            </w:tcBorders>
          </w:tcPr>
          <w:p>
            <w:pPr/>
          </w:p>
        </w:tc>
        <w:tc>
          <w:tcPr>
            <w:tcW w:w="1275"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30"/>
              <w:jc w:val="center"/>
              <w:rPr>
                <w:rFonts w:ascii="Times New Roman" w:hAnsi="Times New Roman" w:cs="Times New Roman" w:eastAsia="Times New Roman" w:hint="default"/>
                <w:sz w:val="18"/>
                <w:szCs w:val="18"/>
              </w:rPr>
            </w:pPr>
            <w:hyperlink r:id="rId10">
              <w:r>
                <w:rPr>
                  <w:rFonts w:ascii="Times New Roman"/>
                  <w:sz w:val="18"/>
                </w:rPr>
                <w:t>www.cninfo.com.cn</w:t>
              </w:r>
            </w:hyperlink>
          </w:p>
        </w:tc>
      </w:tr>
      <w:tr>
        <w:trPr>
          <w:trHeight w:val="307" w:hRule="exact"/>
        </w:trPr>
        <w:tc>
          <w:tcPr>
            <w:tcW w:w="124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
              <w:jc w:val="center"/>
              <w:rPr>
                <w:rFonts w:ascii="宋体" w:hAnsi="宋体" w:cs="宋体" w:eastAsia="宋体" w:hint="default"/>
                <w:sz w:val="18"/>
                <w:szCs w:val="18"/>
              </w:rPr>
            </w:pPr>
            <w:r>
              <w:rPr>
                <w:rFonts w:ascii="宋体" w:hAnsi="宋体" w:cs="宋体" w:eastAsia="宋体" w:hint="default"/>
                <w:sz w:val="18"/>
                <w:szCs w:val="18"/>
              </w:rPr>
              <w:t>净利润合计不低于人民</w:t>
            </w:r>
          </w:p>
        </w:tc>
        <w:tc>
          <w:tcPr>
            <w:tcW w:w="1134" w:type="dxa"/>
            <w:tcBorders>
              <w:top w:val="nil" w:sz="6" w:space="0" w:color="auto"/>
              <w:left w:val="single" w:sz="4" w:space="0" w:color="000000"/>
              <w:bottom w:val="nil" w:sz="6" w:space="0" w:color="auto"/>
              <w:right w:val="single" w:sz="4" w:space="0" w:color="000000"/>
            </w:tcBorders>
          </w:tcPr>
          <w:p>
            <w:pPr/>
          </w:p>
        </w:tc>
        <w:tc>
          <w:tcPr>
            <w:tcW w:w="1275"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上的临时公告临</w:t>
            </w:r>
          </w:p>
        </w:tc>
      </w:tr>
      <w:tr>
        <w:trPr>
          <w:trHeight w:val="317" w:hRule="exact"/>
        </w:trPr>
        <w:tc>
          <w:tcPr>
            <w:tcW w:w="124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币</w:t>
            </w:r>
            <w:r>
              <w:rPr>
                <w:rFonts w:ascii="宋体" w:hAnsi="宋体" w:cs="宋体" w:eastAsia="宋体" w:hint="default"/>
                <w:spacing w:val="-62"/>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7</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万元</w:t>
            </w:r>
            <w:r>
              <w:rPr>
                <w:rFonts w:ascii="宋体" w:hAnsi="宋体" w:cs="宋体" w:eastAsia="宋体" w:hint="default"/>
                <w:spacing w:val="-89"/>
                <w:sz w:val="18"/>
                <w:szCs w:val="18"/>
              </w:rPr>
              <w:t>，</w:t>
            </w:r>
            <w:r>
              <w:rPr>
                <w:rFonts w:ascii="宋体" w:hAnsi="宋体" w:cs="宋体" w:eastAsia="宋体" w:hint="default"/>
                <w:sz w:val="18"/>
                <w:szCs w:val="18"/>
              </w:rPr>
              <w:t>其中</w:t>
            </w:r>
            <w:r>
              <w:rPr>
                <w:rFonts w:ascii="宋体" w:hAnsi="宋体" w:cs="宋体" w:eastAsia="宋体" w:hint="default"/>
                <w:spacing w:val="-6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7</w:t>
            </w:r>
          </w:p>
        </w:tc>
        <w:tc>
          <w:tcPr>
            <w:tcW w:w="1134" w:type="dxa"/>
            <w:tcBorders>
              <w:top w:val="nil" w:sz="6" w:space="0" w:color="auto"/>
              <w:left w:val="single" w:sz="4" w:space="0" w:color="000000"/>
              <w:bottom w:val="nil" w:sz="6" w:space="0" w:color="auto"/>
              <w:right w:val="single" w:sz="4" w:space="0" w:color="000000"/>
            </w:tcBorders>
          </w:tcPr>
          <w:p>
            <w:pPr/>
          </w:p>
        </w:tc>
        <w:tc>
          <w:tcPr>
            <w:tcW w:w="1275"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2018-002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号公告</w:t>
            </w:r>
          </w:p>
        </w:tc>
      </w:tr>
      <w:tr>
        <w:trPr>
          <w:trHeight w:val="312" w:hRule="exact"/>
        </w:trPr>
        <w:tc>
          <w:tcPr>
            <w:tcW w:w="124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
              <w:jc w:val="center"/>
              <w:rPr>
                <w:rFonts w:ascii="宋体" w:hAnsi="宋体" w:cs="宋体" w:eastAsia="宋体" w:hint="default"/>
                <w:sz w:val="18"/>
                <w:szCs w:val="18"/>
              </w:rPr>
            </w:pPr>
            <w:r>
              <w:rPr>
                <w:rFonts w:ascii="宋体" w:hAnsi="宋体" w:cs="宋体" w:eastAsia="宋体" w:hint="default"/>
                <w:sz w:val="18"/>
                <w:szCs w:val="18"/>
              </w:rPr>
              <w:t>年不低于人民币</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2,500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w:t>
            </w:r>
          </w:p>
        </w:tc>
        <w:tc>
          <w:tcPr>
            <w:tcW w:w="1134" w:type="dxa"/>
            <w:tcBorders>
              <w:top w:val="nil" w:sz="6" w:space="0" w:color="auto"/>
              <w:left w:val="single" w:sz="4" w:space="0" w:color="000000"/>
              <w:bottom w:val="nil" w:sz="6" w:space="0" w:color="auto"/>
              <w:right w:val="single" w:sz="4" w:space="0" w:color="000000"/>
            </w:tcBorders>
          </w:tcPr>
          <w:p>
            <w:pPr/>
          </w:p>
        </w:tc>
        <w:tc>
          <w:tcPr>
            <w:tcW w:w="1275"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1559" w:type="dxa"/>
            <w:tcBorders>
              <w:top w:val="nil" w:sz="6" w:space="0" w:color="auto"/>
              <w:left w:val="single" w:sz="4" w:space="0" w:color="000000"/>
              <w:bottom w:val="nil" w:sz="6" w:space="0" w:color="auto"/>
              <w:right w:val="single" w:sz="4" w:space="0" w:color="000000"/>
            </w:tcBorders>
          </w:tcPr>
          <w:p>
            <w:pPr/>
          </w:p>
        </w:tc>
      </w:tr>
      <w:tr>
        <w:trPr>
          <w:trHeight w:val="353" w:hRule="exact"/>
        </w:trPr>
        <w:tc>
          <w:tcPr>
            <w:tcW w:w="1242"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198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18"/>
                <w:szCs w:val="18"/>
              </w:rPr>
            </w:pPr>
            <w:r>
              <w:rPr>
                <w:rFonts w:ascii="宋体" w:hAnsi="宋体" w:cs="宋体" w:eastAsia="宋体" w:hint="default"/>
                <w:sz w:val="18"/>
                <w:szCs w:val="18"/>
              </w:rPr>
              <w:t>元。</w:t>
            </w:r>
          </w:p>
        </w:tc>
        <w:tc>
          <w:tcPr>
            <w:tcW w:w="1134" w:type="dxa"/>
            <w:tcBorders>
              <w:top w:val="nil" w:sz="6" w:space="0" w:color="auto"/>
              <w:left w:val="single" w:sz="4" w:space="0" w:color="000000"/>
              <w:bottom w:val="single" w:sz="4" w:space="0" w:color="000000"/>
              <w:right w:val="single" w:sz="4" w:space="0" w:color="000000"/>
            </w:tcBorders>
          </w:tcPr>
          <w:p>
            <w:pPr/>
          </w:p>
        </w:tc>
        <w:tc>
          <w:tcPr>
            <w:tcW w:w="1275"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1559" w:type="dxa"/>
            <w:tcBorders>
              <w:top w:val="nil" w:sz="6" w:space="0" w:color="auto"/>
              <w:left w:val="single" w:sz="4" w:space="0" w:color="000000"/>
              <w:bottom w:val="single" w:sz="4" w:space="0" w:color="000000"/>
              <w:right w:val="single" w:sz="4" w:space="0" w:color="000000"/>
            </w:tcBorders>
          </w:tcPr>
          <w:p>
            <w:pPr/>
          </w:p>
        </w:tc>
      </w:tr>
      <w:tr>
        <w:trPr>
          <w:trHeight w:val="361" w:hRule="exact"/>
        </w:trPr>
        <w:tc>
          <w:tcPr>
            <w:tcW w:w="124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创自技术</w:t>
            </w:r>
          </w:p>
        </w:tc>
        <w:tc>
          <w:tcPr>
            <w:tcW w:w="85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01</w:t>
            </w:r>
          </w:p>
        </w:tc>
        <w:tc>
          <w:tcPr>
            <w:tcW w:w="85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12</w:t>
            </w:r>
          </w:p>
        </w:tc>
        <w:tc>
          <w:tcPr>
            <w:tcW w:w="198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在</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年两年期</w:t>
            </w:r>
          </w:p>
        </w:tc>
        <w:tc>
          <w:tcPr>
            <w:tcW w:w="113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2,151.01</w:t>
            </w:r>
          </w:p>
        </w:tc>
        <w:tc>
          <w:tcPr>
            <w:tcW w:w="127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36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5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w:t>
            </w:r>
          </w:p>
        </w:tc>
        <w:tc>
          <w:tcPr>
            <w:tcW w:w="155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《证券时报》《中</w:t>
            </w:r>
          </w:p>
        </w:tc>
      </w:tr>
      <w:tr>
        <w:trPr>
          <w:trHeight w:val="312" w:hRule="exact"/>
        </w:trPr>
        <w:tc>
          <w:tcPr>
            <w:tcW w:w="124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
              <w:jc w:val="center"/>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
              <w:jc w:val="center"/>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
              <w:jc w:val="center"/>
              <w:rPr>
                <w:rFonts w:ascii="宋体" w:hAnsi="宋体" w:cs="宋体" w:eastAsia="宋体" w:hint="default"/>
                <w:sz w:val="18"/>
                <w:szCs w:val="18"/>
              </w:rPr>
            </w:pPr>
            <w:r>
              <w:rPr>
                <w:rFonts w:ascii="宋体" w:hAnsi="宋体" w:cs="宋体" w:eastAsia="宋体" w:hint="default"/>
                <w:spacing w:val="-5"/>
                <w:sz w:val="18"/>
                <w:szCs w:val="18"/>
              </w:rPr>
              <w:t>间，每年度公司的净利润</w:t>
            </w:r>
          </w:p>
        </w:tc>
        <w:tc>
          <w:tcPr>
            <w:tcW w:w="1134" w:type="dxa"/>
            <w:tcBorders>
              <w:top w:val="nil" w:sz="6" w:space="0" w:color="auto"/>
              <w:left w:val="single" w:sz="4" w:space="0" w:color="000000"/>
              <w:bottom w:val="nil" w:sz="6" w:space="0" w:color="auto"/>
              <w:right w:val="single" w:sz="4" w:space="0" w:color="000000"/>
            </w:tcBorders>
          </w:tcPr>
          <w:p>
            <w:pPr/>
          </w:p>
        </w:tc>
        <w:tc>
          <w:tcPr>
            <w:tcW w:w="1275"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center"/>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center"/>
              <w:rPr>
                <w:rFonts w:ascii="宋体" w:hAnsi="宋体" w:cs="宋体" w:eastAsia="宋体" w:hint="default"/>
                <w:sz w:val="18"/>
                <w:szCs w:val="18"/>
              </w:rPr>
            </w:pPr>
            <w:r>
              <w:rPr>
                <w:rFonts w:ascii="宋体" w:hAnsi="宋体" w:cs="宋体" w:eastAsia="宋体" w:hint="default"/>
                <w:sz w:val="18"/>
                <w:szCs w:val="18"/>
              </w:rPr>
              <w:t>国证券报》及巨潮</w:t>
            </w:r>
          </w:p>
        </w:tc>
      </w:tr>
      <w:tr>
        <w:trPr>
          <w:trHeight w:val="312" w:hRule="exact"/>
        </w:trPr>
        <w:tc>
          <w:tcPr>
            <w:tcW w:w="124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
              <w:jc w:val="center"/>
              <w:rPr>
                <w:rFonts w:ascii="宋体" w:hAnsi="宋体" w:cs="宋体" w:eastAsia="宋体" w:hint="default"/>
                <w:sz w:val="18"/>
                <w:szCs w:val="18"/>
              </w:rPr>
            </w:pPr>
            <w:r>
              <w:rPr>
                <w:rFonts w:ascii="宋体" w:hAnsi="宋体" w:cs="宋体" w:eastAsia="宋体" w:hint="default"/>
                <w:sz w:val="18"/>
                <w:szCs w:val="18"/>
              </w:rPr>
              <w:t>数不低于人民币</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w:t>
            </w:r>
          </w:p>
        </w:tc>
        <w:tc>
          <w:tcPr>
            <w:tcW w:w="1134" w:type="dxa"/>
            <w:tcBorders>
              <w:top w:val="nil" w:sz="6" w:space="0" w:color="auto"/>
              <w:left w:val="single" w:sz="4" w:space="0" w:color="000000"/>
              <w:bottom w:val="nil" w:sz="6" w:space="0" w:color="auto"/>
              <w:right w:val="single" w:sz="4" w:space="0" w:color="000000"/>
            </w:tcBorders>
          </w:tcPr>
          <w:p>
            <w:pPr/>
          </w:p>
        </w:tc>
        <w:tc>
          <w:tcPr>
            <w:tcW w:w="1275"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center"/>
              <w:rPr>
                <w:rFonts w:ascii="宋体" w:hAnsi="宋体" w:cs="宋体" w:eastAsia="宋体" w:hint="default"/>
                <w:sz w:val="18"/>
                <w:szCs w:val="18"/>
              </w:rPr>
            </w:pPr>
            <w:r>
              <w:rPr>
                <w:rFonts w:ascii="宋体" w:hAnsi="宋体" w:cs="宋体" w:eastAsia="宋体" w:hint="default"/>
                <w:sz w:val="18"/>
                <w:szCs w:val="18"/>
              </w:rPr>
              <w:t>资讯网</w:t>
            </w:r>
          </w:p>
        </w:tc>
      </w:tr>
      <w:tr>
        <w:trPr>
          <w:trHeight w:val="312" w:hRule="exact"/>
        </w:trPr>
        <w:tc>
          <w:tcPr>
            <w:tcW w:w="124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
              <w:jc w:val="center"/>
              <w:rPr>
                <w:rFonts w:ascii="宋体" w:hAnsi="宋体" w:cs="宋体" w:eastAsia="宋体" w:hint="default"/>
                <w:sz w:val="18"/>
                <w:szCs w:val="18"/>
              </w:rPr>
            </w:pPr>
            <w:r>
              <w:rPr>
                <w:rFonts w:ascii="宋体" w:hAnsi="宋体" w:cs="宋体" w:eastAsia="宋体" w:hint="default"/>
                <w:sz w:val="18"/>
                <w:szCs w:val="18"/>
              </w:rPr>
              <w:t>元。</w:t>
            </w:r>
          </w:p>
        </w:tc>
        <w:tc>
          <w:tcPr>
            <w:tcW w:w="1134" w:type="dxa"/>
            <w:tcBorders>
              <w:top w:val="nil" w:sz="6" w:space="0" w:color="auto"/>
              <w:left w:val="single" w:sz="4" w:space="0" w:color="000000"/>
              <w:bottom w:val="nil" w:sz="6" w:space="0" w:color="auto"/>
              <w:right w:val="single" w:sz="4" w:space="0" w:color="000000"/>
            </w:tcBorders>
          </w:tcPr>
          <w:p>
            <w:pPr/>
          </w:p>
        </w:tc>
        <w:tc>
          <w:tcPr>
            <w:tcW w:w="1275"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30"/>
              <w:jc w:val="center"/>
              <w:rPr>
                <w:rFonts w:ascii="Times New Roman" w:hAnsi="Times New Roman" w:cs="Times New Roman" w:eastAsia="Times New Roman" w:hint="default"/>
                <w:sz w:val="18"/>
                <w:szCs w:val="18"/>
              </w:rPr>
            </w:pPr>
            <w:hyperlink r:id="rId10">
              <w:r>
                <w:rPr>
                  <w:rFonts w:ascii="Times New Roman"/>
                  <w:sz w:val="18"/>
                </w:rPr>
                <w:t>www.cninfo.com.cn</w:t>
              </w:r>
            </w:hyperlink>
          </w:p>
        </w:tc>
      </w:tr>
      <w:tr>
        <w:trPr>
          <w:trHeight w:val="308" w:hRule="exact"/>
        </w:trPr>
        <w:tc>
          <w:tcPr>
            <w:tcW w:w="124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985"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275"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center"/>
              <w:rPr>
                <w:rFonts w:ascii="宋体" w:hAnsi="宋体" w:cs="宋体" w:eastAsia="宋体" w:hint="default"/>
                <w:sz w:val="18"/>
                <w:szCs w:val="18"/>
              </w:rPr>
            </w:pPr>
            <w:r>
              <w:rPr>
                <w:rFonts w:ascii="宋体" w:hAnsi="宋体" w:cs="宋体" w:eastAsia="宋体" w:hint="default"/>
                <w:sz w:val="18"/>
                <w:szCs w:val="18"/>
              </w:rPr>
              <w:t>上的临时公告临</w:t>
            </w:r>
          </w:p>
        </w:tc>
      </w:tr>
      <w:tr>
        <w:trPr>
          <w:trHeight w:val="357" w:hRule="exact"/>
        </w:trPr>
        <w:tc>
          <w:tcPr>
            <w:tcW w:w="1242"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1985"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1275"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155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2019-015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号公告</w:t>
            </w:r>
          </w:p>
        </w:tc>
      </w:tr>
    </w:tbl>
    <w:p>
      <w:pPr>
        <w:pStyle w:val="BodyText"/>
        <w:spacing w:line="240" w:lineRule="auto" w:before="49"/>
        <w:ind w:left="172" w:right="740"/>
        <w:jc w:val="left"/>
      </w:pPr>
      <w:r>
        <w:rPr/>
        <w:t>公司股东、交易对手方在报告年度经营业绩做出的承诺情况</w:t>
      </w:r>
    </w:p>
    <w:p>
      <w:pPr>
        <w:pStyle w:val="BodyText"/>
        <w:spacing w:line="345" w:lineRule="auto" w:before="117"/>
        <w:ind w:left="172" w:right="69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详见</w:t>
      </w:r>
      <w:r>
        <w:rPr>
          <w:rFonts w:ascii="Times New Roman" w:hAnsi="Times New Roman" w:cs="Times New Roman" w:eastAsia="Times New Roman" w:hint="default"/>
        </w:rPr>
        <w:t>“</w:t>
      </w:r>
      <w:r>
        <w:rPr/>
        <w:t>第五节三、</w:t>
      </w:r>
      <w:r>
        <w:rPr>
          <w:rFonts w:ascii="Times New Roman" w:hAnsi="Times New Roman" w:cs="Times New Roman" w:eastAsia="Times New Roman" w:hint="default"/>
        </w:rPr>
        <w:t>1”</w:t>
      </w:r>
      <w:r>
        <w:rPr/>
        <w:t>中的相关承诺。 业绩承诺的完成情况及其对商誉减值测试的影响 无</w:t>
      </w:r>
    </w:p>
    <w:p>
      <w:pPr>
        <w:spacing w:after="0" w:line="345" w:lineRule="auto"/>
        <w:jc w:val="left"/>
        <w:sectPr>
          <w:pgSz w:w="11910" w:h="16840"/>
          <w:pgMar w:header="878" w:footer="978" w:top="1100" w:bottom="1160" w:left="960" w:right="0"/>
        </w:sectPr>
      </w:pPr>
    </w:p>
    <w:p>
      <w:pPr>
        <w:spacing w:line="240" w:lineRule="auto" w:before="10"/>
        <w:rPr>
          <w:rFonts w:ascii="宋体" w:hAnsi="宋体" w:cs="宋体" w:eastAsia="宋体" w:hint="default"/>
          <w:sz w:val="19"/>
          <w:szCs w:val="19"/>
        </w:rPr>
      </w:pPr>
    </w:p>
    <w:p>
      <w:pPr>
        <w:pStyle w:val="Heading2"/>
        <w:spacing w:line="240" w:lineRule="auto" w:before="26"/>
        <w:ind w:right="1394"/>
        <w:jc w:val="left"/>
        <w:rPr>
          <w:b w:val="0"/>
          <w:bCs w:val="0"/>
        </w:rPr>
      </w:pPr>
      <w:bookmarkStart w:name="四、控股股东及其关联方对上市公司的非经营性占用资金情况" w:id="69"/>
      <w:bookmarkEnd w:id="69"/>
      <w:r>
        <w:rPr>
          <w:b w:val="0"/>
          <w:bCs w:val="0"/>
        </w:rPr>
      </w:r>
      <w:r>
        <w:rPr/>
        <w:t>四、控股股东及其关联方对上市公司的非经营性占用资金情况</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right="49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公司报告期不存在控股股东及其关联方对上市公司的非经营性占用资金。</w:t>
      </w:r>
    </w:p>
    <w:p>
      <w:pPr>
        <w:spacing w:line="240" w:lineRule="auto" w:before="4"/>
        <w:rPr>
          <w:rFonts w:ascii="宋体" w:hAnsi="宋体" w:cs="宋体" w:eastAsia="宋体" w:hint="default"/>
          <w:sz w:val="19"/>
          <w:szCs w:val="19"/>
        </w:rPr>
      </w:pPr>
    </w:p>
    <w:p>
      <w:pPr>
        <w:pStyle w:val="Heading2"/>
        <w:spacing w:line="240" w:lineRule="auto"/>
        <w:ind w:right="1394"/>
        <w:jc w:val="left"/>
        <w:rPr>
          <w:b w:val="0"/>
          <w:bCs w:val="0"/>
        </w:rPr>
      </w:pPr>
      <w:bookmarkStart w:name="五、董事会、监事会、独立董事对会计师事务所本报告期“非标准审计报告”的说明" w:id="70"/>
      <w:bookmarkEnd w:id="70"/>
      <w:r>
        <w:rPr>
          <w:b w:val="0"/>
          <w:bCs w:val="0"/>
        </w:rPr>
      </w:r>
      <w:r>
        <w:rPr/>
        <w:t>五、董事会、监事会、独立董事对会计师事务所本报告期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right="13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394"/>
        <w:jc w:val="left"/>
        <w:rPr>
          <w:b w:val="0"/>
          <w:bCs w:val="0"/>
        </w:rPr>
      </w:pPr>
      <w:bookmarkStart w:name="六、与上年度财务报告相比，会计政策、会计估计和核算方法发生变化的情况说明" w:id="71"/>
      <w:bookmarkEnd w:id="71"/>
      <w:r>
        <w:rPr>
          <w:b w:val="0"/>
          <w:bCs w:val="0"/>
        </w:rPr>
      </w:r>
      <w:r>
        <w:rPr/>
        <w:t>六、与上年度财务报告相比，会计政策、会计估计和核算方法发生变化的情况说明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3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pStyle w:val="BodyText"/>
        <w:spacing w:line="240" w:lineRule="auto" w:before="101"/>
        <w:ind w:left="472" w:right="1394"/>
        <w:jc w:val="left"/>
      </w:pPr>
      <w:r>
        <w:rPr>
          <w:rFonts w:ascii="Times New Roman" w:hAnsi="Times New Roman" w:cs="Times New Roman" w:eastAsia="Times New Roman" w:hint="default"/>
        </w:rPr>
        <w:t>1</w:t>
      </w:r>
      <w:r>
        <w:rPr/>
        <w:t>、重要会计政策变更</w:t>
      </w:r>
    </w:p>
    <w:p>
      <w:pPr>
        <w:pStyle w:val="BodyText"/>
        <w:spacing w:line="300" w:lineRule="auto" w:before="103"/>
        <w:ind w:right="1115" w:firstLine="360"/>
        <w:jc w:val="left"/>
      </w:pPr>
      <w:r>
        <w:rPr>
          <w:spacing w:val="-3"/>
        </w:rPr>
        <w:t>（</w:t>
      </w:r>
      <w:r>
        <w:rPr>
          <w:rFonts w:ascii="Times New Roman" w:hAnsi="Times New Roman" w:cs="Times New Roman" w:eastAsia="Times New Roman" w:hint="default"/>
          <w:spacing w:val="-3"/>
        </w:rPr>
        <w:t>1</w:t>
      </w:r>
      <w:r>
        <w:rPr>
          <w:spacing w:val="-3"/>
        </w:rPr>
        <w:t>）执行财政部《关于修订印发</w:t>
      </w:r>
      <w:r>
        <w:rPr>
          <w:spacing w:val="-63"/>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8"/>
        </w:rPr>
        <w:t> </w:t>
      </w:r>
      <w:r>
        <w:rPr/>
        <w:t>年度一般企业财务报表格式的通知》和《关于修订印发合并财务报表格式（</w:t>
      </w:r>
      <w:r>
        <w:rPr>
          <w:rFonts w:ascii="Times New Roman" w:hAnsi="Times New Roman" w:cs="Times New Roman" w:eastAsia="Times New Roman" w:hint="default"/>
        </w:rPr>
        <w:t>2019 </w:t>
      </w:r>
      <w:r>
        <w:rPr/>
        <w:t>版）的通知》</w:t>
      </w:r>
    </w:p>
    <w:p>
      <w:pPr>
        <w:pStyle w:val="BodyText"/>
        <w:spacing w:line="240" w:lineRule="auto" w:before="72"/>
        <w:ind w:left="472" w:right="0"/>
        <w:jc w:val="left"/>
      </w:pPr>
      <w:r>
        <w:rPr/>
        <w:t>财政部分别于</w:t>
      </w:r>
      <w:r>
        <w:rPr>
          <w:spacing w:val="-4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30</w:t>
      </w:r>
      <w:r>
        <w:rPr>
          <w:rFonts w:ascii="Times New Roman" w:hAnsi="Times New Roman" w:cs="Times New Roman" w:eastAsia="Times New Roman" w:hint="default"/>
          <w:spacing w:val="-3"/>
        </w:rPr>
        <w:t> </w:t>
      </w:r>
      <w:r>
        <w:rPr/>
        <w:t>日和</w:t>
      </w:r>
      <w:r>
        <w:rPr>
          <w:spacing w:val="-4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19</w:t>
      </w:r>
      <w:r>
        <w:rPr>
          <w:rFonts w:ascii="Times New Roman" w:hAnsi="Times New Roman" w:cs="Times New Roman" w:eastAsia="Times New Roman" w:hint="default"/>
          <w:spacing w:val="-3"/>
        </w:rPr>
        <w:t> </w:t>
      </w:r>
      <w:r>
        <w:rPr/>
        <w:t>日发布了《关于修订印发</w:t>
      </w:r>
      <w:r>
        <w:rPr>
          <w:spacing w:val="-4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年度一般企业财务报表格式的通知》</w:t>
      </w:r>
    </w:p>
    <w:p>
      <w:pPr>
        <w:pStyle w:val="BodyText"/>
        <w:spacing w:line="300" w:lineRule="auto" w:before="63"/>
        <w:ind w:right="1175"/>
        <w:jc w:val="left"/>
      </w:pPr>
      <w:r>
        <w:rPr/>
        <w:t>（财会（</w:t>
      </w:r>
      <w:r>
        <w:rPr>
          <w:rFonts w:ascii="Times New Roman" w:hAnsi="Times New Roman" w:cs="Times New Roman" w:eastAsia="Times New Roman" w:hint="default"/>
        </w:rPr>
        <w:t>2019</w:t>
      </w:r>
      <w:r>
        <w:rPr/>
        <w:t>）</w:t>
      </w:r>
      <w:r>
        <w:rPr>
          <w:rFonts w:ascii="Times New Roman" w:hAnsi="Times New Roman" w:cs="Times New Roman" w:eastAsia="Times New Roman" w:hint="default"/>
        </w:rPr>
        <w:t>6 </w:t>
      </w:r>
      <w:r>
        <w:rPr/>
        <w:t>号）和《关于修订印发合并财务报表格式（</w:t>
      </w:r>
      <w:r>
        <w:rPr>
          <w:rFonts w:ascii="Times New Roman" w:hAnsi="Times New Roman" w:cs="Times New Roman" w:eastAsia="Times New Roman" w:hint="default"/>
        </w:rPr>
        <w:t>2019 </w:t>
      </w:r>
      <w:r>
        <w:rPr/>
        <w:t>版）的通知》（财会（</w:t>
      </w:r>
      <w:r>
        <w:rPr>
          <w:rFonts w:ascii="Times New Roman" w:hAnsi="Times New Roman" w:cs="Times New Roman" w:eastAsia="Times New Roman" w:hint="default"/>
        </w:rPr>
        <w:t>2019</w:t>
      </w:r>
      <w:r>
        <w:rPr/>
        <w:t>）</w:t>
      </w:r>
      <w:r>
        <w:rPr>
          <w:rFonts w:ascii="Times New Roman" w:hAnsi="Times New Roman" w:cs="Times New Roman" w:eastAsia="Times New Roman" w:hint="default"/>
        </w:rPr>
        <w:t>16</w:t>
      </w:r>
      <w:r>
        <w:rPr>
          <w:rFonts w:ascii="Times New Roman" w:hAnsi="Times New Roman" w:cs="Times New Roman" w:eastAsia="Times New Roman" w:hint="default"/>
          <w:spacing w:val="-6"/>
        </w:rPr>
        <w:t> </w:t>
      </w:r>
      <w:r>
        <w:rPr/>
        <w:t>号），对一般企业财务 报表格式进行了修订。本公司执行上述规定的主要影响如下：</w:t>
      </w:r>
    </w:p>
    <w:p>
      <w:pPr>
        <w:spacing w:line="240" w:lineRule="auto" w:before="8"/>
        <w:rPr>
          <w:rFonts w:ascii="宋体" w:hAnsi="宋体" w:cs="宋体" w:eastAsia="宋体" w:hint="default"/>
          <w:sz w:val="4"/>
          <w:szCs w:val="4"/>
        </w:rPr>
      </w:pPr>
    </w:p>
    <w:tbl>
      <w:tblPr>
        <w:tblW w:w="0" w:type="auto"/>
        <w:jc w:val="left"/>
        <w:tblInd w:w="260" w:type="dxa"/>
        <w:tblLayout w:type="fixed"/>
        <w:tblCellMar>
          <w:top w:w="0" w:type="dxa"/>
          <w:left w:w="0" w:type="dxa"/>
          <w:bottom w:w="0" w:type="dxa"/>
          <w:right w:w="0" w:type="dxa"/>
        </w:tblCellMar>
        <w:tblLook w:val="01E0"/>
      </w:tblPr>
      <w:tblGrid>
        <w:gridCol w:w="2400"/>
        <w:gridCol w:w="1182"/>
        <w:gridCol w:w="2948"/>
        <w:gridCol w:w="2786"/>
      </w:tblGrid>
      <w:tr>
        <w:trPr>
          <w:trHeight w:val="333" w:hRule="exact"/>
        </w:trPr>
        <w:tc>
          <w:tcPr>
            <w:tcW w:w="2400" w:type="dxa"/>
            <w:vMerge w:val="restart"/>
            <w:tcBorders>
              <w:top w:val="single" w:sz="12" w:space="0" w:color="000000"/>
              <w:left w:val="nil" w:sz="6" w:space="0" w:color="auto"/>
              <w:right w:val="dotted"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1182" w:type="dxa"/>
            <w:vMerge w:val="restart"/>
            <w:tcBorders>
              <w:top w:val="single" w:sz="12" w:space="0" w:color="000000"/>
              <w:left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226" w:right="0"/>
              <w:jc w:val="left"/>
              <w:rPr>
                <w:rFonts w:ascii="宋体" w:hAnsi="宋体" w:cs="宋体" w:eastAsia="宋体" w:hint="default"/>
                <w:sz w:val="18"/>
                <w:szCs w:val="18"/>
              </w:rPr>
            </w:pPr>
            <w:r>
              <w:rPr>
                <w:rFonts w:ascii="宋体" w:hAnsi="宋体" w:cs="宋体" w:eastAsia="宋体" w:hint="default"/>
                <w:sz w:val="18"/>
                <w:szCs w:val="18"/>
              </w:rPr>
              <w:t>审批程序</w:t>
            </w:r>
          </w:p>
        </w:tc>
        <w:tc>
          <w:tcPr>
            <w:tcW w:w="5734" w:type="dxa"/>
            <w:gridSpan w:val="2"/>
            <w:tcBorders>
              <w:top w:val="single" w:sz="12" w:space="0" w:color="000000"/>
              <w:left w:val="dotted" w:sz="4" w:space="0" w:color="000000"/>
              <w:bottom w:val="dotted" w:sz="4" w:space="0" w:color="000000"/>
              <w:right w:val="nil" w:sz="6" w:space="0" w:color="auto"/>
            </w:tcBorders>
          </w:tcPr>
          <w:p>
            <w:pPr>
              <w:pStyle w:val="TableParagraph"/>
              <w:spacing w:line="240" w:lineRule="auto" w:before="11"/>
              <w:ind w:left="1691" w:right="0"/>
              <w:jc w:val="left"/>
              <w:rPr>
                <w:rFonts w:ascii="宋体" w:hAnsi="宋体" w:cs="宋体" w:eastAsia="宋体" w:hint="default"/>
                <w:sz w:val="18"/>
                <w:szCs w:val="18"/>
              </w:rPr>
            </w:pPr>
            <w:r>
              <w:rPr>
                <w:rFonts w:ascii="宋体" w:hAnsi="宋体" w:cs="宋体" w:eastAsia="宋体" w:hint="default"/>
                <w:sz w:val="18"/>
                <w:szCs w:val="18"/>
              </w:rPr>
              <w:t>受影响的报表项目名称和金额</w:t>
            </w:r>
          </w:p>
        </w:tc>
      </w:tr>
      <w:tr>
        <w:trPr>
          <w:trHeight w:val="324" w:hRule="exact"/>
        </w:trPr>
        <w:tc>
          <w:tcPr>
            <w:tcW w:w="2400" w:type="dxa"/>
            <w:vMerge/>
            <w:tcBorders>
              <w:left w:val="nil" w:sz="6" w:space="0" w:color="auto"/>
              <w:bottom w:val="dotted" w:sz="4" w:space="0" w:color="000000"/>
              <w:right w:val="dotted" w:sz="4" w:space="0" w:color="000000"/>
            </w:tcBorders>
          </w:tcPr>
          <w:p>
            <w:pPr/>
          </w:p>
        </w:tc>
        <w:tc>
          <w:tcPr>
            <w:tcW w:w="1182" w:type="dxa"/>
            <w:vMerge/>
            <w:tcBorders>
              <w:left w:val="dotted" w:sz="4" w:space="0" w:color="000000"/>
              <w:bottom w:val="dotted" w:sz="4" w:space="0" w:color="000000"/>
              <w:right w:val="dotted" w:sz="4" w:space="0" w:color="000000"/>
            </w:tcBorders>
          </w:tcPr>
          <w:p>
            <w:pPr/>
          </w:p>
        </w:tc>
        <w:tc>
          <w:tcPr>
            <w:tcW w:w="294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合并</w:t>
            </w:r>
          </w:p>
        </w:tc>
        <w:tc>
          <w:tcPr>
            <w:tcW w:w="278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
              <w:ind w:right="4"/>
              <w:jc w:val="center"/>
              <w:rPr>
                <w:rFonts w:ascii="宋体" w:hAnsi="宋体" w:cs="宋体" w:eastAsia="宋体" w:hint="default"/>
                <w:sz w:val="18"/>
                <w:szCs w:val="18"/>
              </w:rPr>
            </w:pPr>
            <w:r>
              <w:rPr>
                <w:rFonts w:ascii="宋体" w:hAnsi="宋体" w:cs="宋体" w:eastAsia="宋体" w:hint="default"/>
                <w:sz w:val="18"/>
                <w:szCs w:val="18"/>
              </w:rPr>
              <w:t>母公司</w:t>
            </w:r>
          </w:p>
        </w:tc>
      </w:tr>
      <w:tr>
        <w:trPr>
          <w:trHeight w:val="279" w:hRule="exact"/>
        </w:trPr>
        <w:tc>
          <w:tcPr>
            <w:tcW w:w="2400" w:type="dxa"/>
            <w:tcBorders>
              <w:top w:val="dotted" w:sz="4" w:space="0" w:color="000000"/>
              <w:left w:val="nil" w:sz="6" w:space="0" w:color="auto"/>
              <w:bottom w:val="nil" w:sz="6" w:space="0" w:color="auto"/>
              <w:right w:val="dotted" w:sz="4" w:space="0" w:color="000000"/>
            </w:tcBorders>
          </w:tcPr>
          <w:p>
            <w:pPr/>
          </w:p>
        </w:tc>
        <w:tc>
          <w:tcPr>
            <w:tcW w:w="1182" w:type="dxa"/>
            <w:tcBorders>
              <w:top w:val="dotted" w:sz="4" w:space="0" w:color="000000"/>
              <w:left w:val="dotted" w:sz="4" w:space="0" w:color="000000"/>
              <w:bottom w:val="nil" w:sz="6" w:space="0" w:color="auto"/>
              <w:right w:val="dotted" w:sz="4" w:space="0" w:color="000000"/>
            </w:tcBorders>
          </w:tcPr>
          <w:p>
            <w:pPr/>
          </w:p>
        </w:tc>
        <w:tc>
          <w:tcPr>
            <w:tcW w:w="2948" w:type="dxa"/>
            <w:tcBorders>
              <w:top w:val="dotted" w:sz="4" w:space="0" w:color="000000"/>
              <w:left w:val="dotted" w:sz="4" w:space="0" w:color="000000"/>
              <w:bottom w:val="nil" w:sz="6" w:space="0" w:color="auto"/>
              <w:right w:val="dotted"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r>
              <w:rPr>
                <w:rFonts w:ascii="宋体" w:hAnsi="宋体" w:cs="宋体" w:eastAsia="宋体" w:hint="default"/>
                <w:spacing w:val="-75"/>
                <w:sz w:val="18"/>
                <w:szCs w:val="18"/>
              </w:rPr>
              <w:t>”</w:t>
            </w:r>
            <w:r>
              <w:rPr>
                <w:rFonts w:ascii="宋体" w:hAnsi="宋体" w:cs="宋体" w:eastAsia="宋体" w:hint="default"/>
                <w:sz w:val="18"/>
                <w:szCs w:val="18"/>
              </w:rPr>
              <w:t>拆分</w:t>
            </w:r>
            <w:r>
              <w:rPr>
                <w:rFonts w:ascii="宋体" w:hAnsi="宋体" w:cs="宋体" w:eastAsia="宋体" w:hint="default"/>
                <w:spacing w:val="-75"/>
                <w:sz w:val="18"/>
                <w:szCs w:val="18"/>
              </w:rPr>
              <w:t>为</w:t>
            </w:r>
            <w:r>
              <w:rPr>
                <w:rFonts w:ascii="宋体" w:hAnsi="宋体" w:cs="宋体" w:eastAsia="宋体" w:hint="default"/>
                <w:sz w:val="18"/>
                <w:szCs w:val="18"/>
              </w:rPr>
              <w:t>“应</w:t>
            </w:r>
          </w:p>
        </w:tc>
        <w:tc>
          <w:tcPr>
            <w:tcW w:w="2786" w:type="dxa"/>
            <w:tcBorders>
              <w:top w:val="dotted" w:sz="4" w:space="0" w:color="000000"/>
              <w:left w:val="dotted" w:sz="4" w:space="0" w:color="000000"/>
              <w:bottom w:val="nil" w:sz="6" w:space="0" w:color="auto"/>
              <w:right w:val="nil" w:sz="6" w:space="0" w:color="auto"/>
            </w:tcBorders>
          </w:tcPr>
          <w:p>
            <w:pPr>
              <w:pStyle w:val="TableParagraph"/>
              <w:spacing w:line="240" w:lineRule="auto" w:before="11"/>
              <w:ind w:right="4"/>
              <w:jc w:val="center"/>
              <w:rPr>
                <w:rFonts w:ascii="宋体" w:hAnsi="宋体" w:cs="宋体" w:eastAsia="宋体" w:hint="default"/>
                <w:sz w:val="18"/>
                <w:szCs w:val="18"/>
              </w:rPr>
            </w:pPr>
            <w:r>
              <w:rPr>
                <w:rFonts w:ascii="宋体" w:hAnsi="宋体" w:cs="宋体" w:eastAsia="宋体" w:hint="default"/>
                <w:spacing w:val="3"/>
                <w:sz w:val="18"/>
                <w:szCs w:val="18"/>
              </w:rPr>
              <w:t>“应收票据及应收账款”拆分为</w:t>
            </w:r>
          </w:p>
        </w:tc>
      </w:tr>
      <w:tr>
        <w:trPr>
          <w:trHeight w:val="1911" w:hRule="exact"/>
        </w:trPr>
        <w:tc>
          <w:tcPr>
            <w:tcW w:w="2400" w:type="dxa"/>
            <w:tcBorders>
              <w:top w:val="nil" w:sz="6" w:space="0" w:color="auto"/>
              <w:left w:val="nil" w:sz="6" w:space="0" w:color="auto"/>
              <w:bottom w:val="nil" w:sz="6" w:space="0" w:color="auto"/>
              <w:right w:val="dotted" w:sz="4" w:space="0" w:color="000000"/>
            </w:tcBorders>
          </w:tcPr>
          <w:p>
            <w:pPr>
              <w:pStyle w:val="TableParagraph"/>
              <w:spacing w:line="237" w:lineRule="auto" w:before="107"/>
              <w:ind w:left="109" w:right="100"/>
              <w:jc w:val="both"/>
              <w:rPr>
                <w:rFonts w:ascii="宋体" w:hAnsi="宋体" w:cs="宋体" w:eastAsia="宋体" w:hint="default"/>
                <w:sz w:val="18"/>
                <w:szCs w:val="18"/>
              </w:rPr>
            </w:pPr>
            <w:r>
              <w:rPr>
                <w:rFonts w:ascii="宋体" w:hAnsi="宋体" w:cs="宋体" w:eastAsia="宋体" w:hint="default"/>
                <w:sz w:val="18"/>
                <w:szCs w:val="18"/>
              </w:rPr>
              <w:t>资产负债表中“应收票据及</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应收账款”拆分为“应收票</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据”和“应收账款”列示；</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“应付票据及应付账款”拆</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分为“应付票据”和“应付</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账款”列示；比较数据相应</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调整。</w:t>
            </w:r>
          </w:p>
        </w:tc>
        <w:tc>
          <w:tcPr>
            <w:tcW w:w="1182" w:type="dxa"/>
            <w:tcBorders>
              <w:top w:val="nil" w:sz="6" w:space="0" w:color="auto"/>
              <w:left w:val="dotted" w:sz="4" w:space="0" w:color="000000"/>
              <w:bottom w:val="nil" w:sz="6" w:space="0" w:color="auto"/>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董事会决议</w:t>
            </w:r>
          </w:p>
        </w:tc>
        <w:tc>
          <w:tcPr>
            <w:tcW w:w="2948" w:type="dxa"/>
            <w:tcBorders>
              <w:top w:val="nil" w:sz="6" w:space="0" w:color="auto"/>
              <w:left w:val="dotted" w:sz="4" w:space="0" w:color="000000"/>
              <w:bottom w:val="nil" w:sz="6" w:space="0" w:color="auto"/>
              <w:right w:val="dotted"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收票据”和“应收账款”，“应收</w:t>
            </w:r>
          </w:p>
          <w:p>
            <w:pPr>
              <w:pStyle w:val="TableParagraph"/>
              <w:spacing w:line="232" w:lineRule="exact" w:before="23"/>
              <w:ind w:left="103" w:right="101"/>
              <w:jc w:val="both"/>
              <w:rPr>
                <w:rFonts w:ascii="宋体" w:hAnsi="宋体" w:cs="宋体" w:eastAsia="宋体" w:hint="default"/>
                <w:sz w:val="18"/>
                <w:szCs w:val="18"/>
              </w:rPr>
            </w:pPr>
            <w:r>
              <w:rPr>
                <w:rFonts w:ascii="宋体" w:hAnsi="宋体" w:cs="宋体" w:eastAsia="宋体" w:hint="default"/>
                <w:spacing w:val="-10"/>
                <w:sz w:val="18"/>
                <w:szCs w:val="18"/>
              </w:rPr>
              <w:t>票据”上年年末余额</w:t>
            </w:r>
            <w:r>
              <w:rPr>
                <w:rFonts w:ascii="宋体" w:hAnsi="宋体" w:cs="宋体" w:eastAsia="宋体" w:hint="default"/>
                <w:spacing w:val="-54"/>
                <w:sz w:val="18"/>
                <w:szCs w:val="18"/>
              </w:rPr>
              <w:t> </w:t>
            </w:r>
            <w:r>
              <w:rPr>
                <w:rFonts w:ascii="宋体" w:hAnsi="宋体" w:cs="宋体" w:eastAsia="宋体" w:hint="default"/>
                <w:spacing w:val="-1"/>
                <w:sz w:val="18"/>
                <w:szCs w:val="18"/>
              </w:rPr>
              <w:t>41,882,197.77</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0"/>
                <w:sz w:val="18"/>
                <w:szCs w:val="18"/>
              </w:rPr>
              <w:t>元，“</w:t>
            </w:r>
            <w:r>
              <w:rPr>
                <w:rFonts w:ascii="宋体" w:hAnsi="宋体" w:cs="宋体" w:eastAsia="宋体" w:hint="default"/>
                <w:spacing w:val="-73"/>
                <w:sz w:val="18"/>
                <w:szCs w:val="18"/>
              </w:rPr>
              <w:t> </w:t>
            </w:r>
            <w:r>
              <w:rPr>
                <w:rFonts w:ascii="宋体" w:hAnsi="宋体" w:cs="宋体" w:eastAsia="宋体" w:hint="default"/>
                <w:spacing w:val="14"/>
                <w:sz w:val="18"/>
                <w:szCs w:val="18"/>
              </w:rPr>
              <w:t>应收账款”上年年末余额</w:t>
            </w:r>
            <w:r>
              <w:rPr>
                <w:rFonts w:ascii="宋体" w:hAnsi="宋体" w:cs="宋体" w:eastAsia="宋体" w:hint="default"/>
                <w:sz w:val="18"/>
                <w:szCs w:val="18"/>
              </w:rPr>
              <w:t> </w:t>
            </w:r>
            <w:r>
              <w:rPr>
                <w:rFonts w:ascii="Times New Roman" w:hAnsi="Times New Roman" w:cs="Times New Roman" w:eastAsia="Times New Roman" w:hint="default"/>
                <w:sz w:val="18"/>
                <w:szCs w:val="18"/>
              </w:rPr>
              <w:t>1,311,545,965.04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元；</w:t>
            </w:r>
          </w:p>
          <w:p>
            <w:pPr>
              <w:pStyle w:val="TableParagraph"/>
              <w:spacing w:line="232" w:lineRule="exact" w:before="44"/>
              <w:ind w:left="103" w:right="99"/>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应付票据及应付账款”拆分为“应</w:t>
            </w:r>
            <w:r>
              <w:rPr>
                <w:rFonts w:ascii="宋体" w:hAnsi="宋体" w:cs="宋体" w:eastAsia="宋体" w:hint="default"/>
                <w:sz w:val="18"/>
                <w:szCs w:val="18"/>
              </w:rPr>
              <w:t> 付票据”和“应付账款”，“应付</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7"/>
                <w:sz w:val="18"/>
                <w:szCs w:val="18"/>
              </w:rPr>
              <w:t>票据”上年年末余额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106,681,293.96 </w:t>
            </w:r>
            <w:r>
              <w:rPr>
                <w:rFonts w:ascii="宋体" w:hAnsi="宋体" w:cs="宋体" w:eastAsia="宋体" w:hint="default"/>
                <w:spacing w:val="10"/>
                <w:sz w:val="18"/>
                <w:szCs w:val="18"/>
              </w:rPr>
              <w:t>元，“</w:t>
            </w:r>
            <w:r>
              <w:rPr>
                <w:rFonts w:ascii="宋体" w:hAnsi="宋体" w:cs="宋体" w:eastAsia="宋体" w:hint="default"/>
                <w:spacing w:val="-72"/>
                <w:sz w:val="18"/>
                <w:szCs w:val="18"/>
              </w:rPr>
              <w:t> </w:t>
            </w:r>
            <w:r>
              <w:rPr>
                <w:rFonts w:ascii="宋体" w:hAnsi="宋体" w:cs="宋体" w:eastAsia="宋体" w:hint="default"/>
                <w:spacing w:val="14"/>
                <w:sz w:val="18"/>
                <w:szCs w:val="18"/>
              </w:rPr>
              <w:t>应付账款”上年年末余额</w:t>
            </w:r>
          </w:p>
        </w:tc>
        <w:tc>
          <w:tcPr>
            <w:tcW w:w="2786" w:type="dxa"/>
            <w:tcBorders>
              <w:top w:val="nil" w:sz="6" w:space="0" w:color="auto"/>
              <w:left w:val="dotted" w:sz="4" w:space="0" w:color="000000"/>
              <w:bottom w:val="nil" w:sz="6" w:space="0" w:color="auto"/>
              <w:right w:val="nil" w:sz="6" w:space="0" w:color="auto"/>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pacing w:val="3"/>
                <w:sz w:val="18"/>
                <w:szCs w:val="18"/>
              </w:rPr>
              <w:t>“应收票据”和“应收账款”，</w:t>
            </w:r>
          </w:p>
          <w:p>
            <w:pPr>
              <w:pStyle w:val="TableParagraph"/>
              <w:spacing w:line="233" w:lineRule="exact"/>
              <w:ind w:left="10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52"/>
                <w:sz w:val="18"/>
                <w:szCs w:val="18"/>
              </w:rPr>
              <w:t> </w:t>
            </w:r>
            <w:r>
              <w:rPr>
                <w:rFonts w:ascii="宋体" w:hAnsi="宋体" w:cs="宋体" w:eastAsia="宋体" w:hint="default"/>
                <w:sz w:val="18"/>
                <w:szCs w:val="18"/>
              </w:rPr>
              <w:t>应</w:t>
            </w:r>
            <w:r>
              <w:rPr>
                <w:rFonts w:ascii="宋体" w:hAnsi="宋体" w:cs="宋体" w:eastAsia="宋体" w:hint="default"/>
                <w:spacing w:val="-52"/>
                <w:sz w:val="18"/>
                <w:szCs w:val="18"/>
              </w:rPr>
              <w:t> </w:t>
            </w:r>
            <w:r>
              <w:rPr>
                <w:rFonts w:ascii="宋体" w:hAnsi="宋体" w:cs="宋体" w:eastAsia="宋体" w:hint="default"/>
                <w:sz w:val="18"/>
                <w:szCs w:val="18"/>
              </w:rPr>
              <w:t>收</w:t>
            </w:r>
            <w:r>
              <w:rPr>
                <w:rFonts w:ascii="宋体" w:hAnsi="宋体" w:cs="宋体" w:eastAsia="宋体" w:hint="default"/>
                <w:spacing w:val="-54"/>
                <w:sz w:val="18"/>
                <w:szCs w:val="18"/>
              </w:rPr>
              <w:t> </w:t>
            </w:r>
            <w:r>
              <w:rPr>
                <w:rFonts w:ascii="宋体" w:hAnsi="宋体" w:cs="宋体" w:eastAsia="宋体" w:hint="default"/>
                <w:sz w:val="18"/>
                <w:szCs w:val="18"/>
              </w:rPr>
              <w:t>票</w:t>
            </w:r>
            <w:r>
              <w:rPr>
                <w:rFonts w:ascii="宋体" w:hAnsi="宋体" w:cs="宋体" w:eastAsia="宋体" w:hint="default"/>
                <w:spacing w:val="-52"/>
                <w:sz w:val="18"/>
                <w:szCs w:val="18"/>
              </w:rPr>
              <w:t> </w:t>
            </w:r>
            <w:r>
              <w:rPr>
                <w:rFonts w:ascii="宋体" w:hAnsi="宋体" w:cs="宋体" w:eastAsia="宋体" w:hint="default"/>
                <w:sz w:val="18"/>
                <w:szCs w:val="18"/>
              </w:rPr>
              <w:t>据</w:t>
            </w:r>
            <w:r>
              <w:rPr>
                <w:rFonts w:ascii="宋体" w:hAnsi="宋体" w:cs="宋体" w:eastAsia="宋体" w:hint="default"/>
                <w:spacing w:val="-54"/>
                <w:sz w:val="18"/>
                <w:szCs w:val="18"/>
              </w:rPr>
              <w:t> </w:t>
            </w:r>
            <w:r>
              <w:rPr>
                <w:rFonts w:ascii="宋体" w:hAnsi="宋体" w:cs="宋体" w:eastAsia="宋体" w:hint="default"/>
                <w:sz w:val="18"/>
                <w:szCs w:val="18"/>
              </w:rPr>
              <w:t>”</w:t>
            </w:r>
            <w:r>
              <w:rPr>
                <w:rFonts w:ascii="宋体" w:hAnsi="宋体" w:cs="宋体" w:eastAsia="宋体" w:hint="default"/>
                <w:spacing w:val="-54"/>
                <w:sz w:val="18"/>
                <w:szCs w:val="18"/>
              </w:rPr>
              <w:t> </w:t>
            </w:r>
            <w:r>
              <w:rPr>
                <w:rFonts w:ascii="宋体" w:hAnsi="宋体" w:cs="宋体" w:eastAsia="宋体" w:hint="default"/>
                <w:sz w:val="18"/>
                <w:szCs w:val="18"/>
              </w:rPr>
              <w:t>上</w:t>
            </w:r>
            <w:r>
              <w:rPr>
                <w:rFonts w:ascii="宋体" w:hAnsi="宋体" w:cs="宋体" w:eastAsia="宋体" w:hint="default"/>
                <w:spacing w:val="-52"/>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宋体" w:hAnsi="宋体" w:cs="宋体" w:eastAsia="宋体" w:hint="default"/>
                <w:sz w:val="18"/>
                <w:szCs w:val="18"/>
              </w:rPr>
              <w:t>末</w:t>
            </w:r>
            <w:r>
              <w:rPr>
                <w:rFonts w:ascii="宋体" w:hAnsi="宋体" w:cs="宋体" w:eastAsia="宋体" w:hint="default"/>
                <w:spacing w:val="-54"/>
                <w:sz w:val="18"/>
                <w:szCs w:val="18"/>
              </w:rPr>
              <w:t> </w:t>
            </w:r>
            <w:r>
              <w:rPr>
                <w:rFonts w:ascii="宋体" w:hAnsi="宋体" w:cs="宋体" w:eastAsia="宋体" w:hint="default"/>
                <w:sz w:val="18"/>
                <w:szCs w:val="18"/>
              </w:rPr>
              <w:t>余</w:t>
            </w:r>
            <w:r>
              <w:rPr>
                <w:rFonts w:ascii="宋体" w:hAnsi="宋体" w:cs="宋体" w:eastAsia="宋体" w:hint="default"/>
                <w:spacing w:val="-52"/>
                <w:sz w:val="18"/>
                <w:szCs w:val="18"/>
              </w:rPr>
              <w:t> </w:t>
            </w:r>
            <w:r>
              <w:rPr>
                <w:rFonts w:ascii="宋体" w:hAnsi="宋体" w:cs="宋体" w:eastAsia="宋体" w:hint="default"/>
                <w:sz w:val="18"/>
                <w:szCs w:val="18"/>
              </w:rPr>
              <w:t>额</w:t>
            </w:r>
          </w:p>
          <w:p>
            <w:pPr>
              <w:pStyle w:val="TableParagraph"/>
              <w:spacing w:line="240" w:lineRule="exact"/>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3,456,776.00</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元，“应收账款”上</w:t>
            </w:r>
          </w:p>
          <w:p>
            <w:pPr>
              <w:pStyle w:val="TableParagraph"/>
              <w:spacing w:line="244" w:lineRule="auto"/>
              <w:ind w:left="102" w:right="106"/>
              <w:jc w:val="left"/>
              <w:rPr>
                <w:rFonts w:ascii="宋体" w:hAnsi="宋体" w:cs="宋体" w:eastAsia="宋体" w:hint="default"/>
                <w:sz w:val="18"/>
                <w:szCs w:val="18"/>
              </w:rPr>
            </w:pPr>
            <w:r>
              <w:rPr>
                <w:rFonts w:ascii="宋体" w:hAnsi="宋体" w:cs="宋体" w:eastAsia="宋体" w:hint="default"/>
                <w:sz w:val="18"/>
                <w:szCs w:val="18"/>
              </w:rPr>
              <w:t>年年末余额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515,238,201.29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 </w:t>
            </w:r>
            <w:r>
              <w:rPr>
                <w:rFonts w:ascii="宋体" w:hAnsi="宋体" w:cs="宋体" w:eastAsia="宋体" w:hint="default"/>
                <w:spacing w:val="3"/>
                <w:sz w:val="18"/>
                <w:szCs w:val="18"/>
              </w:rPr>
              <w:t>“应付票据及应付账款”拆分为</w:t>
            </w:r>
            <w:r>
              <w:rPr>
                <w:rFonts w:ascii="宋体" w:hAnsi="宋体" w:cs="宋体" w:eastAsia="宋体" w:hint="default"/>
                <w:sz w:val="18"/>
                <w:szCs w:val="18"/>
              </w:rPr>
              <w:t> </w:t>
            </w:r>
            <w:r>
              <w:rPr>
                <w:rFonts w:ascii="宋体" w:hAnsi="宋体" w:cs="宋体" w:eastAsia="宋体" w:hint="default"/>
                <w:spacing w:val="3"/>
                <w:sz w:val="18"/>
                <w:szCs w:val="18"/>
              </w:rPr>
              <w:t>“应付票据”和“应付账款”，</w:t>
            </w:r>
            <w:r>
              <w:rPr>
                <w:rFonts w:ascii="宋体" w:hAnsi="宋体" w:cs="宋体" w:eastAsia="宋体" w:hint="default"/>
                <w:sz w:val="18"/>
                <w:szCs w:val="18"/>
              </w:rPr>
              <w:t> “</w:t>
            </w:r>
            <w:r>
              <w:rPr>
                <w:rFonts w:ascii="宋体" w:hAnsi="宋体" w:cs="宋体" w:eastAsia="宋体" w:hint="default"/>
                <w:spacing w:val="-52"/>
                <w:sz w:val="18"/>
                <w:szCs w:val="18"/>
              </w:rPr>
              <w:t> </w:t>
            </w:r>
            <w:r>
              <w:rPr>
                <w:rFonts w:ascii="宋体" w:hAnsi="宋体" w:cs="宋体" w:eastAsia="宋体" w:hint="default"/>
                <w:sz w:val="18"/>
                <w:szCs w:val="18"/>
              </w:rPr>
              <w:t>应</w:t>
            </w:r>
            <w:r>
              <w:rPr>
                <w:rFonts w:ascii="宋体" w:hAnsi="宋体" w:cs="宋体" w:eastAsia="宋体" w:hint="default"/>
                <w:spacing w:val="-52"/>
                <w:sz w:val="18"/>
                <w:szCs w:val="18"/>
              </w:rPr>
              <w:t> </w:t>
            </w:r>
            <w:r>
              <w:rPr>
                <w:rFonts w:ascii="宋体" w:hAnsi="宋体" w:cs="宋体" w:eastAsia="宋体" w:hint="default"/>
                <w:sz w:val="18"/>
                <w:szCs w:val="18"/>
              </w:rPr>
              <w:t>付</w:t>
            </w:r>
            <w:r>
              <w:rPr>
                <w:rFonts w:ascii="宋体" w:hAnsi="宋体" w:cs="宋体" w:eastAsia="宋体" w:hint="default"/>
                <w:spacing w:val="-54"/>
                <w:sz w:val="18"/>
                <w:szCs w:val="18"/>
              </w:rPr>
              <w:t> </w:t>
            </w:r>
            <w:r>
              <w:rPr>
                <w:rFonts w:ascii="宋体" w:hAnsi="宋体" w:cs="宋体" w:eastAsia="宋体" w:hint="default"/>
                <w:sz w:val="18"/>
                <w:szCs w:val="18"/>
              </w:rPr>
              <w:t>票</w:t>
            </w:r>
            <w:r>
              <w:rPr>
                <w:rFonts w:ascii="宋体" w:hAnsi="宋体" w:cs="宋体" w:eastAsia="宋体" w:hint="default"/>
                <w:spacing w:val="-52"/>
                <w:sz w:val="18"/>
                <w:szCs w:val="18"/>
              </w:rPr>
              <w:t> </w:t>
            </w:r>
            <w:r>
              <w:rPr>
                <w:rFonts w:ascii="宋体" w:hAnsi="宋体" w:cs="宋体" w:eastAsia="宋体" w:hint="default"/>
                <w:sz w:val="18"/>
                <w:szCs w:val="18"/>
              </w:rPr>
              <w:t>据</w:t>
            </w:r>
            <w:r>
              <w:rPr>
                <w:rFonts w:ascii="宋体" w:hAnsi="宋体" w:cs="宋体" w:eastAsia="宋体" w:hint="default"/>
                <w:spacing w:val="-54"/>
                <w:sz w:val="18"/>
                <w:szCs w:val="18"/>
              </w:rPr>
              <w:t> </w:t>
            </w:r>
            <w:r>
              <w:rPr>
                <w:rFonts w:ascii="宋体" w:hAnsi="宋体" w:cs="宋体" w:eastAsia="宋体" w:hint="default"/>
                <w:sz w:val="18"/>
                <w:szCs w:val="18"/>
              </w:rPr>
              <w:t>”</w:t>
            </w:r>
            <w:r>
              <w:rPr>
                <w:rFonts w:ascii="宋体" w:hAnsi="宋体" w:cs="宋体" w:eastAsia="宋体" w:hint="default"/>
                <w:spacing w:val="-54"/>
                <w:sz w:val="18"/>
                <w:szCs w:val="18"/>
              </w:rPr>
              <w:t> </w:t>
            </w:r>
            <w:r>
              <w:rPr>
                <w:rFonts w:ascii="宋体" w:hAnsi="宋体" w:cs="宋体" w:eastAsia="宋体" w:hint="default"/>
                <w:sz w:val="18"/>
                <w:szCs w:val="18"/>
              </w:rPr>
              <w:t>上</w:t>
            </w:r>
            <w:r>
              <w:rPr>
                <w:rFonts w:ascii="宋体" w:hAnsi="宋体" w:cs="宋体" w:eastAsia="宋体" w:hint="default"/>
                <w:spacing w:val="-52"/>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宋体" w:hAnsi="宋体" w:cs="宋体" w:eastAsia="宋体" w:hint="default"/>
                <w:sz w:val="18"/>
                <w:szCs w:val="18"/>
              </w:rPr>
              <w:t>末</w:t>
            </w:r>
            <w:r>
              <w:rPr>
                <w:rFonts w:ascii="宋体" w:hAnsi="宋体" w:cs="宋体" w:eastAsia="宋体" w:hint="default"/>
                <w:spacing w:val="-54"/>
                <w:sz w:val="18"/>
                <w:szCs w:val="18"/>
              </w:rPr>
              <w:t> </w:t>
            </w:r>
            <w:r>
              <w:rPr>
                <w:rFonts w:ascii="宋体" w:hAnsi="宋体" w:cs="宋体" w:eastAsia="宋体" w:hint="default"/>
                <w:sz w:val="18"/>
                <w:szCs w:val="18"/>
              </w:rPr>
              <w:t>余</w:t>
            </w:r>
            <w:r>
              <w:rPr>
                <w:rFonts w:ascii="宋体" w:hAnsi="宋体" w:cs="宋体" w:eastAsia="宋体" w:hint="default"/>
                <w:spacing w:val="-52"/>
                <w:sz w:val="18"/>
                <w:szCs w:val="18"/>
              </w:rPr>
              <w:t> </w:t>
            </w:r>
            <w:r>
              <w:rPr>
                <w:rFonts w:ascii="宋体" w:hAnsi="宋体" w:cs="宋体" w:eastAsia="宋体" w:hint="default"/>
                <w:sz w:val="18"/>
                <w:szCs w:val="18"/>
              </w:rPr>
              <w:t>额</w:t>
            </w:r>
            <w:r>
              <w:rPr>
                <w:rFonts w:ascii="宋体" w:hAnsi="宋体" w:cs="宋体" w:eastAsia="宋体" w:hint="default"/>
                <w:sz w:val="18"/>
                <w:szCs w:val="18"/>
              </w:rPr>
              <w:t> </w:t>
            </w:r>
            <w:r>
              <w:rPr>
                <w:rFonts w:ascii="Times New Roman" w:hAnsi="Times New Roman" w:cs="Times New Roman" w:eastAsia="Times New Roman" w:hint="default"/>
                <w:sz w:val="18"/>
                <w:szCs w:val="18"/>
              </w:rPr>
              <w:t>64,773,731.96 </w:t>
            </w:r>
            <w:r>
              <w:rPr>
                <w:rFonts w:ascii="宋体" w:hAnsi="宋体" w:cs="宋体" w:eastAsia="宋体" w:hint="default"/>
                <w:spacing w:val="5"/>
                <w:sz w:val="18"/>
                <w:szCs w:val="18"/>
              </w:rPr>
              <w:t>元，“应付账款”</w:t>
            </w:r>
          </w:p>
        </w:tc>
      </w:tr>
      <w:tr>
        <w:trPr>
          <w:trHeight w:val="285" w:hRule="exact"/>
        </w:trPr>
        <w:tc>
          <w:tcPr>
            <w:tcW w:w="2400" w:type="dxa"/>
            <w:tcBorders>
              <w:top w:val="nil" w:sz="6" w:space="0" w:color="auto"/>
              <w:left w:val="nil" w:sz="6" w:space="0" w:color="auto"/>
              <w:bottom w:val="single" w:sz="12" w:space="0" w:color="000000"/>
              <w:right w:val="dotted" w:sz="4" w:space="0" w:color="000000"/>
            </w:tcBorders>
          </w:tcPr>
          <w:p>
            <w:pPr/>
          </w:p>
        </w:tc>
        <w:tc>
          <w:tcPr>
            <w:tcW w:w="1182" w:type="dxa"/>
            <w:tcBorders>
              <w:top w:val="nil" w:sz="6" w:space="0" w:color="auto"/>
              <w:left w:val="dotted" w:sz="4" w:space="0" w:color="000000"/>
              <w:bottom w:val="single" w:sz="12" w:space="0" w:color="000000"/>
              <w:right w:val="dotted" w:sz="4" w:space="0" w:color="000000"/>
            </w:tcBorders>
          </w:tcPr>
          <w:p>
            <w:pPr/>
          </w:p>
        </w:tc>
        <w:tc>
          <w:tcPr>
            <w:tcW w:w="2948" w:type="dxa"/>
            <w:tcBorders>
              <w:top w:val="nil" w:sz="6" w:space="0" w:color="auto"/>
              <w:left w:val="dotted" w:sz="4" w:space="0" w:color="000000"/>
              <w:bottom w:val="single" w:sz="12" w:space="0" w:color="000000"/>
              <w:right w:val="dotted" w:sz="4" w:space="0" w:color="000000"/>
            </w:tcBorders>
          </w:tcPr>
          <w:p>
            <w:pPr>
              <w:pStyle w:val="TableParagraph"/>
              <w:spacing w:line="215"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823,555,261.61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元。</w:t>
            </w:r>
          </w:p>
        </w:tc>
        <w:tc>
          <w:tcPr>
            <w:tcW w:w="2786" w:type="dxa"/>
            <w:tcBorders>
              <w:top w:val="nil" w:sz="6" w:space="0" w:color="auto"/>
              <w:left w:val="dotted" w:sz="4" w:space="0" w:color="000000"/>
              <w:bottom w:val="single" w:sz="12" w:space="0" w:color="000000"/>
              <w:right w:val="nil" w:sz="6" w:space="0" w:color="auto"/>
            </w:tcBorders>
          </w:tcPr>
          <w:p>
            <w:pPr>
              <w:pStyle w:val="TableParagraph"/>
              <w:spacing w:line="215" w:lineRule="exact"/>
              <w:ind w:left="80" w:right="0"/>
              <w:jc w:val="center"/>
              <w:rPr>
                <w:rFonts w:ascii="宋体" w:hAnsi="宋体" w:cs="宋体" w:eastAsia="宋体" w:hint="default"/>
                <w:sz w:val="18"/>
                <w:szCs w:val="18"/>
              </w:rPr>
            </w:pPr>
            <w:r>
              <w:rPr>
                <w:rFonts w:ascii="宋体" w:hAnsi="宋体" w:cs="宋体" w:eastAsia="宋体" w:hint="default"/>
                <w:sz w:val="18"/>
                <w:szCs w:val="18"/>
              </w:rPr>
              <w:t>上年年末余额</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608,393,323.78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w:t>
            </w:r>
          </w:p>
        </w:tc>
      </w:tr>
    </w:tbl>
    <w:p>
      <w:pPr>
        <w:pStyle w:val="BodyText"/>
        <w:spacing w:line="240" w:lineRule="auto" w:before="51"/>
        <w:ind w:left="472" w:right="0"/>
        <w:jc w:val="left"/>
      </w:pPr>
      <w:r>
        <w:rPr/>
        <w:t>（</w:t>
      </w:r>
      <w:r>
        <w:rPr>
          <w:rFonts w:ascii="Times New Roman" w:hAnsi="Times New Roman" w:cs="Times New Roman" w:eastAsia="Times New Roman" w:hint="default"/>
        </w:rPr>
        <w:t>2</w:t>
      </w:r>
      <w:r>
        <w:rPr/>
        <w:t>）执行《企业会计准则第</w:t>
      </w:r>
      <w:r>
        <w:rPr>
          <w:spacing w:val="-45"/>
        </w:rPr>
        <w:t> </w:t>
      </w:r>
      <w:r>
        <w:rPr>
          <w:rFonts w:ascii="Times New Roman" w:hAnsi="Times New Roman" w:cs="Times New Roman" w:eastAsia="Times New Roman" w:hint="default"/>
        </w:rPr>
        <w:t>22</w:t>
      </w:r>
      <w:r>
        <w:rPr>
          <w:rFonts w:ascii="Times New Roman" w:hAnsi="Times New Roman" w:cs="Times New Roman" w:eastAsia="Times New Roman" w:hint="default"/>
          <w:spacing w:val="-3"/>
        </w:rPr>
        <w:t> </w:t>
      </w:r>
      <w:r>
        <w:rPr/>
        <w:t>号</w:t>
      </w:r>
      <w:r>
        <w:rPr>
          <w:rFonts w:ascii="Times New Roman" w:hAnsi="Times New Roman" w:cs="Times New Roman" w:eastAsia="Times New Roman" w:hint="default"/>
        </w:rPr>
        <w:t>——</w:t>
      </w:r>
      <w:r>
        <w:rPr/>
        <w:t>金融工具确认和计量》《企业会计准则第</w:t>
      </w:r>
      <w:r>
        <w:rPr>
          <w:spacing w:val="-45"/>
        </w:rPr>
        <w:t> </w:t>
      </w:r>
      <w:r>
        <w:rPr>
          <w:rFonts w:ascii="Times New Roman" w:hAnsi="Times New Roman" w:cs="Times New Roman" w:eastAsia="Times New Roman" w:hint="default"/>
        </w:rPr>
        <w:t>23</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金融资产转移》《企业会计</w:t>
      </w:r>
    </w:p>
    <w:p>
      <w:pPr>
        <w:pStyle w:val="BodyText"/>
        <w:spacing w:line="240" w:lineRule="auto" w:before="63"/>
        <w:ind w:right="0"/>
        <w:jc w:val="both"/>
      </w:pPr>
      <w:r>
        <w:rPr/>
        <w:t>准则第</w:t>
      </w:r>
      <w:r>
        <w:rPr>
          <w:spacing w:val="-45"/>
        </w:rPr>
        <w:t> </w:t>
      </w:r>
      <w:r>
        <w:rPr>
          <w:rFonts w:ascii="Times New Roman" w:hAnsi="Times New Roman" w:cs="Times New Roman" w:eastAsia="Times New Roman" w:hint="default"/>
        </w:rPr>
        <w:t>24</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套期会计》和《企业会计准则第</w:t>
      </w:r>
      <w:r>
        <w:rPr>
          <w:spacing w:val="-45"/>
        </w:rPr>
        <w:t> </w:t>
      </w:r>
      <w:r>
        <w:rPr>
          <w:rFonts w:ascii="Times New Roman" w:hAnsi="Times New Roman" w:cs="Times New Roman" w:eastAsia="Times New Roman" w:hint="default"/>
        </w:rPr>
        <w:t>37</w:t>
      </w:r>
      <w:r>
        <w:rPr>
          <w:rFonts w:ascii="Times New Roman" w:hAnsi="Times New Roman" w:cs="Times New Roman" w:eastAsia="Times New Roman" w:hint="default"/>
          <w:spacing w:val="-3"/>
        </w:rPr>
        <w:t> </w:t>
      </w:r>
      <w:r>
        <w:rPr/>
        <w:t>号</w:t>
      </w:r>
      <w:r>
        <w:rPr>
          <w:rFonts w:ascii="Times New Roman" w:hAnsi="Times New Roman" w:cs="Times New Roman" w:eastAsia="Times New Roman" w:hint="default"/>
        </w:rPr>
        <w:t>——</w:t>
      </w:r>
      <w:r>
        <w:rPr/>
        <w:t>金融工具列报》（</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年修订）</w:t>
      </w:r>
    </w:p>
    <w:p>
      <w:pPr>
        <w:pStyle w:val="BodyText"/>
        <w:spacing w:line="240" w:lineRule="auto" w:before="103"/>
        <w:ind w:left="472" w:right="0"/>
        <w:jc w:val="left"/>
      </w:pPr>
      <w:r>
        <w:rPr/>
        <w:t>财政部于</w:t>
      </w:r>
      <w:r>
        <w:rPr>
          <w:spacing w:val="-4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年度修订了《企业会计准则第</w:t>
      </w:r>
      <w:r>
        <w:rPr>
          <w:spacing w:val="-45"/>
        </w:rPr>
        <w:t> </w:t>
      </w:r>
      <w:r>
        <w:rPr>
          <w:rFonts w:ascii="Times New Roman" w:hAnsi="Times New Roman" w:cs="Times New Roman" w:eastAsia="Times New Roman" w:hint="default"/>
        </w:rPr>
        <w:t>22</w:t>
      </w:r>
      <w:r>
        <w:rPr>
          <w:rFonts w:ascii="Times New Roman" w:hAnsi="Times New Roman" w:cs="Times New Roman" w:eastAsia="Times New Roman" w:hint="default"/>
          <w:spacing w:val="-3"/>
        </w:rPr>
        <w:t> </w:t>
      </w:r>
      <w:r>
        <w:rPr/>
        <w:t>号</w:t>
      </w:r>
      <w:r>
        <w:rPr>
          <w:rFonts w:ascii="Times New Roman" w:hAnsi="Times New Roman" w:cs="Times New Roman" w:eastAsia="Times New Roman" w:hint="default"/>
        </w:rPr>
        <w:t>——</w:t>
      </w:r>
      <w:r>
        <w:rPr/>
        <w:t>金融工具确认和计量》《企业会计准则第</w:t>
      </w:r>
      <w:r>
        <w:rPr>
          <w:spacing w:val="-45"/>
        </w:rPr>
        <w:t> </w:t>
      </w:r>
      <w:r>
        <w:rPr>
          <w:rFonts w:ascii="Times New Roman" w:hAnsi="Times New Roman" w:cs="Times New Roman" w:eastAsia="Times New Roman" w:hint="default"/>
        </w:rPr>
        <w:t>23</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金融资产转</w:t>
      </w:r>
    </w:p>
    <w:p>
      <w:pPr>
        <w:pStyle w:val="BodyText"/>
        <w:spacing w:line="312" w:lineRule="auto" w:before="63"/>
        <w:ind w:right="1132"/>
        <w:jc w:val="both"/>
      </w:pPr>
      <w:r>
        <w:rPr>
          <w:spacing w:val="-3"/>
        </w:rPr>
        <w:t>移》《企业会计准则第</w:t>
      </w:r>
      <w:r>
        <w:rPr>
          <w:spacing w:val="-58"/>
        </w:rPr>
        <w:t> </w:t>
      </w:r>
      <w:r>
        <w:rPr>
          <w:rFonts w:ascii="Times New Roman" w:hAnsi="Times New Roman" w:cs="Times New Roman" w:eastAsia="Times New Roman" w:hint="default"/>
        </w:rPr>
        <w:t>24</w:t>
      </w:r>
      <w:r>
        <w:rPr>
          <w:rFonts w:ascii="Times New Roman" w:hAnsi="Times New Roman" w:cs="Times New Roman" w:eastAsia="Times New Roman" w:hint="default"/>
          <w:spacing w:val="-14"/>
        </w:rPr>
        <w:t> </w:t>
      </w:r>
      <w:r>
        <w:rPr/>
        <w:t>号</w:t>
      </w:r>
      <w:r>
        <w:rPr>
          <w:rFonts w:ascii="Times New Roman" w:hAnsi="Times New Roman" w:cs="Times New Roman" w:eastAsia="Times New Roman" w:hint="default"/>
        </w:rPr>
        <w:t>——</w:t>
      </w:r>
      <w:r>
        <w:rPr/>
        <w:t>套期会计》和《企业会计准则第</w:t>
      </w:r>
      <w:r>
        <w:rPr>
          <w:spacing w:val="-58"/>
        </w:rPr>
        <w:t> </w:t>
      </w:r>
      <w:r>
        <w:rPr>
          <w:rFonts w:ascii="Times New Roman" w:hAnsi="Times New Roman" w:cs="Times New Roman" w:eastAsia="Times New Roman" w:hint="default"/>
        </w:rPr>
        <w:t>37</w:t>
      </w:r>
      <w:r>
        <w:rPr>
          <w:rFonts w:ascii="Times New Roman" w:hAnsi="Times New Roman" w:cs="Times New Roman" w:eastAsia="Times New Roman" w:hint="default"/>
          <w:spacing w:val="-14"/>
        </w:rPr>
        <w:t> </w:t>
      </w:r>
      <w:r>
        <w:rPr/>
        <w:t>号</w:t>
      </w:r>
      <w:r>
        <w:rPr>
          <w:rFonts w:ascii="Times New Roman" w:hAnsi="Times New Roman" w:cs="Times New Roman" w:eastAsia="Times New Roman" w:hint="default"/>
        </w:rPr>
        <w:t>——</w:t>
      </w:r>
      <w:r>
        <w:rPr/>
        <w:t>金融工具列报》。修订后的准则规定，对于首次 </w:t>
      </w:r>
      <w:r>
        <w:rPr>
          <w:spacing w:val="-2"/>
        </w:rPr>
        <w:t>执行日尚未终止确认的金融工具，之前的确认和计量与修订后的准则要求不一致的，应当追溯调整。涉及前期比较财务报表</w:t>
      </w:r>
      <w:r>
        <w:rPr>
          <w:spacing w:val="-65"/>
        </w:rPr>
        <w:t> </w:t>
      </w:r>
      <w:r>
        <w:rPr>
          <w:spacing w:val="-65"/>
        </w:rPr>
      </w:r>
      <w:r>
        <w:rPr>
          <w:spacing w:val="-2"/>
        </w:rPr>
        <w:t>数据与修订后的准则要求不一致的，无需调整。本公司将因追溯调整产生的累积影响数调整当年年初留存收益和其他综合收</w:t>
      </w:r>
      <w:r>
        <w:rPr>
          <w:spacing w:val="-64"/>
        </w:rPr>
        <w:t> </w:t>
      </w:r>
      <w:r>
        <w:rPr>
          <w:spacing w:val="-64"/>
        </w:rPr>
      </w:r>
      <w:r>
        <w:rPr/>
        <w:t>益。</w:t>
      </w:r>
    </w:p>
    <w:p>
      <w:pPr>
        <w:pStyle w:val="BodyText"/>
        <w:spacing w:line="300" w:lineRule="auto" w:before="63"/>
        <w:ind w:right="1122" w:firstLine="360"/>
        <w:jc w:val="left"/>
      </w:pPr>
      <w:r>
        <w:rPr>
          <w:spacing w:val="-3"/>
        </w:rPr>
        <w:t>①以按照财会〔</w:t>
      </w:r>
      <w:r>
        <w:rPr>
          <w:rFonts w:ascii="Times New Roman" w:hAnsi="Times New Roman" w:cs="Times New Roman" w:eastAsia="Times New Roman" w:hint="default"/>
          <w:spacing w:val="-3"/>
        </w:rPr>
        <w:t>2019</w:t>
      </w:r>
      <w:r>
        <w:rPr>
          <w:spacing w:val="-3"/>
        </w:rPr>
        <w:t>〕</w:t>
      </w:r>
      <w:r>
        <w:rPr>
          <w:rFonts w:ascii="Times New Roman" w:hAnsi="Times New Roman" w:cs="Times New Roman" w:eastAsia="Times New Roman" w:hint="default"/>
          <w:spacing w:val="-3"/>
        </w:rPr>
        <w:t>6 </w:t>
      </w:r>
      <w:r>
        <w:rPr>
          <w:spacing w:val="-3"/>
        </w:rPr>
        <w:t>号和财会〔</w:t>
      </w:r>
      <w:r>
        <w:rPr>
          <w:rFonts w:ascii="Times New Roman" w:hAnsi="Times New Roman" w:cs="Times New Roman" w:eastAsia="Times New Roman" w:hint="default"/>
          <w:spacing w:val="-3"/>
        </w:rPr>
        <w:t>2019</w:t>
      </w:r>
      <w:r>
        <w:rPr>
          <w:spacing w:val="-3"/>
        </w:rPr>
        <w:t>〕</w:t>
      </w:r>
      <w:r>
        <w:rPr>
          <w:rFonts w:ascii="Times New Roman" w:hAnsi="Times New Roman" w:cs="Times New Roman" w:eastAsia="Times New Roman" w:hint="default"/>
          <w:spacing w:val="-3"/>
        </w:rPr>
        <w:t>16</w:t>
      </w:r>
      <w:r>
        <w:rPr>
          <w:rFonts w:ascii="Times New Roman" w:hAnsi="Times New Roman" w:cs="Times New Roman" w:eastAsia="Times New Roman" w:hint="default"/>
          <w:spacing w:val="-10"/>
        </w:rPr>
        <w:t> </w:t>
      </w:r>
      <w:r>
        <w:rPr/>
        <w:t>号的规定调整后的上年年末余额为基础，执行上述新金融工具准则的主要 影响如下：</w:t>
      </w:r>
    </w:p>
    <w:p>
      <w:pPr>
        <w:spacing w:line="240" w:lineRule="auto" w:before="8"/>
        <w:rPr>
          <w:rFonts w:ascii="宋体" w:hAnsi="宋体" w:cs="宋体" w:eastAsia="宋体" w:hint="default"/>
          <w:sz w:val="4"/>
          <w:szCs w:val="4"/>
        </w:rPr>
      </w:pPr>
    </w:p>
    <w:tbl>
      <w:tblPr>
        <w:tblW w:w="0" w:type="auto"/>
        <w:jc w:val="left"/>
        <w:tblInd w:w="412" w:type="dxa"/>
        <w:tblLayout w:type="fixed"/>
        <w:tblCellMar>
          <w:top w:w="0" w:type="dxa"/>
          <w:left w:w="0" w:type="dxa"/>
          <w:bottom w:w="0" w:type="dxa"/>
          <w:right w:w="0" w:type="dxa"/>
        </w:tblCellMar>
        <w:tblLook w:val="01E0"/>
      </w:tblPr>
      <w:tblGrid>
        <w:gridCol w:w="2910"/>
        <w:gridCol w:w="1240"/>
        <w:gridCol w:w="2434"/>
        <w:gridCol w:w="2428"/>
      </w:tblGrid>
      <w:tr>
        <w:trPr>
          <w:trHeight w:val="334" w:hRule="exact"/>
        </w:trPr>
        <w:tc>
          <w:tcPr>
            <w:tcW w:w="2910" w:type="dxa"/>
            <w:vMerge w:val="restart"/>
            <w:tcBorders>
              <w:top w:val="single" w:sz="12" w:space="0" w:color="000000"/>
              <w:left w:val="nil" w:sz="6" w:space="0" w:color="auto"/>
              <w:right w:val="dotted"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74"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1240" w:type="dxa"/>
            <w:vMerge w:val="restart"/>
            <w:tcBorders>
              <w:top w:val="single" w:sz="12" w:space="0" w:color="000000"/>
              <w:left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审批程序</w:t>
            </w:r>
          </w:p>
        </w:tc>
        <w:tc>
          <w:tcPr>
            <w:tcW w:w="4862" w:type="dxa"/>
            <w:gridSpan w:val="2"/>
            <w:tcBorders>
              <w:top w:val="single" w:sz="12" w:space="0" w:color="000000"/>
              <w:left w:val="dotted" w:sz="4" w:space="0" w:color="000000"/>
              <w:bottom w:val="dotted" w:sz="4" w:space="0" w:color="000000"/>
              <w:right w:val="nil" w:sz="6" w:space="0" w:color="auto"/>
            </w:tcBorders>
          </w:tcPr>
          <w:p>
            <w:pPr>
              <w:pStyle w:val="TableParagraph"/>
              <w:spacing w:line="240" w:lineRule="auto" w:before="12"/>
              <w:ind w:left="1254" w:right="0"/>
              <w:jc w:val="left"/>
              <w:rPr>
                <w:rFonts w:ascii="宋体" w:hAnsi="宋体" w:cs="宋体" w:eastAsia="宋体" w:hint="default"/>
                <w:sz w:val="18"/>
                <w:szCs w:val="18"/>
              </w:rPr>
            </w:pPr>
            <w:r>
              <w:rPr>
                <w:rFonts w:ascii="宋体" w:hAnsi="宋体" w:cs="宋体" w:eastAsia="宋体" w:hint="default"/>
                <w:sz w:val="18"/>
                <w:szCs w:val="18"/>
              </w:rPr>
              <w:t>受影响的报表项目名称和金额</w:t>
            </w:r>
          </w:p>
        </w:tc>
      </w:tr>
      <w:tr>
        <w:trPr>
          <w:trHeight w:val="323" w:hRule="exact"/>
        </w:trPr>
        <w:tc>
          <w:tcPr>
            <w:tcW w:w="2910" w:type="dxa"/>
            <w:vMerge/>
            <w:tcBorders>
              <w:left w:val="nil" w:sz="6" w:space="0" w:color="auto"/>
              <w:bottom w:val="dotted" w:sz="4" w:space="0" w:color="000000"/>
              <w:right w:val="dotted" w:sz="4" w:space="0" w:color="000000"/>
            </w:tcBorders>
          </w:tcPr>
          <w:p>
            <w:pPr/>
          </w:p>
        </w:tc>
        <w:tc>
          <w:tcPr>
            <w:tcW w:w="1240" w:type="dxa"/>
            <w:vMerge/>
            <w:tcBorders>
              <w:left w:val="dotted" w:sz="4" w:space="0" w:color="000000"/>
              <w:bottom w:val="dotted" w:sz="4" w:space="0" w:color="000000"/>
              <w:right w:val="dotted" w:sz="4" w:space="0" w:color="000000"/>
            </w:tcBorders>
          </w:tcPr>
          <w:p>
            <w:pPr/>
          </w:p>
        </w:tc>
        <w:tc>
          <w:tcPr>
            <w:tcW w:w="24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242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母公司</w:t>
            </w:r>
          </w:p>
        </w:tc>
      </w:tr>
      <w:tr>
        <w:trPr>
          <w:trHeight w:val="1072" w:hRule="exact"/>
        </w:trPr>
        <w:tc>
          <w:tcPr>
            <w:tcW w:w="2910"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32" w:lineRule="exact"/>
              <w:ind w:left="108" w:right="102"/>
              <w:jc w:val="both"/>
              <w:rPr>
                <w:rFonts w:ascii="宋体" w:hAnsi="宋体" w:cs="宋体" w:eastAsia="宋体" w:hint="default"/>
                <w:sz w:val="18"/>
                <w:szCs w:val="18"/>
              </w:rPr>
            </w:pPr>
            <w:r>
              <w:rPr>
                <w:rFonts w:ascii="宋体" w:hAnsi="宋体" w:cs="宋体" w:eastAsia="宋体" w:hint="default"/>
                <w:spacing w:val="-1"/>
                <w:sz w:val="18"/>
                <w:szCs w:val="18"/>
              </w:rPr>
              <w:t>持有至到期投资重分类为“以公允</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2"/>
                <w:sz w:val="18"/>
                <w:szCs w:val="18"/>
              </w:rPr>
              <w:t>价值计量且其变动计入当期损益</w:t>
            </w:r>
            <w:r>
              <w:rPr>
                <w:rFonts w:ascii="宋体" w:hAnsi="宋体" w:cs="宋体" w:eastAsia="宋体" w:hint="default"/>
                <w:sz w:val="18"/>
                <w:szCs w:val="18"/>
              </w:rPr>
              <w:t> 的金融资产”。</w:t>
            </w:r>
          </w:p>
        </w:tc>
        <w:tc>
          <w:tcPr>
            <w:tcW w:w="124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6"/>
              <w:ind w:left="102" w:right="0"/>
              <w:jc w:val="left"/>
              <w:rPr>
                <w:rFonts w:ascii="宋体" w:hAnsi="宋体" w:cs="宋体" w:eastAsia="宋体" w:hint="default"/>
                <w:sz w:val="18"/>
                <w:szCs w:val="18"/>
              </w:rPr>
            </w:pPr>
            <w:r>
              <w:rPr>
                <w:rFonts w:ascii="宋体" w:hAnsi="宋体" w:cs="宋体" w:eastAsia="宋体" w:hint="default"/>
                <w:sz w:val="18"/>
                <w:szCs w:val="18"/>
              </w:rPr>
              <w:t>董事会审议</w:t>
            </w:r>
          </w:p>
        </w:tc>
        <w:tc>
          <w:tcPr>
            <w:tcW w:w="2434" w:type="dxa"/>
            <w:tcBorders>
              <w:top w:val="dotted" w:sz="4" w:space="0" w:color="000000"/>
              <w:left w:val="dotted" w:sz="4" w:space="0" w:color="000000"/>
              <w:bottom w:val="single" w:sz="12" w:space="0" w:color="000000"/>
              <w:right w:val="dotted" w:sz="4" w:space="0" w:color="000000"/>
            </w:tcBorders>
          </w:tcPr>
          <w:p>
            <w:pPr>
              <w:pStyle w:val="TableParagraph"/>
              <w:spacing w:line="234" w:lineRule="exact" w:before="12"/>
              <w:ind w:left="102" w:right="0"/>
              <w:jc w:val="left"/>
              <w:rPr>
                <w:rFonts w:ascii="宋体" w:hAnsi="宋体" w:cs="宋体" w:eastAsia="宋体" w:hint="default"/>
                <w:sz w:val="18"/>
                <w:szCs w:val="18"/>
              </w:rPr>
            </w:pPr>
            <w:r>
              <w:rPr>
                <w:rFonts w:ascii="宋体" w:hAnsi="宋体" w:cs="宋体" w:eastAsia="宋体" w:hint="default"/>
                <w:sz w:val="18"/>
                <w:szCs w:val="18"/>
              </w:rPr>
              <w:t>其</w:t>
            </w:r>
            <w:r>
              <w:rPr>
                <w:rFonts w:ascii="宋体" w:hAnsi="宋体" w:cs="宋体" w:eastAsia="宋体" w:hint="default"/>
                <w:spacing w:val="-16"/>
                <w:sz w:val="18"/>
                <w:szCs w:val="18"/>
              </w:rPr>
              <w:t> </w:t>
            </w:r>
            <w:r>
              <w:rPr>
                <w:rFonts w:ascii="宋体" w:hAnsi="宋体" w:cs="宋体" w:eastAsia="宋体" w:hint="default"/>
                <w:sz w:val="18"/>
                <w:szCs w:val="18"/>
              </w:rPr>
              <w:t>他</w:t>
            </w:r>
            <w:r>
              <w:rPr>
                <w:rFonts w:ascii="宋体" w:hAnsi="宋体" w:cs="宋体" w:eastAsia="宋体" w:hint="default"/>
                <w:spacing w:val="-16"/>
                <w:sz w:val="18"/>
                <w:szCs w:val="18"/>
              </w:rPr>
              <w:t> </w:t>
            </w:r>
            <w:r>
              <w:rPr>
                <w:rFonts w:ascii="宋体" w:hAnsi="宋体" w:cs="宋体" w:eastAsia="宋体" w:hint="default"/>
                <w:sz w:val="18"/>
                <w:szCs w:val="18"/>
              </w:rPr>
              <w:t>流</w:t>
            </w:r>
            <w:r>
              <w:rPr>
                <w:rFonts w:ascii="宋体" w:hAnsi="宋体" w:cs="宋体" w:eastAsia="宋体" w:hint="default"/>
                <w:spacing w:val="-16"/>
                <w:sz w:val="18"/>
                <w:szCs w:val="18"/>
              </w:rPr>
              <w:t> </w:t>
            </w:r>
            <w:r>
              <w:rPr>
                <w:rFonts w:ascii="宋体" w:hAnsi="宋体" w:cs="宋体" w:eastAsia="宋体" w:hint="default"/>
                <w:sz w:val="18"/>
                <w:szCs w:val="18"/>
              </w:rPr>
              <w:t>动</w:t>
            </w:r>
            <w:r>
              <w:rPr>
                <w:rFonts w:ascii="宋体" w:hAnsi="宋体" w:cs="宋体" w:eastAsia="宋体" w:hint="default"/>
                <w:spacing w:val="-14"/>
                <w:sz w:val="18"/>
                <w:szCs w:val="18"/>
              </w:rPr>
              <w:t> </w:t>
            </w:r>
            <w:r>
              <w:rPr>
                <w:rFonts w:ascii="宋体" w:hAnsi="宋体" w:cs="宋体" w:eastAsia="宋体" w:hint="default"/>
                <w:sz w:val="18"/>
                <w:szCs w:val="18"/>
              </w:rPr>
              <w:t>资</w:t>
            </w:r>
            <w:r>
              <w:rPr>
                <w:rFonts w:ascii="宋体" w:hAnsi="宋体" w:cs="宋体" w:eastAsia="宋体" w:hint="default"/>
                <w:spacing w:val="-16"/>
                <w:sz w:val="18"/>
                <w:szCs w:val="18"/>
              </w:rPr>
              <w:t> </w:t>
            </w:r>
            <w:r>
              <w:rPr>
                <w:rFonts w:ascii="宋体" w:hAnsi="宋体" w:cs="宋体" w:eastAsia="宋体" w:hint="default"/>
                <w:sz w:val="18"/>
                <w:szCs w:val="18"/>
              </w:rPr>
              <w:t>产</w:t>
            </w:r>
            <w:r>
              <w:rPr>
                <w:rFonts w:ascii="宋体" w:hAnsi="宋体" w:cs="宋体" w:eastAsia="宋体" w:hint="default"/>
                <w:spacing w:val="-16"/>
                <w:sz w:val="18"/>
                <w:szCs w:val="18"/>
              </w:rPr>
              <w:t> </w:t>
            </w:r>
            <w:r>
              <w:rPr>
                <w:rFonts w:ascii="宋体" w:hAnsi="宋体" w:cs="宋体" w:eastAsia="宋体" w:hint="default"/>
                <w:sz w:val="18"/>
                <w:szCs w:val="18"/>
              </w:rPr>
              <w:t>：</w:t>
            </w:r>
            <w:r>
              <w:rPr>
                <w:rFonts w:ascii="宋体" w:hAnsi="宋体" w:cs="宋体" w:eastAsia="宋体" w:hint="default"/>
                <w:spacing w:val="-16"/>
                <w:sz w:val="18"/>
                <w:szCs w:val="18"/>
              </w:rPr>
              <w:t> </w:t>
            </w:r>
            <w:r>
              <w:rPr>
                <w:rFonts w:ascii="宋体" w:hAnsi="宋体" w:cs="宋体" w:eastAsia="宋体" w:hint="default"/>
                <w:sz w:val="18"/>
                <w:szCs w:val="18"/>
              </w:rPr>
              <w:t>减</w:t>
            </w:r>
            <w:r>
              <w:rPr>
                <w:rFonts w:ascii="宋体" w:hAnsi="宋体" w:cs="宋体" w:eastAsia="宋体" w:hint="default"/>
                <w:spacing w:val="-16"/>
                <w:sz w:val="18"/>
                <w:szCs w:val="18"/>
              </w:rPr>
              <w:t> </w:t>
            </w:r>
            <w:r>
              <w:rPr>
                <w:rFonts w:ascii="宋体" w:hAnsi="宋体" w:cs="宋体" w:eastAsia="宋体" w:hint="default"/>
                <w:sz w:val="18"/>
                <w:szCs w:val="18"/>
              </w:rPr>
              <w:t>少</w:t>
            </w:r>
          </w:p>
          <w:p>
            <w:pPr>
              <w:pStyle w:val="TableParagraph"/>
              <w:spacing w:line="248" w:lineRule="exact"/>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1,570,929,605.39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元。</w:t>
            </w:r>
          </w:p>
          <w:p>
            <w:pPr>
              <w:pStyle w:val="TableParagraph"/>
              <w:spacing w:line="234" w:lineRule="exact" w:before="24"/>
              <w:ind w:left="102" w:right="0"/>
              <w:jc w:val="left"/>
              <w:rPr>
                <w:rFonts w:ascii="宋体" w:hAnsi="宋体" w:cs="宋体" w:eastAsia="宋体" w:hint="default"/>
                <w:sz w:val="18"/>
                <w:szCs w:val="18"/>
              </w:rPr>
            </w:pPr>
            <w:r>
              <w:rPr>
                <w:rFonts w:ascii="宋体" w:hAnsi="宋体" w:cs="宋体" w:eastAsia="宋体" w:hint="default"/>
                <w:sz w:val="18"/>
                <w:szCs w:val="18"/>
              </w:rPr>
              <w:t>交</w:t>
            </w:r>
            <w:r>
              <w:rPr>
                <w:rFonts w:ascii="宋体" w:hAnsi="宋体" w:cs="宋体" w:eastAsia="宋体" w:hint="default"/>
                <w:spacing w:val="-45"/>
                <w:sz w:val="18"/>
                <w:szCs w:val="18"/>
              </w:rPr>
              <w:t> </w:t>
            </w:r>
            <w:r>
              <w:rPr>
                <w:rFonts w:ascii="宋体" w:hAnsi="宋体" w:cs="宋体" w:eastAsia="宋体" w:hint="default"/>
                <w:sz w:val="18"/>
                <w:szCs w:val="18"/>
              </w:rPr>
              <w:t>易</w:t>
            </w:r>
            <w:r>
              <w:rPr>
                <w:rFonts w:ascii="宋体" w:hAnsi="宋体" w:cs="宋体" w:eastAsia="宋体" w:hint="default"/>
                <w:spacing w:val="-42"/>
                <w:sz w:val="18"/>
                <w:szCs w:val="18"/>
              </w:rPr>
              <w:t> </w:t>
            </w:r>
            <w:r>
              <w:rPr>
                <w:rFonts w:ascii="宋体" w:hAnsi="宋体" w:cs="宋体" w:eastAsia="宋体" w:hint="default"/>
                <w:sz w:val="18"/>
                <w:szCs w:val="18"/>
              </w:rPr>
              <w:t>性</w:t>
            </w:r>
            <w:r>
              <w:rPr>
                <w:rFonts w:ascii="宋体" w:hAnsi="宋体" w:cs="宋体" w:eastAsia="宋体" w:hint="default"/>
                <w:spacing w:val="-45"/>
                <w:sz w:val="18"/>
                <w:szCs w:val="18"/>
              </w:rPr>
              <w:t> </w:t>
            </w:r>
            <w:r>
              <w:rPr>
                <w:rFonts w:ascii="宋体" w:hAnsi="宋体" w:cs="宋体" w:eastAsia="宋体" w:hint="default"/>
                <w:sz w:val="18"/>
                <w:szCs w:val="18"/>
              </w:rPr>
              <w:t>金</w:t>
            </w:r>
            <w:r>
              <w:rPr>
                <w:rFonts w:ascii="宋体" w:hAnsi="宋体" w:cs="宋体" w:eastAsia="宋体" w:hint="default"/>
                <w:spacing w:val="-45"/>
                <w:sz w:val="18"/>
                <w:szCs w:val="18"/>
              </w:rPr>
              <w:t> </w:t>
            </w:r>
            <w:r>
              <w:rPr>
                <w:rFonts w:ascii="宋体" w:hAnsi="宋体" w:cs="宋体" w:eastAsia="宋体" w:hint="default"/>
                <w:sz w:val="18"/>
                <w:szCs w:val="18"/>
              </w:rPr>
              <w:t>融</w:t>
            </w:r>
            <w:r>
              <w:rPr>
                <w:rFonts w:ascii="宋体" w:hAnsi="宋体" w:cs="宋体" w:eastAsia="宋体" w:hint="default"/>
                <w:spacing w:val="-42"/>
                <w:sz w:val="18"/>
                <w:szCs w:val="18"/>
              </w:rPr>
              <w:t> </w:t>
            </w:r>
            <w:r>
              <w:rPr>
                <w:rFonts w:ascii="宋体" w:hAnsi="宋体" w:cs="宋体" w:eastAsia="宋体" w:hint="default"/>
                <w:sz w:val="18"/>
                <w:szCs w:val="18"/>
              </w:rPr>
              <w:t>资</w:t>
            </w:r>
            <w:r>
              <w:rPr>
                <w:rFonts w:ascii="宋体" w:hAnsi="宋体" w:cs="宋体" w:eastAsia="宋体" w:hint="default"/>
                <w:spacing w:val="-45"/>
                <w:sz w:val="18"/>
                <w:szCs w:val="18"/>
              </w:rPr>
              <w:t> </w:t>
            </w:r>
            <w:r>
              <w:rPr>
                <w:rFonts w:ascii="宋体" w:hAnsi="宋体" w:cs="宋体" w:eastAsia="宋体" w:hint="default"/>
                <w:sz w:val="18"/>
                <w:szCs w:val="18"/>
              </w:rPr>
              <w:t>产</w:t>
            </w:r>
            <w:r>
              <w:rPr>
                <w:rFonts w:ascii="宋体" w:hAnsi="宋体" w:cs="宋体" w:eastAsia="宋体" w:hint="default"/>
                <w:spacing w:val="-45"/>
                <w:sz w:val="18"/>
                <w:szCs w:val="18"/>
              </w:rPr>
              <w:t> </w:t>
            </w:r>
            <w:r>
              <w:rPr>
                <w:rFonts w:ascii="宋体" w:hAnsi="宋体" w:cs="宋体" w:eastAsia="宋体" w:hint="default"/>
                <w:sz w:val="18"/>
                <w:szCs w:val="18"/>
              </w:rPr>
              <w:t>：</w:t>
            </w:r>
            <w:r>
              <w:rPr>
                <w:rFonts w:ascii="宋体" w:hAnsi="宋体" w:cs="宋体" w:eastAsia="宋体" w:hint="default"/>
                <w:spacing w:val="-42"/>
                <w:sz w:val="18"/>
                <w:szCs w:val="18"/>
              </w:rPr>
              <w:t> </w:t>
            </w:r>
            <w:r>
              <w:rPr>
                <w:rFonts w:ascii="宋体" w:hAnsi="宋体" w:cs="宋体" w:eastAsia="宋体" w:hint="default"/>
                <w:sz w:val="18"/>
                <w:szCs w:val="18"/>
              </w:rPr>
              <w:t>增</w:t>
            </w:r>
            <w:r>
              <w:rPr>
                <w:rFonts w:ascii="宋体" w:hAnsi="宋体" w:cs="宋体" w:eastAsia="宋体" w:hint="default"/>
                <w:spacing w:val="-45"/>
                <w:sz w:val="18"/>
                <w:szCs w:val="18"/>
              </w:rPr>
              <w:t> </w:t>
            </w:r>
            <w:r>
              <w:rPr>
                <w:rFonts w:ascii="宋体" w:hAnsi="宋体" w:cs="宋体" w:eastAsia="宋体" w:hint="default"/>
                <w:sz w:val="18"/>
                <w:szCs w:val="18"/>
              </w:rPr>
              <w:t>加</w:t>
            </w:r>
          </w:p>
          <w:p>
            <w:pPr>
              <w:pStyle w:val="TableParagraph"/>
              <w:spacing w:line="248" w:lineRule="exact"/>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1,570,929,605.39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元。</w:t>
            </w:r>
          </w:p>
        </w:tc>
        <w:tc>
          <w:tcPr>
            <w:tcW w:w="2428"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61"/>
              <w:ind w:left="102" w:right="0"/>
              <w:jc w:val="left"/>
              <w:rPr>
                <w:rFonts w:ascii="宋体" w:hAnsi="宋体" w:cs="宋体" w:eastAsia="宋体" w:hint="default"/>
                <w:sz w:val="18"/>
                <w:szCs w:val="18"/>
              </w:rPr>
            </w:pPr>
            <w:r>
              <w:rPr>
                <w:rFonts w:ascii="宋体" w:hAnsi="宋体" w:cs="宋体" w:eastAsia="宋体" w:hint="default"/>
                <w:sz w:val="18"/>
                <w:szCs w:val="18"/>
              </w:rPr>
              <w:t>其他流动资产</w:t>
            </w:r>
            <w:r>
              <w:rPr>
                <w:rFonts w:ascii="宋体" w:hAnsi="宋体" w:cs="宋体" w:eastAsia="宋体" w:hint="default"/>
                <w:spacing w:val="-82"/>
                <w:sz w:val="18"/>
                <w:szCs w:val="18"/>
              </w:rPr>
              <w:t>：</w:t>
            </w:r>
            <w:r>
              <w:rPr>
                <w:rFonts w:ascii="宋体" w:hAnsi="宋体" w:cs="宋体" w:eastAsia="宋体" w:hint="default"/>
                <w:sz w:val="18"/>
                <w:szCs w:val="18"/>
              </w:rPr>
              <w:t>减少</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pStyle w:val="TableParagraph"/>
              <w:spacing w:line="241" w:lineRule="exact" w:before="34"/>
              <w:ind w:left="102"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交易性金融资产：增加</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0.00</w:t>
            </w:r>
          </w:p>
          <w:p>
            <w:pPr>
              <w:pStyle w:val="TableParagraph"/>
              <w:spacing w:line="227" w:lineRule="exact"/>
              <w:ind w:left="102" w:right="0"/>
              <w:jc w:val="left"/>
              <w:rPr>
                <w:rFonts w:ascii="宋体" w:hAnsi="宋体" w:cs="宋体" w:eastAsia="宋体" w:hint="default"/>
                <w:sz w:val="18"/>
                <w:szCs w:val="18"/>
              </w:rPr>
            </w:pPr>
            <w:r>
              <w:rPr>
                <w:rFonts w:ascii="宋体" w:hAnsi="宋体" w:cs="宋体" w:eastAsia="宋体" w:hint="default"/>
                <w:sz w:val="18"/>
                <w:szCs w:val="18"/>
              </w:rPr>
              <w:t>元</w:t>
            </w:r>
          </w:p>
        </w:tc>
      </w:tr>
    </w:tbl>
    <w:p>
      <w:pPr>
        <w:spacing w:after="0" w:line="227" w:lineRule="exact"/>
        <w:jc w:val="left"/>
        <w:rPr>
          <w:rFonts w:ascii="宋体" w:hAnsi="宋体" w:cs="宋体" w:eastAsia="宋体" w:hint="default"/>
          <w:sz w:val="18"/>
          <w:szCs w:val="18"/>
        </w:rPr>
        <w:sectPr>
          <w:footerReference w:type="default" r:id="rId16"/>
          <w:pgSz w:w="11910" w:h="16840"/>
          <w:pgMar w:footer="978" w:header="878" w:top="1100" w:bottom="1160" w:left="1020" w:right="0"/>
          <w:pgNumType w:start="50"/>
        </w:sectPr>
      </w:pPr>
    </w:p>
    <w:p>
      <w:pPr>
        <w:spacing w:line="240" w:lineRule="auto" w:before="8"/>
        <w:rPr>
          <w:rFonts w:ascii="宋体" w:hAnsi="宋体" w:cs="宋体" w:eastAsia="宋体" w:hint="default"/>
          <w:sz w:val="24"/>
          <w:szCs w:val="24"/>
        </w:rPr>
      </w:pPr>
    </w:p>
    <w:tbl>
      <w:tblPr>
        <w:tblW w:w="0" w:type="auto"/>
        <w:jc w:val="left"/>
        <w:tblInd w:w="412" w:type="dxa"/>
        <w:tblLayout w:type="fixed"/>
        <w:tblCellMar>
          <w:top w:w="0" w:type="dxa"/>
          <w:left w:w="0" w:type="dxa"/>
          <w:bottom w:w="0" w:type="dxa"/>
          <w:right w:w="0" w:type="dxa"/>
        </w:tblCellMar>
        <w:tblLook w:val="01E0"/>
      </w:tblPr>
      <w:tblGrid>
        <w:gridCol w:w="2910"/>
        <w:gridCol w:w="1240"/>
        <w:gridCol w:w="2434"/>
        <w:gridCol w:w="2428"/>
      </w:tblGrid>
      <w:tr>
        <w:trPr>
          <w:trHeight w:val="333" w:hRule="exact"/>
        </w:trPr>
        <w:tc>
          <w:tcPr>
            <w:tcW w:w="2910" w:type="dxa"/>
            <w:vMerge w:val="restart"/>
            <w:tcBorders>
              <w:top w:val="single" w:sz="12" w:space="0" w:color="000000"/>
              <w:left w:val="nil" w:sz="6" w:space="0" w:color="auto"/>
              <w:right w:val="dotted"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374"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1240" w:type="dxa"/>
            <w:vMerge w:val="restart"/>
            <w:tcBorders>
              <w:top w:val="single" w:sz="12" w:space="0" w:color="000000"/>
              <w:left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审批程序</w:t>
            </w:r>
          </w:p>
        </w:tc>
        <w:tc>
          <w:tcPr>
            <w:tcW w:w="4862" w:type="dxa"/>
            <w:gridSpan w:val="2"/>
            <w:tcBorders>
              <w:top w:val="single" w:sz="12" w:space="0" w:color="000000"/>
              <w:left w:val="dotted" w:sz="4" w:space="0" w:color="000000"/>
              <w:bottom w:val="dotted" w:sz="4" w:space="0" w:color="000000"/>
              <w:right w:val="nil" w:sz="6" w:space="0" w:color="auto"/>
            </w:tcBorders>
          </w:tcPr>
          <w:p>
            <w:pPr>
              <w:pStyle w:val="TableParagraph"/>
              <w:spacing w:line="240" w:lineRule="auto" w:before="14"/>
              <w:ind w:left="1254" w:right="0"/>
              <w:jc w:val="left"/>
              <w:rPr>
                <w:rFonts w:ascii="宋体" w:hAnsi="宋体" w:cs="宋体" w:eastAsia="宋体" w:hint="default"/>
                <w:sz w:val="18"/>
                <w:szCs w:val="18"/>
              </w:rPr>
            </w:pPr>
            <w:r>
              <w:rPr>
                <w:rFonts w:ascii="宋体" w:hAnsi="宋体" w:cs="宋体" w:eastAsia="宋体" w:hint="default"/>
                <w:sz w:val="18"/>
                <w:szCs w:val="18"/>
              </w:rPr>
              <w:t>受影响的报表项目名称和金额</w:t>
            </w:r>
          </w:p>
        </w:tc>
      </w:tr>
      <w:tr>
        <w:trPr>
          <w:trHeight w:val="324" w:hRule="exact"/>
        </w:trPr>
        <w:tc>
          <w:tcPr>
            <w:tcW w:w="2910" w:type="dxa"/>
            <w:vMerge/>
            <w:tcBorders>
              <w:left w:val="nil" w:sz="6" w:space="0" w:color="auto"/>
              <w:bottom w:val="dotted" w:sz="4" w:space="0" w:color="000000"/>
              <w:right w:val="dotted" w:sz="4" w:space="0" w:color="000000"/>
            </w:tcBorders>
          </w:tcPr>
          <w:p>
            <w:pPr/>
          </w:p>
        </w:tc>
        <w:tc>
          <w:tcPr>
            <w:tcW w:w="1240" w:type="dxa"/>
            <w:vMerge/>
            <w:tcBorders>
              <w:left w:val="dotted" w:sz="4" w:space="0" w:color="000000"/>
              <w:bottom w:val="dotted" w:sz="4" w:space="0" w:color="000000"/>
              <w:right w:val="dotted" w:sz="4" w:space="0" w:color="000000"/>
            </w:tcBorders>
          </w:tcPr>
          <w:p>
            <w:pPr/>
          </w:p>
        </w:tc>
        <w:tc>
          <w:tcPr>
            <w:tcW w:w="24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242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母公司</w:t>
            </w:r>
          </w:p>
        </w:tc>
      </w:tr>
      <w:tr>
        <w:trPr>
          <w:trHeight w:val="1074" w:hRule="exact"/>
        </w:trPr>
        <w:tc>
          <w:tcPr>
            <w:tcW w:w="2910" w:type="dxa"/>
            <w:tcBorders>
              <w:top w:val="dotted" w:sz="4" w:space="0" w:color="000000"/>
              <w:left w:val="nil" w:sz="6" w:space="0" w:color="auto"/>
              <w:bottom w:val="single" w:sz="12" w:space="0" w:color="000000"/>
              <w:right w:val="dotted" w:sz="4" w:space="0" w:color="000000"/>
            </w:tcBorders>
          </w:tcPr>
          <w:p>
            <w:pPr>
              <w:pStyle w:val="TableParagraph"/>
              <w:spacing w:line="237" w:lineRule="auto" w:before="148"/>
              <w:ind w:left="108" w:right="6"/>
              <w:jc w:val="both"/>
              <w:rPr>
                <w:rFonts w:ascii="宋体" w:hAnsi="宋体" w:cs="宋体" w:eastAsia="宋体" w:hint="default"/>
                <w:sz w:val="18"/>
                <w:szCs w:val="18"/>
              </w:rPr>
            </w:pPr>
            <w:r>
              <w:rPr>
                <w:rFonts w:ascii="宋体" w:hAnsi="宋体" w:cs="宋体" w:eastAsia="宋体" w:hint="default"/>
                <w:spacing w:val="12"/>
                <w:sz w:val="18"/>
                <w:szCs w:val="18"/>
              </w:rPr>
              <w:t>非交易性的可供出售权益工具投</w:t>
            </w:r>
            <w:r>
              <w:rPr>
                <w:rFonts w:ascii="宋体" w:hAnsi="宋体" w:cs="宋体" w:eastAsia="宋体" w:hint="default"/>
                <w:sz w:val="18"/>
                <w:szCs w:val="18"/>
              </w:rPr>
              <w:t> 资指定为“以公允价值计量且其变 </w:t>
            </w:r>
            <w:r>
              <w:rPr>
                <w:rFonts w:ascii="宋体" w:hAnsi="宋体" w:cs="宋体" w:eastAsia="宋体" w:hint="default"/>
                <w:spacing w:val="-6"/>
                <w:sz w:val="18"/>
                <w:szCs w:val="18"/>
              </w:rPr>
              <w:t>动计入其他综合收益的金融资产”。</w:t>
            </w:r>
          </w:p>
        </w:tc>
        <w:tc>
          <w:tcPr>
            <w:tcW w:w="124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3"/>
              <w:ind w:left="102" w:right="0"/>
              <w:jc w:val="left"/>
              <w:rPr>
                <w:rFonts w:ascii="宋体" w:hAnsi="宋体" w:cs="宋体" w:eastAsia="宋体" w:hint="default"/>
                <w:sz w:val="18"/>
                <w:szCs w:val="18"/>
              </w:rPr>
            </w:pPr>
            <w:r>
              <w:rPr>
                <w:rFonts w:ascii="宋体" w:hAnsi="宋体" w:cs="宋体" w:eastAsia="宋体" w:hint="default"/>
                <w:sz w:val="18"/>
                <w:szCs w:val="18"/>
              </w:rPr>
              <w:t>董事会决议</w:t>
            </w:r>
          </w:p>
        </w:tc>
        <w:tc>
          <w:tcPr>
            <w:tcW w:w="2434" w:type="dxa"/>
            <w:tcBorders>
              <w:top w:val="dotted" w:sz="4" w:space="0" w:color="000000"/>
              <w:left w:val="dotted" w:sz="4" w:space="0" w:color="000000"/>
              <w:bottom w:val="single" w:sz="12" w:space="0" w:color="000000"/>
              <w:right w:val="dotted" w:sz="4" w:space="0" w:color="000000"/>
            </w:tcBorders>
          </w:tcPr>
          <w:p>
            <w:pPr>
              <w:pStyle w:val="TableParagraph"/>
              <w:spacing w:line="234" w:lineRule="exact" w:before="11"/>
              <w:ind w:left="102" w:right="0"/>
              <w:jc w:val="left"/>
              <w:rPr>
                <w:rFonts w:ascii="宋体" w:hAnsi="宋体" w:cs="宋体" w:eastAsia="宋体" w:hint="default"/>
                <w:sz w:val="18"/>
                <w:szCs w:val="18"/>
              </w:rPr>
            </w:pPr>
            <w:r>
              <w:rPr>
                <w:rFonts w:ascii="宋体" w:hAnsi="宋体" w:cs="宋体" w:eastAsia="宋体" w:hint="default"/>
                <w:sz w:val="18"/>
                <w:szCs w:val="18"/>
              </w:rPr>
              <w:t>可</w:t>
            </w:r>
            <w:r>
              <w:rPr>
                <w:rFonts w:ascii="宋体" w:hAnsi="宋体" w:cs="宋体" w:eastAsia="宋体" w:hint="default"/>
                <w:spacing w:val="-66"/>
                <w:sz w:val="18"/>
                <w:szCs w:val="18"/>
              </w:rPr>
              <w:t> </w:t>
            </w:r>
            <w:r>
              <w:rPr>
                <w:rFonts w:ascii="宋体" w:hAnsi="宋体" w:cs="宋体" w:eastAsia="宋体" w:hint="default"/>
                <w:sz w:val="18"/>
                <w:szCs w:val="18"/>
              </w:rPr>
              <w:t>供</w:t>
            </w:r>
            <w:r>
              <w:rPr>
                <w:rFonts w:ascii="宋体" w:hAnsi="宋体" w:cs="宋体" w:eastAsia="宋体" w:hint="default"/>
                <w:spacing w:val="-66"/>
                <w:sz w:val="18"/>
                <w:szCs w:val="18"/>
              </w:rPr>
              <w:t> </w:t>
            </w:r>
            <w:r>
              <w:rPr>
                <w:rFonts w:ascii="宋体" w:hAnsi="宋体" w:cs="宋体" w:eastAsia="宋体" w:hint="default"/>
                <w:sz w:val="18"/>
                <w:szCs w:val="18"/>
              </w:rPr>
              <w:t>出</w:t>
            </w:r>
            <w:r>
              <w:rPr>
                <w:rFonts w:ascii="宋体" w:hAnsi="宋体" w:cs="宋体" w:eastAsia="宋体" w:hint="default"/>
                <w:spacing w:val="-66"/>
                <w:sz w:val="18"/>
                <w:szCs w:val="18"/>
              </w:rPr>
              <w:t> </w:t>
            </w:r>
            <w:r>
              <w:rPr>
                <w:rFonts w:ascii="宋体" w:hAnsi="宋体" w:cs="宋体" w:eastAsia="宋体" w:hint="default"/>
                <w:sz w:val="18"/>
                <w:szCs w:val="18"/>
              </w:rPr>
              <w:t>售</w:t>
            </w:r>
            <w:r>
              <w:rPr>
                <w:rFonts w:ascii="宋体" w:hAnsi="宋体" w:cs="宋体" w:eastAsia="宋体" w:hint="default"/>
                <w:spacing w:val="-66"/>
                <w:sz w:val="18"/>
                <w:szCs w:val="18"/>
              </w:rPr>
              <w:t> </w:t>
            </w:r>
            <w:r>
              <w:rPr>
                <w:rFonts w:ascii="宋体" w:hAnsi="宋体" w:cs="宋体" w:eastAsia="宋体" w:hint="default"/>
                <w:sz w:val="18"/>
                <w:szCs w:val="18"/>
              </w:rPr>
              <w:t>金</w:t>
            </w:r>
            <w:r>
              <w:rPr>
                <w:rFonts w:ascii="宋体" w:hAnsi="宋体" w:cs="宋体" w:eastAsia="宋体" w:hint="default"/>
                <w:spacing w:val="-66"/>
                <w:sz w:val="18"/>
                <w:szCs w:val="18"/>
              </w:rPr>
              <w:t> </w:t>
            </w:r>
            <w:r>
              <w:rPr>
                <w:rFonts w:ascii="宋体" w:hAnsi="宋体" w:cs="宋体" w:eastAsia="宋体" w:hint="default"/>
                <w:spacing w:val="10"/>
                <w:sz w:val="18"/>
                <w:szCs w:val="18"/>
              </w:rPr>
              <w:t>融资</w:t>
            </w:r>
            <w:r>
              <w:rPr>
                <w:rFonts w:ascii="宋体" w:hAnsi="宋体" w:cs="宋体" w:eastAsia="宋体" w:hint="default"/>
                <w:spacing w:val="-66"/>
                <w:sz w:val="18"/>
                <w:szCs w:val="18"/>
              </w:rPr>
              <w:t> </w:t>
            </w:r>
            <w:r>
              <w:rPr>
                <w:rFonts w:ascii="宋体" w:hAnsi="宋体" w:cs="宋体" w:eastAsia="宋体" w:hint="default"/>
                <w:sz w:val="18"/>
                <w:szCs w:val="18"/>
              </w:rPr>
              <w:t>产</w:t>
            </w:r>
            <w:r>
              <w:rPr>
                <w:rFonts w:ascii="宋体" w:hAnsi="宋体" w:cs="宋体" w:eastAsia="宋体" w:hint="default"/>
                <w:spacing w:val="-66"/>
                <w:sz w:val="18"/>
                <w:szCs w:val="18"/>
              </w:rPr>
              <w:t> </w:t>
            </w:r>
            <w:r>
              <w:rPr>
                <w:rFonts w:ascii="宋体" w:hAnsi="宋体" w:cs="宋体" w:eastAsia="宋体" w:hint="default"/>
                <w:sz w:val="18"/>
                <w:szCs w:val="18"/>
              </w:rPr>
              <w:t>：</w:t>
            </w:r>
            <w:r>
              <w:rPr>
                <w:rFonts w:ascii="宋体" w:hAnsi="宋体" w:cs="宋体" w:eastAsia="宋体" w:hint="default"/>
                <w:spacing w:val="-66"/>
                <w:sz w:val="18"/>
                <w:szCs w:val="18"/>
              </w:rPr>
              <w:t> </w:t>
            </w:r>
            <w:r>
              <w:rPr>
                <w:rFonts w:ascii="宋体" w:hAnsi="宋体" w:cs="宋体" w:eastAsia="宋体" w:hint="default"/>
                <w:sz w:val="18"/>
                <w:szCs w:val="18"/>
              </w:rPr>
              <w:t>减</w:t>
            </w:r>
            <w:r>
              <w:rPr>
                <w:rFonts w:ascii="宋体" w:hAnsi="宋体" w:cs="宋体" w:eastAsia="宋体" w:hint="default"/>
                <w:spacing w:val="-66"/>
                <w:sz w:val="18"/>
                <w:szCs w:val="18"/>
              </w:rPr>
              <w:t> </w:t>
            </w:r>
            <w:r>
              <w:rPr>
                <w:rFonts w:ascii="宋体" w:hAnsi="宋体" w:cs="宋体" w:eastAsia="宋体" w:hint="default"/>
                <w:sz w:val="18"/>
                <w:szCs w:val="18"/>
              </w:rPr>
              <w:t>少</w:t>
            </w:r>
          </w:p>
          <w:p>
            <w:pPr>
              <w:pStyle w:val="TableParagraph"/>
              <w:spacing w:line="248" w:lineRule="exact"/>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906,570,668.31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元，</w:t>
            </w:r>
          </w:p>
          <w:p>
            <w:pPr>
              <w:pStyle w:val="TableParagraph"/>
              <w:spacing w:line="234" w:lineRule="exact" w:before="24"/>
              <w:ind w:left="102" w:right="0"/>
              <w:jc w:val="left"/>
              <w:rPr>
                <w:rFonts w:ascii="宋体" w:hAnsi="宋体" w:cs="宋体" w:eastAsia="宋体" w:hint="default"/>
                <w:sz w:val="18"/>
                <w:szCs w:val="18"/>
              </w:rPr>
            </w:pPr>
            <w:r>
              <w:rPr>
                <w:rFonts w:ascii="宋体" w:hAnsi="宋体" w:cs="宋体" w:eastAsia="宋体" w:hint="default"/>
                <w:sz w:val="18"/>
                <w:szCs w:val="18"/>
              </w:rPr>
              <w:t>其</w:t>
            </w:r>
            <w:r>
              <w:rPr>
                <w:rFonts w:ascii="宋体" w:hAnsi="宋体" w:cs="宋体" w:eastAsia="宋体" w:hint="default"/>
                <w:spacing w:val="-66"/>
                <w:sz w:val="18"/>
                <w:szCs w:val="18"/>
              </w:rPr>
              <w:t> </w:t>
            </w:r>
            <w:r>
              <w:rPr>
                <w:rFonts w:ascii="宋体" w:hAnsi="宋体" w:cs="宋体" w:eastAsia="宋体" w:hint="default"/>
                <w:sz w:val="18"/>
                <w:szCs w:val="18"/>
              </w:rPr>
              <w:t>他</w:t>
            </w:r>
            <w:r>
              <w:rPr>
                <w:rFonts w:ascii="宋体" w:hAnsi="宋体" w:cs="宋体" w:eastAsia="宋体" w:hint="default"/>
                <w:spacing w:val="-66"/>
                <w:sz w:val="18"/>
                <w:szCs w:val="18"/>
              </w:rPr>
              <w:t> </w:t>
            </w:r>
            <w:r>
              <w:rPr>
                <w:rFonts w:ascii="宋体" w:hAnsi="宋体" w:cs="宋体" w:eastAsia="宋体" w:hint="default"/>
                <w:sz w:val="18"/>
                <w:szCs w:val="18"/>
              </w:rPr>
              <w:t>权</w:t>
            </w:r>
            <w:r>
              <w:rPr>
                <w:rFonts w:ascii="宋体" w:hAnsi="宋体" w:cs="宋体" w:eastAsia="宋体" w:hint="default"/>
                <w:spacing w:val="-66"/>
                <w:sz w:val="18"/>
                <w:szCs w:val="18"/>
              </w:rPr>
              <w:t> </w:t>
            </w:r>
            <w:r>
              <w:rPr>
                <w:rFonts w:ascii="宋体" w:hAnsi="宋体" w:cs="宋体" w:eastAsia="宋体" w:hint="default"/>
                <w:sz w:val="18"/>
                <w:szCs w:val="18"/>
              </w:rPr>
              <w:t>益</w:t>
            </w:r>
            <w:r>
              <w:rPr>
                <w:rFonts w:ascii="宋体" w:hAnsi="宋体" w:cs="宋体" w:eastAsia="宋体" w:hint="default"/>
                <w:spacing w:val="-66"/>
                <w:sz w:val="18"/>
                <w:szCs w:val="18"/>
              </w:rPr>
              <w:t> </w:t>
            </w:r>
            <w:r>
              <w:rPr>
                <w:rFonts w:ascii="宋体" w:hAnsi="宋体" w:cs="宋体" w:eastAsia="宋体" w:hint="default"/>
                <w:sz w:val="18"/>
                <w:szCs w:val="18"/>
              </w:rPr>
              <w:t>工</w:t>
            </w:r>
            <w:r>
              <w:rPr>
                <w:rFonts w:ascii="宋体" w:hAnsi="宋体" w:cs="宋体" w:eastAsia="宋体" w:hint="default"/>
                <w:spacing w:val="-66"/>
                <w:sz w:val="18"/>
                <w:szCs w:val="18"/>
              </w:rPr>
              <w:t> </w:t>
            </w:r>
            <w:r>
              <w:rPr>
                <w:rFonts w:ascii="宋体" w:hAnsi="宋体" w:cs="宋体" w:eastAsia="宋体" w:hint="default"/>
                <w:spacing w:val="10"/>
                <w:sz w:val="18"/>
                <w:szCs w:val="18"/>
              </w:rPr>
              <w:t>具投</w:t>
            </w:r>
            <w:r>
              <w:rPr>
                <w:rFonts w:ascii="宋体" w:hAnsi="宋体" w:cs="宋体" w:eastAsia="宋体" w:hint="default"/>
                <w:spacing w:val="-66"/>
                <w:sz w:val="18"/>
                <w:szCs w:val="18"/>
              </w:rPr>
              <w:t> </w:t>
            </w:r>
            <w:r>
              <w:rPr>
                <w:rFonts w:ascii="宋体" w:hAnsi="宋体" w:cs="宋体" w:eastAsia="宋体" w:hint="default"/>
                <w:sz w:val="18"/>
                <w:szCs w:val="18"/>
              </w:rPr>
              <w:t>资</w:t>
            </w:r>
            <w:r>
              <w:rPr>
                <w:rFonts w:ascii="宋体" w:hAnsi="宋体" w:cs="宋体" w:eastAsia="宋体" w:hint="default"/>
                <w:spacing w:val="-66"/>
                <w:sz w:val="18"/>
                <w:szCs w:val="18"/>
              </w:rPr>
              <w:t> </w:t>
            </w:r>
            <w:r>
              <w:rPr>
                <w:rFonts w:ascii="宋体" w:hAnsi="宋体" w:cs="宋体" w:eastAsia="宋体" w:hint="default"/>
                <w:sz w:val="18"/>
                <w:szCs w:val="18"/>
              </w:rPr>
              <w:t>：</w:t>
            </w:r>
            <w:r>
              <w:rPr>
                <w:rFonts w:ascii="宋体" w:hAnsi="宋体" w:cs="宋体" w:eastAsia="宋体" w:hint="default"/>
                <w:spacing w:val="-66"/>
                <w:sz w:val="18"/>
                <w:szCs w:val="18"/>
              </w:rPr>
              <w:t> </w:t>
            </w:r>
            <w:r>
              <w:rPr>
                <w:rFonts w:ascii="宋体" w:hAnsi="宋体" w:cs="宋体" w:eastAsia="宋体" w:hint="default"/>
                <w:sz w:val="18"/>
                <w:szCs w:val="18"/>
              </w:rPr>
              <w:t>增</w:t>
            </w:r>
            <w:r>
              <w:rPr>
                <w:rFonts w:ascii="宋体" w:hAnsi="宋体" w:cs="宋体" w:eastAsia="宋体" w:hint="default"/>
                <w:spacing w:val="-66"/>
                <w:sz w:val="18"/>
                <w:szCs w:val="18"/>
              </w:rPr>
              <w:t> </w:t>
            </w:r>
            <w:r>
              <w:rPr>
                <w:rFonts w:ascii="宋体" w:hAnsi="宋体" w:cs="宋体" w:eastAsia="宋体" w:hint="default"/>
                <w:sz w:val="18"/>
                <w:szCs w:val="18"/>
              </w:rPr>
              <w:t>加</w:t>
            </w:r>
          </w:p>
          <w:p>
            <w:pPr>
              <w:pStyle w:val="TableParagraph"/>
              <w:spacing w:line="248" w:lineRule="exact"/>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906,570,668.31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元。</w:t>
            </w:r>
          </w:p>
        </w:tc>
        <w:tc>
          <w:tcPr>
            <w:tcW w:w="2428" w:type="dxa"/>
            <w:tcBorders>
              <w:top w:val="dotted" w:sz="4" w:space="0" w:color="000000"/>
              <w:left w:val="dotted" w:sz="4" w:space="0" w:color="000000"/>
              <w:bottom w:val="single" w:sz="12" w:space="0" w:color="000000"/>
              <w:right w:val="nil" w:sz="6" w:space="0" w:color="auto"/>
            </w:tcBorders>
          </w:tcPr>
          <w:p>
            <w:pPr>
              <w:pStyle w:val="TableParagraph"/>
              <w:spacing w:line="234" w:lineRule="exact" w:before="11"/>
              <w:ind w:left="102" w:right="0"/>
              <w:jc w:val="left"/>
              <w:rPr>
                <w:rFonts w:ascii="宋体" w:hAnsi="宋体" w:cs="宋体" w:eastAsia="宋体" w:hint="default"/>
                <w:sz w:val="18"/>
                <w:szCs w:val="18"/>
              </w:rPr>
            </w:pPr>
            <w:r>
              <w:rPr>
                <w:rFonts w:ascii="宋体" w:hAnsi="宋体" w:cs="宋体" w:eastAsia="宋体" w:hint="default"/>
                <w:sz w:val="18"/>
                <w:szCs w:val="18"/>
              </w:rPr>
              <w:t>可</w:t>
            </w:r>
            <w:r>
              <w:rPr>
                <w:rFonts w:ascii="宋体" w:hAnsi="宋体" w:cs="宋体" w:eastAsia="宋体" w:hint="default"/>
                <w:spacing w:val="-66"/>
                <w:sz w:val="18"/>
                <w:szCs w:val="18"/>
              </w:rPr>
              <w:t> </w:t>
            </w:r>
            <w:r>
              <w:rPr>
                <w:rFonts w:ascii="宋体" w:hAnsi="宋体" w:cs="宋体" w:eastAsia="宋体" w:hint="default"/>
                <w:spacing w:val="10"/>
                <w:sz w:val="18"/>
                <w:szCs w:val="18"/>
              </w:rPr>
              <w:t>供出</w:t>
            </w:r>
            <w:r>
              <w:rPr>
                <w:rFonts w:ascii="宋体" w:hAnsi="宋体" w:cs="宋体" w:eastAsia="宋体" w:hint="default"/>
                <w:spacing w:val="-66"/>
                <w:sz w:val="18"/>
                <w:szCs w:val="18"/>
              </w:rPr>
              <w:t> </w:t>
            </w:r>
            <w:r>
              <w:rPr>
                <w:rFonts w:ascii="宋体" w:hAnsi="宋体" w:cs="宋体" w:eastAsia="宋体" w:hint="default"/>
                <w:sz w:val="18"/>
                <w:szCs w:val="18"/>
              </w:rPr>
              <w:t>售</w:t>
            </w:r>
            <w:r>
              <w:rPr>
                <w:rFonts w:ascii="宋体" w:hAnsi="宋体" w:cs="宋体" w:eastAsia="宋体" w:hint="default"/>
                <w:spacing w:val="-66"/>
                <w:sz w:val="18"/>
                <w:szCs w:val="18"/>
              </w:rPr>
              <w:t> </w:t>
            </w:r>
            <w:r>
              <w:rPr>
                <w:rFonts w:ascii="宋体" w:hAnsi="宋体" w:cs="宋体" w:eastAsia="宋体" w:hint="default"/>
                <w:spacing w:val="10"/>
                <w:sz w:val="18"/>
                <w:szCs w:val="18"/>
              </w:rPr>
              <w:t>金融</w:t>
            </w:r>
            <w:r>
              <w:rPr>
                <w:rFonts w:ascii="宋体" w:hAnsi="宋体" w:cs="宋体" w:eastAsia="宋体" w:hint="default"/>
                <w:spacing w:val="-66"/>
                <w:sz w:val="18"/>
                <w:szCs w:val="18"/>
              </w:rPr>
              <w:t> </w:t>
            </w:r>
            <w:r>
              <w:rPr>
                <w:rFonts w:ascii="宋体" w:hAnsi="宋体" w:cs="宋体" w:eastAsia="宋体" w:hint="default"/>
                <w:sz w:val="18"/>
                <w:szCs w:val="18"/>
              </w:rPr>
              <w:t>资</w:t>
            </w:r>
            <w:r>
              <w:rPr>
                <w:rFonts w:ascii="宋体" w:hAnsi="宋体" w:cs="宋体" w:eastAsia="宋体" w:hint="default"/>
                <w:spacing w:val="-66"/>
                <w:sz w:val="18"/>
                <w:szCs w:val="18"/>
              </w:rPr>
              <w:t> </w:t>
            </w:r>
            <w:r>
              <w:rPr>
                <w:rFonts w:ascii="宋体" w:hAnsi="宋体" w:cs="宋体" w:eastAsia="宋体" w:hint="default"/>
                <w:spacing w:val="10"/>
                <w:sz w:val="18"/>
                <w:szCs w:val="18"/>
              </w:rPr>
              <w:t>产：</w:t>
            </w:r>
            <w:r>
              <w:rPr>
                <w:rFonts w:ascii="宋体" w:hAnsi="宋体" w:cs="宋体" w:eastAsia="宋体" w:hint="default"/>
                <w:spacing w:val="-66"/>
                <w:sz w:val="18"/>
                <w:szCs w:val="18"/>
              </w:rPr>
              <w:t> </w:t>
            </w:r>
            <w:r>
              <w:rPr>
                <w:rFonts w:ascii="宋体" w:hAnsi="宋体" w:cs="宋体" w:eastAsia="宋体" w:hint="default"/>
                <w:sz w:val="18"/>
                <w:szCs w:val="18"/>
              </w:rPr>
              <w:t>减</w:t>
            </w:r>
            <w:r>
              <w:rPr>
                <w:rFonts w:ascii="宋体" w:hAnsi="宋体" w:cs="宋体" w:eastAsia="宋体" w:hint="default"/>
                <w:spacing w:val="-66"/>
                <w:sz w:val="18"/>
                <w:szCs w:val="18"/>
              </w:rPr>
              <w:t> </w:t>
            </w:r>
            <w:r>
              <w:rPr>
                <w:rFonts w:ascii="宋体" w:hAnsi="宋体" w:cs="宋体" w:eastAsia="宋体" w:hint="default"/>
                <w:sz w:val="18"/>
                <w:szCs w:val="18"/>
              </w:rPr>
              <w:t>少</w:t>
            </w:r>
          </w:p>
          <w:p>
            <w:pPr>
              <w:pStyle w:val="TableParagraph"/>
              <w:spacing w:line="248" w:lineRule="exact"/>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873,326,585.40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元，</w:t>
            </w:r>
          </w:p>
          <w:p>
            <w:pPr>
              <w:pStyle w:val="TableParagraph"/>
              <w:spacing w:line="234" w:lineRule="exact" w:before="24"/>
              <w:ind w:left="102" w:right="0"/>
              <w:jc w:val="left"/>
              <w:rPr>
                <w:rFonts w:ascii="宋体" w:hAnsi="宋体" w:cs="宋体" w:eastAsia="宋体" w:hint="default"/>
                <w:sz w:val="18"/>
                <w:szCs w:val="18"/>
              </w:rPr>
            </w:pPr>
            <w:r>
              <w:rPr>
                <w:rFonts w:ascii="宋体" w:hAnsi="宋体" w:cs="宋体" w:eastAsia="宋体" w:hint="default"/>
                <w:sz w:val="18"/>
                <w:szCs w:val="18"/>
              </w:rPr>
              <w:t>其</w:t>
            </w:r>
            <w:r>
              <w:rPr>
                <w:rFonts w:ascii="宋体" w:hAnsi="宋体" w:cs="宋体" w:eastAsia="宋体" w:hint="default"/>
                <w:spacing w:val="-66"/>
                <w:sz w:val="18"/>
                <w:szCs w:val="18"/>
              </w:rPr>
              <w:t> </w:t>
            </w:r>
            <w:r>
              <w:rPr>
                <w:rFonts w:ascii="宋体" w:hAnsi="宋体" w:cs="宋体" w:eastAsia="宋体" w:hint="default"/>
                <w:spacing w:val="10"/>
                <w:sz w:val="18"/>
                <w:szCs w:val="18"/>
              </w:rPr>
              <w:t>他权</w:t>
            </w:r>
            <w:r>
              <w:rPr>
                <w:rFonts w:ascii="宋体" w:hAnsi="宋体" w:cs="宋体" w:eastAsia="宋体" w:hint="default"/>
                <w:spacing w:val="-66"/>
                <w:sz w:val="18"/>
                <w:szCs w:val="18"/>
              </w:rPr>
              <w:t> </w:t>
            </w:r>
            <w:r>
              <w:rPr>
                <w:rFonts w:ascii="宋体" w:hAnsi="宋体" w:cs="宋体" w:eastAsia="宋体" w:hint="default"/>
                <w:sz w:val="18"/>
                <w:szCs w:val="18"/>
              </w:rPr>
              <w:t>益</w:t>
            </w:r>
            <w:r>
              <w:rPr>
                <w:rFonts w:ascii="宋体" w:hAnsi="宋体" w:cs="宋体" w:eastAsia="宋体" w:hint="default"/>
                <w:spacing w:val="-66"/>
                <w:sz w:val="18"/>
                <w:szCs w:val="18"/>
              </w:rPr>
              <w:t> </w:t>
            </w:r>
            <w:r>
              <w:rPr>
                <w:rFonts w:ascii="宋体" w:hAnsi="宋体" w:cs="宋体" w:eastAsia="宋体" w:hint="default"/>
                <w:spacing w:val="10"/>
                <w:sz w:val="18"/>
                <w:szCs w:val="18"/>
              </w:rPr>
              <w:t>工具</w:t>
            </w:r>
            <w:r>
              <w:rPr>
                <w:rFonts w:ascii="宋体" w:hAnsi="宋体" w:cs="宋体" w:eastAsia="宋体" w:hint="default"/>
                <w:spacing w:val="-66"/>
                <w:sz w:val="18"/>
                <w:szCs w:val="18"/>
              </w:rPr>
              <w:t> </w:t>
            </w:r>
            <w:r>
              <w:rPr>
                <w:rFonts w:ascii="宋体" w:hAnsi="宋体" w:cs="宋体" w:eastAsia="宋体" w:hint="default"/>
                <w:sz w:val="18"/>
                <w:szCs w:val="18"/>
              </w:rPr>
              <w:t>投</w:t>
            </w:r>
            <w:r>
              <w:rPr>
                <w:rFonts w:ascii="宋体" w:hAnsi="宋体" w:cs="宋体" w:eastAsia="宋体" w:hint="default"/>
                <w:spacing w:val="-66"/>
                <w:sz w:val="18"/>
                <w:szCs w:val="18"/>
              </w:rPr>
              <w:t> </w:t>
            </w:r>
            <w:r>
              <w:rPr>
                <w:rFonts w:ascii="宋体" w:hAnsi="宋体" w:cs="宋体" w:eastAsia="宋体" w:hint="default"/>
                <w:spacing w:val="10"/>
                <w:sz w:val="18"/>
                <w:szCs w:val="18"/>
              </w:rPr>
              <w:t>资：</w:t>
            </w:r>
            <w:r>
              <w:rPr>
                <w:rFonts w:ascii="宋体" w:hAnsi="宋体" w:cs="宋体" w:eastAsia="宋体" w:hint="default"/>
                <w:spacing w:val="-66"/>
                <w:sz w:val="18"/>
                <w:szCs w:val="18"/>
              </w:rPr>
              <w:t> </w:t>
            </w:r>
            <w:r>
              <w:rPr>
                <w:rFonts w:ascii="宋体" w:hAnsi="宋体" w:cs="宋体" w:eastAsia="宋体" w:hint="default"/>
                <w:sz w:val="18"/>
                <w:szCs w:val="18"/>
              </w:rPr>
              <w:t>增</w:t>
            </w:r>
            <w:r>
              <w:rPr>
                <w:rFonts w:ascii="宋体" w:hAnsi="宋体" w:cs="宋体" w:eastAsia="宋体" w:hint="default"/>
                <w:spacing w:val="-66"/>
                <w:sz w:val="18"/>
                <w:szCs w:val="18"/>
              </w:rPr>
              <w:t> </w:t>
            </w:r>
            <w:r>
              <w:rPr>
                <w:rFonts w:ascii="宋体" w:hAnsi="宋体" w:cs="宋体" w:eastAsia="宋体" w:hint="default"/>
                <w:sz w:val="18"/>
                <w:szCs w:val="18"/>
              </w:rPr>
              <w:t>加</w:t>
            </w:r>
          </w:p>
          <w:p>
            <w:pPr>
              <w:pStyle w:val="TableParagraph"/>
              <w:spacing w:line="248" w:lineRule="exact"/>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873,326,585.40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元。</w:t>
            </w:r>
          </w:p>
        </w:tc>
      </w:tr>
    </w:tbl>
    <w:p>
      <w:pPr>
        <w:pStyle w:val="BodyText"/>
        <w:spacing w:line="300" w:lineRule="auto" w:before="51"/>
        <w:ind w:right="1122" w:firstLine="360"/>
        <w:jc w:val="left"/>
      </w:pPr>
      <w:r>
        <w:rPr>
          <w:spacing w:val="-3"/>
        </w:rPr>
        <w:t>②以按照财会〔</w:t>
      </w:r>
      <w:r>
        <w:rPr>
          <w:rFonts w:ascii="Times New Roman" w:hAnsi="Times New Roman" w:cs="Times New Roman" w:eastAsia="Times New Roman" w:hint="default"/>
          <w:spacing w:val="-3"/>
        </w:rPr>
        <w:t>2019</w:t>
      </w:r>
      <w:r>
        <w:rPr>
          <w:spacing w:val="-3"/>
        </w:rPr>
        <w:t>〕</w:t>
      </w:r>
      <w:r>
        <w:rPr>
          <w:rFonts w:ascii="Times New Roman" w:hAnsi="Times New Roman" w:cs="Times New Roman" w:eastAsia="Times New Roman" w:hint="default"/>
          <w:spacing w:val="-3"/>
        </w:rPr>
        <w:t>6 </w:t>
      </w:r>
      <w:r>
        <w:rPr>
          <w:spacing w:val="-3"/>
        </w:rPr>
        <w:t>号和财会〔</w:t>
      </w:r>
      <w:r>
        <w:rPr>
          <w:rFonts w:ascii="Times New Roman" w:hAnsi="Times New Roman" w:cs="Times New Roman" w:eastAsia="Times New Roman" w:hint="default"/>
          <w:spacing w:val="-3"/>
        </w:rPr>
        <w:t>2019</w:t>
      </w:r>
      <w:r>
        <w:rPr>
          <w:spacing w:val="-3"/>
        </w:rPr>
        <w:t>〕</w:t>
      </w:r>
      <w:r>
        <w:rPr>
          <w:rFonts w:ascii="Times New Roman" w:hAnsi="Times New Roman" w:cs="Times New Roman" w:eastAsia="Times New Roman" w:hint="default"/>
          <w:spacing w:val="-3"/>
        </w:rPr>
        <w:t>16</w:t>
      </w:r>
      <w:r>
        <w:rPr>
          <w:rFonts w:ascii="Times New Roman" w:hAnsi="Times New Roman" w:cs="Times New Roman" w:eastAsia="Times New Roman" w:hint="default"/>
          <w:spacing w:val="-10"/>
        </w:rPr>
        <w:t> </w:t>
      </w:r>
      <w:r>
        <w:rPr/>
        <w:t>号的规定调整后的上年年末余额为基础，各项金融资产和金融负债按照修 订前后金融工具确认计量准则的规定进行分类和计量结果对比如下：</w:t>
      </w:r>
    </w:p>
    <w:p>
      <w:pPr>
        <w:pStyle w:val="BodyText"/>
        <w:spacing w:line="240" w:lineRule="auto" w:before="70"/>
        <w:ind w:left="0" w:right="661"/>
        <w:jc w:val="center"/>
      </w:pPr>
      <w:r>
        <w:rPr/>
        <w:t>合并</w:t>
      </w:r>
    </w:p>
    <w:p>
      <w:pPr>
        <w:spacing w:line="240" w:lineRule="auto" w:before="3"/>
        <w:rPr>
          <w:rFonts w:ascii="宋体" w:hAnsi="宋体" w:cs="宋体" w:eastAsia="宋体" w:hint="default"/>
          <w:sz w:val="8"/>
          <w:szCs w:val="8"/>
        </w:rPr>
      </w:pPr>
    </w:p>
    <w:tbl>
      <w:tblPr>
        <w:tblW w:w="0" w:type="auto"/>
        <w:jc w:val="left"/>
        <w:tblInd w:w="383" w:type="dxa"/>
        <w:tblLayout w:type="fixed"/>
        <w:tblCellMar>
          <w:top w:w="0" w:type="dxa"/>
          <w:left w:w="0" w:type="dxa"/>
          <w:bottom w:w="0" w:type="dxa"/>
          <w:right w:w="0" w:type="dxa"/>
        </w:tblCellMar>
        <w:tblLook w:val="01E0"/>
      </w:tblPr>
      <w:tblGrid>
        <w:gridCol w:w="1347"/>
        <w:gridCol w:w="1560"/>
        <w:gridCol w:w="1598"/>
        <w:gridCol w:w="1643"/>
        <w:gridCol w:w="2122"/>
        <w:gridCol w:w="1582"/>
      </w:tblGrid>
      <w:tr>
        <w:trPr>
          <w:trHeight w:val="380" w:hRule="exact"/>
        </w:trPr>
        <w:tc>
          <w:tcPr>
            <w:tcW w:w="4505" w:type="dxa"/>
            <w:gridSpan w:val="3"/>
            <w:tcBorders>
              <w:top w:val="single" w:sz="12" w:space="0" w:color="000000"/>
              <w:left w:val="nil" w:sz="6" w:space="0" w:color="auto"/>
              <w:bottom w:val="dotted" w:sz="4" w:space="0" w:color="000000"/>
              <w:right w:val="dotted" w:sz="4" w:space="0" w:color="000000"/>
            </w:tcBorders>
          </w:tcPr>
          <w:p>
            <w:pPr>
              <w:pStyle w:val="TableParagraph"/>
              <w:spacing w:line="240" w:lineRule="auto" w:before="55"/>
              <w:ind w:left="5" w:right="0"/>
              <w:jc w:val="center"/>
              <w:rPr>
                <w:rFonts w:ascii="宋体" w:hAnsi="宋体" w:cs="宋体" w:eastAsia="宋体" w:hint="default"/>
                <w:sz w:val="18"/>
                <w:szCs w:val="18"/>
              </w:rPr>
            </w:pPr>
            <w:r>
              <w:rPr>
                <w:rFonts w:ascii="宋体" w:hAnsi="宋体" w:cs="宋体" w:eastAsia="宋体" w:hint="default"/>
                <w:sz w:val="18"/>
                <w:szCs w:val="18"/>
              </w:rPr>
              <w:t>原金融工具准则</w:t>
            </w:r>
          </w:p>
        </w:tc>
        <w:tc>
          <w:tcPr>
            <w:tcW w:w="5347" w:type="dxa"/>
            <w:gridSpan w:val="3"/>
            <w:tcBorders>
              <w:top w:val="single" w:sz="12" w:space="0" w:color="000000"/>
              <w:left w:val="dotted" w:sz="4" w:space="0" w:color="000000"/>
              <w:bottom w:val="dotted" w:sz="4" w:space="0" w:color="000000"/>
              <w:right w:val="nil" w:sz="6" w:space="0" w:color="auto"/>
            </w:tcBorders>
          </w:tcPr>
          <w:p>
            <w:pPr>
              <w:pStyle w:val="TableParagraph"/>
              <w:spacing w:line="240" w:lineRule="auto" w:before="55"/>
              <w:ind w:left="75" w:right="0"/>
              <w:jc w:val="center"/>
              <w:rPr>
                <w:rFonts w:ascii="宋体" w:hAnsi="宋体" w:cs="宋体" w:eastAsia="宋体" w:hint="default"/>
                <w:sz w:val="18"/>
                <w:szCs w:val="18"/>
              </w:rPr>
            </w:pPr>
            <w:r>
              <w:rPr>
                <w:rFonts w:ascii="宋体" w:hAnsi="宋体" w:cs="宋体" w:eastAsia="宋体" w:hint="default"/>
                <w:sz w:val="18"/>
                <w:szCs w:val="18"/>
              </w:rPr>
              <w:t>新金融工具准则</w:t>
            </w:r>
          </w:p>
        </w:tc>
      </w:tr>
      <w:tr>
        <w:trPr>
          <w:trHeight w:val="370" w:hRule="exact"/>
        </w:trPr>
        <w:tc>
          <w:tcPr>
            <w:tcW w:w="134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4"/>
              <w:ind w:right="307"/>
              <w:jc w:val="right"/>
              <w:rPr>
                <w:rFonts w:ascii="宋体" w:hAnsi="宋体" w:cs="宋体" w:eastAsia="宋体" w:hint="default"/>
                <w:sz w:val="18"/>
                <w:szCs w:val="18"/>
              </w:rPr>
            </w:pPr>
            <w:r>
              <w:rPr>
                <w:rFonts w:ascii="宋体" w:hAnsi="宋体" w:cs="宋体" w:eastAsia="宋体" w:hint="default"/>
                <w:sz w:val="18"/>
                <w:szCs w:val="18"/>
              </w:rPr>
              <w:t>列报项目</w:t>
            </w:r>
          </w:p>
        </w:tc>
        <w:tc>
          <w:tcPr>
            <w:tcW w:w="1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计量类别</w:t>
            </w:r>
          </w:p>
        </w:tc>
        <w:tc>
          <w:tcPr>
            <w:tcW w:w="159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4"/>
              <w:ind w:left="162" w:right="0"/>
              <w:jc w:val="left"/>
              <w:rPr>
                <w:rFonts w:ascii="宋体" w:hAnsi="宋体" w:cs="宋体" w:eastAsia="宋体" w:hint="default"/>
                <w:sz w:val="18"/>
                <w:szCs w:val="18"/>
              </w:rPr>
            </w:pPr>
            <w:r>
              <w:rPr>
                <w:rFonts w:ascii="宋体" w:hAnsi="宋体" w:cs="宋体" w:eastAsia="宋体" w:hint="default"/>
                <w:sz w:val="18"/>
                <w:szCs w:val="18"/>
              </w:rPr>
              <w:t>账面价值（元）</w:t>
            </w:r>
          </w:p>
        </w:tc>
        <w:tc>
          <w:tcPr>
            <w:tcW w:w="164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列报项目</w:t>
            </w:r>
          </w:p>
        </w:tc>
        <w:tc>
          <w:tcPr>
            <w:tcW w:w="212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4"/>
              <w:ind w:left="697" w:right="0"/>
              <w:jc w:val="left"/>
              <w:rPr>
                <w:rFonts w:ascii="宋体" w:hAnsi="宋体" w:cs="宋体" w:eastAsia="宋体" w:hint="default"/>
                <w:sz w:val="18"/>
                <w:szCs w:val="18"/>
              </w:rPr>
            </w:pPr>
            <w:r>
              <w:rPr>
                <w:rFonts w:ascii="宋体" w:hAnsi="宋体" w:cs="宋体" w:eastAsia="宋体" w:hint="default"/>
                <w:sz w:val="18"/>
                <w:szCs w:val="18"/>
              </w:rPr>
              <w:t>计量类别</w:t>
            </w:r>
          </w:p>
        </w:tc>
        <w:tc>
          <w:tcPr>
            <w:tcW w:w="158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4"/>
              <w:ind w:left="156" w:right="0"/>
              <w:jc w:val="left"/>
              <w:rPr>
                <w:rFonts w:ascii="宋体" w:hAnsi="宋体" w:cs="宋体" w:eastAsia="宋体" w:hint="default"/>
                <w:sz w:val="18"/>
                <w:szCs w:val="18"/>
              </w:rPr>
            </w:pPr>
            <w:r>
              <w:rPr>
                <w:rFonts w:ascii="宋体" w:hAnsi="宋体" w:cs="宋体" w:eastAsia="宋体" w:hint="default"/>
                <w:sz w:val="18"/>
                <w:szCs w:val="18"/>
              </w:rPr>
              <w:t>账面价值（元）</w:t>
            </w:r>
          </w:p>
        </w:tc>
      </w:tr>
      <w:tr>
        <w:trPr>
          <w:trHeight w:val="1210" w:hRule="exact"/>
        </w:trPr>
        <w:tc>
          <w:tcPr>
            <w:tcW w:w="1347" w:type="dxa"/>
            <w:tcBorders>
              <w:top w:val="dotted" w:sz="4" w:space="0" w:color="000000"/>
              <w:left w:val="nil" w:sz="6" w:space="0" w:color="auto"/>
              <w:bottom w:val="dotted" w:sz="4" w:space="0" w:color="000000"/>
              <w:right w:val="dotted" w:sz="4" w:space="0" w:color="000000"/>
            </w:tcBorders>
          </w:tcPr>
          <w:p>
            <w:pPr>
              <w:pStyle w:val="TableParagraph"/>
              <w:spacing w:line="285" w:lineRule="auto" w:before="53"/>
              <w:ind w:left="108" w:right="101"/>
              <w:jc w:val="both"/>
              <w:rPr>
                <w:rFonts w:ascii="宋体" w:hAnsi="宋体" w:cs="宋体" w:eastAsia="宋体" w:hint="default"/>
                <w:sz w:val="18"/>
                <w:szCs w:val="18"/>
              </w:rPr>
            </w:pPr>
            <w:r>
              <w:rPr>
                <w:rFonts w:ascii="宋体" w:hAnsi="宋体" w:cs="宋体" w:eastAsia="宋体" w:hint="default"/>
                <w:spacing w:val="8"/>
                <w:sz w:val="18"/>
                <w:szCs w:val="18"/>
              </w:rPr>
              <w:t>以公允价值计</w:t>
            </w:r>
            <w:r>
              <w:rPr>
                <w:rFonts w:ascii="宋体" w:hAnsi="宋体" w:cs="宋体" w:eastAsia="宋体" w:hint="default"/>
                <w:sz w:val="18"/>
                <w:szCs w:val="18"/>
              </w:rPr>
              <w:t> </w:t>
            </w:r>
            <w:r>
              <w:rPr>
                <w:rFonts w:ascii="宋体" w:hAnsi="宋体" w:cs="宋体" w:eastAsia="宋体" w:hint="default"/>
                <w:spacing w:val="8"/>
                <w:sz w:val="18"/>
                <w:szCs w:val="18"/>
              </w:rPr>
              <w:t>量且其变动计</w:t>
            </w:r>
            <w:r>
              <w:rPr>
                <w:rFonts w:ascii="宋体" w:hAnsi="宋体" w:cs="宋体" w:eastAsia="宋体" w:hint="default"/>
                <w:sz w:val="18"/>
                <w:szCs w:val="18"/>
              </w:rPr>
              <w:t> </w:t>
            </w:r>
            <w:r>
              <w:rPr>
                <w:rFonts w:ascii="宋体" w:hAnsi="宋体" w:cs="宋体" w:eastAsia="宋体" w:hint="default"/>
                <w:spacing w:val="8"/>
                <w:sz w:val="18"/>
                <w:szCs w:val="18"/>
              </w:rPr>
              <w:t>入当期损益的</w:t>
            </w:r>
            <w:r>
              <w:rPr>
                <w:rFonts w:ascii="宋体" w:hAnsi="宋体" w:cs="宋体" w:eastAsia="宋体" w:hint="default"/>
                <w:sz w:val="18"/>
                <w:szCs w:val="18"/>
              </w:rPr>
              <w:t> 金融资产</w:t>
            </w:r>
          </w:p>
        </w:tc>
        <w:tc>
          <w:tcPr>
            <w:tcW w:w="1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85" w:lineRule="auto"/>
              <w:ind w:left="146" w:right="142"/>
              <w:jc w:val="center"/>
              <w:rPr>
                <w:rFonts w:ascii="宋体" w:hAnsi="宋体" w:cs="宋体" w:eastAsia="宋体" w:hint="default"/>
                <w:sz w:val="18"/>
                <w:szCs w:val="18"/>
              </w:rPr>
            </w:pPr>
            <w:r>
              <w:rPr>
                <w:rFonts w:ascii="宋体" w:hAnsi="宋体" w:cs="宋体" w:eastAsia="宋体" w:hint="default"/>
                <w:sz w:val="18"/>
                <w:szCs w:val="18"/>
              </w:rPr>
              <w:t>以公允价值计量 且其变动计入当 期损益</w:t>
            </w:r>
          </w:p>
        </w:tc>
        <w:tc>
          <w:tcPr>
            <w:tcW w:w="1598" w:type="dxa"/>
            <w:tcBorders>
              <w:top w:val="dotted" w:sz="4" w:space="0" w:color="000000"/>
              <w:left w:val="dotted" w:sz="4" w:space="0" w:color="000000"/>
              <w:bottom w:val="dotted" w:sz="4" w:space="0" w:color="000000"/>
              <w:right w:val="dotted" w:sz="4" w:space="0" w:color="000000"/>
            </w:tcBorders>
          </w:tcPr>
          <w:p>
            <w:pPr/>
          </w:p>
        </w:tc>
        <w:tc>
          <w:tcPr>
            <w:tcW w:w="164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交易性金融资产</w:t>
            </w:r>
          </w:p>
        </w:tc>
        <w:tc>
          <w:tcPr>
            <w:tcW w:w="212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83" w:lineRule="auto"/>
              <w:ind w:left="425" w:right="153" w:hanging="269"/>
              <w:jc w:val="left"/>
              <w:rPr>
                <w:rFonts w:ascii="宋体" w:hAnsi="宋体" w:cs="宋体" w:eastAsia="宋体" w:hint="default"/>
                <w:sz w:val="18"/>
                <w:szCs w:val="18"/>
              </w:rPr>
            </w:pPr>
            <w:r>
              <w:rPr>
                <w:rFonts w:ascii="宋体" w:hAnsi="宋体" w:cs="宋体" w:eastAsia="宋体" w:hint="default"/>
                <w:sz w:val="18"/>
                <w:szCs w:val="18"/>
              </w:rPr>
              <w:t>以公允价值计量且其变 动计入当期损益</w:t>
            </w:r>
          </w:p>
        </w:tc>
        <w:tc>
          <w:tcPr>
            <w:tcW w:w="1582"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1,570,929,605.39</w:t>
            </w:r>
          </w:p>
        </w:tc>
      </w:tr>
      <w:tr>
        <w:trPr>
          <w:trHeight w:val="370" w:hRule="exact"/>
        </w:trPr>
        <w:tc>
          <w:tcPr>
            <w:tcW w:w="1347" w:type="dxa"/>
            <w:vMerge w:val="restart"/>
            <w:tcBorders>
              <w:top w:val="dotted" w:sz="4" w:space="0" w:color="000000"/>
              <w:left w:val="nil" w:sz="6" w:space="0" w:color="auto"/>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left="108"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560" w:type="dxa"/>
            <w:vMerge w:val="restart"/>
            <w:tcBorders>
              <w:top w:val="dotted" w:sz="4" w:space="0" w:color="000000"/>
              <w:left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left="415"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598" w:type="dxa"/>
            <w:vMerge w:val="restart"/>
            <w:tcBorders>
              <w:top w:val="dotted" w:sz="4" w:space="0" w:color="000000"/>
              <w:left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450" w:right="0"/>
              <w:jc w:val="left"/>
              <w:rPr>
                <w:rFonts w:ascii="Times New Roman" w:hAnsi="Times New Roman" w:cs="Times New Roman" w:eastAsia="Times New Roman" w:hint="default"/>
                <w:sz w:val="18"/>
                <w:szCs w:val="18"/>
              </w:rPr>
            </w:pPr>
            <w:r>
              <w:rPr>
                <w:rFonts w:ascii="Times New Roman"/>
                <w:sz w:val="18"/>
              </w:rPr>
              <w:t>41,882,197.77</w:t>
            </w:r>
          </w:p>
        </w:tc>
        <w:tc>
          <w:tcPr>
            <w:tcW w:w="164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应收票据</w:t>
            </w:r>
          </w:p>
        </w:tc>
        <w:tc>
          <w:tcPr>
            <w:tcW w:w="212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3"/>
              <w:ind w:left="697"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58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5"/>
              <w:ind w:right="104"/>
              <w:jc w:val="right"/>
              <w:rPr>
                <w:rFonts w:ascii="Times New Roman" w:hAnsi="Times New Roman" w:cs="Times New Roman" w:eastAsia="Times New Roman" w:hint="default"/>
                <w:sz w:val="18"/>
                <w:szCs w:val="18"/>
              </w:rPr>
            </w:pPr>
            <w:r>
              <w:rPr>
                <w:rFonts w:ascii="Times New Roman"/>
                <w:spacing w:val="-1"/>
                <w:sz w:val="18"/>
              </w:rPr>
              <w:t>41,882,197.77</w:t>
            </w:r>
          </w:p>
        </w:tc>
      </w:tr>
      <w:tr>
        <w:trPr>
          <w:trHeight w:val="650" w:hRule="exact"/>
        </w:trPr>
        <w:tc>
          <w:tcPr>
            <w:tcW w:w="1347" w:type="dxa"/>
            <w:vMerge/>
            <w:tcBorders>
              <w:left w:val="nil" w:sz="6" w:space="0" w:color="auto"/>
              <w:bottom w:val="dotted" w:sz="4" w:space="0" w:color="000000"/>
              <w:right w:val="dotted" w:sz="4" w:space="0" w:color="000000"/>
            </w:tcBorders>
          </w:tcPr>
          <w:p>
            <w:pPr/>
          </w:p>
        </w:tc>
        <w:tc>
          <w:tcPr>
            <w:tcW w:w="1560" w:type="dxa"/>
            <w:vMerge/>
            <w:tcBorders>
              <w:left w:val="dotted" w:sz="4" w:space="0" w:color="000000"/>
              <w:bottom w:val="dotted" w:sz="4" w:space="0" w:color="000000"/>
              <w:right w:val="dotted" w:sz="4" w:space="0" w:color="000000"/>
            </w:tcBorders>
          </w:tcPr>
          <w:p>
            <w:pPr/>
          </w:p>
        </w:tc>
        <w:tc>
          <w:tcPr>
            <w:tcW w:w="1598" w:type="dxa"/>
            <w:vMerge/>
            <w:tcBorders>
              <w:left w:val="dotted" w:sz="4" w:space="0" w:color="000000"/>
              <w:bottom w:val="dotted" w:sz="4" w:space="0" w:color="000000"/>
              <w:right w:val="dotted" w:sz="4" w:space="0" w:color="000000"/>
            </w:tcBorders>
          </w:tcPr>
          <w:p>
            <w:pPr/>
          </w:p>
        </w:tc>
        <w:tc>
          <w:tcPr>
            <w:tcW w:w="164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应收款项融资</w:t>
            </w:r>
          </w:p>
        </w:tc>
        <w:tc>
          <w:tcPr>
            <w:tcW w:w="2122" w:type="dxa"/>
            <w:tcBorders>
              <w:top w:val="dotted" w:sz="4" w:space="0" w:color="000000"/>
              <w:left w:val="dotted" w:sz="4" w:space="0" w:color="000000"/>
              <w:bottom w:val="dotted" w:sz="4" w:space="0" w:color="000000"/>
              <w:right w:val="dotted" w:sz="4" w:space="0" w:color="000000"/>
            </w:tcBorders>
          </w:tcPr>
          <w:p>
            <w:pPr>
              <w:pStyle w:val="TableParagraph"/>
              <w:spacing w:line="285" w:lineRule="auto" w:before="53"/>
              <w:ind w:left="245" w:right="153" w:hanging="89"/>
              <w:jc w:val="left"/>
              <w:rPr>
                <w:rFonts w:ascii="宋体" w:hAnsi="宋体" w:cs="宋体" w:eastAsia="宋体" w:hint="default"/>
                <w:sz w:val="18"/>
                <w:szCs w:val="18"/>
              </w:rPr>
            </w:pPr>
            <w:r>
              <w:rPr>
                <w:rFonts w:ascii="宋体" w:hAnsi="宋体" w:cs="宋体" w:eastAsia="宋体" w:hint="default"/>
                <w:sz w:val="18"/>
                <w:szCs w:val="18"/>
              </w:rPr>
              <w:t>以公允价值计量且其变 动计入其他综合收益</w:t>
            </w:r>
          </w:p>
        </w:tc>
        <w:tc>
          <w:tcPr>
            <w:tcW w:w="1582" w:type="dxa"/>
            <w:tcBorders>
              <w:top w:val="dotted" w:sz="4" w:space="0" w:color="000000"/>
              <w:left w:val="dotted" w:sz="4" w:space="0" w:color="000000"/>
              <w:bottom w:val="dotted" w:sz="4" w:space="0" w:color="000000"/>
              <w:right w:val="nil" w:sz="6" w:space="0" w:color="auto"/>
            </w:tcBorders>
          </w:tcPr>
          <w:p>
            <w:pPr/>
          </w:p>
        </w:tc>
      </w:tr>
      <w:tr>
        <w:trPr>
          <w:trHeight w:val="370" w:hRule="exact"/>
        </w:trPr>
        <w:tc>
          <w:tcPr>
            <w:tcW w:w="1347" w:type="dxa"/>
            <w:vMerge w:val="restart"/>
            <w:tcBorders>
              <w:top w:val="dotted" w:sz="4" w:space="0" w:color="000000"/>
              <w:left w:val="nil" w:sz="6" w:space="0" w:color="auto"/>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left="108"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60" w:type="dxa"/>
            <w:vMerge w:val="restart"/>
            <w:tcBorders>
              <w:top w:val="dotted" w:sz="4" w:space="0" w:color="000000"/>
              <w:left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left="415"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598" w:type="dxa"/>
            <w:vMerge w:val="restart"/>
            <w:tcBorders>
              <w:top w:val="dotted" w:sz="4" w:space="0" w:color="000000"/>
              <w:left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25" w:right="0"/>
              <w:jc w:val="left"/>
              <w:rPr>
                <w:rFonts w:ascii="Times New Roman" w:hAnsi="Times New Roman" w:cs="Times New Roman" w:eastAsia="Times New Roman" w:hint="default"/>
                <w:sz w:val="18"/>
                <w:szCs w:val="18"/>
              </w:rPr>
            </w:pPr>
            <w:r>
              <w:rPr>
                <w:rFonts w:ascii="Times New Roman"/>
                <w:sz w:val="18"/>
              </w:rPr>
              <w:t>1,311,545,965.04</w:t>
            </w:r>
          </w:p>
        </w:tc>
        <w:tc>
          <w:tcPr>
            <w:tcW w:w="164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12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3"/>
              <w:ind w:left="697"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58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5"/>
              <w:ind w:right="104"/>
              <w:jc w:val="right"/>
              <w:rPr>
                <w:rFonts w:ascii="Times New Roman" w:hAnsi="Times New Roman" w:cs="Times New Roman" w:eastAsia="Times New Roman" w:hint="default"/>
                <w:sz w:val="18"/>
                <w:szCs w:val="18"/>
              </w:rPr>
            </w:pPr>
            <w:r>
              <w:rPr>
                <w:rFonts w:ascii="Times New Roman"/>
                <w:spacing w:val="-1"/>
                <w:sz w:val="18"/>
              </w:rPr>
              <w:t>1,311,545,965.04</w:t>
            </w:r>
          </w:p>
        </w:tc>
      </w:tr>
      <w:tr>
        <w:trPr>
          <w:trHeight w:val="650" w:hRule="exact"/>
        </w:trPr>
        <w:tc>
          <w:tcPr>
            <w:tcW w:w="1347" w:type="dxa"/>
            <w:vMerge/>
            <w:tcBorders>
              <w:left w:val="nil" w:sz="6" w:space="0" w:color="auto"/>
              <w:bottom w:val="dotted" w:sz="4" w:space="0" w:color="000000"/>
              <w:right w:val="dotted" w:sz="4" w:space="0" w:color="000000"/>
            </w:tcBorders>
          </w:tcPr>
          <w:p>
            <w:pPr/>
          </w:p>
        </w:tc>
        <w:tc>
          <w:tcPr>
            <w:tcW w:w="1560" w:type="dxa"/>
            <w:vMerge/>
            <w:tcBorders>
              <w:left w:val="dotted" w:sz="4" w:space="0" w:color="000000"/>
              <w:bottom w:val="dotted" w:sz="4" w:space="0" w:color="000000"/>
              <w:right w:val="dotted" w:sz="4" w:space="0" w:color="000000"/>
            </w:tcBorders>
          </w:tcPr>
          <w:p>
            <w:pPr/>
          </w:p>
        </w:tc>
        <w:tc>
          <w:tcPr>
            <w:tcW w:w="1598" w:type="dxa"/>
            <w:vMerge/>
            <w:tcBorders>
              <w:left w:val="dotted" w:sz="4" w:space="0" w:color="000000"/>
              <w:bottom w:val="dotted" w:sz="4" w:space="0" w:color="000000"/>
              <w:right w:val="dotted" w:sz="4" w:space="0" w:color="000000"/>
            </w:tcBorders>
          </w:tcPr>
          <w:p>
            <w:pPr/>
          </w:p>
        </w:tc>
        <w:tc>
          <w:tcPr>
            <w:tcW w:w="164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应收款项融资</w:t>
            </w:r>
          </w:p>
        </w:tc>
        <w:tc>
          <w:tcPr>
            <w:tcW w:w="2122" w:type="dxa"/>
            <w:tcBorders>
              <w:top w:val="dotted" w:sz="4" w:space="0" w:color="000000"/>
              <w:left w:val="dotted" w:sz="4" w:space="0" w:color="000000"/>
              <w:bottom w:val="dotted" w:sz="4" w:space="0" w:color="000000"/>
              <w:right w:val="dotted" w:sz="4" w:space="0" w:color="000000"/>
            </w:tcBorders>
          </w:tcPr>
          <w:p>
            <w:pPr>
              <w:pStyle w:val="TableParagraph"/>
              <w:spacing w:line="285" w:lineRule="auto" w:before="53"/>
              <w:ind w:left="245" w:right="153" w:hanging="89"/>
              <w:jc w:val="left"/>
              <w:rPr>
                <w:rFonts w:ascii="宋体" w:hAnsi="宋体" w:cs="宋体" w:eastAsia="宋体" w:hint="default"/>
                <w:sz w:val="18"/>
                <w:szCs w:val="18"/>
              </w:rPr>
            </w:pPr>
            <w:r>
              <w:rPr>
                <w:rFonts w:ascii="宋体" w:hAnsi="宋体" w:cs="宋体" w:eastAsia="宋体" w:hint="default"/>
                <w:sz w:val="18"/>
                <w:szCs w:val="18"/>
              </w:rPr>
              <w:t>以公允价值计量且其变 动计入其他综合收益</w:t>
            </w:r>
          </w:p>
        </w:tc>
        <w:tc>
          <w:tcPr>
            <w:tcW w:w="1582" w:type="dxa"/>
            <w:tcBorders>
              <w:top w:val="dotted" w:sz="4" w:space="0" w:color="000000"/>
              <w:left w:val="dotted" w:sz="4" w:space="0" w:color="000000"/>
              <w:bottom w:val="dotted" w:sz="4" w:space="0" w:color="000000"/>
              <w:right w:val="nil" w:sz="6" w:space="0" w:color="auto"/>
            </w:tcBorders>
          </w:tcPr>
          <w:p>
            <w:pPr/>
          </w:p>
        </w:tc>
      </w:tr>
      <w:tr>
        <w:trPr>
          <w:trHeight w:val="370" w:hRule="exact"/>
        </w:trPr>
        <w:tc>
          <w:tcPr>
            <w:tcW w:w="134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3"/>
              <w:ind w:right="331"/>
              <w:jc w:val="right"/>
              <w:rPr>
                <w:rFonts w:ascii="宋体" w:hAnsi="宋体" w:cs="宋体" w:eastAsia="宋体" w:hint="default"/>
                <w:sz w:val="18"/>
                <w:szCs w:val="18"/>
              </w:rPr>
            </w:pPr>
            <w:r>
              <w:rPr>
                <w:rFonts w:ascii="宋体" w:hAnsi="宋体" w:cs="宋体" w:eastAsia="宋体" w:hint="default"/>
                <w:sz w:val="18"/>
                <w:szCs w:val="18"/>
              </w:rPr>
              <w:t>其他应收款</w:t>
            </w:r>
          </w:p>
        </w:tc>
        <w:tc>
          <w:tcPr>
            <w:tcW w:w="1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摊余成本</w:t>
            </w:r>
          </w:p>
        </w:tc>
        <w:tc>
          <w:tcPr>
            <w:tcW w:w="159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5"/>
              <w:ind w:right="99"/>
              <w:jc w:val="right"/>
              <w:rPr>
                <w:rFonts w:ascii="Times New Roman" w:hAnsi="Times New Roman" w:cs="Times New Roman" w:eastAsia="Times New Roman" w:hint="default"/>
                <w:sz w:val="18"/>
                <w:szCs w:val="18"/>
              </w:rPr>
            </w:pPr>
            <w:r>
              <w:rPr>
                <w:rFonts w:ascii="Times New Roman"/>
                <w:spacing w:val="-1"/>
                <w:sz w:val="18"/>
              </w:rPr>
              <w:t>109,691,755.92</w:t>
            </w:r>
          </w:p>
        </w:tc>
        <w:tc>
          <w:tcPr>
            <w:tcW w:w="164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其他应收款</w:t>
            </w:r>
          </w:p>
        </w:tc>
        <w:tc>
          <w:tcPr>
            <w:tcW w:w="212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3"/>
              <w:ind w:left="697"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58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5"/>
              <w:ind w:right="104"/>
              <w:jc w:val="right"/>
              <w:rPr>
                <w:rFonts w:ascii="Times New Roman" w:hAnsi="Times New Roman" w:cs="Times New Roman" w:eastAsia="Times New Roman" w:hint="default"/>
                <w:sz w:val="18"/>
                <w:szCs w:val="18"/>
              </w:rPr>
            </w:pPr>
            <w:r>
              <w:rPr>
                <w:rFonts w:ascii="Times New Roman"/>
                <w:spacing w:val="-1"/>
                <w:sz w:val="18"/>
              </w:rPr>
              <w:t>109,691,755.92</w:t>
            </w:r>
          </w:p>
        </w:tc>
      </w:tr>
      <w:tr>
        <w:trPr>
          <w:trHeight w:val="1250" w:hRule="exact"/>
        </w:trPr>
        <w:tc>
          <w:tcPr>
            <w:tcW w:w="1347" w:type="dxa"/>
            <w:tcBorders>
              <w:top w:val="dotted" w:sz="4" w:space="0" w:color="000000"/>
              <w:left w:val="nil" w:sz="6" w:space="0" w:color="auto"/>
              <w:bottom w:val="dotted" w:sz="4" w:space="0" w:color="000000"/>
              <w:right w:val="dotted" w:sz="4" w:space="0" w:color="000000"/>
            </w:tcBorders>
          </w:tcPr>
          <w:p>
            <w:pPr>
              <w:pStyle w:val="TableParagraph"/>
              <w:spacing w:line="285" w:lineRule="auto" w:before="53"/>
              <w:ind w:left="108" w:right="101"/>
              <w:jc w:val="left"/>
              <w:rPr>
                <w:rFonts w:ascii="宋体" w:hAnsi="宋体" w:cs="宋体" w:eastAsia="宋体" w:hint="default"/>
                <w:sz w:val="18"/>
                <w:szCs w:val="18"/>
              </w:rPr>
            </w:pPr>
            <w:r>
              <w:rPr>
                <w:rFonts w:ascii="宋体" w:hAnsi="宋体" w:cs="宋体" w:eastAsia="宋体" w:hint="default"/>
                <w:spacing w:val="8"/>
                <w:sz w:val="18"/>
                <w:szCs w:val="18"/>
              </w:rPr>
              <w:t>持有至到期投</w:t>
            </w:r>
            <w:r>
              <w:rPr>
                <w:rFonts w:ascii="宋体" w:hAnsi="宋体" w:cs="宋体" w:eastAsia="宋体" w:hint="default"/>
                <w:sz w:val="18"/>
                <w:szCs w:val="18"/>
              </w:rPr>
              <w:t> 资</w:t>
            </w:r>
          </w:p>
          <w:p>
            <w:pPr>
              <w:pStyle w:val="TableParagraph"/>
              <w:spacing w:line="271" w:lineRule="auto" w:before="49"/>
              <w:ind w:left="108" w:right="101"/>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含</w:t>
            </w:r>
            <w:r>
              <w:rPr>
                <w:rFonts w:ascii="宋体" w:hAnsi="宋体" w:cs="宋体" w:eastAsia="宋体" w:hint="default"/>
                <w:spacing w:val="-57"/>
                <w:sz w:val="18"/>
                <w:szCs w:val="18"/>
              </w:rPr>
              <w:t> </w:t>
            </w:r>
            <w:r>
              <w:rPr>
                <w:rFonts w:ascii="宋体" w:hAnsi="宋体" w:cs="宋体" w:eastAsia="宋体" w:hint="default"/>
                <w:sz w:val="18"/>
                <w:szCs w:val="18"/>
              </w:rPr>
              <w:t>其</w:t>
            </w:r>
            <w:r>
              <w:rPr>
                <w:rFonts w:ascii="宋体" w:hAnsi="宋体" w:cs="宋体" w:eastAsia="宋体" w:hint="default"/>
                <w:spacing w:val="-54"/>
                <w:sz w:val="18"/>
                <w:szCs w:val="18"/>
              </w:rPr>
              <w:t> </w:t>
            </w:r>
            <w:r>
              <w:rPr>
                <w:rFonts w:ascii="宋体" w:hAnsi="宋体" w:cs="宋体" w:eastAsia="宋体" w:hint="default"/>
                <w:sz w:val="18"/>
                <w:szCs w:val="18"/>
              </w:rPr>
              <w:t>他</w:t>
            </w:r>
            <w:r>
              <w:rPr>
                <w:rFonts w:ascii="宋体" w:hAnsi="宋体" w:cs="宋体" w:eastAsia="宋体" w:hint="default"/>
                <w:spacing w:val="-57"/>
                <w:sz w:val="18"/>
                <w:szCs w:val="18"/>
              </w:rPr>
              <w:t> </w:t>
            </w:r>
            <w:r>
              <w:rPr>
                <w:rFonts w:ascii="宋体" w:hAnsi="宋体" w:cs="宋体" w:eastAsia="宋体" w:hint="default"/>
                <w:sz w:val="18"/>
                <w:szCs w:val="18"/>
              </w:rPr>
              <w:t>流</w:t>
            </w:r>
            <w:r>
              <w:rPr>
                <w:rFonts w:ascii="宋体" w:hAnsi="宋体" w:cs="宋体" w:eastAsia="宋体" w:hint="default"/>
                <w:spacing w:val="-57"/>
                <w:sz w:val="18"/>
                <w:szCs w:val="18"/>
              </w:rPr>
              <w:t> </w:t>
            </w:r>
            <w:r>
              <w:rPr>
                <w:rFonts w:ascii="宋体" w:hAnsi="宋体" w:cs="宋体" w:eastAsia="宋体" w:hint="default"/>
                <w:sz w:val="18"/>
                <w:szCs w:val="18"/>
              </w:rPr>
              <w:t>动</w:t>
            </w:r>
            <w:r>
              <w:rPr>
                <w:rFonts w:ascii="宋体" w:hAnsi="宋体" w:cs="宋体" w:eastAsia="宋体" w:hint="default"/>
                <w:w w:val="99"/>
                <w:sz w:val="18"/>
                <w:szCs w:val="18"/>
              </w:rPr>
              <w:t> </w:t>
            </w:r>
            <w:r>
              <w:rPr>
                <w:rFonts w:ascii="宋体" w:hAnsi="宋体" w:cs="宋体" w:eastAsia="宋体" w:hint="default"/>
                <w:sz w:val="18"/>
                <w:szCs w:val="18"/>
              </w:rPr>
              <w:t>资产</w:t>
            </w:r>
            <w:r>
              <w:rPr>
                <w:rFonts w:ascii="Times New Roman" w:hAnsi="Times New Roman" w:cs="Times New Roman" w:eastAsia="Times New Roman" w:hint="default"/>
                <w:sz w:val="18"/>
                <w:szCs w:val="18"/>
              </w:rPr>
              <w:t>)</w:t>
            </w:r>
          </w:p>
        </w:tc>
        <w:tc>
          <w:tcPr>
            <w:tcW w:w="1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摊余成本</w:t>
            </w:r>
          </w:p>
        </w:tc>
        <w:tc>
          <w:tcPr>
            <w:tcW w:w="159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1,570,929,605.39</w:t>
            </w:r>
          </w:p>
        </w:tc>
        <w:tc>
          <w:tcPr>
            <w:tcW w:w="164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债权投资</w:t>
            </w:r>
          </w:p>
          <w:p>
            <w:pPr>
              <w:pStyle w:val="TableParagraph"/>
              <w:spacing w:line="240" w:lineRule="auto" w:before="83"/>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含其他流动资产</w:t>
            </w:r>
            <w:r>
              <w:rPr>
                <w:rFonts w:ascii="Times New Roman" w:hAnsi="Times New Roman" w:cs="Times New Roman" w:eastAsia="Times New Roman" w:hint="default"/>
                <w:sz w:val="18"/>
                <w:szCs w:val="18"/>
              </w:rPr>
              <w:t>)</w:t>
            </w:r>
          </w:p>
        </w:tc>
        <w:tc>
          <w:tcPr>
            <w:tcW w:w="212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697"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582" w:type="dxa"/>
            <w:tcBorders>
              <w:top w:val="dotted" w:sz="4" w:space="0" w:color="000000"/>
              <w:left w:val="dotted" w:sz="4" w:space="0" w:color="000000"/>
              <w:bottom w:val="dotted" w:sz="4" w:space="0" w:color="000000"/>
              <w:right w:val="nil" w:sz="6" w:space="0" w:color="auto"/>
            </w:tcBorders>
          </w:tcPr>
          <w:p>
            <w:pPr/>
          </w:p>
        </w:tc>
      </w:tr>
      <w:tr>
        <w:trPr>
          <w:trHeight w:val="690" w:hRule="exact"/>
        </w:trPr>
        <w:tc>
          <w:tcPr>
            <w:tcW w:w="1347" w:type="dxa"/>
            <w:vMerge w:val="restart"/>
            <w:tcBorders>
              <w:top w:val="dotted" w:sz="4" w:space="0" w:color="000000"/>
              <w:left w:val="nil" w:sz="6" w:space="0" w:color="auto"/>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85" w:lineRule="auto" w:before="139"/>
              <w:ind w:left="108" w:right="101"/>
              <w:jc w:val="left"/>
              <w:rPr>
                <w:rFonts w:ascii="宋体" w:hAnsi="宋体" w:cs="宋体" w:eastAsia="宋体" w:hint="default"/>
                <w:sz w:val="18"/>
                <w:szCs w:val="18"/>
              </w:rPr>
            </w:pPr>
            <w:r>
              <w:rPr>
                <w:rFonts w:ascii="宋体" w:hAnsi="宋体" w:cs="宋体" w:eastAsia="宋体" w:hint="default"/>
                <w:spacing w:val="8"/>
                <w:sz w:val="18"/>
                <w:szCs w:val="18"/>
              </w:rPr>
              <w:t>可供出售金融</w:t>
            </w:r>
            <w:r>
              <w:rPr>
                <w:rFonts w:ascii="宋体" w:hAnsi="宋体" w:cs="宋体" w:eastAsia="宋体" w:hint="default"/>
                <w:sz w:val="18"/>
                <w:szCs w:val="18"/>
              </w:rPr>
              <w:t> 资产</w:t>
            </w:r>
          </w:p>
          <w:p>
            <w:pPr>
              <w:pStyle w:val="TableParagraph"/>
              <w:spacing w:line="271" w:lineRule="auto" w:before="49"/>
              <w:ind w:left="108" w:right="101"/>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含</w:t>
            </w:r>
            <w:r>
              <w:rPr>
                <w:rFonts w:ascii="宋体" w:hAnsi="宋体" w:cs="宋体" w:eastAsia="宋体" w:hint="default"/>
                <w:spacing w:val="-57"/>
                <w:sz w:val="18"/>
                <w:szCs w:val="18"/>
              </w:rPr>
              <w:t> </w:t>
            </w:r>
            <w:r>
              <w:rPr>
                <w:rFonts w:ascii="宋体" w:hAnsi="宋体" w:cs="宋体" w:eastAsia="宋体" w:hint="default"/>
                <w:sz w:val="18"/>
                <w:szCs w:val="18"/>
              </w:rPr>
              <w:t>其</w:t>
            </w:r>
            <w:r>
              <w:rPr>
                <w:rFonts w:ascii="宋体" w:hAnsi="宋体" w:cs="宋体" w:eastAsia="宋体" w:hint="default"/>
                <w:spacing w:val="-54"/>
                <w:sz w:val="18"/>
                <w:szCs w:val="18"/>
              </w:rPr>
              <w:t> </w:t>
            </w:r>
            <w:r>
              <w:rPr>
                <w:rFonts w:ascii="宋体" w:hAnsi="宋体" w:cs="宋体" w:eastAsia="宋体" w:hint="default"/>
                <w:sz w:val="18"/>
                <w:szCs w:val="18"/>
              </w:rPr>
              <w:t>他</w:t>
            </w:r>
            <w:r>
              <w:rPr>
                <w:rFonts w:ascii="宋体" w:hAnsi="宋体" w:cs="宋体" w:eastAsia="宋体" w:hint="default"/>
                <w:spacing w:val="-57"/>
                <w:sz w:val="18"/>
                <w:szCs w:val="18"/>
              </w:rPr>
              <w:t> </w:t>
            </w:r>
            <w:r>
              <w:rPr>
                <w:rFonts w:ascii="宋体" w:hAnsi="宋体" w:cs="宋体" w:eastAsia="宋体" w:hint="default"/>
                <w:sz w:val="18"/>
                <w:szCs w:val="18"/>
              </w:rPr>
              <w:t>流</w:t>
            </w:r>
            <w:r>
              <w:rPr>
                <w:rFonts w:ascii="宋体" w:hAnsi="宋体" w:cs="宋体" w:eastAsia="宋体" w:hint="default"/>
                <w:spacing w:val="-57"/>
                <w:sz w:val="18"/>
                <w:szCs w:val="18"/>
              </w:rPr>
              <w:t> </w:t>
            </w:r>
            <w:r>
              <w:rPr>
                <w:rFonts w:ascii="宋体" w:hAnsi="宋体" w:cs="宋体" w:eastAsia="宋体" w:hint="default"/>
                <w:sz w:val="18"/>
                <w:szCs w:val="18"/>
              </w:rPr>
              <w:t>动</w:t>
            </w:r>
            <w:r>
              <w:rPr>
                <w:rFonts w:ascii="宋体" w:hAnsi="宋体" w:cs="宋体" w:eastAsia="宋体" w:hint="default"/>
                <w:w w:val="99"/>
                <w:sz w:val="18"/>
                <w:szCs w:val="18"/>
              </w:rPr>
              <w:t> </w:t>
            </w:r>
            <w:r>
              <w:rPr>
                <w:rFonts w:ascii="宋体" w:hAnsi="宋体" w:cs="宋体" w:eastAsia="宋体" w:hint="default"/>
                <w:sz w:val="18"/>
                <w:szCs w:val="18"/>
              </w:rPr>
              <w:t>资产</w:t>
            </w:r>
            <w:r>
              <w:rPr>
                <w:rFonts w:ascii="Times New Roman" w:hAnsi="Times New Roman" w:cs="Times New Roman" w:eastAsia="Times New Roman" w:hint="default"/>
                <w:sz w:val="18"/>
                <w:szCs w:val="18"/>
              </w:rPr>
              <w:t>)</w:t>
            </w:r>
          </w:p>
        </w:tc>
        <w:tc>
          <w:tcPr>
            <w:tcW w:w="1560" w:type="dxa"/>
            <w:vMerge w:val="restart"/>
            <w:tcBorders>
              <w:top w:val="dotted" w:sz="4" w:space="0" w:color="000000"/>
              <w:left w:val="dotted" w:sz="4" w:space="0" w:color="000000"/>
              <w:right w:val="dotted" w:sz="4" w:space="0" w:color="000000"/>
            </w:tcBorders>
          </w:tcPr>
          <w:p>
            <w:pPr>
              <w:pStyle w:val="TableParagraph"/>
              <w:spacing w:line="280" w:lineRule="auto" w:before="139"/>
              <w:ind w:left="115" w:right="113" w:firstLine="2"/>
              <w:jc w:val="center"/>
              <w:rPr>
                <w:rFonts w:ascii="Times New Roman" w:hAnsi="Times New Roman" w:cs="Times New Roman" w:eastAsia="Times New Roman" w:hint="default"/>
                <w:sz w:val="18"/>
                <w:szCs w:val="18"/>
              </w:rPr>
            </w:pPr>
            <w:r>
              <w:rPr>
                <w:rFonts w:ascii="宋体" w:hAnsi="宋体" w:cs="宋体" w:eastAsia="宋体" w:hint="default"/>
                <w:sz w:val="18"/>
                <w:szCs w:val="18"/>
              </w:rPr>
              <w:t>以公允价值计量 且其变动计入其 他综合收益</w:t>
            </w:r>
            <w:r>
              <w:rPr>
                <w:rFonts w:ascii="Times New Roman" w:hAnsi="Times New Roman" w:cs="Times New Roman" w:eastAsia="Times New Roman" w:hint="default"/>
                <w:sz w:val="18"/>
                <w:szCs w:val="18"/>
              </w:rPr>
              <w:t>(</w:t>
            </w:r>
            <w:r>
              <w:rPr>
                <w:rFonts w:ascii="宋体" w:hAnsi="宋体" w:cs="宋体" w:eastAsia="宋体" w:hint="default"/>
                <w:sz w:val="18"/>
                <w:szCs w:val="18"/>
              </w:rPr>
              <w:t>债务 工具</w:t>
            </w:r>
            <w:r>
              <w:rPr>
                <w:rFonts w:ascii="Times New Roman" w:hAnsi="Times New Roman" w:cs="Times New Roman" w:eastAsia="Times New Roman" w:hint="default"/>
                <w:sz w:val="18"/>
                <w:szCs w:val="18"/>
              </w:rPr>
              <w:t>)</w:t>
            </w:r>
          </w:p>
        </w:tc>
        <w:tc>
          <w:tcPr>
            <w:tcW w:w="1598" w:type="dxa"/>
            <w:vMerge w:val="restart"/>
            <w:tcBorders>
              <w:top w:val="dotted" w:sz="4" w:space="0" w:color="000000"/>
              <w:left w:val="dotted" w:sz="4" w:space="0" w:color="000000"/>
              <w:right w:val="dotted" w:sz="4" w:space="0" w:color="000000"/>
            </w:tcBorders>
          </w:tcPr>
          <w:p>
            <w:pPr/>
          </w:p>
        </w:tc>
        <w:tc>
          <w:tcPr>
            <w:tcW w:w="164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债权投资</w:t>
            </w:r>
          </w:p>
          <w:p>
            <w:pPr>
              <w:pStyle w:val="TableParagraph"/>
              <w:spacing w:line="240" w:lineRule="auto" w:before="86"/>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含其他流动资产</w:t>
            </w:r>
            <w:r>
              <w:rPr>
                <w:rFonts w:ascii="Times New Roman" w:hAnsi="Times New Roman" w:cs="Times New Roman" w:eastAsia="Times New Roman" w:hint="default"/>
                <w:sz w:val="18"/>
                <w:szCs w:val="18"/>
              </w:rPr>
              <w:t>)</w:t>
            </w:r>
          </w:p>
        </w:tc>
        <w:tc>
          <w:tcPr>
            <w:tcW w:w="212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697"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582" w:type="dxa"/>
            <w:tcBorders>
              <w:top w:val="dotted" w:sz="4" w:space="0" w:color="000000"/>
              <w:left w:val="dotted" w:sz="4" w:space="0" w:color="000000"/>
              <w:bottom w:val="dotted" w:sz="4" w:space="0" w:color="000000"/>
              <w:right w:val="nil" w:sz="6" w:space="0" w:color="auto"/>
            </w:tcBorders>
          </w:tcPr>
          <w:p>
            <w:pPr/>
          </w:p>
        </w:tc>
      </w:tr>
      <w:tr>
        <w:trPr>
          <w:trHeight w:val="690" w:hRule="exact"/>
        </w:trPr>
        <w:tc>
          <w:tcPr>
            <w:tcW w:w="1347" w:type="dxa"/>
            <w:vMerge/>
            <w:tcBorders>
              <w:left w:val="nil" w:sz="6" w:space="0" w:color="auto"/>
              <w:right w:val="dotted" w:sz="4" w:space="0" w:color="000000"/>
            </w:tcBorders>
          </w:tcPr>
          <w:p>
            <w:pPr/>
          </w:p>
        </w:tc>
        <w:tc>
          <w:tcPr>
            <w:tcW w:w="1560" w:type="dxa"/>
            <w:vMerge/>
            <w:tcBorders>
              <w:left w:val="dotted" w:sz="4" w:space="0" w:color="000000"/>
              <w:bottom w:val="dotted" w:sz="4" w:space="0" w:color="000000"/>
              <w:right w:val="dotted" w:sz="4" w:space="0" w:color="000000"/>
            </w:tcBorders>
          </w:tcPr>
          <w:p>
            <w:pPr/>
          </w:p>
        </w:tc>
        <w:tc>
          <w:tcPr>
            <w:tcW w:w="1598" w:type="dxa"/>
            <w:vMerge/>
            <w:tcBorders>
              <w:left w:val="dotted" w:sz="4" w:space="0" w:color="000000"/>
              <w:bottom w:val="dotted" w:sz="4" w:space="0" w:color="000000"/>
              <w:right w:val="dotted" w:sz="4" w:space="0" w:color="000000"/>
            </w:tcBorders>
          </w:tcPr>
          <w:p>
            <w:pPr/>
          </w:p>
        </w:tc>
        <w:tc>
          <w:tcPr>
            <w:tcW w:w="164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其他债权投资</w:t>
            </w:r>
          </w:p>
          <w:p>
            <w:pPr>
              <w:pStyle w:val="TableParagraph"/>
              <w:spacing w:line="240" w:lineRule="auto" w:before="83"/>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含其他流动资产</w:t>
            </w:r>
            <w:r>
              <w:rPr>
                <w:rFonts w:ascii="Times New Roman" w:hAnsi="Times New Roman" w:cs="Times New Roman" w:eastAsia="Times New Roman" w:hint="default"/>
                <w:sz w:val="18"/>
                <w:szCs w:val="18"/>
              </w:rPr>
              <w:t>)</w:t>
            </w:r>
          </w:p>
        </w:tc>
        <w:tc>
          <w:tcPr>
            <w:tcW w:w="2122" w:type="dxa"/>
            <w:tcBorders>
              <w:top w:val="dotted" w:sz="4" w:space="0" w:color="000000"/>
              <w:left w:val="dotted" w:sz="4" w:space="0" w:color="000000"/>
              <w:bottom w:val="dotted" w:sz="4" w:space="0" w:color="000000"/>
              <w:right w:val="dotted" w:sz="4" w:space="0" w:color="000000"/>
            </w:tcBorders>
          </w:tcPr>
          <w:p>
            <w:pPr>
              <w:pStyle w:val="TableParagraph"/>
              <w:spacing w:line="285" w:lineRule="auto" w:before="73"/>
              <w:ind w:left="245" w:right="153" w:hanging="89"/>
              <w:jc w:val="left"/>
              <w:rPr>
                <w:rFonts w:ascii="宋体" w:hAnsi="宋体" w:cs="宋体" w:eastAsia="宋体" w:hint="default"/>
                <w:sz w:val="18"/>
                <w:szCs w:val="18"/>
              </w:rPr>
            </w:pPr>
            <w:r>
              <w:rPr>
                <w:rFonts w:ascii="宋体" w:hAnsi="宋体" w:cs="宋体" w:eastAsia="宋体" w:hint="default"/>
                <w:sz w:val="18"/>
                <w:szCs w:val="18"/>
              </w:rPr>
              <w:t>以公允价值计量且其变 动计入其他综合收益</w:t>
            </w:r>
          </w:p>
        </w:tc>
        <w:tc>
          <w:tcPr>
            <w:tcW w:w="1582" w:type="dxa"/>
            <w:tcBorders>
              <w:top w:val="dotted" w:sz="4" w:space="0" w:color="000000"/>
              <w:left w:val="dotted" w:sz="4" w:space="0" w:color="000000"/>
              <w:bottom w:val="dotted" w:sz="4" w:space="0" w:color="000000"/>
              <w:right w:val="nil" w:sz="6" w:space="0" w:color="auto"/>
            </w:tcBorders>
          </w:tcPr>
          <w:p>
            <w:pPr/>
          </w:p>
        </w:tc>
      </w:tr>
      <w:tr>
        <w:trPr>
          <w:trHeight w:val="370" w:hRule="exact"/>
        </w:trPr>
        <w:tc>
          <w:tcPr>
            <w:tcW w:w="1347" w:type="dxa"/>
            <w:vMerge/>
            <w:tcBorders>
              <w:left w:val="nil" w:sz="6" w:space="0" w:color="auto"/>
              <w:right w:val="dotted" w:sz="4" w:space="0" w:color="000000"/>
            </w:tcBorders>
          </w:tcPr>
          <w:p>
            <w:pPr/>
          </w:p>
        </w:tc>
        <w:tc>
          <w:tcPr>
            <w:tcW w:w="1560" w:type="dxa"/>
            <w:vMerge w:val="restart"/>
            <w:tcBorders>
              <w:top w:val="dotted" w:sz="4" w:space="0" w:color="000000"/>
              <w:left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80" w:lineRule="auto"/>
              <w:ind w:left="146" w:right="142"/>
              <w:jc w:val="center"/>
              <w:rPr>
                <w:rFonts w:ascii="Times New Roman" w:hAnsi="Times New Roman" w:cs="Times New Roman" w:eastAsia="Times New Roman" w:hint="default"/>
                <w:sz w:val="18"/>
                <w:szCs w:val="18"/>
              </w:rPr>
            </w:pPr>
            <w:r>
              <w:rPr>
                <w:rFonts w:ascii="宋体" w:hAnsi="宋体" w:cs="宋体" w:eastAsia="宋体" w:hint="default"/>
                <w:sz w:val="18"/>
                <w:szCs w:val="18"/>
              </w:rPr>
              <w:t>以公允价值计量 且其变动计入其 他综合收益</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权 益工具</w:t>
            </w:r>
            <w:r>
              <w:rPr>
                <w:rFonts w:ascii="Times New Roman" w:hAnsi="Times New Roman" w:cs="Times New Roman" w:eastAsia="Times New Roman" w:hint="default"/>
                <w:sz w:val="18"/>
                <w:szCs w:val="18"/>
              </w:rPr>
              <w:t>)</w:t>
            </w:r>
          </w:p>
        </w:tc>
        <w:tc>
          <w:tcPr>
            <w:tcW w:w="1598" w:type="dxa"/>
            <w:vMerge w:val="restart"/>
            <w:tcBorders>
              <w:top w:val="dotted" w:sz="4" w:space="0" w:color="000000"/>
              <w:left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359" w:right="0"/>
              <w:jc w:val="left"/>
              <w:rPr>
                <w:rFonts w:ascii="Times New Roman" w:hAnsi="Times New Roman" w:cs="Times New Roman" w:eastAsia="Times New Roman" w:hint="default"/>
                <w:sz w:val="18"/>
                <w:szCs w:val="18"/>
              </w:rPr>
            </w:pPr>
            <w:r>
              <w:rPr>
                <w:rFonts w:ascii="Times New Roman"/>
                <w:sz w:val="18"/>
              </w:rPr>
              <w:t>843,295,785.40</w:t>
            </w:r>
          </w:p>
        </w:tc>
        <w:tc>
          <w:tcPr>
            <w:tcW w:w="164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交易性金融资产</w:t>
            </w:r>
          </w:p>
        </w:tc>
        <w:tc>
          <w:tcPr>
            <w:tcW w:w="2122" w:type="dxa"/>
            <w:vMerge w:val="restart"/>
            <w:tcBorders>
              <w:top w:val="dotted" w:sz="4" w:space="0" w:color="000000"/>
              <w:left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85" w:lineRule="auto"/>
              <w:ind w:left="425" w:right="153" w:hanging="269"/>
              <w:jc w:val="left"/>
              <w:rPr>
                <w:rFonts w:ascii="宋体" w:hAnsi="宋体" w:cs="宋体" w:eastAsia="宋体" w:hint="default"/>
                <w:sz w:val="18"/>
                <w:szCs w:val="18"/>
              </w:rPr>
            </w:pPr>
            <w:r>
              <w:rPr>
                <w:rFonts w:ascii="宋体" w:hAnsi="宋体" w:cs="宋体" w:eastAsia="宋体" w:hint="default"/>
                <w:sz w:val="18"/>
                <w:szCs w:val="18"/>
              </w:rPr>
              <w:t>以公允价值计量且其变 动计入当期损益</w:t>
            </w:r>
          </w:p>
        </w:tc>
        <w:tc>
          <w:tcPr>
            <w:tcW w:w="1582" w:type="dxa"/>
            <w:tcBorders>
              <w:top w:val="dotted" w:sz="4" w:space="0" w:color="000000"/>
              <w:left w:val="dotted" w:sz="4" w:space="0" w:color="000000"/>
              <w:bottom w:val="dotted" w:sz="4" w:space="0" w:color="000000"/>
              <w:right w:val="nil" w:sz="6" w:space="0" w:color="auto"/>
            </w:tcBorders>
          </w:tcPr>
          <w:p>
            <w:pPr/>
          </w:p>
        </w:tc>
      </w:tr>
      <w:tr>
        <w:trPr>
          <w:trHeight w:val="650" w:hRule="exact"/>
        </w:trPr>
        <w:tc>
          <w:tcPr>
            <w:tcW w:w="1347" w:type="dxa"/>
            <w:vMerge/>
            <w:tcBorders>
              <w:left w:val="nil" w:sz="6" w:space="0" w:color="auto"/>
              <w:right w:val="dotted" w:sz="4" w:space="0" w:color="000000"/>
            </w:tcBorders>
          </w:tcPr>
          <w:p>
            <w:pPr/>
          </w:p>
        </w:tc>
        <w:tc>
          <w:tcPr>
            <w:tcW w:w="1560" w:type="dxa"/>
            <w:vMerge/>
            <w:tcBorders>
              <w:left w:val="dotted" w:sz="4" w:space="0" w:color="000000"/>
              <w:right w:val="dotted" w:sz="4" w:space="0" w:color="000000"/>
            </w:tcBorders>
          </w:tcPr>
          <w:p>
            <w:pPr/>
          </w:p>
        </w:tc>
        <w:tc>
          <w:tcPr>
            <w:tcW w:w="1598" w:type="dxa"/>
            <w:vMerge/>
            <w:tcBorders>
              <w:left w:val="dotted" w:sz="4" w:space="0" w:color="000000"/>
              <w:right w:val="dotted" w:sz="4" w:space="0" w:color="000000"/>
            </w:tcBorders>
          </w:tcPr>
          <w:p>
            <w:pPr/>
          </w:p>
        </w:tc>
        <w:tc>
          <w:tcPr>
            <w:tcW w:w="1643" w:type="dxa"/>
            <w:tcBorders>
              <w:top w:val="dotted" w:sz="4" w:space="0" w:color="000000"/>
              <w:left w:val="dotted" w:sz="4" w:space="0" w:color="000000"/>
              <w:bottom w:val="dotted" w:sz="4" w:space="0" w:color="000000"/>
              <w:right w:val="dotted" w:sz="4" w:space="0" w:color="000000"/>
            </w:tcBorders>
          </w:tcPr>
          <w:p>
            <w:pPr>
              <w:pStyle w:val="TableParagraph"/>
              <w:spacing w:line="285" w:lineRule="auto" w:before="53"/>
              <w:ind w:left="636" w:right="186" w:hanging="452"/>
              <w:jc w:val="left"/>
              <w:rPr>
                <w:rFonts w:ascii="宋体" w:hAnsi="宋体" w:cs="宋体" w:eastAsia="宋体" w:hint="default"/>
                <w:sz w:val="18"/>
                <w:szCs w:val="18"/>
              </w:rPr>
            </w:pPr>
            <w:r>
              <w:rPr>
                <w:rFonts w:ascii="宋体" w:hAnsi="宋体" w:cs="宋体" w:eastAsia="宋体" w:hint="default"/>
                <w:sz w:val="18"/>
                <w:szCs w:val="18"/>
              </w:rPr>
              <w:t>其他非流动金融 资产</w:t>
            </w:r>
          </w:p>
        </w:tc>
        <w:tc>
          <w:tcPr>
            <w:tcW w:w="2122" w:type="dxa"/>
            <w:vMerge/>
            <w:tcBorders>
              <w:left w:val="dotted" w:sz="4" w:space="0" w:color="000000"/>
              <w:bottom w:val="dotted" w:sz="4" w:space="0" w:color="000000"/>
              <w:right w:val="dotted" w:sz="4" w:space="0" w:color="000000"/>
            </w:tcBorders>
          </w:tcPr>
          <w:p>
            <w:pPr/>
          </w:p>
        </w:tc>
        <w:tc>
          <w:tcPr>
            <w:tcW w:w="1582" w:type="dxa"/>
            <w:tcBorders>
              <w:top w:val="dotted" w:sz="4" w:space="0" w:color="000000"/>
              <w:left w:val="dotted" w:sz="4" w:space="0" w:color="000000"/>
              <w:bottom w:val="dotted" w:sz="4" w:space="0" w:color="000000"/>
              <w:right w:val="nil" w:sz="6" w:space="0" w:color="auto"/>
            </w:tcBorders>
          </w:tcPr>
          <w:p>
            <w:pPr/>
          </w:p>
        </w:tc>
      </w:tr>
      <w:tr>
        <w:trPr>
          <w:trHeight w:val="650" w:hRule="exact"/>
        </w:trPr>
        <w:tc>
          <w:tcPr>
            <w:tcW w:w="1347" w:type="dxa"/>
            <w:vMerge/>
            <w:tcBorders>
              <w:left w:val="nil" w:sz="6" w:space="0" w:color="auto"/>
              <w:right w:val="dotted" w:sz="4" w:space="0" w:color="000000"/>
            </w:tcBorders>
          </w:tcPr>
          <w:p>
            <w:pPr/>
          </w:p>
        </w:tc>
        <w:tc>
          <w:tcPr>
            <w:tcW w:w="1560" w:type="dxa"/>
            <w:vMerge/>
            <w:tcBorders>
              <w:left w:val="dotted" w:sz="4" w:space="0" w:color="000000"/>
              <w:bottom w:val="dotted" w:sz="4" w:space="0" w:color="000000"/>
              <w:right w:val="dotted" w:sz="4" w:space="0" w:color="000000"/>
            </w:tcBorders>
          </w:tcPr>
          <w:p>
            <w:pPr/>
          </w:p>
        </w:tc>
        <w:tc>
          <w:tcPr>
            <w:tcW w:w="1598" w:type="dxa"/>
            <w:vMerge/>
            <w:tcBorders>
              <w:left w:val="dotted" w:sz="4" w:space="0" w:color="000000"/>
              <w:bottom w:val="dotted" w:sz="4" w:space="0" w:color="000000"/>
              <w:right w:val="dotted" w:sz="4" w:space="0" w:color="000000"/>
            </w:tcBorders>
          </w:tcPr>
          <w:p>
            <w:pPr/>
          </w:p>
        </w:tc>
        <w:tc>
          <w:tcPr>
            <w:tcW w:w="1643" w:type="dxa"/>
            <w:tcBorders>
              <w:top w:val="dotted" w:sz="4" w:space="0" w:color="000000"/>
              <w:left w:val="dotted" w:sz="4" w:space="0" w:color="000000"/>
              <w:bottom w:val="dotted" w:sz="4" w:space="0" w:color="000000"/>
              <w:right w:val="dotted" w:sz="4" w:space="0" w:color="000000"/>
            </w:tcBorders>
          </w:tcPr>
          <w:p>
            <w:pPr>
              <w:pStyle w:val="TableParagraph"/>
              <w:spacing w:line="285" w:lineRule="auto" w:before="53"/>
              <w:ind w:left="725" w:right="186" w:hanging="540"/>
              <w:jc w:val="left"/>
              <w:rPr>
                <w:rFonts w:ascii="宋体" w:hAnsi="宋体" w:cs="宋体" w:eastAsia="宋体" w:hint="default"/>
                <w:sz w:val="18"/>
                <w:szCs w:val="18"/>
              </w:rPr>
            </w:pPr>
            <w:r>
              <w:rPr>
                <w:rFonts w:ascii="宋体" w:hAnsi="宋体" w:cs="宋体" w:eastAsia="宋体" w:hint="default"/>
                <w:sz w:val="18"/>
                <w:szCs w:val="18"/>
              </w:rPr>
              <w:t>其他权益工具投 资</w:t>
            </w:r>
          </w:p>
        </w:tc>
        <w:tc>
          <w:tcPr>
            <w:tcW w:w="2122" w:type="dxa"/>
            <w:tcBorders>
              <w:top w:val="dotted" w:sz="4" w:space="0" w:color="000000"/>
              <w:left w:val="dotted" w:sz="4" w:space="0" w:color="000000"/>
              <w:bottom w:val="dotted" w:sz="4" w:space="0" w:color="000000"/>
              <w:right w:val="dotted" w:sz="4" w:space="0" w:color="000000"/>
            </w:tcBorders>
          </w:tcPr>
          <w:p>
            <w:pPr>
              <w:pStyle w:val="TableParagraph"/>
              <w:spacing w:line="285" w:lineRule="auto" w:before="53"/>
              <w:ind w:left="245" w:right="153" w:hanging="89"/>
              <w:jc w:val="left"/>
              <w:rPr>
                <w:rFonts w:ascii="宋体" w:hAnsi="宋体" w:cs="宋体" w:eastAsia="宋体" w:hint="default"/>
                <w:sz w:val="18"/>
                <w:szCs w:val="18"/>
              </w:rPr>
            </w:pPr>
            <w:r>
              <w:rPr>
                <w:rFonts w:ascii="宋体" w:hAnsi="宋体" w:cs="宋体" w:eastAsia="宋体" w:hint="default"/>
                <w:sz w:val="18"/>
                <w:szCs w:val="18"/>
              </w:rPr>
              <w:t>以公允价值计量且其变 动计入其他综合收益</w:t>
            </w:r>
          </w:p>
        </w:tc>
        <w:tc>
          <w:tcPr>
            <w:tcW w:w="158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09" w:right="0"/>
              <w:jc w:val="left"/>
              <w:rPr>
                <w:rFonts w:ascii="Times New Roman" w:hAnsi="Times New Roman" w:cs="Times New Roman" w:eastAsia="Times New Roman" w:hint="default"/>
                <w:sz w:val="18"/>
                <w:szCs w:val="18"/>
              </w:rPr>
            </w:pPr>
            <w:r>
              <w:rPr>
                <w:rFonts w:ascii="Times New Roman"/>
                <w:sz w:val="18"/>
              </w:rPr>
              <w:t>843,295,785.40</w:t>
            </w:r>
          </w:p>
        </w:tc>
      </w:tr>
      <w:tr>
        <w:trPr>
          <w:trHeight w:val="370" w:hRule="exact"/>
        </w:trPr>
        <w:tc>
          <w:tcPr>
            <w:tcW w:w="1347" w:type="dxa"/>
            <w:vMerge/>
            <w:tcBorders>
              <w:left w:val="nil" w:sz="6" w:space="0" w:color="auto"/>
              <w:right w:val="dotted" w:sz="4" w:space="0" w:color="000000"/>
            </w:tcBorders>
          </w:tcPr>
          <w:p>
            <w:pPr/>
          </w:p>
        </w:tc>
        <w:tc>
          <w:tcPr>
            <w:tcW w:w="1560" w:type="dxa"/>
            <w:vMerge w:val="restart"/>
            <w:tcBorders>
              <w:top w:val="dotted" w:sz="4" w:space="0" w:color="000000"/>
              <w:left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68" w:lineRule="auto"/>
              <w:ind w:left="566" w:right="113" w:hanging="452"/>
              <w:jc w:val="left"/>
              <w:rPr>
                <w:rFonts w:ascii="Times New Roman" w:hAnsi="Times New Roman" w:cs="Times New Roman" w:eastAsia="Times New Roman" w:hint="default"/>
                <w:sz w:val="18"/>
                <w:szCs w:val="18"/>
              </w:rPr>
            </w:pPr>
            <w:r>
              <w:rPr>
                <w:rFonts w:ascii="宋体" w:hAnsi="宋体" w:cs="宋体" w:eastAsia="宋体" w:hint="default"/>
                <w:sz w:val="18"/>
                <w:szCs w:val="18"/>
              </w:rPr>
              <w:t>以成本计量</w:t>
            </w:r>
            <w:r>
              <w:rPr>
                <w:rFonts w:ascii="Times New Roman" w:hAnsi="Times New Roman" w:cs="Times New Roman" w:eastAsia="Times New Roman" w:hint="default"/>
                <w:sz w:val="18"/>
                <w:szCs w:val="18"/>
              </w:rPr>
              <w:t>(</w:t>
            </w:r>
            <w:r>
              <w:rPr>
                <w:rFonts w:ascii="宋体" w:hAnsi="宋体" w:cs="宋体" w:eastAsia="宋体" w:hint="default"/>
                <w:sz w:val="18"/>
                <w:szCs w:val="18"/>
              </w:rPr>
              <w:t>权益 工具</w:t>
            </w:r>
            <w:r>
              <w:rPr>
                <w:rFonts w:ascii="Times New Roman" w:hAnsi="Times New Roman" w:cs="Times New Roman" w:eastAsia="Times New Roman" w:hint="default"/>
                <w:sz w:val="18"/>
                <w:szCs w:val="18"/>
              </w:rPr>
              <w:t>)</w:t>
            </w:r>
          </w:p>
        </w:tc>
        <w:tc>
          <w:tcPr>
            <w:tcW w:w="1598" w:type="dxa"/>
            <w:vMerge w:val="restart"/>
            <w:tcBorders>
              <w:top w:val="dotted" w:sz="4" w:space="0" w:color="000000"/>
              <w:left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450" w:right="0"/>
              <w:jc w:val="left"/>
              <w:rPr>
                <w:rFonts w:ascii="Times New Roman" w:hAnsi="Times New Roman" w:cs="Times New Roman" w:eastAsia="Times New Roman" w:hint="default"/>
                <w:sz w:val="18"/>
                <w:szCs w:val="18"/>
              </w:rPr>
            </w:pPr>
            <w:r>
              <w:rPr>
                <w:rFonts w:ascii="Times New Roman"/>
                <w:sz w:val="18"/>
              </w:rPr>
              <w:t>63,274,882.91</w:t>
            </w:r>
          </w:p>
        </w:tc>
        <w:tc>
          <w:tcPr>
            <w:tcW w:w="164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交易性金融资产</w:t>
            </w:r>
          </w:p>
        </w:tc>
        <w:tc>
          <w:tcPr>
            <w:tcW w:w="2122" w:type="dxa"/>
            <w:vMerge w:val="restart"/>
            <w:tcBorders>
              <w:top w:val="dotted" w:sz="4" w:space="0" w:color="000000"/>
              <w:left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85" w:lineRule="auto"/>
              <w:ind w:left="425" w:right="153" w:hanging="269"/>
              <w:jc w:val="left"/>
              <w:rPr>
                <w:rFonts w:ascii="宋体" w:hAnsi="宋体" w:cs="宋体" w:eastAsia="宋体" w:hint="default"/>
                <w:sz w:val="18"/>
                <w:szCs w:val="18"/>
              </w:rPr>
            </w:pPr>
            <w:r>
              <w:rPr>
                <w:rFonts w:ascii="宋体" w:hAnsi="宋体" w:cs="宋体" w:eastAsia="宋体" w:hint="default"/>
                <w:sz w:val="18"/>
                <w:szCs w:val="18"/>
              </w:rPr>
              <w:t>以公允价值计量且其变 动计入当期损益</w:t>
            </w:r>
          </w:p>
        </w:tc>
        <w:tc>
          <w:tcPr>
            <w:tcW w:w="1582" w:type="dxa"/>
            <w:tcBorders>
              <w:top w:val="dotted" w:sz="4" w:space="0" w:color="000000"/>
              <w:left w:val="dotted" w:sz="4" w:space="0" w:color="000000"/>
              <w:bottom w:val="dotted" w:sz="4" w:space="0" w:color="000000"/>
              <w:right w:val="nil" w:sz="6" w:space="0" w:color="auto"/>
            </w:tcBorders>
          </w:tcPr>
          <w:p>
            <w:pPr/>
          </w:p>
        </w:tc>
      </w:tr>
      <w:tr>
        <w:trPr>
          <w:trHeight w:val="650" w:hRule="exact"/>
        </w:trPr>
        <w:tc>
          <w:tcPr>
            <w:tcW w:w="1347" w:type="dxa"/>
            <w:vMerge/>
            <w:tcBorders>
              <w:left w:val="nil" w:sz="6" w:space="0" w:color="auto"/>
              <w:right w:val="dotted" w:sz="4" w:space="0" w:color="000000"/>
            </w:tcBorders>
          </w:tcPr>
          <w:p>
            <w:pPr/>
          </w:p>
        </w:tc>
        <w:tc>
          <w:tcPr>
            <w:tcW w:w="1560" w:type="dxa"/>
            <w:vMerge/>
            <w:tcBorders>
              <w:left w:val="dotted" w:sz="4" w:space="0" w:color="000000"/>
              <w:right w:val="dotted" w:sz="4" w:space="0" w:color="000000"/>
            </w:tcBorders>
          </w:tcPr>
          <w:p>
            <w:pPr/>
          </w:p>
        </w:tc>
        <w:tc>
          <w:tcPr>
            <w:tcW w:w="1598" w:type="dxa"/>
            <w:vMerge/>
            <w:tcBorders>
              <w:left w:val="dotted" w:sz="4" w:space="0" w:color="000000"/>
              <w:right w:val="dotted" w:sz="4" w:space="0" w:color="000000"/>
            </w:tcBorders>
          </w:tcPr>
          <w:p>
            <w:pPr/>
          </w:p>
        </w:tc>
        <w:tc>
          <w:tcPr>
            <w:tcW w:w="1643" w:type="dxa"/>
            <w:tcBorders>
              <w:top w:val="dotted" w:sz="4" w:space="0" w:color="000000"/>
              <w:left w:val="dotted" w:sz="4" w:space="0" w:color="000000"/>
              <w:bottom w:val="dotted" w:sz="4" w:space="0" w:color="000000"/>
              <w:right w:val="dotted" w:sz="4" w:space="0" w:color="000000"/>
            </w:tcBorders>
          </w:tcPr>
          <w:p>
            <w:pPr>
              <w:pStyle w:val="TableParagraph"/>
              <w:spacing w:line="285" w:lineRule="auto" w:before="53"/>
              <w:ind w:left="636" w:right="186" w:hanging="452"/>
              <w:jc w:val="left"/>
              <w:rPr>
                <w:rFonts w:ascii="宋体" w:hAnsi="宋体" w:cs="宋体" w:eastAsia="宋体" w:hint="default"/>
                <w:sz w:val="18"/>
                <w:szCs w:val="18"/>
              </w:rPr>
            </w:pPr>
            <w:r>
              <w:rPr>
                <w:rFonts w:ascii="宋体" w:hAnsi="宋体" w:cs="宋体" w:eastAsia="宋体" w:hint="default"/>
                <w:sz w:val="18"/>
                <w:szCs w:val="18"/>
              </w:rPr>
              <w:t>其他非流动金融 资产</w:t>
            </w:r>
          </w:p>
        </w:tc>
        <w:tc>
          <w:tcPr>
            <w:tcW w:w="2122" w:type="dxa"/>
            <w:vMerge/>
            <w:tcBorders>
              <w:left w:val="dotted" w:sz="4" w:space="0" w:color="000000"/>
              <w:bottom w:val="dotted" w:sz="4" w:space="0" w:color="000000"/>
              <w:right w:val="dotted" w:sz="4" w:space="0" w:color="000000"/>
            </w:tcBorders>
          </w:tcPr>
          <w:p>
            <w:pPr/>
          </w:p>
        </w:tc>
        <w:tc>
          <w:tcPr>
            <w:tcW w:w="1582" w:type="dxa"/>
            <w:tcBorders>
              <w:top w:val="dotted" w:sz="4" w:space="0" w:color="000000"/>
              <w:left w:val="dotted" w:sz="4" w:space="0" w:color="000000"/>
              <w:bottom w:val="dotted" w:sz="4" w:space="0" w:color="000000"/>
              <w:right w:val="nil" w:sz="6" w:space="0" w:color="auto"/>
            </w:tcBorders>
          </w:tcPr>
          <w:p>
            <w:pPr/>
          </w:p>
        </w:tc>
      </w:tr>
      <w:tr>
        <w:trPr>
          <w:trHeight w:val="650" w:hRule="exact"/>
        </w:trPr>
        <w:tc>
          <w:tcPr>
            <w:tcW w:w="1347" w:type="dxa"/>
            <w:vMerge/>
            <w:tcBorders>
              <w:left w:val="nil" w:sz="6" w:space="0" w:color="auto"/>
              <w:bottom w:val="dotted" w:sz="4" w:space="0" w:color="000000"/>
              <w:right w:val="dotted" w:sz="4" w:space="0" w:color="000000"/>
            </w:tcBorders>
          </w:tcPr>
          <w:p>
            <w:pPr/>
          </w:p>
        </w:tc>
        <w:tc>
          <w:tcPr>
            <w:tcW w:w="1560" w:type="dxa"/>
            <w:vMerge/>
            <w:tcBorders>
              <w:left w:val="dotted" w:sz="4" w:space="0" w:color="000000"/>
              <w:bottom w:val="dotted" w:sz="4" w:space="0" w:color="000000"/>
              <w:right w:val="dotted" w:sz="4" w:space="0" w:color="000000"/>
            </w:tcBorders>
          </w:tcPr>
          <w:p>
            <w:pPr/>
          </w:p>
        </w:tc>
        <w:tc>
          <w:tcPr>
            <w:tcW w:w="1598" w:type="dxa"/>
            <w:vMerge/>
            <w:tcBorders>
              <w:left w:val="dotted" w:sz="4" w:space="0" w:color="000000"/>
              <w:bottom w:val="dotted" w:sz="4" w:space="0" w:color="000000"/>
              <w:right w:val="dotted" w:sz="4" w:space="0" w:color="000000"/>
            </w:tcBorders>
          </w:tcPr>
          <w:p>
            <w:pPr/>
          </w:p>
        </w:tc>
        <w:tc>
          <w:tcPr>
            <w:tcW w:w="1643" w:type="dxa"/>
            <w:tcBorders>
              <w:top w:val="dotted" w:sz="4" w:space="0" w:color="000000"/>
              <w:left w:val="dotted" w:sz="4" w:space="0" w:color="000000"/>
              <w:bottom w:val="dotted" w:sz="4" w:space="0" w:color="000000"/>
              <w:right w:val="dotted" w:sz="4" w:space="0" w:color="000000"/>
            </w:tcBorders>
          </w:tcPr>
          <w:p>
            <w:pPr>
              <w:pStyle w:val="TableParagraph"/>
              <w:spacing w:line="285" w:lineRule="auto" w:before="53"/>
              <w:ind w:left="725" w:right="186" w:hanging="540"/>
              <w:jc w:val="left"/>
              <w:rPr>
                <w:rFonts w:ascii="宋体" w:hAnsi="宋体" w:cs="宋体" w:eastAsia="宋体" w:hint="default"/>
                <w:sz w:val="18"/>
                <w:szCs w:val="18"/>
              </w:rPr>
            </w:pPr>
            <w:r>
              <w:rPr>
                <w:rFonts w:ascii="宋体" w:hAnsi="宋体" w:cs="宋体" w:eastAsia="宋体" w:hint="default"/>
                <w:sz w:val="18"/>
                <w:szCs w:val="18"/>
              </w:rPr>
              <w:t>其他权益工具投 资</w:t>
            </w:r>
          </w:p>
        </w:tc>
        <w:tc>
          <w:tcPr>
            <w:tcW w:w="2122" w:type="dxa"/>
            <w:tcBorders>
              <w:top w:val="dotted" w:sz="4" w:space="0" w:color="000000"/>
              <w:left w:val="dotted" w:sz="4" w:space="0" w:color="000000"/>
              <w:bottom w:val="dotted" w:sz="4" w:space="0" w:color="000000"/>
              <w:right w:val="dotted" w:sz="4" w:space="0" w:color="000000"/>
            </w:tcBorders>
          </w:tcPr>
          <w:p>
            <w:pPr>
              <w:pStyle w:val="TableParagraph"/>
              <w:spacing w:line="285" w:lineRule="auto" w:before="53"/>
              <w:ind w:left="245" w:right="153" w:hanging="89"/>
              <w:jc w:val="left"/>
              <w:rPr>
                <w:rFonts w:ascii="宋体" w:hAnsi="宋体" w:cs="宋体" w:eastAsia="宋体" w:hint="default"/>
                <w:sz w:val="18"/>
                <w:szCs w:val="18"/>
              </w:rPr>
            </w:pPr>
            <w:r>
              <w:rPr>
                <w:rFonts w:ascii="宋体" w:hAnsi="宋体" w:cs="宋体" w:eastAsia="宋体" w:hint="default"/>
                <w:sz w:val="18"/>
                <w:szCs w:val="18"/>
              </w:rPr>
              <w:t>以公允价值计量且其变 动计入其他综合收益</w:t>
            </w:r>
          </w:p>
        </w:tc>
        <w:tc>
          <w:tcPr>
            <w:tcW w:w="158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63,274,882.91</w:t>
            </w:r>
          </w:p>
        </w:tc>
      </w:tr>
      <w:tr>
        <w:trPr>
          <w:trHeight w:val="380" w:hRule="exact"/>
        </w:trPr>
        <w:tc>
          <w:tcPr>
            <w:tcW w:w="1347"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54"/>
              <w:ind w:right="331"/>
              <w:jc w:val="right"/>
              <w:rPr>
                <w:rFonts w:ascii="宋体" w:hAnsi="宋体" w:cs="宋体" w:eastAsia="宋体" w:hint="default"/>
                <w:sz w:val="18"/>
                <w:szCs w:val="18"/>
              </w:rPr>
            </w:pPr>
            <w:r>
              <w:rPr>
                <w:rFonts w:ascii="宋体" w:hAnsi="宋体" w:cs="宋体" w:eastAsia="宋体" w:hint="default"/>
                <w:sz w:val="18"/>
                <w:szCs w:val="18"/>
              </w:rPr>
              <w:t>长期应收款</w:t>
            </w:r>
          </w:p>
        </w:tc>
        <w:tc>
          <w:tcPr>
            <w:tcW w:w="156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摊余成本</w:t>
            </w:r>
          </w:p>
        </w:tc>
        <w:tc>
          <w:tcPr>
            <w:tcW w:w="1598" w:type="dxa"/>
            <w:tcBorders>
              <w:top w:val="dotted" w:sz="4" w:space="0" w:color="000000"/>
              <w:left w:val="dotted" w:sz="4" w:space="0" w:color="000000"/>
              <w:bottom w:val="single" w:sz="12" w:space="0" w:color="000000"/>
              <w:right w:val="dotted" w:sz="4" w:space="0" w:color="000000"/>
            </w:tcBorders>
          </w:tcPr>
          <w:p>
            <w:pPr/>
          </w:p>
        </w:tc>
        <w:tc>
          <w:tcPr>
            <w:tcW w:w="164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54"/>
              <w:ind w:right="1"/>
              <w:jc w:val="center"/>
              <w:rPr>
                <w:rFonts w:ascii="宋体" w:hAnsi="宋体" w:cs="宋体" w:eastAsia="宋体" w:hint="default"/>
                <w:sz w:val="18"/>
                <w:szCs w:val="18"/>
              </w:rPr>
            </w:pPr>
            <w:r>
              <w:rPr>
                <w:rFonts w:ascii="宋体" w:hAnsi="宋体" w:cs="宋体" w:eastAsia="宋体" w:hint="default"/>
                <w:sz w:val="18"/>
                <w:szCs w:val="18"/>
              </w:rPr>
              <w:t>长期应收款</w:t>
            </w:r>
          </w:p>
        </w:tc>
        <w:tc>
          <w:tcPr>
            <w:tcW w:w="212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54"/>
              <w:ind w:left="697"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582" w:type="dxa"/>
            <w:tcBorders>
              <w:top w:val="dotted" w:sz="4" w:space="0" w:color="000000"/>
              <w:left w:val="dotted" w:sz="4" w:space="0" w:color="000000"/>
              <w:bottom w:val="single" w:sz="12" w:space="0" w:color="000000"/>
              <w:right w:val="nil" w:sz="6" w:space="0" w:color="auto"/>
            </w:tcBorders>
          </w:tcPr>
          <w:p>
            <w:pPr/>
          </w:p>
        </w:tc>
      </w:tr>
    </w:tbl>
    <w:p>
      <w:pPr>
        <w:pStyle w:val="BodyText"/>
        <w:spacing w:line="240" w:lineRule="auto" w:before="51"/>
        <w:ind w:left="0" w:right="657"/>
        <w:jc w:val="center"/>
      </w:pPr>
      <w:r>
        <w:rPr/>
        <w:t>母公司</w:t>
      </w:r>
    </w:p>
    <w:p>
      <w:pPr>
        <w:spacing w:after="0" w:line="240" w:lineRule="auto"/>
        <w:jc w:val="center"/>
        <w:sectPr>
          <w:pgSz w:w="11910" w:h="16840"/>
          <w:pgMar w:header="878" w:footer="978" w:top="1100" w:bottom="1160" w:left="1020" w:right="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1676"/>
        <w:gridCol w:w="1908"/>
        <w:gridCol w:w="1346"/>
        <w:gridCol w:w="2015"/>
        <w:gridCol w:w="2063"/>
        <w:gridCol w:w="1370"/>
      </w:tblGrid>
      <w:tr>
        <w:trPr>
          <w:trHeight w:val="420" w:hRule="exact"/>
        </w:trPr>
        <w:tc>
          <w:tcPr>
            <w:tcW w:w="4930" w:type="dxa"/>
            <w:gridSpan w:val="3"/>
            <w:tcBorders>
              <w:top w:val="single" w:sz="12" w:space="0" w:color="000000"/>
              <w:left w:val="nil" w:sz="6" w:space="0" w:color="auto"/>
              <w:bottom w:val="dotted" w:sz="4" w:space="0" w:color="000000"/>
              <w:right w:val="dotted" w:sz="4" w:space="0" w:color="000000"/>
            </w:tcBorders>
          </w:tcPr>
          <w:p>
            <w:pPr>
              <w:pStyle w:val="TableParagraph"/>
              <w:spacing w:line="240" w:lineRule="auto" w:before="88"/>
              <w:ind w:left="5" w:right="0"/>
              <w:jc w:val="center"/>
              <w:rPr>
                <w:rFonts w:ascii="宋体" w:hAnsi="宋体" w:cs="宋体" w:eastAsia="宋体" w:hint="default"/>
                <w:sz w:val="18"/>
                <w:szCs w:val="18"/>
              </w:rPr>
            </w:pPr>
            <w:r>
              <w:rPr>
                <w:rFonts w:ascii="宋体" w:hAnsi="宋体" w:cs="宋体" w:eastAsia="宋体" w:hint="default"/>
                <w:sz w:val="18"/>
                <w:szCs w:val="18"/>
              </w:rPr>
              <w:t>原金融工具准则</w:t>
            </w:r>
          </w:p>
        </w:tc>
        <w:tc>
          <w:tcPr>
            <w:tcW w:w="5448" w:type="dxa"/>
            <w:gridSpan w:val="3"/>
            <w:tcBorders>
              <w:top w:val="single" w:sz="12" w:space="0" w:color="000000"/>
              <w:left w:val="dotted" w:sz="4" w:space="0" w:color="000000"/>
              <w:bottom w:val="dotted" w:sz="4" w:space="0" w:color="000000"/>
              <w:right w:val="nil" w:sz="6" w:space="0" w:color="auto"/>
            </w:tcBorders>
          </w:tcPr>
          <w:p>
            <w:pPr>
              <w:pStyle w:val="TableParagraph"/>
              <w:spacing w:line="240" w:lineRule="auto" w:before="88"/>
              <w:ind w:left="86" w:right="0"/>
              <w:jc w:val="center"/>
              <w:rPr>
                <w:rFonts w:ascii="宋体" w:hAnsi="宋体" w:cs="宋体" w:eastAsia="宋体" w:hint="default"/>
                <w:sz w:val="18"/>
                <w:szCs w:val="18"/>
              </w:rPr>
            </w:pPr>
            <w:r>
              <w:rPr>
                <w:rFonts w:ascii="宋体" w:hAnsi="宋体" w:cs="宋体" w:eastAsia="宋体" w:hint="default"/>
                <w:sz w:val="18"/>
                <w:szCs w:val="18"/>
              </w:rPr>
              <w:t>新金融工具准则</w:t>
            </w:r>
          </w:p>
        </w:tc>
      </w:tr>
      <w:tr>
        <w:trPr>
          <w:trHeight w:val="410" w:hRule="exact"/>
        </w:trPr>
        <w:tc>
          <w:tcPr>
            <w:tcW w:w="167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8"/>
              <w:ind w:left="476" w:right="0"/>
              <w:jc w:val="left"/>
              <w:rPr>
                <w:rFonts w:ascii="宋体" w:hAnsi="宋体" w:cs="宋体" w:eastAsia="宋体" w:hint="default"/>
                <w:sz w:val="18"/>
                <w:szCs w:val="18"/>
              </w:rPr>
            </w:pPr>
            <w:r>
              <w:rPr>
                <w:rFonts w:ascii="宋体" w:hAnsi="宋体" w:cs="宋体" w:eastAsia="宋体" w:hint="default"/>
                <w:sz w:val="18"/>
                <w:szCs w:val="18"/>
              </w:rPr>
              <w:t>列报项目</w:t>
            </w:r>
          </w:p>
        </w:tc>
        <w:tc>
          <w:tcPr>
            <w:tcW w:w="19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计量类别</w:t>
            </w:r>
          </w:p>
        </w:tc>
        <w:tc>
          <w:tcPr>
            <w:tcW w:w="13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pacing w:val="-6"/>
                <w:sz w:val="18"/>
                <w:szCs w:val="18"/>
              </w:rPr>
              <w:t>账面价值（元）</w:t>
            </w:r>
          </w:p>
        </w:tc>
        <w:tc>
          <w:tcPr>
            <w:tcW w:w="201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列报项目</w:t>
            </w:r>
          </w:p>
        </w:tc>
        <w:tc>
          <w:tcPr>
            <w:tcW w:w="206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664"/>
              <w:jc w:val="right"/>
              <w:rPr>
                <w:rFonts w:ascii="宋体" w:hAnsi="宋体" w:cs="宋体" w:eastAsia="宋体" w:hint="default"/>
                <w:sz w:val="18"/>
                <w:szCs w:val="18"/>
              </w:rPr>
            </w:pPr>
            <w:r>
              <w:rPr>
                <w:rFonts w:ascii="宋体" w:hAnsi="宋体" w:cs="宋体" w:eastAsia="宋体" w:hint="default"/>
                <w:sz w:val="18"/>
                <w:szCs w:val="18"/>
              </w:rPr>
              <w:t>计量类别</w:t>
            </w:r>
          </w:p>
        </w:tc>
        <w:tc>
          <w:tcPr>
            <w:tcW w:w="137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pacing w:val="-3"/>
                <w:sz w:val="18"/>
                <w:szCs w:val="18"/>
              </w:rPr>
              <w:t>账面价值（元）</w:t>
            </w:r>
          </w:p>
        </w:tc>
      </w:tr>
      <w:tr>
        <w:trPr>
          <w:trHeight w:val="410" w:hRule="exact"/>
        </w:trPr>
        <w:tc>
          <w:tcPr>
            <w:tcW w:w="1676" w:type="dxa"/>
            <w:vMerge w:val="restart"/>
            <w:tcBorders>
              <w:top w:val="dotted" w:sz="4" w:space="0" w:color="000000"/>
              <w:left w:val="nil" w:sz="6" w:space="0" w:color="auto"/>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908" w:type="dxa"/>
            <w:vMerge w:val="restart"/>
            <w:tcBorders>
              <w:top w:val="dotted" w:sz="4" w:space="0" w:color="000000"/>
              <w:left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588"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346" w:type="dxa"/>
            <w:vMerge w:val="restart"/>
            <w:tcBorders>
              <w:top w:val="dotted" w:sz="4" w:space="0" w:color="000000"/>
              <w:left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88" w:right="0"/>
              <w:jc w:val="left"/>
              <w:rPr>
                <w:rFonts w:ascii="Times New Roman" w:hAnsi="Times New Roman" w:cs="Times New Roman" w:eastAsia="Times New Roman" w:hint="default"/>
                <w:sz w:val="18"/>
                <w:szCs w:val="18"/>
              </w:rPr>
            </w:pPr>
            <w:r>
              <w:rPr>
                <w:rFonts w:ascii="Times New Roman"/>
                <w:sz w:val="18"/>
              </w:rPr>
              <w:t>3,456,776.00</w:t>
            </w:r>
          </w:p>
        </w:tc>
        <w:tc>
          <w:tcPr>
            <w:tcW w:w="201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应收票据</w:t>
            </w:r>
          </w:p>
        </w:tc>
        <w:tc>
          <w:tcPr>
            <w:tcW w:w="206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664"/>
              <w:jc w:val="right"/>
              <w:rPr>
                <w:rFonts w:ascii="宋体" w:hAnsi="宋体" w:cs="宋体" w:eastAsia="宋体" w:hint="default"/>
                <w:sz w:val="18"/>
                <w:szCs w:val="18"/>
              </w:rPr>
            </w:pPr>
            <w:r>
              <w:rPr>
                <w:rFonts w:ascii="宋体" w:hAnsi="宋体" w:cs="宋体" w:eastAsia="宋体" w:hint="default"/>
                <w:sz w:val="18"/>
                <w:szCs w:val="18"/>
              </w:rPr>
              <w:t>摊余成本</w:t>
            </w:r>
          </w:p>
        </w:tc>
        <w:tc>
          <w:tcPr>
            <w:tcW w:w="137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8"/>
              <w:ind w:left="312" w:right="0"/>
              <w:jc w:val="left"/>
              <w:rPr>
                <w:rFonts w:ascii="Times New Roman" w:hAnsi="Times New Roman" w:cs="Times New Roman" w:eastAsia="Times New Roman" w:hint="default"/>
                <w:sz w:val="18"/>
                <w:szCs w:val="18"/>
              </w:rPr>
            </w:pPr>
            <w:r>
              <w:rPr>
                <w:rFonts w:ascii="Times New Roman"/>
                <w:sz w:val="18"/>
              </w:rPr>
              <w:t>3,456,776.00</w:t>
            </w:r>
          </w:p>
        </w:tc>
      </w:tr>
      <w:tr>
        <w:trPr>
          <w:trHeight w:val="730" w:hRule="exact"/>
        </w:trPr>
        <w:tc>
          <w:tcPr>
            <w:tcW w:w="1676" w:type="dxa"/>
            <w:vMerge/>
            <w:tcBorders>
              <w:left w:val="nil" w:sz="6" w:space="0" w:color="auto"/>
              <w:bottom w:val="dotted" w:sz="4" w:space="0" w:color="000000"/>
              <w:right w:val="dotted" w:sz="4" w:space="0" w:color="000000"/>
            </w:tcBorders>
          </w:tcPr>
          <w:p>
            <w:pPr/>
          </w:p>
        </w:tc>
        <w:tc>
          <w:tcPr>
            <w:tcW w:w="1908" w:type="dxa"/>
            <w:vMerge/>
            <w:tcBorders>
              <w:left w:val="dotted" w:sz="4" w:space="0" w:color="000000"/>
              <w:bottom w:val="dotted" w:sz="4" w:space="0" w:color="000000"/>
              <w:right w:val="dotted" w:sz="4" w:space="0" w:color="000000"/>
            </w:tcBorders>
          </w:tcPr>
          <w:p>
            <w:pPr/>
          </w:p>
        </w:tc>
        <w:tc>
          <w:tcPr>
            <w:tcW w:w="1346" w:type="dxa"/>
            <w:vMerge/>
            <w:tcBorders>
              <w:left w:val="dotted" w:sz="4" w:space="0" w:color="000000"/>
              <w:bottom w:val="dotted" w:sz="4" w:space="0" w:color="000000"/>
              <w:right w:val="dotted" w:sz="4" w:space="0" w:color="000000"/>
            </w:tcBorders>
          </w:tcPr>
          <w:p>
            <w:pPr/>
          </w:p>
        </w:tc>
        <w:tc>
          <w:tcPr>
            <w:tcW w:w="201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应收款项融资</w:t>
            </w:r>
          </w:p>
        </w:tc>
        <w:tc>
          <w:tcPr>
            <w:tcW w:w="2063" w:type="dxa"/>
            <w:tcBorders>
              <w:top w:val="dotted" w:sz="4" w:space="0" w:color="000000"/>
              <w:left w:val="dotted" w:sz="4" w:space="0" w:color="000000"/>
              <w:bottom w:val="dotted" w:sz="4" w:space="0" w:color="000000"/>
              <w:right w:val="dotted" w:sz="4" w:space="0" w:color="000000"/>
            </w:tcBorders>
          </w:tcPr>
          <w:p>
            <w:pPr>
              <w:pStyle w:val="TableParagraph"/>
              <w:spacing w:line="328" w:lineRule="auto" w:before="86"/>
              <w:ind w:left="215" w:right="124" w:hanging="89"/>
              <w:jc w:val="left"/>
              <w:rPr>
                <w:rFonts w:ascii="宋体" w:hAnsi="宋体" w:cs="宋体" w:eastAsia="宋体" w:hint="default"/>
                <w:sz w:val="18"/>
                <w:szCs w:val="18"/>
              </w:rPr>
            </w:pPr>
            <w:r>
              <w:rPr>
                <w:rFonts w:ascii="宋体" w:hAnsi="宋体" w:cs="宋体" w:eastAsia="宋体" w:hint="default"/>
                <w:sz w:val="18"/>
                <w:szCs w:val="18"/>
              </w:rPr>
              <w:t>以公允价值计量且其变 动计入其他综合收益</w:t>
            </w:r>
          </w:p>
        </w:tc>
        <w:tc>
          <w:tcPr>
            <w:tcW w:w="1370" w:type="dxa"/>
            <w:tcBorders>
              <w:top w:val="dotted" w:sz="4" w:space="0" w:color="000000"/>
              <w:left w:val="dotted" w:sz="4" w:space="0" w:color="000000"/>
              <w:bottom w:val="dotted" w:sz="4" w:space="0" w:color="000000"/>
              <w:right w:val="nil" w:sz="6" w:space="0" w:color="auto"/>
            </w:tcBorders>
          </w:tcPr>
          <w:p>
            <w:pPr/>
          </w:p>
        </w:tc>
      </w:tr>
      <w:tr>
        <w:trPr>
          <w:trHeight w:val="410" w:hRule="exact"/>
        </w:trPr>
        <w:tc>
          <w:tcPr>
            <w:tcW w:w="1676" w:type="dxa"/>
            <w:vMerge w:val="restart"/>
            <w:tcBorders>
              <w:top w:val="dotted" w:sz="4" w:space="0" w:color="000000"/>
              <w:left w:val="nil" w:sz="6" w:space="0" w:color="auto"/>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08" w:type="dxa"/>
            <w:vMerge w:val="restart"/>
            <w:tcBorders>
              <w:top w:val="dotted" w:sz="4" w:space="0" w:color="000000"/>
              <w:left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588"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346" w:type="dxa"/>
            <w:vMerge w:val="restart"/>
            <w:tcBorders>
              <w:top w:val="dotted" w:sz="4" w:space="0" w:color="000000"/>
              <w:left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08" w:right="0"/>
              <w:jc w:val="left"/>
              <w:rPr>
                <w:rFonts w:ascii="Times New Roman" w:hAnsi="Times New Roman" w:cs="Times New Roman" w:eastAsia="Times New Roman" w:hint="default"/>
                <w:sz w:val="18"/>
                <w:szCs w:val="18"/>
              </w:rPr>
            </w:pPr>
            <w:r>
              <w:rPr>
                <w:rFonts w:ascii="Times New Roman"/>
                <w:sz w:val="18"/>
              </w:rPr>
              <w:t>515,238,201.29</w:t>
            </w:r>
          </w:p>
        </w:tc>
        <w:tc>
          <w:tcPr>
            <w:tcW w:w="201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06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664"/>
              <w:jc w:val="right"/>
              <w:rPr>
                <w:rFonts w:ascii="宋体" w:hAnsi="宋体" w:cs="宋体" w:eastAsia="宋体" w:hint="default"/>
                <w:sz w:val="18"/>
                <w:szCs w:val="18"/>
              </w:rPr>
            </w:pPr>
            <w:r>
              <w:rPr>
                <w:rFonts w:ascii="宋体" w:hAnsi="宋体" w:cs="宋体" w:eastAsia="宋体" w:hint="default"/>
                <w:sz w:val="18"/>
                <w:szCs w:val="18"/>
              </w:rPr>
              <w:t>摊余成本</w:t>
            </w:r>
          </w:p>
        </w:tc>
        <w:tc>
          <w:tcPr>
            <w:tcW w:w="137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8"/>
              <w:ind w:left="132" w:right="0"/>
              <w:jc w:val="left"/>
              <w:rPr>
                <w:rFonts w:ascii="Times New Roman" w:hAnsi="Times New Roman" w:cs="Times New Roman" w:eastAsia="Times New Roman" w:hint="default"/>
                <w:sz w:val="18"/>
                <w:szCs w:val="18"/>
              </w:rPr>
            </w:pPr>
            <w:r>
              <w:rPr>
                <w:rFonts w:ascii="Times New Roman"/>
                <w:sz w:val="18"/>
              </w:rPr>
              <w:t>515,238,201.29</w:t>
            </w:r>
          </w:p>
        </w:tc>
      </w:tr>
      <w:tr>
        <w:trPr>
          <w:trHeight w:val="730" w:hRule="exact"/>
        </w:trPr>
        <w:tc>
          <w:tcPr>
            <w:tcW w:w="1676" w:type="dxa"/>
            <w:vMerge/>
            <w:tcBorders>
              <w:left w:val="nil" w:sz="6" w:space="0" w:color="auto"/>
              <w:bottom w:val="dotted" w:sz="4" w:space="0" w:color="000000"/>
              <w:right w:val="dotted" w:sz="4" w:space="0" w:color="000000"/>
            </w:tcBorders>
          </w:tcPr>
          <w:p>
            <w:pPr/>
          </w:p>
        </w:tc>
        <w:tc>
          <w:tcPr>
            <w:tcW w:w="1908" w:type="dxa"/>
            <w:vMerge/>
            <w:tcBorders>
              <w:left w:val="dotted" w:sz="4" w:space="0" w:color="000000"/>
              <w:bottom w:val="dotted" w:sz="4" w:space="0" w:color="000000"/>
              <w:right w:val="dotted" w:sz="4" w:space="0" w:color="000000"/>
            </w:tcBorders>
          </w:tcPr>
          <w:p>
            <w:pPr/>
          </w:p>
        </w:tc>
        <w:tc>
          <w:tcPr>
            <w:tcW w:w="1346" w:type="dxa"/>
            <w:vMerge/>
            <w:tcBorders>
              <w:left w:val="dotted" w:sz="4" w:space="0" w:color="000000"/>
              <w:bottom w:val="dotted" w:sz="4" w:space="0" w:color="000000"/>
              <w:right w:val="dotted" w:sz="4" w:space="0" w:color="000000"/>
            </w:tcBorders>
          </w:tcPr>
          <w:p>
            <w:pPr/>
          </w:p>
        </w:tc>
        <w:tc>
          <w:tcPr>
            <w:tcW w:w="201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应收款项融资</w:t>
            </w:r>
          </w:p>
        </w:tc>
        <w:tc>
          <w:tcPr>
            <w:tcW w:w="2063" w:type="dxa"/>
            <w:tcBorders>
              <w:top w:val="dotted" w:sz="4" w:space="0" w:color="000000"/>
              <w:left w:val="dotted" w:sz="4" w:space="0" w:color="000000"/>
              <w:bottom w:val="dotted" w:sz="4" w:space="0" w:color="000000"/>
              <w:right w:val="dotted" w:sz="4" w:space="0" w:color="000000"/>
            </w:tcBorders>
          </w:tcPr>
          <w:p>
            <w:pPr>
              <w:pStyle w:val="TableParagraph"/>
              <w:spacing w:line="328" w:lineRule="auto" w:before="86"/>
              <w:ind w:left="215" w:right="124" w:hanging="89"/>
              <w:jc w:val="left"/>
              <w:rPr>
                <w:rFonts w:ascii="宋体" w:hAnsi="宋体" w:cs="宋体" w:eastAsia="宋体" w:hint="default"/>
                <w:sz w:val="18"/>
                <w:szCs w:val="18"/>
              </w:rPr>
            </w:pPr>
            <w:r>
              <w:rPr>
                <w:rFonts w:ascii="宋体" w:hAnsi="宋体" w:cs="宋体" w:eastAsia="宋体" w:hint="default"/>
                <w:sz w:val="18"/>
                <w:szCs w:val="18"/>
              </w:rPr>
              <w:t>以公允价值计量且其变 动计入其他综合收益</w:t>
            </w:r>
          </w:p>
        </w:tc>
        <w:tc>
          <w:tcPr>
            <w:tcW w:w="1370" w:type="dxa"/>
            <w:tcBorders>
              <w:top w:val="dotted" w:sz="4" w:space="0" w:color="000000"/>
              <w:left w:val="dotted" w:sz="4" w:space="0" w:color="000000"/>
              <w:bottom w:val="dotted" w:sz="4" w:space="0" w:color="000000"/>
              <w:right w:val="nil" w:sz="6" w:space="0" w:color="auto"/>
            </w:tcBorders>
          </w:tcPr>
          <w:p>
            <w:pPr/>
          </w:p>
        </w:tc>
      </w:tr>
      <w:tr>
        <w:trPr>
          <w:trHeight w:val="410" w:hRule="exact"/>
        </w:trPr>
        <w:tc>
          <w:tcPr>
            <w:tcW w:w="167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6"/>
              <w:ind w:left="107"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摊余成本</w:t>
            </w:r>
          </w:p>
        </w:tc>
        <w:tc>
          <w:tcPr>
            <w:tcW w:w="13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8"/>
              <w:ind w:left="108" w:right="0"/>
              <w:jc w:val="left"/>
              <w:rPr>
                <w:rFonts w:ascii="Times New Roman" w:hAnsi="Times New Roman" w:cs="Times New Roman" w:eastAsia="Times New Roman" w:hint="default"/>
                <w:sz w:val="18"/>
                <w:szCs w:val="18"/>
              </w:rPr>
            </w:pPr>
            <w:r>
              <w:rPr>
                <w:rFonts w:ascii="Times New Roman"/>
                <w:sz w:val="18"/>
              </w:rPr>
              <w:t>111,928,330.69</w:t>
            </w:r>
          </w:p>
        </w:tc>
        <w:tc>
          <w:tcPr>
            <w:tcW w:w="201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left="1" w:right="0"/>
              <w:jc w:val="center"/>
              <w:rPr>
                <w:rFonts w:ascii="宋体" w:hAnsi="宋体" w:cs="宋体" w:eastAsia="宋体" w:hint="default"/>
                <w:sz w:val="18"/>
                <w:szCs w:val="18"/>
              </w:rPr>
            </w:pPr>
            <w:r>
              <w:rPr>
                <w:rFonts w:ascii="宋体" w:hAnsi="宋体" w:cs="宋体" w:eastAsia="宋体" w:hint="default"/>
                <w:sz w:val="18"/>
                <w:szCs w:val="18"/>
              </w:rPr>
              <w:t>其他应收款</w:t>
            </w:r>
          </w:p>
        </w:tc>
        <w:tc>
          <w:tcPr>
            <w:tcW w:w="206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664"/>
              <w:jc w:val="right"/>
              <w:rPr>
                <w:rFonts w:ascii="宋体" w:hAnsi="宋体" w:cs="宋体" w:eastAsia="宋体" w:hint="default"/>
                <w:sz w:val="18"/>
                <w:szCs w:val="18"/>
              </w:rPr>
            </w:pPr>
            <w:r>
              <w:rPr>
                <w:rFonts w:ascii="宋体" w:hAnsi="宋体" w:cs="宋体" w:eastAsia="宋体" w:hint="default"/>
                <w:sz w:val="18"/>
                <w:szCs w:val="18"/>
              </w:rPr>
              <w:t>摊余成本</w:t>
            </w:r>
          </w:p>
        </w:tc>
        <w:tc>
          <w:tcPr>
            <w:tcW w:w="137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8"/>
              <w:ind w:left="132" w:right="0"/>
              <w:jc w:val="left"/>
              <w:rPr>
                <w:rFonts w:ascii="Times New Roman" w:hAnsi="Times New Roman" w:cs="Times New Roman" w:eastAsia="Times New Roman" w:hint="default"/>
                <w:sz w:val="18"/>
                <w:szCs w:val="18"/>
              </w:rPr>
            </w:pPr>
            <w:r>
              <w:rPr>
                <w:rFonts w:ascii="Times New Roman"/>
                <w:sz w:val="18"/>
              </w:rPr>
              <w:t>111,928,330.69</w:t>
            </w:r>
          </w:p>
        </w:tc>
      </w:tr>
      <w:tr>
        <w:trPr>
          <w:trHeight w:val="770" w:hRule="exact"/>
        </w:trPr>
        <w:tc>
          <w:tcPr>
            <w:tcW w:w="1676" w:type="dxa"/>
            <w:vMerge w:val="restart"/>
            <w:tcBorders>
              <w:top w:val="dotted" w:sz="4" w:space="0" w:color="000000"/>
              <w:left w:val="nil" w:sz="6" w:space="0" w:color="auto"/>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left="107"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p>
            <w:pPr>
              <w:pStyle w:val="TableParagraph"/>
              <w:spacing w:line="240" w:lineRule="auto" w:before="124"/>
              <w:ind w:left="10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含其他流动资产</w:t>
            </w:r>
            <w:r>
              <w:rPr>
                <w:rFonts w:ascii="Times New Roman" w:hAnsi="Times New Roman" w:cs="Times New Roman" w:eastAsia="Times New Roman" w:hint="default"/>
                <w:sz w:val="18"/>
                <w:szCs w:val="18"/>
              </w:rPr>
              <w:t>)</w:t>
            </w:r>
          </w:p>
        </w:tc>
        <w:tc>
          <w:tcPr>
            <w:tcW w:w="1908" w:type="dxa"/>
            <w:vMerge w:val="restart"/>
            <w:tcBorders>
              <w:top w:val="dotted" w:sz="4" w:space="0" w:color="000000"/>
              <w:left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5"/>
                <w:szCs w:val="25"/>
              </w:rPr>
            </w:pPr>
          </w:p>
          <w:p>
            <w:pPr>
              <w:pStyle w:val="TableParagraph"/>
              <w:spacing w:line="326" w:lineRule="auto"/>
              <w:ind w:left="140" w:right="136"/>
              <w:jc w:val="center"/>
              <w:rPr>
                <w:rFonts w:ascii="Times New Roman" w:hAnsi="Times New Roman" w:cs="Times New Roman" w:eastAsia="Times New Roman" w:hint="default"/>
                <w:sz w:val="18"/>
                <w:szCs w:val="18"/>
              </w:rPr>
            </w:pPr>
            <w:r>
              <w:rPr>
                <w:rFonts w:ascii="宋体" w:hAnsi="宋体" w:cs="宋体" w:eastAsia="宋体" w:hint="default"/>
                <w:sz w:val="18"/>
                <w:szCs w:val="18"/>
              </w:rPr>
              <w:t>以公允价值计量且其 变动计入其他综合收 益</w:t>
            </w:r>
            <w:r>
              <w:rPr>
                <w:rFonts w:ascii="Times New Roman" w:hAnsi="Times New Roman" w:cs="Times New Roman" w:eastAsia="Times New Roman" w:hint="default"/>
                <w:sz w:val="18"/>
                <w:szCs w:val="18"/>
              </w:rPr>
              <w:t>(</w:t>
            </w:r>
            <w:r>
              <w:rPr>
                <w:rFonts w:ascii="宋体" w:hAnsi="宋体" w:cs="宋体" w:eastAsia="宋体" w:hint="default"/>
                <w:sz w:val="18"/>
                <w:szCs w:val="18"/>
              </w:rPr>
              <w:t>债务工具</w:t>
            </w:r>
            <w:r>
              <w:rPr>
                <w:rFonts w:ascii="Times New Roman" w:hAnsi="Times New Roman" w:cs="Times New Roman" w:eastAsia="Times New Roman" w:hint="default"/>
                <w:sz w:val="18"/>
                <w:szCs w:val="18"/>
              </w:rPr>
              <w:t>)</w:t>
            </w:r>
          </w:p>
        </w:tc>
        <w:tc>
          <w:tcPr>
            <w:tcW w:w="1346" w:type="dxa"/>
            <w:vMerge w:val="restart"/>
            <w:tcBorders>
              <w:top w:val="dotted" w:sz="4" w:space="0" w:color="000000"/>
              <w:left w:val="dotted" w:sz="4" w:space="0" w:color="000000"/>
              <w:right w:val="dotted" w:sz="4" w:space="0" w:color="000000"/>
            </w:tcBorders>
          </w:tcPr>
          <w:p>
            <w:pPr/>
          </w:p>
        </w:tc>
        <w:tc>
          <w:tcPr>
            <w:tcW w:w="201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债权投资</w:t>
            </w:r>
          </w:p>
          <w:p>
            <w:pPr>
              <w:pStyle w:val="TableParagraph"/>
              <w:spacing w:line="240" w:lineRule="auto" w:before="124"/>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含其他流动资产</w:t>
            </w:r>
            <w:r>
              <w:rPr>
                <w:rFonts w:ascii="Times New Roman" w:hAnsi="Times New Roman" w:cs="Times New Roman" w:eastAsia="Times New Roman" w:hint="default"/>
                <w:sz w:val="18"/>
                <w:szCs w:val="18"/>
              </w:rPr>
              <w:t>)</w:t>
            </w:r>
          </w:p>
        </w:tc>
        <w:tc>
          <w:tcPr>
            <w:tcW w:w="206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664"/>
              <w:jc w:val="right"/>
              <w:rPr>
                <w:rFonts w:ascii="宋体" w:hAnsi="宋体" w:cs="宋体" w:eastAsia="宋体" w:hint="default"/>
                <w:sz w:val="18"/>
                <w:szCs w:val="18"/>
              </w:rPr>
            </w:pPr>
            <w:r>
              <w:rPr>
                <w:rFonts w:ascii="宋体" w:hAnsi="宋体" w:cs="宋体" w:eastAsia="宋体" w:hint="default"/>
                <w:sz w:val="18"/>
                <w:szCs w:val="18"/>
              </w:rPr>
              <w:t>摊余成本</w:t>
            </w:r>
          </w:p>
        </w:tc>
        <w:tc>
          <w:tcPr>
            <w:tcW w:w="1370" w:type="dxa"/>
            <w:tcBorders>
              <w:top w:val="dotted" w:sz="4" w:space="0" w:color="000000"/>
              <w:left w:val="dotted" w:sz="4" w:space="0" w:color="000000"/>
              <w:bottom w:val="dotted" w:sz="4" w:space="0" w:color="000000"/>
              <w:right w:val="nil" w:sz="6" w:space="0" w:color="auto"/>
            </w:tcBorders>
          </w:tcPr>
          <w:p>
            <w:pPr/>
          </w:p>
        </w:tc>
      </w:tr>
      <w:tr>
        <w:trPr>
          <w:trHeight w:val="770" w:hRule="exact"/>
        </w:trPr>
        <w:tc>
          <w:tcPr>
            <w:tcW w:w="1676" w:type="dxa"/>
            <w:vMerge/>
            <w:tcBorders>
              <w:left w:val="nil" w:sz="6" w:space="0" w:color="auto"/>
              <w:right w:val="dotted" w:sz="4" w:space="0" w:color="000000"/>
            </w:tcBorders>
          </w:tcPr>
          <w:p>
            <w:pPr/>
          </w:p>
        </w:tc>
        <w:tc>
          <w:tcPr>
            <w:tcW w:w="1908" w:type="dxa"/>
            <w:vMerge/>
            <w:tcBorders>
              <w:left w:val="dotted" w:sz="4" w:space="0" w:color="000000"/>
              <w:bottom w:val="dotted" w:sz="4" w:space="0" w:color="000000"/>
              <w:right w:val="dotted" w:sz="4" w:space="0" w:color="000000"/>
            </w:tcBorders>
          </w:tcPr>
          <w:p>
            <w:pPr/>
          </w:p>
        </w:tc>
        <w:tc>
          <w:tcPr>
            <w:tcW w:w="1346" w:type="dxa"/>
            <w:vMerge/>
            <w:tcBorders>
              <w:left w:val="dotted" w:sz="4" w:space="0" w:color="000000"/>
              <w:bottom w:val="dotted" w:sz="4" w:space="0" w:color="000000"/>
              <w:right w:val="dotted" w:sz="4" w:space="0" w:color="000000"/>
            </w:tcBorders>
          </w:tcPr>
          <w:p>
            <w:pPr/>
          </w:p>
        </w:tc>
        <w:tc>
          <w:tcPr>
            <w:tcW w:w="201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其他债权投资</w:t>
            </w:r>
          </w:p>
          <w:p>
            <w:pPr>
              <w:pStyle w:val="TableParagraph"/>
              <w:spacing w:line="240" w:lineRule="auto" w:before="124"/>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含其他流动资产</w:t>
            </w:r>
            <w:r>
              <w:rPr>
                <w:rFonts w:ascii="Times New Roman" w:hAnsi="Times New Roman" w:cs="Times New Roman" w:eastAsia="Times New Roman" w:hint="default"/>
                <w:sz w:val="18"/>
                <w:szCs w:val="18"/>
              </w:rPr>
              <w:t>)</w:t>
            </w:r>
          </w:p>
        </w:tc>
        <w:tc>
          <w:tcPr>
            <w:tcW w:w="2063" w:type="dxa"/>
            <w:tcBorders>
              <w:top w:val="dotted" w:sz="4" w:space="0" w:color="000000"/>
              <w:left w:val="dotted" w:sz="4" w:space="0" w:color="000000"/>
              <w:bottom w:val="dotted" w:sz="4" w:space="0" w:color="000000"/>
              <w:right w:val="dotted" w:sz="4" w:space="0" w:color="000000"/>
            </w:tcBorders>
          </w:tcPr>
          <w:p>
            <w:pPr>
              <w:pStyle w:val="TableParagraph"/>
              <w:spacing w:line="328" w:lineRule="auto" w:before="106"/>
              <w:ind w:left="215" w:right="124" w:hanging="89"/>
              <w:jc w:val="left"/>
              <w:rPr>
                <w:rFonts w:ascii="宋体" w:hAnsi="宋体" w:cs="宋体" w:eastAsia="宋体" w:hint="default"/>
                <w:sz w:val="18"/>
                <w:szCs w:val="18"/>
              </w:rPr>
            </w:pPr>
            <w:r>
              <w:rPr>
                <w:rFonts w:ascii="宋体" w:hAnsi="宋体" w:cs="宋体" w:eastAsia="宋体" w:hint="default"/>
                <w:sz w:val="18"/>
                <w:szCs w:val="18"/>
              </w:rPr>
              <w:t>以公允价值计量且其变 动计入其他综合收益</w:t>
            </w:r>
          </w:p>
        </w:tc>
        <w:tc>
          <w:tcPr>
            <w:tcW w:w="1370" w:type="dxa"/>
            <w:tcBorders>
              <w:top w:val="dotted" w:sz="4" w:space="0" w:color="000000"/>
              <w:left w:val="dotted" w:sz="4" w:space="0" w:color="000000"/>
              <w:bottom w:val="dotted" w:sz="4" w:space="0" w:color="000000"/>
              <w:right w:val="nil" w:sz="6" w:space="0" w:color="auto"/>
            </w:tcBorders>
          </w:tcPr>
          <w:p>
            <w:pPr/>
          </w:p>
        </w:tc>
      </w:tr>
      <w:tr>
        <w:trPr>
          <w:trHeight w:val="410" w:hRule="exact"/>
        </w:trPr>
        <w:tc>
          <w:tcPr>
            <w:tcW w:w="1676" w:type="dxa"/>
            <w:vMerge/>
            <w:tcBorders>
              <w:left w:val="nil" w:sz="6" w:space="0" w:color="auto"/>
              <w:right w:val="dotted" w:sz="4" w:space="0" w:color="000000"/>
            </w:tcBorders>
          </w:tcPr>
          <w:p>
            <w:pPr/>
          </w:p>
        </w:tc>
        <w:tc>
          <w:tcPr>
            <w:tcW w:w="1908" w:type="dxa"/>
            <w:vMerge w:val="restart"/>
            <w:tcBorders>
              <w:top w:val="dotted" w:sz="4" w:space="0" w:color="000000"/>
              <w:left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326" w:lineRule="auto"/>
              <w:ind w:left="140" w:right="136"/>
              <w:jc w:val="center"/>
              <w:rPr>
                <w:rFonts w:ascii="Times New Roman" w:hAnsi="Times New Roman" w:cs="Times New Roman" w:eastAsia="Times New Roman" w:hint="default"/>
                <w:sz w:val="18"/>
                <w:szCs w:val="18"/>
              </w:rPr>
            </w:pPr>
            <w:r>
              <w:rPr>
                <w:rFonts w:ascii="宋体" w:hAnsi="宋体" w:cs="宋体" w:eastAsia="宋体" w:hint="default"/>
                <w:sz w:val="18"/>
                <w:szCs w:val="18"/>
              </w:rPr>
              <w:t>以公允价值计量且其 变动计入其他综合收 益</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权益工具</w:t>
            </w:r>
            <w:r>
              <w:rPr>
                <w:rFonts w:ascii="Times New Roman" w:hAnsi="Times New Roman" w:cs="Times New Roman" w:eastAsia="Times New Roman" w:hint="default"/>
                <w:sz w:val="18"/>
                <w:szCs w:val="18"/>
              </w:rPr>
              <w:t>)</w:t>
            </w:r>
          </w:p>
        </w:tc>
        <w:tc>
          <w:tcPr>
            <w:tcW w:w="1346" w:type="dxa"/>
            <w:vMerge w:val="restart"/>
            <w:tcBorders>
              <w:top w:val="dotted" w:sz="4" w:space="0" w:color="000000"/>
              <w:left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08" w:right="0"/>
              <w:jc w:val="left"/>
              <w:rPr>
                <w:rFonts w:ascii="Times New Roman" w:hAnsi="Times New Roman" w:cs="Times New Roman" w:eastAsia="Times New Roman" w:hint="default"/>
                <w:sz w:val="18"/>
                <w:szCs w:val="18"/>
              </w:rPr>
            </w:pPr>
            <w:r>
              <w:rPr>
                <w:rFonts w:ascii="Times New Roman"/>
                <w:sz w:val="18"/>
              </w:rPr>
              <w:t>843,295,785.40</w:t>
            </w:r>
          </w:p>
        </w:tc>
        <w:tc>
          <w:tcPr>
            <w:tcW w:w="201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7"/>
              <w:ind w:left="1" w:right="0"/>
              <w:jc w:val="center"/>
              <w:rPr>
                <w:rFonts w:ascii="宋体" w:hAnsi="宋体" w:cs="宋体" w:eastAsia="宋体" w:hint="default"/>
                <w:sz w:val="18"/>
                <w:szCs w:val="18"/>
              </w:rPr>
            </w:pPr>
            <w:r>
              <w:rPr>
                <w:rFonts w:ascii="宋体" w:hAnsi="宋体" w:cs="宋体" w:eastAsia="宋体" w:hint="default"/>
                <w:sz w:val="18"/>
                <w:szCs w:val="18"/>
              </w:rPr>
              <w:t>交易性金融资产</w:t>
            </w:r>
          </w:p>
        </w:tc>
        <w:tc>
          <w:tcPr>
            <w:tcW w:w="2063" w:type="dxa"/>
            <w:vMerge w:val="restart"/>
            <w:tcBorders>
              <w:top w:val="dotted" w:sz="4" w:space="0" w:color="000000"/>
              <w:left w:val="dotted" w:sz="4" w:space="0" w:color="000000"/>
              <w:right w:val="dotted" w:sz="4" w:space="0" w:color="000000"/>
            </w:tcBorders>
          </w:tcPr>
          <w:p>
            <w:pPr>
              <w:pStyle w:val="TableParagraph"/>
              <w:spacing w:line="326" w:lineRule="auto" w:before="132"/>
              <w:ind w:left="395" w:right="124" w:hanging="269"/>
              <w:jc w:val="left"/>
              <w:rPr>
                <w:rFonts w:ascii="宋体" w:hAnsi="宋体" w:cs="宋体" w:eastAsia="宋体" w:hint="default"/>
                <w:sz w:val="18"/>
                <w:szCs w:val="18"/>
              </w:rPr>
            </w:pPr>
            <w:r>
              <w:rPr>
                <w:rFonts w:ascii="宋体" w:hAnsi="宋体" w:cs="宋体" w:eastAsia="宋体" w:hint="default"/>
                <w:sz w:val="18"/>
                <w:szCs w:val="18"/>
              </w:rPr>
              <w:t>以公允价值计量且其变 动计入当期损益</w:t>
            </w:r>
          </w:p>
        </w:tc>
        <w:tc>
          <w:tcPr>
            <w:tcW w:w="1370" w:type="dxa"/>
            <w:tcBorders>
              <w:top w:val="dotted" w:sz="4" w:space="0" w:color="000000"/>
              <w:left w:val="dotted" w:sz="4" w:space="0" w:color="000000"/>
              <w:bottom w:val="dotted" w:sz="4" w:space="0" w:color="000000"/>
              <w:right w:val="nil" w:sz="6" w:space="0" w:color="auto"/>
            </w:tcBorders>
          </w:tcPr>
          <w:p>
            <w:pPr/>
          </w:p>
        </w:tc>
      </w:tr>
      <w:tr>
        <w:trPr>
          <w:trHeight w:val="410" w:hRule="exact"/>
        </w:trPr>
        <w:tc>
          <w:tcPr>
            <w:tcW w:w="1676" w:type="dxa"/>
            <w:vMerge/>
            <w:tcBorders>
              <w:left w:val="nil" w:sz="6" w:space="0" w:color="auto"/>
              <w:right w:val="dotted" w:sz="4" w:space="0" w:color="000000"/>
            </w:tcBorders>
          </w:tcPr>
          <w:p>
            <w:pPr/>
          </w:p>
        </w:tc>
        <w:tc>
          <w:tcPr>
            <w:tcW w:w="1908" w:type="dxa"/>
            <w:vMerge/>
            <w:tcBorders>
              <w:left w:val="dotted" w:sz="4" w:space="0" w:color="000000"/>
              <w:right w:val="dotted" w:sz="4" w:space="0" w:color="000000"/>
            </w:tcBorders>
          </w:tcPr>
          <w:p>
            <w:pPr/>
          </w:p>
        </w:tc>
        <w:tc>
          <w:tcPr>
            <w:tcW w:w="1346" w:type="dxa"/>
            <w:vMerge/>
            <w:tcBorders>
              <w:left w:val="dotted" w:sz="4" w:space="0" w:color="000000"/>
              <w:right w:val="dotted" w:sz="4" w:space="0" w:color="000000"/>
            </w:tcBorders>
          </w:tcPr>
          <w:p>
            <w:pPr/>
          </w:p>
        </w:tc>
        <w:tc>
          <w:tcPr>
            <w:tcW w:w="201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7"/>
              <w:ind w:left="1" w:right="0"/>
              <w:jc w:val="center"/>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2063" w:type="dxa"/>
            <w:vMerge/>
            <w:tcBorders>
              <w:left w:val="dotted" w:sz="4" w:space="0" w:color="000000"/>
              <w:bottom w:val="dotted" w:sz="4" w:space="0" w:color="000000"/>
              <w:right w:val="dotted" w:sz="4" w:space="0" w:color="000000"/>
            </w:tcBorders>
          </w:tcPr>
          <w:p>
            <w:pPr/>
          </w:p>
        </w:tc>
        <w:tc>
          <w:tcPr>
            <w:tcW w:w="1370" w:type="dxa"/>
            <w:tcBorders>
              <w:top w:val="dotted" w:sz="4" w:space="0" w:color="000000"/>
              <w:left w:val="dotted" w:sz="4" w:space="0" w:color="000000"/>
              <w:bottom w:val="dotted" w:sz="4" w:space="0" w:color="000000"/>
              <w:right w:val="nil" w:sz="6" w:space="0" w:color="auto"/>
            </w:tcBorders>
          </w:tcPr>
          <w:p>
            <w:pPr/>
          </w:p>
        </w:tc>
      </w:tr>
      <w:tr>
        <w:trPr>
          <w:trHeight w:val="730" w:hRule="exact"/>
        </w:trPr>
        <w:tc>
          <w:tcPr>
            <w:tcW w:w="1676" w:type="dxa"/>
            <w:vMerge/>
            <w:tcBorders>
              <w:left w:val="nil" w:sz="6" w:space="0" w:color="auto"/>
              <w:right w:val="dotted" w:sz="4" w:space="0" w:color="000000"/>
            </w:tcBorders>
          </w:tcPr>
          <w:p>
            <w:pPr/>
          </w:p>
        </w:tc>
        <w:tc>
          <w:tcPr>
            <w:tcW w:w="1908" w:type="dxa"/>
            <w:vMerge/>
            <w:tcBorders>
              <w:left w:val="dotted" w:sz="4" w:space="0" w:color="000000"/>
              <w:bottom w:val="dotted" w:sz="4" w:space="0" w:color="000000"/>
              <w:right w:val="dotted" w:sz="4" w:space="0" w:color="000000"/>
            </w:tcBorders>
          </w:tcPr>
          <w:p>
            <w:pPr/>
          </w:p>
        </w:tc>
        <w:tc>
          <w:tcPr>
            <w:tcW w:w="1346" w:type="dxa"/>
            <w:vMerge/>
            <w:tcBorders>
              <w:left w:val="dotted" w:sz="4" w:space="0" w:color="000000"/>
              <w:bottom w:val="dotted" w:sz="4" w:space="0" w:color="000000"/>
              <w:right w:val="dotted" w:sz="4" w:space="0" w:color="000000"/>
            </w:tcBorders>
          </w:tcPr>
          <w:p>
            <w:pPr/>
          </w:p>
        </w:tc>
        <w:tc>
          <w:tcPr>
            <w:tcW w:w="201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063" w:type="dxa"/>
            <w:tcBorders>
              <w:top w:val="dotted" w:sz="4" w:space="0" w:color="000000"/>
              <w:left w:val="dotted" w:sz="4" w:space="0" w:color="000000"/>
              <w:bottom w:val="dotted" w:sz="4" w:space="0" w:color="000000"/>
              <w:right w:val="dotted" w:sz="4" w:space="0" w:color="000000"/>
            </w:tcBorders>
          </w:tcPr>
          <w:p>
            <w:pPr>
              <w:pStyle w:val="TableParagraph"/>
              <w:spacing w:line="326" w:lineRule="auto" w:before="88"/>
              <w:ind w:left="215" w:right="124" w:hanging="89"/>
              <w:jc w:val="left"/>
              <w:rPr>
                <w:rFonts w:ascii="宋体" w:hAnsi="宋体" w:cs="宋体" w:eastAsia="宋体" w:hint="default"/>
                <w:sz w:val="18"/>
                <w:szCs w:val="18"/>
              </w:rPr>
            </w:pPr>
            <w:r>
              <w:rPr>
                <w:rFonts w:ascii="宋体" w:hAnsi="宋体" w:cs="宋体" w:eastAsia="宋体" w:hint="default"/>
                <w:sz w:val="18"/>
                <w:szCs w:val="18"/>
              </w:rPr>
              <w:t>以公允价值计量且其变 动计入其他综合收益</w:t>
            </w:r>
          </w:p>
        </w:tc>
        <w:tc>
          <w:tcPr>
            <w:tcW w:w="137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132" w:right="0"/>
              <w:jc w:val="left"/>
              <w:rPr>
                <w:rFonts w:ascii="Times New Roman" w:hAnsi="Times New Roman" w:cs="Times New Roman" w:eastAsia="Times New Roman" w:hint="default"/>
                <w:sz w:val="18"/>
                <w:szCs w:val="18"/>
              </w:rPr>
            </w:pPr>
            <w:r>
              <w:rPr>
                <w:rFonts w:ascii="Times New Roman"/>
                <w:sz w:val="18"/>
              </w:rPr>
              <w:t>843,295,785.40</w:t>
            </w:r>
          </w:p>
        </w:tc>
      </w:tr>
      <w:tr>
        <w:trPr>
          <w:trHeight w:val="410" w:hRule="exact"/>
        </w:trPr>
        <w:tc>
          <w:tcPr>
            <w:tcW w:w="1676" w:type="dxa"/>
            <w:vMerge/>
            <w:tcBorders>
              <w:left w:val="nil" w:sz="6" w:space="0" w:color="auto"/>
              <w:right w:val="dotted" w:sz="4" w:space="0" w:color="000000"/>
            </w:tcBorders>
          </w:tcPr>
          <w:p>
            <w:pPr/>
          </w:p>
        </w:tc>
        <w:tc>
          <w:tcPr>
            <w:tcW w:w="1908" w:type="dxa"/>
            <w:vMerge w:val="restart"/>
            <w:tcBorders>
              <w:top w:val="dotted" w:sz="4" w:space="0" w:color="000000"/>
              <w:left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307" w:lineRule="auto"/>
              <w:ind w:left="828" w:right="198" w:hanging="629"/>
              <w:jc w:val="left"/>
              <w:rPr>
                <w:rFonts w:ascii="Times New Roman" w:hAnsi="Times New Roman" w:cs="Times New Roman" w:eastAsia="Times New Roman" w:hint="default"/>
                <w:sz w:val="18"/>
                <w:szCs w:val="18"/>
              </w:rPr>
            </w:pPr>
            <w:r>
              <w:rPr>
                <w:rFonts w:ascii="宋体" w:hAnsi="宋体" w:cs="宋体" w:eastAsia="宋体" w:hint="default"/>
                <w:sz w:val="18"/>
                <w:szCs w:val="18"/>
              </w:rPr>
              <w:t>以成本计量</w:t>
            </w:r>
            <w:r>
              <w:rPr>
                <w:rFonts w:ascii="Times New Roman" w:hAnsi="Times New Roman" w:cs="Times New Roman" w:eastAsia="Times New Roman" w:hint="default"/>
                <w:sz w:val="18"/>
                <w:szCs w:val="18"/>
              </w:rPr>
              <w:t>(</w:t>
            </w:r>
            <w:r>
              <w:rPr>
                <w:rFonts w:ascii="宋体" w:hAnsi="宋体" w:cs="宋体" w:eastAsia="宋体" w:hint="default"/>
                <w:sz w:val="18"/>
                <w:szCs w:val="18"/>
              </w:rPr>
              <w:t>权益工 具</w:t>
            </w:r>
            <w:r>
              <w:rPr>
                <w:rFonts w:ascii="Times New Roman" w:hAnsi="Times New Roman" w:cs="Times New Roman" w:eastAsia="Times New Roman" w:hint="default"/>
                <w:sz w:val="18"/>
                <w:szCs w:val="18"/>
              </w:rPr>
              <w:t>)</w:t>
            </w:r>
          </w:p>
        </w:tc>
        <w:tc>
          <w:tcPr>
            <w:tcW w:w="1346" w:type="dxa"/>
            <w:vMerge w:val="restart"/>
            <w:tcBorders>
              <w:top w:val="dotted" w:sz="4" w:space="0" w:color="000000"/>
              <w:left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2"/>
              <w:ind w:left="197" w:right="0"/>
              <w:jc w:val="left"/>
              <w:rPr>
                <w:rFonts w:ascii="Times New Roman" w:hAnsi="Times New Roman" w:cs="Times New Roman" w:eastAsia="Times New Roman" w:hint="default"/>
                <w:sz w:val="18"/>
                <w:szCs w:val="18"/>
              </w:rPr>
            </w:pPr>
            <w:r>
              <w:rPr>
                <w:rFonts w:ascii="Times New Roman"/>
                <w:sz w:val="18"/>
              </w:rPr>
              <w:t>30,030,800.00</w:t>
            </w:r>
          </w:p>
        </w:tc>
        <w:tc>
          <w:tcPr>
            <w:tcW w:w="201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7"/>
              <w:ind w:left="1" w:right="0"/>
              <w:jc w:val="center"/>
              <w:rPr>
                <w:rFonts w:ascii="宋体" w:hAnsi="宋体" w:cs="宋体" w:eastAsia="宋体" w:hint="default"/>
                <w:sz w:val="18"/>
                <w:szCs w:val="18"/>
              </w:rPr>
            </w:pPr>
            <w:r>
              <w:rPr>
                <w:rFonts w:ascii="宋体" w:hAnsi="宋体" w:cs="宋体" w:eastAsia="宋体" w:hint="default"/>
                <w:sz w:val="18"/>
                <w:szCs w:val="18"/>
              </w:rPr>
              <w:t>交易性金融资产</w:t>
            </w:r>
          </w:p>
        </w:tc>
        <w:tc>
          <w:tcPr>
            <w:tcW w:w="2063" w:type="dxa"/>
            <w:vMerge w:val="restart"/>
            <w:tcBorders>
              <w:top w:val="dotted" w:sz="4" w:space="0" w:color="000000"/>
              <w:left w:val="dotted" w:sz="4" w:space="0" w:color="000000"/>
              <w:right w:val="dotted" w:sz="4" w:space="0" w:color="000000"/>
            </w:tcBorders>
          </w:tcPr>
          <w:p>
            <w:pPr>
              <w:pStyle w:val="TableParagraph"/>
              <w:spacing w:line="326" w:lineRule="auto" w:before="133"/>
              <w:ind w:left="395" w:right="124" w:hanging="269"/>
              <w:jc w:val="left"/>
              <w:rPr>
                <w:rFonts w:ascii="宋体" w:hAnsi="宋体" w:cs="宋体" w:eastAsia="宋体" w:hint="default"/>
                <w:sz w:val="18"/>
                <w:szCs w:val="18"/>
              </w:rPr>
            </w:pPr>
            <w:r>
              <w:rPr>
                <w:rFonts w:ascii="宋体" w:hAnsi="宋体" w:cs="宋体" w:eastAsia="宋体" w:hint="default"/>
                <w:sz w:val="18"/>
                <w:szCs w:val="18"/>
              </w:rPr>
              <w:t>以公允价值计量且其变 动计入当期损益</w:t>
            </w:r>
          </w:p>
        </w:tc>
        <w:tc>
          <w:tcPr>
            <w:tcW w:w="1370" w:type="dxa"/>
            <w:tcBorders>
              <w:top w:val="dotted" w:sz="4" w:space="0" w:color="000000"/>
              <w:left w:val="dotted" w:sz="4" w:space="0" w:color="000000"/>
              <w:bottom w:val="dotted" w:sz="4" w:space="0" w:color="000000"/>
              <w:right w:val="nil" w:sz="6" w:space="0" w:color="auto"/>
            </w:tcBorders>
          </w:tcPr>
          <w:p>
            <w:pPr/>
          </w:p>
        </w:tc>
      </w:tr>
      <w:tr>
        <w:trPr>
          <w:trHeight w:val="410" w:hRule="exact"/>
        </w:trPr>
        <w:tc>
          <w:tcPr>
            <w:tcW w:w="1676" w:type="dxa"/>
            <w:vMerge/>
            <w:tcBorders>
              <w:left w:val="nil" w:sz="6" w:space="0" w:color="auto"/>
              <w:right w:val="dotted" w:sz="4" w:space="0" w:color="000000"/>
            </w:tcBorders>
          </w:tcPr>
          <w:p>
            <w:pPr/>
          </w:p>
        </w:tc>
        <w:tc>
          <w:tcPr>
            <w:tcW w:w="1908" w:type="dxa"/>
            <w:vMerge/>
            <w:tcBorders>
              <w:left w:val="dotted" w:sz="4" w:space="0" w:color="000000"/>
              <w:right w:val="dotted" w:sz="4" w:space="0" w:color="000000"/>
            </w:tcBorders>
          </w:tcPr>
          <w:p>
            <w:pPr/>
          </w:p>
        </w:tc>
        <w:tc>
          <w:tcPr>
            <w:tcW w:w="1346" w:type="dxa"/>
            <w:vMerge/>
            <w:tcBorders>
              <w:left w:val="dotted" w:sz="4" w:space="0" w:color="000000"/>
              <w:right w:val="dotted" w:sz="4" w:space="0" w:color="000000"/>
            </w:tcBorders>
          </w:tcPr>
          <w:p>
            <w:pPr/>
          </w:p>
        </w:tc>
        <w:tc>
          <w:tcPr>
            <w:tcW w:w="201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left="1" w:right="0"/>
              <w:jc w:val="center"/>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2063" w:type="dxa"/>
            <w:vMerge/>
            <w:tcBorders>
              <w:left w:val="dotted" w:sz="4" w:space="0" w:color="000000"/>
              <w:bottom w:val="dotted" w:sz="4" w:space="0" w:color="000000"/>
              <w:right w:val="dotted" w:sz="4" w:space="0" w:color="000000"/>
            </w:tcBorders>
          </w:tcPr>
          <w:p>
            <w:pPr/>
          </w:p>
        </w:tc>
        <w:tc>
          <w:tcPr>
            <w:tcW w:w="1370" w:type="dxa"/>
            <w:tcBorders>
              <w:top w:val="dotted" w:sz="4" w:space="0" w:color="000000"/>
              <w:left w:val="dotted" w:sz="4" w:space="0" w:color="000000"/>
              <w:bottom w:val="dotted" w:sz="4" w:space="0" w:color="000000"/>
              <w:right w:val="nil" w:sz="6" w:space="0" w:color="auto"/>
            </w:tcBorders>
          </w:tcPr>
          <w:p>
            <w:pPr/>
          </w:p>
        </w:tc>
      </w:tr>
      <w:tr>
        <w:trPr>
          <w:trHeight w:val="740" w:hRule="exact"/>
        </w:trPr>
        <w:tc>
          <w:tcPr>
            <w:tcW w:w="1676" w:type="dxa"/>
            <w:vMerge/>
            <w:tcBorders>
              <w:left w:val="nil" w:sz="6" w:space="0" w:color="auto"/>
              <w:bottom w:val="single" w:sz="12" w:space="0" w:color="000000"/>
              <w:right w:val="dotted" w:sz="4" w:space="0" w:color="000000"/>
            </w:tcBorders>
          </w:tcPr>
          <w:p>
            <w:pPr/>
          </w:p>
        </w:tc>
        <w:tc>
          <w:tcPr>
            <w:tcW w:w="1908" w:type="dxa"/>
            <w:vMerge/>
            <w:tcBorders>
              <w:left w:val="dotted" w:sz="4" w:space="0" w:color="000000"/>
              <w:bottom w:val="single" w:sz="12" w:space="0" w:color="000000"/>
              <w:right w:val="dotted" w:sz="4" w:space="0" w:color="000000"/>
            </w:tcBorders>
          </w:tcPr>
          <w:p>
            <w:pPr/>
          </w:p>
        </w:tc>
        <w:tc>
          <w:tcPr>
            <w:tcW w:w="1346" w:type="dxa"/>
            <w:vMerge/>
            <w:tcBorders>
              <w:left w:val="dotted" w:sz="4" w:space="0" w:color="000000"/>
              <w:bottom w:val="single" w:sz="12" w:space="0" w:color="000000"/>
              <w:right w:val="dotted" w:sz="4" w:space="0" w:color="000000"/>
            </w:tcBorders>
          </w:tcPr>
          <w:p>
            <w:pPr/>
          </w:p>
        </w:tc>
        <w:tc>
          <w:tcPr>
            <w:tcW w:w="201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063" w:type="dxa"/>
            <w:tcBorders>
              <w:top w:val="dotted" w:sz="4" w:space="0" w:color="000000"/>
              <w:left w:val="dotted" w:sz="4" w:space="0" w:color="000000"/>
              <w:bottom w:val="single" w:sz="12" w:space="0" w:color="000000"/>
              <w:right w:val="dotted" w:sz="4" w:space="0" w:color="000000"/>
            </w:tcBorders>
          </w:tcPr>
          <w:p>
            <w:pPr>
              <w:pStyle w:val="TableParagraph"/>
              <w:spacing w:line="328" w:lineRule="auto" w:before="86"/>
              <w:ind w:left="215" w:right="124" w:hanging="89"/>
              <w:jc w:val="left"/>
              <w:rPr>
                <w:rFonts w:ascii="宋体" w:hAnsi="宋体" w:cs="宋体" w:eastAsia="宋体" w:hint="default"/>
                <w:sz w:val="18"/>
                <w:szCs w:val="18"/>
              </w:rPr>
            </w:pPr>
            <w:r>
              <w:rPr>
                <w:rFonts w:ascii="宋体" w:hAnsi="宋体" w:cs="宋体" w:eastAsia="宋体" w:hint="default"/>
                <w:sz w:val="18"/>
                <w:szCs w:val="18"/>
              </w:rPr>
              <w:t>以公允价值计量且其变 动计入其他综合收益</w:t>
            </w:r>
          </w:p>
        </w:tc>
        <w:tc>
          <w:tcPr>
            <w:tcW w:w="1370"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07" w:right="0"/>
              <w:jc w:val="left"/>
              <w:rPr>
                <w:rFonts w:ascii="Times New Roman" w:hAnsi="Times New Roman" w:cs="Times New Roman" w:eastAsia="Times New Roman" w:hint="default"/>
                <w:sz w:val="18"/>
                <w:szCs w:val="18"/>
              </w:rPr>
            </w:pPr>
            <w:r>
              <w:rPr>
                <w:rFonts w:ascii="Times New Roman"/>
                <w:sz w:val="18"/>
              </w:rPr>
              <w:t>30,030,800.00</w:t>
            </w:r>
          </w:p>
        </w:tc>
      </w:tr>
    </w:tbl>
    <w:p>
      <w:pPr>
        <w:spacing w:line="340" w:lineRule="auto" w:before="52"/>
        <w:ind w:left="852" w:right="7694"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、重要会计估计变更</w:t>
      </w:r>
      <w:r>
        <w:rPr>
          <w:rFonts w:ascii="宋体" w:hAnsi="宋体" w:cs="宋体" w:eastAsia="宋体" w:hint="default"/>
          <w:b/>
          <w:bCs/>
          <w:w w:val="99"/>
          <w:sz w:val="18"/>
          <w:szCs w:val="18"/>
        </w:rPr>
        <w:t> </w:t>
      </w:r>
      <w:r>
        <w:rPr>
          <w:rFonts w:ascii="宋体" w:hAnsi="宋体" w:cs="宋体" w:eastAsia="宋体" w:hint="default"/>
          <w:sz w:val="18"/>
          <w:szCs w:val="18"/>
        </w:rPr>
        <w:t>本公司本期未发生会计估计变更。</w:t>
      </w:r>
    </w:p>
    <w:p>
      <w:pPr>
        <w:spacing w:line="240" w:lineRule="auto" w:before="4"/>
        <w:rPr>
          <w:rFonts w:ascii="宋体" w:hAnsi="宋体" w:cs="宋体" w:eastAsia="宋体" w:hint="default"/>
          <w:sz w:val="19"/>
          <w:szCs w:val="19"/>
        </w:rPr>
      </w:pPr>
    </w:p>
    <w:p>
      <w:pPr>
        <w:pStyle w:val="Heading2"/>
        <w:spacing w:line="240" w:lineRule="auto"/>
        <w:ind w:left="492" w:right="0"/>
        <w:jc w:val="left"/>
        <w:rPr>
          <w:b w:val="0"/>
          <w:bCs w:val="0"/>
        </w:rPr>
      </w:pPr>
      <w:bookmarkStart w:name="七、报告期内发生重大会计差错更正需追溯重述的情况说明" w:id="72"/>
      <w:bookmarkEnd w:id="72"/>
      <w:r>
        <w:rPr>
          <w:b w:val="0"/>
          <w:bCs w:val="0"/>
        </w:rPr>
      </w:r>
      <w:r>
        <w:rPr/>
        <w:t>七、报告期内发生重大会计差错更正需追溯重述的情况说明</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left="492" w:right="66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公司报告期无重大会计差错更正需追溯重述的情况。</w:t>
      </w:r>
    </w:p>
    <w:p>
      <w:pPr>
        <w:spacing w:line="240" w:lineRule="auto" w:before="4"/>
        <w:rPr>
          <w:rFonts w:ascii="宋体" w:hAnsi="宋体" w:cs="宋体" w:eastAsia="宋体" w:hint="default"/>
          <w:sz w:val="19"/>
          <w:szCs w:val="19"/>
        </w:rPr>
      </w:pPr>
    </w:p>
    <w:p>
      <w:pPr>
        <w:pStyle w:val="Heading2"/>
        <w:spacing w:line="240" w:lineRule="auto"/>
        <w:ind w:left="492" w:right="0"/>
        <w:jc w:val="left"/>
        <w:rPr>
          <w:b w:val="0"/>
          <w:bCs w:val="0"/>
        </w:rPr>
      </w:pPr>
      <w:bookmarkStart w:name="八、与上年度财务报告相比，合并报表范围发生变化的情况说明" w:id="73"/>
      <w:bookmarkEnd w:id="73"/>
      <w:r>
        <w:rPr>
          <w:b w:val="0"/>
          <w:bCs w:val="0"/>
        </w:rPr>
      </w:r>
      <w:r>
        <w:rPr/>
        <w:t>八、与上年度财务报告相比，合并报表范围发生变化的情况说明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492" w:right="76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pStyle w:val="BodyText"/>
        <w:spacing w:line="300" w:lineRule="auto" w:before="103"/>
        <w:ind w:left="492" w:right="1132" w:firstLine="360"/>
        <w:jc w:val="both"/>
      </w:pPr>
      <w:r>
        <w:rPr/>
        <w:t>与上年度相比本年度新增合并单位</w:t>
      </w:r>
      <w:r>
        <w:rPr>
          <w:rFonts w:ascii="Times New Roman" w:hAnsi="Times New Roman" w:cs="Times New Roman" w:eastAsia="Times New Roman" w:hint="default"/>
        </w:rPr>
        <w:t>5</w:t>
      </w:r>
      <w:r>
        <w:rPr/>
        <w:t>家，减少合并单位</w:t>
      </w:r>
      <w:r>
        <w:rPr>
          <w:rFonts w:ascii="Times New Roman" w:hAnsi="Times New Roman" w:cs="Times New Roman" w:eastAsia="Times New Roman" w:hint="default"/>
        </w:rPr>
        <w:t>5</w:t>
      </w:r>
      <w:r>
        <w:rPr/>
        <w:t>家，原因为：新设</w:t>
      </w:r>
      <w:r>
        <w:rPr>
          <w:rFonts w:ascii="Times New Roman" w:hAnsi="Times New Roman" w:cs="Times New Roman" w:eastAsia="Times New Roman" w:hint="default"/>
        </w:rPr>
        <w:t>5</w:t>
      </w:r>
      <w:r>
        <w:rPr/>
        <w:t>家公司</w:t>
      </w:r>
      <w:r>
        <w:rPr>
          <w:rFonts w:ascii="Times New Roman" w:hAnsi="Times New Roman" w:cs="Times New Roman" w:eastAsia="Times New Roman" w:hint="default"/>
        </w:rPr>
        <w:t>-Denali System</w:t>
      </w:r>
      <w:r>
        <w:rPr>
          <w:rFonts w:ascii="Times New Roman" w:hAnsi="Times New Roman" w:cs="Times New Roman" w:eastAsia="Times New Roman" w:hint="default"/>
          <w:spacing w:val="-9"/>
        </w:rPr>
        <w:t> </w:t>
      </w:r>
      <w:r>
        <w:rPr>
          <w:rFonts w:ascii="Times New Roman" w:hAnsi="Times New Roman" w:cs="Times New Roman" w:eastAsia="Times New Roman" w:hint="default"/>
        </w:rPr>
        <w:t>CO.,Ltd.</w:t>
      </w:r>
      <w:r>
        <w:rPr/>
        <w:t>（德纳里系统 有限公司）、</w:t>
      </w:r>
      <w:r>
        <w:rPr>
          <w:rFonts w:ascii="Times New Roman" w:hAnsi="Times New Roman" w:cs="Times New Roman" w:eastAsia="Times New Roman" w:hint="default"/>
        </w:rPr>
        <w:t>Denali System</w:t>
      </w:r>
      <w:r>
        <w:rPr>
          <w:rFonts w:ascii="Times New Roman" w:hAnsi="Times New Roman" w:cs="Times New Roman" w:eastAsia="Times New Roman" w:hint="default"/>
          <w:spacing w:val="-5"/>
        </w:rPr>
        <w:t> </w:t>
      </w:r>
      <w:r>
        <w:rPr>
          <w:rFonts w:ascii="Times New Roman" w:hAnsi="Times New Roman" w:cs="Times New Roman" w:eastAsia="Times New Roman" w:hint="default"/>
        </w:rPr>
        <w:t>Inc</w:t>
      </w:r>
      <w:r>
        <w:rPr/>
        <w:t>、德纳里（广州）技术有限公司、宜昌金牛智慧职业技能培训学校有限责任公司和平顶山市 </w:t>
      </w:r>
      <w:r>
        <w:rPr>
          <w:spacing w:val="-1"/>
        </w:rPr>
        <w:t>鹰晟保安职业技能培训学校有限责任公司；注销</w:t>
      </w:r>
      <w:r>
        <w:rPr>
          <w:rFonts w:ascii="Times New Roman" w:hAnsi="Times New Roman" w:cs="Times New Roman" w:eastAsia="Times New Roman" w:hint="default"/>
          <w:spacing w:val="-1"/>
        </w:rPr>
        <w:t>4</w:t>
      </w:r>
      <w:r>
        <w:rPr>
          <w:spacing w:val="-1"/>
        </w:rPr>
        <w:t>家公司</w:t>
      </w:r>
      <w:r>
        <w:rPr>
          <w:rFonts w:ascii="Times New Roman" w:hAnsi="Times New Roman" w:cs="Times New Roman" w:eastAsia="Times New Roman" w:hint="default"/>
          <w:spacing w:val="-1"/>
        </w:rPr>
        <w:t>-</w:t>
      </w:r>
      <w:r>
        <w:rPr>
          <w:spacing w:val="-1"/>
        </w:rPr>
        <w:t>北京中科江南政易信息技术有限公司、石家庄瀚海信息技术有限公</w:t>
      </w:r>
      <w:r>
        <w:rPr>
          <w:spacing w:val="-88"/>
        </w:rPr>
        <w:t> </w:t>
      </w:r>
      <w:r>
        <w:rPr>
          <w:spacing w:val="-88"/>
        </w:rPr>
      </w:r>
      <w:r>
        <w:rPr>
          <w:spacing w:val="-2"/>
        </w:rPr>
        <w:t>司、广东榕通科技服务有限公司、</w:t>
      </w:r>
      <w:r>
        <w:rPr>
          <w:rFonts w:ascii="Times New Roman" w:hAnsi="Times New Roman" w:cs="Times New Roman" w:eastAsia="Times New Roman" w:hint="default"/>
          <w:spacing w:val="-2"/>
        </w:rPr>
        <w:t>GRG</w:t>
      </w:r>
      <w:r>
        <w:rPr>
          <w:rFonts w:ascii="Times New Roman" w:hAnsi="Times New Roman" w:cs="Times New Roman" w:eastAsia="Times New Roman" w:hint="default"/>
          <w:spacing w:val="12"/>
        </w:rPr>
        <w:t> </w:t>
      </w:r>
      <w:r>
        <w:rPr>
          <w:rFonts w:ascii="Times New Roman" w:hAnsi="Times New Roman" w:cs="Times New Roman" w:eastAsia="Times New Roman" w:hint="default"/>
          <w:spacing w:val="-1"/>
        </w:rPr>
        <w:t>Banking</w:t>
      </w:r>
      <w:r>
        <w:rPr>
          <w:rFonts w:ascii="Times New Roman" w:hAnsi="Times New Roman" w:cs="Times New Roman" w:eastAsia="Times New Roman" w:hint="default"/>
          <w:spacing w:val="10"/>
        </w:rPr>
        <w:t> </w:t>
      </w:r>
      <w:r>
        <w:rPr>
          <w:rFonts w:ascii="Times New Roman" w:hAnsi="Times New Roman" w:cs="Times New Roman" w:eastAsia="Times New Roman" w:hint="default"/>
          <w:spacing w:val="-2"/>
        </w:rPr>
        <w:t>Equipment</w:t>
      </w:r>
      <w:r>
        <w:rPr>
          <w:spacing w:val="-2"/>
        </w:rPr>
        <w:t>（</w:t>
      </w:r>
      <w:r>
        <w:rPr>
          <w:rFonts w:ascii="Times New Roman" w:hAnsi="Times New Roman" w:cs="Times New Roman" w:eastAsia="Times New Roman" w:hint="default"/>
          <w:spacing w:val="-2"/>
        </w:rPr>
        <w:t>HK</w:t>
      </w:r>
      <w:r>
        <w:rPr>
          <w:spacing w:val="-2"/>
        </w:rPr>
        <w:t>）</w:t>
      </w:r>
      <w:r>
        <w:rPr>
          <w:rFonts w:ascii="Times New Roman" w:hAnsi="Times New Roman" w:cs="Times New Roman" w:eastAsia="Times New Roman" w:hint="default"/>
          <w:spacing w:val="-2"/>
        </w:rPr>
        <w:t>Europe</w:t>
      </w:r>
      <w:r>
        <w:rPr>
          <w:spacing w:val="-2"/>
        </w:rPr>
        <w:t>，</w:t>
      </w:r>
      <w:r>
        <w:rPr>
          <w:rFonts w:ascii="Times New Roman" w:hAnsi="Times New Roman" w:cs="Times New Roman" w:eastAsia="Times New Roman" w:hint="default"/>
          <w:spacing w:val="-2"/>
        </w:rPr>
        <w:t>UAB.</w:t>
      </w:r>
      <w:r>
        <w:rPr>
          <w:spacing w:val="-2"/>
        </w:rPr>
        <w:t>（</w:t>
      </w:r>
      <w:r>
        <w:rPr>
          <w:rFonts w:ascii="Times New Roman" w:hAnsi="Times New Roman" w:cs="Times New Roman" w:eastAsia="Times New Roman" w:hint="default"/>
          <w:spacing w:val="-2"/>
        </w:rPr>
        <w:t>GRG</w:t>
      </w:r>
      <w:r>
        <w:rPr>
          <w:spacing w:val="-2"/>
        </w:rPr>
        <w:t>立陶宛）；退出</w:t>
      </w:r>
      <w:r>
        <w:rPr>
          <w:rFonts w:ascii="Times New Roman" w:hAnsi="Times New Roman" w:cs="Times New Roman" w:eastAsia="Times New Roman" w:hint="default"/>
          <w:spacing w:val="-2"/>
        </w:rPr>
        <w:t>1</w:t>
      </w:r>
      <w:r>
        <w:rPr>
          <w:spacing w:val="-2"/>
        </w:rPr>
        <w:t>家公司</w:t>
      </w:r>
      <w:r>
        <w:rPr>
          <w:rFonts w:ascii="Times New Roman" w:hAnsi="Times New Roman" w:cs="Times New Roman" w:eastAsia="Times New Roman" w:hint="default"/>
          <w:spacing w:val="-2"/>
        </w:rPr>
        <w:t>-</w:t>
      </w:r>
      <w:r>
        <w:rPr>
          <w:spacing w:val="-2"/>
        </w:rPr>
        <w:t>锡林郭勒盟</w:t>
      </w:r>
      <w:r>
        <w:rPr>
          <w:spacing w:val="-84"/>
        </w:rPr>
        <w:t> </w:t>
      </w:r>
      <w:r>
        <w:rPr/>
        <w:t>安逸物业服务有限责任公司。</w:t>
      </w:r>
    </w:p>
    <w:p>
      <w:pPr>
        <w:spacing w:after="0" w:line="300" w:lineRule="auto"/>
        <w:jc w:val="both"/>
        <w:sectPr>
          <w:pgSz w:w="11910" w:h="16840"/>
          <w:pgMar w:header="878" w:footer="978" w:top="1100" w:bottom="1160" w:left="640" w:right="0"/>
        </w:sectPr>
      </w:pPr>
    </w:p>
    <w:p>
      <w:pPr>
        <w:spacing w:line="240" w:lineRule="auto" w:before="10"/>
        <w:rPr>
          <w:rFonts w:ascii="宋体" w:hAnsi="宋体" w:cs="宋体" w:eastAsia="宋体" w:hint="default"/>
          <w:sz w:val="19"/>
          <w:szCs w:val="19"/>
        </w:rPr>
      </w:pPr>
    </w:p>
    <w:p>
      <w:pPr>
        <w:pStyle w:val="Heading2"/>
        <w:spacing w:line="240" w:lineRule="auto" w:before="26"/>
        <w:ind w:left="212" w:right="0"/>
        <w:jc w:val="left"/>
        <w:rPr>
          <w:b w:val="0"/>
          <w:bCs w:val="0"/>
        </w:rPr>
      </w:pPr>
      <w:bookmarkStart w:name="九、聘任、解聘会计师事务所情况" w:id="74"/>
      <w:bookmarkEnd w:id="74"/>
      <w:r>
        <w:rPr>
          <w:b w:val="0"/>
          <w:bCs w:val="0"/>
        </w:rPr>
      </w:r>
      <w:r>
        <w:rPr/>
        <w:t>九、聘任、解聘会计师事务所情况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212" w:right="0"/>
        <w:jc w:val="left"/>
      </w:pPr>
      <w:r>
        <w:rPr/>
        <w:t>现聘任的会计师事务所</w:t>
      </w:r>
    </w:p>
    <w:p>
      <w:pPr>
        <w:spacing w:line="240" w:lineRule="auto" w:before="1"/>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4395"/>
        <w:gridCol w:w="5173"/>
      </w:tblGrid>
      <w:tr>
        <w:trPr>
          <w:trHeight w:val="402"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1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1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Times New Roman" w:hAnsi="Times New Roman" w:cs="Times New Roman" w:eastAsia="Times New Roman" w:hint="default"/>
                <w:sz w:val="18"/>
                <w:szCs w:val="18"/>
              </w:rPr>
            </w:pPr>
            <w:r>
              <w:rPr>
                <w:rFonts w:ascii="Times New Roman"/>
                <w:sz w:val="18"/>
              </w:rPr>
              <w:t>183</w:t>
            </w:r>
          </w:p>
        </w:tc>
      </w:tr>
      <w:tr>
        <w:trPr>
          <w:trHeight w:val="402"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1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2"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1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王建民、滕海军</w:t>
            </w:r>
          </w:p>
        </w:tc>
      </w:tr>
      <w:tr>
        <w:trPr>
          <w:trHeight w:val="402"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51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bl>
    <w:p>
      <w:pPr>
        <w:pStyle w:val="BodyText"/>
        <w:spacing w:line="240" w:lineRule="auto" w:before="51"/>
        <w:ind w:left="212" w:right="0"/>
        <w:jc w:val="left"/>
      </w:pPr>
      <w:r>
        <w:rPr/>
        <w:t>当期是否改聘会计师事务所</w:t>
      </w:r>
    </w:p>
    <w:p>
      <w:pPr>
        <w:pStyle w:val="BodyText"/>
        <w:spacing w:line="338" w:lineRule="auto" w:before="117"/>
        <w:ind w:left="212" w:right="62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否 聘请内部控制审计会计师事务所、财务顾问或保荐人情况</w:t>
      </w:r>
    </w:p>
    <w:p>
      <w:pPr>
        <w:pStyle w:val="BodyText"/>
        <w:spacing w:line="240" w:lineRule="auto" w:before="43"/>
        <w:ind w:left="21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24"/>
          <w:szCs w:val="24"/>
        </w:rPr>
      </w:pPr>
    </w:p>
    <w:p>
      <w:pPr>
        <w:pStyle w:val="Heading2"/>
        <w:spacing w:line="240" w:lineRule="auto"/>
        <w:ind w:left="212" w:right="0"/>
        <w:jc w:val="left"/>
        <w:rPr>
          <w:b w:val="0"/>
          <w:bCs w:val="0"/>
        </w:rPr>
      </w:pPr>
      <w:bookmarkStart w:name="十、年度报告披露后面临暂停上市和终止上市情况" w:id="75"/>
      <w:bookmarkEnd w:id="75"/>
      <w:r>
        <w:rPr>
          <w:b w:val="0"/>
          <w:bCs w:val="0"/>
        </w:rPr>
      </w:r>
      <w:r>
        <w:rPr/>
        <w:t>十、年度报告披露后面临暂停上市和终止上市情况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21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3"/>
        <w:rPr>
          <w:rFonts w:ascii="宋体" w:hAnsi="宋体" w:cs="宋体" w:eastAsia="宋体" w:hint="default"/>
          <w:sz w:val="24"/>
          <w:szCs w:val="24"/>
        </w:rPr>
      </w:pPr>
    </w:p>
    <w:p>
      <w:pPr>
        <w:pStyle w:val="Heading2"/>
        <w:spacing w:line="240" w:lineRule="auto"/>
        <w:ind w:left="212" w:right="0"/>
        <w:jc w:val="left"/>
        <w:rPr>
          <w:b w:val="0"/>
          <w:bCs w:val="0"/>
        </w:rPr>
      </w:pPr>
      <w:bookmarkStart w:name="十一、破产重整相关事项" w:id="76"/>
      <w:bookmarkEnd w:id="76"/>
      <w:r>
        <w:rPr>
          <w:b w:val="0"/>
          <w:bCs w:val="0"/>
        </w:rPr>
      </w:r>
      <w:r>
        <w:rPr/>
        <w:t>十一、破产重整相关事项</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left="212" w:right="76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公司报告期未发生破产重整相关事项。</w:t>
      </w:r>
    </w:p>
    <w:p>
      <w:pPr>
        <w:spacing w:line="240" w:lineRule="auto" w:before="4"/>
        <w:rPr>
          <w:rFonts w:ascii="宋体" w:hAnsi="宋体" w:cs="宋体" w:eastAsia="宋体" w:hint="default"/>
          <w:sz w:val="19"/>
          <w:szCs w:val="19"/>
        </w:rPr>
      </w:pPr>
    </w:p>
    <w:p>
      <w:pPr>
        <w:pStyle w:val="Heading2"/>
        <w:spacing w:line="240" w:lineRule="auto"/>
        <w:ind w:left="212" w:right="0"/>
        <w:jc w:val="left"/>
        <w:rPr>
          <w:b w:val="0"/>
          <w:bCs w:val="0"/>
        </w:rPr>
      </w:pPr>
      <w:bookmarkStart w:name="十二、重大诉讼、仲裁事项" w:id="77"/>
      <w:bookmarkEnd w:id="77"/>
      <w:r>
        <w:rPr>
          <w:b w:val="0"/>
          <w:bCs w:val="0"/>
        </w:rPr>
      </w:r>
      <w:r>
        <w:rPr/>
        <w:t>十二、重大诉讼、仲裁事项</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21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
        <w:rPr>
          <w:rFonts w:ascii="宋体" w:hAnsi="宋体" w:cs="宋体" w:eastAsia="宋体" w:hint="default"/>
          <w:sz w:val="7"/>
          <w:szCs w:val="7"/>
        </w:rPr>
      </w:pPr>
    </w:p>
    <w:tbl>
      <w:tblPr>
        <w:tblW w:w="0" w:type="auto"/>
        <w:jc w:val="left"/>
        <w:tblInd w:w="209" w:type="dxa"/>
        <w:tblLayout w:type="fixed"/>
        <w:tblCellMar>
          <w:top w:w="0" w:type="dxa"/>
          <w:left w:w="0" w:type="dxa"/>
          <w:bottom w:w="0" w:type="dxa"/>
          <w:right w:w="0" w:type="dxa"/>
        </w:tblCellMar>
        <w:tblLook w:val="01E0"/>
      </w:tblPr>
      <w:tblGrid>
        <w:gridCol w:w="1701"/>
        <w:gridCol w:w="851"/>
        <w:gridCol w:w="850"/>
        <w:gridCol w:w="993"/>
        <w:gridCol w:w="850"/>
        <w:gridCol w:w="1701"/>
        <w:gridCol w:w="567"/>
        <w:gridCol w:w="2126"/>
      </w:tblGrid>
      <w:tr>
        <w:trPr>
          <w:trHeight w:val="1026" w:hRule="exact"/>
        </w:trPr>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基本情况</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 w:right="0"/>
              <w:jc w:val="left"/>
              <w:rPr>
                <w:rFonts w:ascii="宋体" w:hAnsi="宋体" w:cs="宋体" w:eastAsia="宋体" w:hint="default"/>
                <w:sz w:val="18"/>
                <w:szCs w:val="18"/>
              </w:rPr>
            </w:pPr>
            <w:r>
              <w:rPr>
                <w:rFonts w:ascii="宋体" w:hAnsi="宋体" w:cs="宋体" w:eastAsia="宋体" w:hint="default"/>
                <w:sz w:val="18"/>
                <w:szCs w:val="18"/>
              </w:rPr>
              <w:t>涉案金额</w:t>
            </w:r>
          </w:p>
          <w:p>
            <w:pPr>
              <w:pStyle w:val="TableParagraph"/>
              <w:spacing w:line="240" w:lineRule="auto" w:before="76"/>
              <w:ind w:left="59"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0" w:right="58"/>
              <w:jc w:val="left"/>
              <w:rPr>
                <w:rFonts w:ascii="宋体" w:hAnsi="宋体" w:cs="宋体" w:eastAsia="宋体" w:hint="default"/>
                <w:sz w:val="18"/>
                <w:szCs w:val="18"/>
              </w:rPr>
            </w:pPr>
            <w:r>
              <w:rPr>
                <w:rFonts w:ascii="宋体" w:hAnsi="宋体" w:cs="宋体" w:eastAsia="宋体" w:hint="default"/>
                <w:sz w:val="18"/>
                <w:szCs w:val="18"/>
              </w:rPr>
              <w:t>是否形成 预计负债</w:t>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311" w:right="69" w:hanging="24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 </w:t>
            </w:r>
            <w:r>
              <w:rPr>
                <w:rFonts w:ascii="宋体" w:hAnsi="宋体" w:cs="宋体" w:eastAsia="宋体" w:hint="default"/>
                <w:sz w:val="18"/>
                <w:szCs w:val="18"/>
              </w:rPr>
              <w:t>进展</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9" w:right="29"/>
              <w:jc w:val="center"/>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 裁</w:t>
            </w:r>
            <w:r>
              <w:rPr>
                <w:rFonts w:ascii="Times New Roman" w:hAnsi="Times New Roman" w:cs="Times New Roman" w:eastAsia="Times New Roman" w:hint="default"/>
                <w:sz w:val="18"/>
                <w:szCs w:val="18"/>
              </w:rPr>
              <w:t>)</w:t>
            </w:r>
            <w:r>
              <w:rPr>
                <w:rFonts w:ascii="宋体" w:hAnsi="宋体" w:cs="宋体" w:eastAsia="宋体" w:hint="default"/>
                <w:sz w:val="18"/>
                <w:szCs w:val="18"/>
              </w:rPr>
              <w:t>审理结 果及影响</w:t>
            </w:r>
          </w:p>
        </w:tc>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665" w:right="64" w:hanging="60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判决执行 情况</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9" w:right="96"/>
              <w:jc w:val="left"/>
              <w:rPr>
                <w:rFonts w:ascii="宋体" w:hAnsi="宋体" w:cs="宋体" w:eastAsia="宋体" w:hint="default"/>
                <w:sz w:val="18"/>
                <w:szCs w:val="18"/>
              </w:rPr>
            </w:pPr>
            <w:r>
              <w:rPr>
                <w:rFonts w:ascii="宋体" w:hAnsi="宋体" w:cs="宋体" w:eastAsia="宋体" w:hint="default"/>
                <w:sz w:val="18"/>
                <w:szCs w:val="18"/>
              </w:rPr>
              <w:t>披露 日期</w:t>
            </w:r>
          </w:p>
        </w:tc>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361" w:hRule="exact"/>
        </w:trPr>
        <w:tc>
          <w:tcPr>
            <w:tcW w:w="170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因对创自技术第二轮</w:t>
            </w:r>
          </w:p>
        </w:tc>
        <w:tc>
          <w:tcPr>
            <w:tcW w:w="85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14,196</w:t>
            </w:r>
          </w:p>
        </w:tc>
        <w:tc>
          <w:tcPr>
            <w:tcW w:w="85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99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涉诉双方达</w:t>
            </w:r>
          </w:p>
        </w:tc>
        <w:tc>
          <w:tcPr>
            <w:tcW w:w="85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涉诉双方</w:t>
            </w:r>
          </w:p>
        </w:tc>
        <w:tc>
          <w:tcPr>
            <w:tcW w:w="170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公司使用自有资金人</w:t>
            </w:r>
          </w:p>
        </w:tc>
        <w:tc>
          <w:tcPr>
            <w:tcW w:w="5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2"/>
              <w:ind w:right="97"/>
              <w:jc w:val="right"/>
              <w:rPr>
                <w:rFonts w:ascii="Times New Roman" w:hAnsi="Times New Roman" w:cs="Times New Roman" w:eastAsia="Times New Roman" w:hint="default"/>
                <w:sz w:val="18"/>
                <w:szCs w:val="18"/>
              </w:rPr>
            </w:pPr>
            <w:r>
              <w:rPr>
                <w:rFonts w:ascii="Times New Roman"/>
                <w:spacing w:val="-1"/>
                <w:sz w:val="18"/>
              </w:rPr>
              <w:t>2019</w:t>
            </w:r>
          </w:p>
        </w:tc>
        <w:tc>
          <w:tcPr>
            <w:tcW w:w="2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pacing w:val="-8"/>
                <w:sz w:val="18"/>
                <w:szCs w:val="18"/>
              </w:rPr>
              <w:t>刊登在《证券时报》《中国</w:t>
            </w:r>
          </w:p>
        </w:tc>
      </w:tr>
      <w:tr>
        <w:trPr>
          <w:trHeight w:val="312" w:hRule="exact"/>
        </w:trPr>
        <w:tc>
          <w:tcPr>
            <w:tcW w:w="170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
              <w:jc w:val="center"/>
              <w:rPr>
                <w:rFonts w:ascii="宋体" w:hAnsi="宋体" w:cs="宋体" w:eastAsia="宋体" w:hint="default"/>
                <w:sz w:val="18"/>
                <w:szCs w:val="18"/>
              </w:rPr>
            </w:pPr>
            <w:r>
              <w:rPr>
                <w:rFonts w:ascii="宋体" w:hAnsi="宋体" w:cs="宋体" w:eastAsia="宋体" w:hint="default"/>
                <w:sz w:val="18"/>
                <w:szCs w:val="18"/>
              </w:rPr>
              <w:t>收购应支付的对价存</w:t>
            </w:r>
          </w:p>
        </w:tc>
        <w:tc>
          <w:tcPr>
            <w:tcW w:w="851"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99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
              <w:jc w:val="center"/>
              <w:rPr>
                <w:rFonts w:ascii="宋体" w:hAnsi="宋体" w:cs="宋体" w:eastAsia="宋体" w:hint="default"/>
                <w:sz w:val="18"/>
                <w:szCs w:val="18"/>
              </w:rPr>
            </w:pPr>
            <w:r>
              <w:rPr>
                <w:rFonts w:ascii="宋体" w:hAnsi="宋体" w:cs="宋体" w:eastAsia="宋体" w:hint="default"/>
                <w:sz w:val="18"/>
                <w:szCs w:val="18"/>
              </w:rPr>
              <w:t>成《和解协</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达成《和</w:t>
            </w:r>
          </w:p>
        </w:tc>
        <w:tc>
          <w:tcPr>
            <w:tcW w:w="170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民币</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14,196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万元收购</w:t>
            </w:r>
          </w:p>
        </w:tc>
        <w:tc>
          <w:tcPr>
            <w:tcW w:w="56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21"/>
              <w:jc w:val="righ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证券报》及巨潮资讯网</w:t>
            </w:r>
          </w:p>
        </w:tc>
      </w:tr>
      <w:tr>
        <w:trPr>
          <w:trHeight w:val="312" w:hRule="exact"/>
        </w:trPr>
        <w:tc>
          <w:tcPr>
            <w:tcW w:w="170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
              <w:jc w:val="center"/>
              <w:rPr>
                <w:rFonts w:ascii="宋体" w:hAnsi="宋体" w:cs="宋体" w:eastAsia="宋体" w:hint="default"/>
                <w:sz w:val="18"/>
                <w:szCs w:val="18"/>
              </w:rPr>
            </w:pPr>
            <w:r>
              <w:rPr>
                <w:rFonts w:ascii="宋体" w:hAnsi="宋体" w:cs="宋体" w:eastAsia="宋体" w:hint="default"/>
                <w:sz w:val="18"/>
                <w:szCs w:val="18"/>
              </w:rPr>
              <w:t>在争议，广电运通与</w:t>
            </w:r>
          </w:p>
        </w:tc>
        <w:tc>
          <w:tcPr>
            <w:tcW w:w="851"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99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议》</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解协议》</w:t>
            </w:r>
          </w:p>
        </w:tc>
        <w:tc>
          <w:tcPr>
            <w:tcW w:w="170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出让五方持有的创自</w:t>
            </w:r>
          </w:p>
        </w:tc>
        <w:tc>
          <w:tcPr>
            <w:tcW w:w="56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74"/>
              <w:jc w:val="right"/>
              <w:rPr>
                <w:rFonts w:ascii="宋体" w:hAnsi="宋体" w:cs="宋体" w:eastAsia="宋体" w:hint="default"/>
                <w:sz w:val="18"/>
                <w:szCs w:val="18"/>
              </w:rPr>
            </w:pPr>
            <w:r>
              <w:rPr>
                <w:rFonts w:ascii="Times New Roman" w:hAnsi="Times New Roman" w:cs="Times New Roman" w:eastAsia="Times New Roman" w:hint="default"/>
                <w:sz w:val="18"/>
                <w:szCs w:val="18"/>
              </w:rPr>
              <w:t>11 </w:t>
            </w:r>
            <w:r>
              <w:rPr>
                <w:rFonts w:ascii="宋体" w:hAnsi="宋体" w:cs="宋体" w:eastAsia="宋体" w:hint="default"/>
                <w:sz w:val="18"/>
                <w:szCs w:val="18"/>
              </w:rPr>
              <w:t>日</w:t>
            </w: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1"/>
              <w:jc w:val="center"/>
              <w:rPr>
                <w:rFonts w:ascii="宋体" w:hAnsi="宋体" w:cs="宋体" w:eastAsia="宋体" w:hint="default"/>
                <w:sz w:val="18"/>
                <w:szCs w:val="18"/>
              </w:rPr>
            </w:pPr>
            <w:hyperlink r:id="rId10">
              <w:r>
                <w:rPr>
                  <w:rFonts w:ascii="Times New Roman" w:hAnsi="Times New Roman" w:cs="Times New Roman" w:eastAsia="Times New Roman" w:hint="default"/>
                  <w:sz w:val="18"/>
                  <w:szCs w:val="18"/>
                </w:rPr>
                <w:t>www.cninfo.com.cn</w:t>
              </w:r>
            </w:hyperlink>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上的临</w:t>
            </w:r>
          </w:p>
        </w:tc>
      </w:tr>
      <w:tr>
        <w:trPr>
          <w:trHeight w:val="312" w:hRule="exact"/>
        </w:trPr>
        <w:tc>
          <w:tcPr>
            <w:tcW w:w="170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
              <w:jc w:val="center"/>
              <w:rPr>
                <w:rFonts w:ascii="宋体" w:hAnsi="宋体" w:cs="宋体" w:eastAsia="宋体" w:hint="default"/>
                <w:sz w:val="18"/>
                <w:szCs w:val="18"/>
              </w:rPr>
            </w:pPr>
            <w:r>
              <w:rPr>
                <w:rFonts w:ascii="宋体" w:hAnsi="宋体" w:cs="宋体" w:eastAsia="宋体" w:hint="default"/>
                <w:sz w:val="18"/>
                <w:szCs w:val="18"/>
              </w:rPr>
              <w:t>出让五方产生诉讼纠</w:t>
            </w:r>
          </w:p>
        </w:tc>
        <w:tc>
          <w:tcPr>
            <w:tcW w:w="851"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99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70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
              <w:jc w:val="center"/>
              <w:rPr>
                <w:rFonts w:ascii="宋体" w:hAnsi="宋体" w:cs="宋体" w:eastAsia="宋体" w:hint="default"/>
                <w:sz w:val="18"/>
                <w:szCs w:val="18"/>
              </w:rPr>
            </w:pPr>
            <w:r>
              <w:rPr>
                <w:rFonts w:ascii="宋体" w:hAnsi="宋体" w:cs="宋体" w:eastAsia="宋体" w:hint="default"/>
                <w:sz w:val="18"/>
                <w:szCs w:val="18"/>
              </w:rPr>
              <w:t>技术剩余</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股权。</w:t>
            </w:r>
          </w:p>
        </w:tc>
        <w:tc>
          <w:tcPr>
            <w:tcW w:w="567" w:type="dxa"/>
            <w:tcBorders>
              <w:top w:val="nil" w:sz="6" w:space="0" w:color="auto"/>
              <w:left w:val="single" w:sz="4" w:space="0" w:color="000000"/>
              <w:bottom w:val="nil" w:sz="6" w:space="0" w:color="auto"/>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2019-015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号《关于收购深</w:t>
            </w:r>
          </w:p>
        </w:tc>
      </w:tr>
      <w:tr>
        <w:trPr>
          <w:trHeight w:val="312" w:hRule="exact"/>
        </w:trPr>
        <w:tc>
          <w:tcPr>
            <w:tcW w:w="170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
              <w:jc w:val="center"/>
              <w:rPr>
                <w:rFonts w:ascii="宋体" w:hAnsi="宋体" w:cs="宋体" w:eastAsia="宋体" w:hint="default"/>
                <w:sz w:val="18"/>
                <w:szCs w:val="18"/>
              </w:rPr>
            </w:pPr>
            <w:r>
              <w:rPr>
                <w:rFonts w:ascii="宋体" w:hAnsi="宋体" w:cs="宋体" w:eastAsia="宋体" w:hint="default"/>
                <w:sz w:val="18"/>
                <w:szCs w:val="18"/>
              </w:rPr>
              <w:t>纷</w:t>
            </w:r>
          </w:p>
        </w:tc>
        <w:tc>
          <w:tcPr>
            <w:tcW w:w="851"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99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70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公司已于</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tc>
        <w:tc>
          <w:tcPr>
            <w:tcW w:w="567" w:type="dxa"/>
            <w:tcBorders>
              <w:top w:val="nil" w:sz="6" w:space="0" w:color="auto"/>
              <w:left w:val="single" w:sz="4" w:space="0" w:color="000000"/>
              <w:bottom w:val="nil" w:sz="6" w:space="0" w:color="auto"/>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
              <w:jc w:val="center"/>
              <w:rPr>
                <w:rFonts w:ascii="宋体" w:hAnsi="宋体" w:cs="宋体" w:eastAsia="宋体" w:hint="default"/>
                <w:sz w:val="18"/>
                <w:szCs w:val="18"/>
              </w:rPr>
            </w:pPr>
            <w:r>
              <w:rPr>
                <w:rFonts w:ascii="宋体" w:hAnsi="宋体" w:cs="宋体" w:eastAsia="宋体" w:hint="default"/>
                <w:sz w:val="18"/>
                <w:szCs w:val="18"/>
              </w:rPr>
              <w:t>圳市创自技术有限公司剩</w:t>
            </w:r>
          </w:p>
        </w:tc>
      </w:tr>
      <w:tr>
        <w:trPr>
          <w:trHeight w:val="312" w:hRule="exact"/>
        </w:trPr>
        <w:tc>
          <w:tcPr>
            <w:tcW w:w="1701"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99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70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完成工商变更登记手</w:t>
            </w:r>
          </w:p>
        </w:tc>
        <w:tc>
          <w:tcPr>
            <w:tcW w:w="567" w:type="dxa"/>
            <w:tcBorders>
              <w:top w:val="nil" w:sz="6" w:space="0" w:color="auto"/>
              <w:left w:val="single" w:sz="4" w:space="0" w:color="000000"/>
              <w:bottom w:val="nil" w:sz="6" w:space="0" w:color="auto"/>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
              <w:jc w:val="center"/>
              <w:rPr>
                <w:rFonts w:ascii="宋体" w:hAnsi="宋体" w:cs="宋体" w:eastAsia="宋体" w:hint="default"/>
                <w:sz w:val="18"/>
                <w:szCs w:val="18"/>
              </w:rPr>
            </w:pPr>
            <w:r>
              <w:rPr>
                <w:rFonts w:ascii="宋体" w:hAnsi="宋体" w:cs="宋体" w:eastAsia="宋体" w:hint="default"/>
                <w:sz w:val="18"/>
                <w:szCs w:val="18"/>
              </w:rPr>
              <w:t>余</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股权的公告》</w:t>
            </w:r>
          </w:p>
        </w:tc>
      </w:tr>
      <w:tr>
        <w:trPr>
          <w:trHeight w:val="353" w:hRule="exact"/>
        </w:trPr>
        <w:tc>
          <w:tcPr>
            <w:tcW w:w="1701"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993"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170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18"/>
                <w:szCs w:val="18"/>
              </w:rPr>
            </w:pPr>
            <w:r>
              <w:rPr>
                <w:rFonts w:ascii="宋体" w:hAnsi="宋体" w:cs="宋体" w:eastAsia="宋体" w:hint="default"/>
                <w:sz w:val="18"/>
                <w:szCs w:val="18"/>
              </w:rPr>
              <w:t>续。</w:t>
            </w:r>
          </w:p>
        </w:tc>
        <w:tc>
          <w:tcPr>
            <w:tcW w:w="567" w:type="dxa"/>
            <w:tcBorders>
              <w:top w:val="nil" w:sz="6" w:space="0" w:color="auto"/>
              <w:left w:val="single" w:sz="4" w:space="0" w:color="000000"/>
              <w:bottom w:val="single" w:sz="4" w:space="0" w:color="000000"/>
              <w:right w:val="single" w:sz="4" w:space="0" w:color="000000"/>
            </w:tcBorders>
          </w:tcPr>
          <w:p>
            <w:pPr/>
          </w:p>
        </w:tc>
        <w:tc>
          <w:tcPr>
            <w:tcW w:w="2126" w:type="dxa"/>
            <w:tcBorders>
              <w:top w:val="nil" w:sz="6" w:space="0" w:color="auto"/>
              <w:left w:val="single" w:sz="4" w:space="0" w:color="000000"/>
              <w:bottom w:val="single" w:sz="4" w:space="0" w:color="000000"/>
              <w:right w:val="single" w:sz="4" w:space="0" w:color="000000"/>
            </w:tcBorders>
          </w:tcPr>
          <w:p>
            <w:pPr/>
          </w:p>
        </w:tc>
      </w:tr>
      <w:tr>
        <w:trPr>
          <w:trHeight w:val="361" w:hRule="exact"/>
        </w:trPr>
        <w:tc>
          <w:tcPr>
            <w:tcW w:w="170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公司未达到重大诉讼</w:t>
            </w:r>
          </w:p>
        </w:tc>
        <w:tc>
          <w:tcPr>
            <w:tcW w:w="85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379</w:t>
            </w:r>
          </w:p>
        </w:tc>
        <w:tc>
          <w:tcPr>
            <w:tcW w:w="85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99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08" w:hRule="exact"/>
        </w:trPr>
        <w:tc>
          <w:tcPr>
            <w:tcW w:w="170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
              <w:jc w:val="center"/>
              <w:rPr>
                <w:rFonts w:ascii="宋体" w:hAnsi="宋体" w:cs="宋体" w:eastAsia="宋体" w:hint="default"/>
                <w:sz w:val="18"/>
                <w:szCs w:val="18"/>
              </w:rPr>
            </w:pPr>
            <w:r>
              <w:rPr>
                <w:rFonts w:ascii="宋体" w:hAnsi="宋体" w:cs="宋体" w:eastAsia="宋体" w:hint="default"/>
                <w:sz w:val="18"/>
                <w:szCs w:val="18"/>
              </w:rPr>
              <w:t>披露标准的未结案诉</w:t>
            </w:r>
          </w:p>
        </w:tc>
        <w:tc>
          <w:tcPr>
            <w:tcW w:w="851"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99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701" w:type="dxa"/>
            <w:tcBorders>
              <w:top w:val="nil" w:sz="6" w:space="0" w:color="auto"/>
              <w:left w:val="single" w:sz="4" w:space="0" w:color="000000"/>
              <w:bottom w:val="nil" w:sz="6" w:space="0" w:color="auto"/>
              <w:right w:val="single" w:sz="4" w:space="0" w:color="000000"/>
            </w:tcBorders>
          </w:tcPr>
          <w:p>
            <w:pPr/>
          </w:p>
        </w:tc>
        <w:tc>
          <w:tcPr>
            <w:tcW w:w="567" w:type="dxa"/>
            <w:tcBorders>
              <w:top w:val="nil" w:sz="6" w:space="0" w:color="auto"/>
              <w:left w:val="single" w:sz="4" w:space="0" w:color="000000"/>
              <w:bottom w:val="nil" w:sz="6" w:space="0" w:color="auto"/>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170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讼合计</w:t>
            </w:r>
          </w:p>
        </w:tc>
        <w:tc>
          <w:tcPr>
            <w:tcW w:w="851"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993"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1701" w:type="dxa"/>
            <w:tcBorders>
              <w:top w:val="nil" w:sz="6" w:space="0" w:color="auto"/>
              <w:left w:val="single" w:sz="4" w:space="0" w:color="000000"/>
              <w:bottom w:val="single" w:sz="4" w:space="0" w:color="000000"/>
              <w:right w:val="single" w:sz="4" w:space="0" w:color="000000"/>
            </w:tcBorders>
          </w:tcPr>
          <w:p>
            <w:pPr/>
          </w:p>
        </w:tc>
        <w:tc>
          <w:tcPr>
            <w:tcW w:w="567" w:type="dxa"/>
            <w:tcBorders>
              <w:top w:val="nil" w:sz="6" w:space="0" w:color="auto"/>
              <w:left w:val="single" w:sz="4" w:space="0" w:color="000000"/>
              <w:bottom w:val="single" w:sz="4" w:space="0" w:color="000000"/>
              <w:right w:val="single" w:sz="4" w:space="0" w:color="000000"/>
            </w:tcBorders>
          </w:tcPr>
          <w:p>
            <w:pPr/>
          </w:p>
        </w:tc>
        <w:tc>
          <w:tcPr>
            <w:tcW w:w="2126" w:type="dxa"/>
            <w:tcBorders>
              <w:top w:val="nil" w:sz="6" w:space="0" w:color="auto"/>
              <w:left w:val="single" w:sz="4" w:space="0" w:color="000000"/>
              <w:bottom w:val="single" w:sz="4" w:space="0" w:color="000000"/>
              <w:right w:val="single" w:sz="4" w:space="0" w:color="000000"/>
            </w:tcBorders>
          </w:tcPr>
          <w:p>
            <w:pPr/>
          </w:p>
        </w:tc>
      </w:tr>
    </w:tbl>
    <w:p>
      <w:pPr>
        <w:pStyle w:val="BodyText"/>
        <w:spacing w:line="300" w:lineRule="auto" w:before="50"/>
        <w:ind w:left="212" w:right="1121"/>
        <w:jc w:val="left"/>
      </w:pPr>
      <w:r>
        <w:rPr/>
        <w:t>注：第一项涉诉金额未达到</w:t>
      </w:r>
      <w:r>
        <w:rPr>
          <w:spacing w:val="-50"/>
        </w:rPr>
        <w:t> </w:t>
      </w:r>
      <w:r>
        <w:rPr>
          <w:rFonts w:ascii="Times New Roman" w:hAnsi="Times New Roman" w:cs="Times New Roman" w:eastAsia="Times New Roman" w:hint="default"/>
        </w:rPr>
        <w:t>2019</w:t>
      </w:r>
      <w:r>
        <w:rPr>
          <w:rFonts w:ascii="Times New Roman" w:hAnsi="Times New Roman" w:cs="Times New Roman" w:eastAsia="Times New Roman" w:hint="default"/>
          <w:spacing w:val="-4"/>
        </w:rPr>
        <w:t> </w:t>
      </w:r>
      <w:r>
        <w:rPr/>
        <w:t>年公司经审计净资产的</w:t>
      </w:r>
      <w:r>
        <w:rPr>
          <w:spacing w:val="-48"/>
        </w:rPr>
        <w:t> </w:t>
      </w:r>
      <w:r>
        <w:rPr>
          <w:rFonts w:ascii="Times New Roman" w:hAnsi="Times New Roman" w:cs="Times New Roman" w:eastAsia="Times New Roman" w:hint="default"/>
        </w:rPr>
        <w:t>10%</w:t>
      </w:r>
      <w:r>
        <w:rPr/>
        <w:t>，不属于《深圳证券交易所股票上市规则》中规定的重大诉讼 和仲裁。</w:t>
      </w:r>
    </w:p>
    <w:p>
      <w:pPr>
        <w:spacing w:after="0" w:line="300" w:lineRule="auto"/>
        <w:jc w:val="left"/>
        <w:sectPr>
          <w:pgSz w:w="11910" w:h="16840"/>
          <w:pgMar w:header="878" w:footer="978" w:top="1100" w:bottom="1160" w:left="920" w:right="0"/>
        </w:sectPr>
      </w:pPr>
    </w:p>
    <w:p>
      <w:pPr>
        <w:spacing w:line="240" w:lineRule="auto" w:before="10"/>
        <w:rPr>
          <w:rFonts w:ascii="宋体" w:hAnsi="宋体" w:cs="宋体" w:eastAsia="宋体" w:hint="default"/>
          <w:sz w:val="19"/>
          <w:szCs w:val="19"/>
        </w:rPr>
      </w:pPr>
    </w:p>
    <w:p>
      <w:pPr>
        <w:pStyle w:val="Heading2"/>
        <w:spacing w:line="240" w:lineRule="auto" w:before="26"/>
        <w:ind w:right="1394"/>
        <w:jc w:val="left"/>
        <w:rPr>
          <w:b w:val="0"/>
          <w:bCs w:val="0"/>
        </w:rPr>
      </w:pPr>
      <w:bookmarkStart w:name="十三、处罚及整改情况" w:id="78"/>
      <w:bookmarkEnd w:id="78"/>
      <w:r>
        <w:rPr>
          <w:b w:val="0"/>
          <w:bCs w:val="0"/>
        </w:rPr>
      </w:r>
      <w:r>
        <w:rPr/>
        <w:t>十三、处罚及整改情况</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right="78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公司报告期不存在处罚及整改情况。</w:t>
      </w:r>
    </w:p>
    <w:p>
      <w:pPr>
        <w:spacing w:line="240" w:lineRule="auto" w:before="4"/>
        <w:rPr>
          <w:rFonts w:ascii="宋体" w:hAnsi="宋体" w:cs="宋体" w:eastAsia="宋体" w:hint="default"/>
          <w:sz w:val="19"/>
          <w:szCs w:val="19"/>
        </w:rPr>
      </w:pPr>
    </w:p>
    <w:p>
      <w:pPr>
        <w:pStyle w:val="Heading2"/>
        <w:spacing w:line="240" w:lineRule="auto"/>
        <w:ind w:right="1394"/>
        <w:jc w:val="left"/>
        <w:rPr>
          <w:b w:val="0"/>
          <w:bCs w:val="0"/>
        </w:rPr>
      </w:pPr>
      <w:bookmarkStart w:name="十四、公司及其控股股东、实际控制人的诚信状况" w:id="79"/>
      <w:bookmarkEnd w:id="79"/>
      <w:r>
        <w:rPr>
          <w:b w:val="0"/>
          <w:bCs w:val="0"/>
        </w:rPr>
      </w:r>
      <w:r>
        <w:rPr/>
        <w:t>十四、公司及其控股股东、实际控制人的诚信状况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3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394"/>
        <w:jc w:val="left"/>
        <w:rPr>
          <w:b w:val="0"/>
          <w:bCs w:val="0"/>
        </w:rPr>
      </w:pPr>
      <w:bookmarkStart w:name="十五、公司股权激励计划、员工持股计划或其他员工激励措施的实施情况" w:id="80"/>
      <w:bookmarkEnd w:id="80"/>
      <w:r>
        <w:rPr>
          <w:b w:val="0"/>
          <w:bCs w:val="0"/>
        </w:rPr>
      </w:r>
      <w:r>
        <w:rPr/>
        <w:t>十五、公司股权激励计划、员工持股计划或其他员工激励措施的实施情况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3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pStyle w:val="BodyText"/>
        <w:spacing w:line="304" w:lineRule="auto" w:before="101"/>
        <w:ind w:right="1034" w:firstLine="360"/>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10</w:t>
      </w:r>
      <w:r>
        <w:rPr/>
        <w:t>日和</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16</w:t>
      </w:r>
      <w:r>
        <w:rPr/>
        <w:t>日公司召开第四届董事会第二次会议及</w:t>
      </w:r>
      <w:r>
        <w:rPr>
          <w:rFonts w:ascii="Times New Roman" w:hAnsi="Times New Roman" w:cs="Times New Roman" w:eastAsia="Times New Roman" w:hint="default"/>
        </w:rPr>
        <w:t>2014</w:t>
      </w:r>
      <w:r>
        <w:rPr/>
        <w:t>年度股东大会相继审议通过《关于</w:t>
      </w:r>
      <w:r>
        <w:rPr>
          <w:rFonts w:ascii="Times New Roman" w:hAnsi="Times New Roman" w:cs="Times New Roman" w:eastAsia="Times New Roman" w:hint="default"/>
        </w:rPr>
        <w:t>&lt;</w:t>
      </w:r>
      <w:r>
        <w:rPr/>
        <w:t>广州广电 运通金融电子股份有限公司第一期员工持股计划（草案）（认购非公开发行股票方式）</w:t>
      </w:r>
      <w:r>
        <w:rPr>
          <w:rFonts w:ascii="Times New Roman" w:hAnsi="Times New Roman" w:cs="Times New Roman" w:eastAsia="Times New Roman" w:hint="default"/>
        </w:rPr>
        <w:t>&gt;</w:t>
      </w:r>
      <w:r>
        <w:rPr/>
        <w:t>的议案》；</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31</w:t>
      </w:r>
      <w:r>
        <w:rPr/>
        <w:t>日公司召 开第四届董事会第十次会议审议通过了《关于公司与广州证券股份有限公司签订</w:t>
      </w:r>
      <w:r>
        <w:rPr>
          <w:rFonts w:ascii="Times New Roman" w:hAnsi="Times New Roman" w:cs="Times New Roman" w:eastAsia="Times New Roman" w:hint="default"/>
        </w:rPr>
        <w:t>&lt;</w:t>
      </w:r>
      <w:r>
        <w:rPr/>
        <w:t>附条件生效的非公开发行股份认购合同之 补充合同</w:t>
      </w:r>
      <w:r>
        <w:rPr>
          <w:rFonts w:ascii="Times New Roman" w:hAnsi="Times New Roman" w:cs="Times New Roman" w:eastAsia="Times New Roman" w:hint="default"/>
        </w:rPr>
        <w:t>&gt;</w:t>
      </w:r>
      <w:r>
        <w:rPr/>
        <w:t>的议案》；</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8</w:t>
      </w:r>
      <w:r>
        <w:rPr/>
        <w:t>日和</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26</w:t>
      </w:r>
      <w:r>
        <w:rPr/>
        <w:t>日公司召开第四届董事会第十二次会议及</w:t>
      </w:r>
      <w:r>
        <w:rPr>
          <w:rFonts w:ascii="Times New Roman" w:hAnsi="Times New Roman" w:cs="Times New Roman" w:eastAsia="Times New Roman" w:hint="default"/>
        </w:rPr>
        <w:t>2015</w:t>
      </w:r>
      <w:r>
        <w:rPr/>
        <w:t>年第三次临时股东大会 </w:t>
      </w:r>
      <w:r>
        <w:rPr>
          <w:spacing w:val="-2"/>
        </w:rPr>
        <w:t>相继审议通过《关于修订公司第一期员工持股计划（草案）（认购非公开发行股票方式）的议案》；公司本次非公开发行股</w:t>
      </w:r>
      <w:r>
        <w:rPr>
          <w:spacing w:val="-66"/>
        </w:rPr>
        <w:t> </w:t>
      </w:r>
      <w:r>
        <w:rPr>
          <w:spacing w:val="-66"/>
        </w:rPr>
      </w:r>
      <w:r>
        <w:rPr/>
        <w:t>票的发行对象之一为鲲鹏运通</w:t>
      </w:r>
      <w:r>
        <w:rPr>
          <w:rFonts w:ascii="Times New Roman" w:hAnsi="Times New Roman" w:cs="Times New Roman" w:eastAsia="Times New Roman" w:hint="default"/>
        </w:rPr>
        <w:t>1</w:t>
      </w:r>
      <w:r>
        <w:rPr/>
        <w:t>号定向资产管理计划（以下简称</w:t>
      </w:r>
      <w:r>
        <w:rPr>
          <w:rFonts w:ascii="Times New Roman" w:hAnsi="Times New Roman" w:cs="Times New Roman" w:eastAsia="Times New Roman" w:hint="default"/>
        </w:rPr>
        <w:t>“</w:t>
      </w:r>
      <w:r>
        <w:rPr/>
        <w:t>运通资管计划</w:t>
      </w:r>
      <w:r>
        <w:rPr>
          <w:rFonts w:ascii="Times New Roman" w:hAnsi="Times New Roman" w:cs="Times New Roman" w:eastAsia="Times New Roman" w:hint="default"/>
        </w:rPr>
        <w:t>”</w:t>
      </w:r>
      <w:r>
        <w:rPr/>
        <w:t>），由广州证券股份有限公司为管理人，运 通资管计划的认购对象为广电运通第一期员工持股计划，由包括公司董事、监事、高级管理人员叶子瑜、罗攀峰、陈振光、 </w:t>
      </w:r>
      <w:r>
        <w:rPr>
          <w:spacing w:val="-2"/>
        </w:rPr>
        <w:t>束萌、陈建良、李叶东、魏东、蒋春晨、解永生、任斌、冯丰穗共</w:t>
      </w:r>
      <w:r>
        <w:rPr>
          <w:rFonts w:ascii="Times New Roman" w:hAnsi="Times New Roman" w:cs="Times New Roman" w:eastAsia="Times New Roman" w:hint="default"/>
          <w:spacing w:val="-2"/>
        </w:rPr>
        <w:t>11</w:t>
      </w:r>
      <w:r>
        <w:rPr>
          <w:spacing w:val="-2"/>
        </w:rPr>
        <w:t>人及其他核心骨干员工出资</w:t>
      </w:r>
      <w:r>
        <w:rPr>
          <w:rFonts w:ascii="Times New Roman" w:hAnsi="Times New Roman" w:cs="Times New Roman" w:eastAsia="Times New Roman" w:hint="default"/>
          <w:spacing w:val="-2"/>
        </w:rPr>
        <w:t>74,697.48</w:t>
      </w:r>
      <w:r>
        <w:rPr>
          <w:spacing w:val="-2"/>
        </w:rPr>
        <w:t>万元认购非公开发</w:t>
      </w:r>
      <w:r>
        <w:rPr>
          <w:spacing w:val="-57"/>
        </w:rPr>
        <w:t> </w:t>
      </w:r>
      <w:r>
        <w:rPr/>
        <w:t>行股票</w:t>
      </w:r>
      <w:r>
        <w:rPr>
          <w:rFonts w:ascii="Times New Roman" w:hAnsi="Times New Roman" w:cs="Times New Roman" w:eastAsia="Times New Roman" w:hint="default"/>
        </w:rPr>
        <w:t>43,530,000</w:t>
      </w:r>
      <w:r>
        <w:rPr/>
        <w:t>股。其中公司董事、监事和高级管理人员叶子瑜、罗攀峰、陈振光、束萌、陈建良、李叶东、魏东、蒋春 </w:t>
      </w:r>
      <w:r>
        <w:rPr>
          <w:spacing w:val="-3"/>
        </w:rPr>
        <w:t>晨、解永生、任斌、冯丰穗</w:t>
      </w:r>
      <w:r>
        <w:rPr>
          <w:rFonts w:ascii="Times New Roman" w:hAnsi="Times New Roman" w:cs="Times New Roman" w:eastAsia="Times New Roman" w:hint="default"/>
          <w:spacing w:val="-3"/>
        </w:rPr>
        <w:t>11</w:t>
      </w:r>
      <w:r>
        <w:rPr>
          <w:spacing w:val="-3"/>
        </w:rPr>
        <w:t>人合计出资</w:t>
      </w:r>
      <w:r>
        <w:rPr>
          <w:rFonts w:ascii="Times New Roman" w:hAnsi="Times New Roman" w:cs="Times New Roman" w:eastAsia="Times New Roman" w:hint="default"/>
          <w:spacing w:val="-3"/>
        </w:rPr>
        <w:t>68,640,000</w:t>
      </w:r>
      <w:r>
        <w:rPr>
          <w:spacing w:val="-3"/>
        </w:rPr>
        <w:t>元，对应认购非公开发行股票数量</w:t>
      </w:r>
      <w:r>
        <w:rPr>
          <w:rFonts w:ascii="Times New Roman" w:hAnsi="Times New Roman" w:cs="Times New Roman" w:eastAsia="Times New Roman" w:hint="default"/>
          <w:spacing w:val="-3"/>
        </w:rPr>
        <w:t>4,000,000</w:t>
      </w:r>
      <w:r>
        <w:rPr>
          <w:spacing w:val="-3"/>
        </w:rPr>
        <w:t>股，占运通资管计划的</w:t>
      </w:r>
      <w:r>
        <w:rPr>
          <w:rFonts w:ascii="Times New Roman" w:hAnsi="Times New Roman" w:cs="Times New Roman" w:eastAsia="Times New Roman" w:hint="default"/>
          <w:spacing w:val="-3"/>
        </w:rPr>
        <w:t>9.19%</w:t>
      </w:r>
      <w:r>
        <w:rPr>
          <w:spacing w:val="-3"/>
        </w:rPr>
        <w:t>；</w:t>
      </w:r>
      <w:r>
        <w:rPr>
          <w:spacing w:val="-83"/>
        </w:rPr>
        <w:t> </w:t>
      </w:r>
      <w:r>
        <w:rPr/>
        <w:t>其他员工合计出资</w:t>
      </w:r>
      <w:r>
        <w:rPr>
          <w:rFonts w:ascii="Times New Roman" w:hAnsi="Times New Roman" w:cs="Times New Roman" w:eastAsia="Times New Roman" w:hint="default"/>
        </w:rPr>
        <w:t>678,334,800</w:t>
      </w:r>
      <w:r>
        <w:rPr/>
        <w:t>元，对应认购非公开发行股票数量</w:t>
      </w:r>
      <w:r>
        <w:rPr>
          <w:rFonts w:ascii="Times New Roman" w:hAnsi="Times New Roman" w:cs="Times New Roman" w:eastAsia="Times New Roman" w:hint="default"/>
        </w:rPr>
        <w:t>39,530,000</w:t>
      </w:r>
      <w:r>
        <w:rPr/>
        <w:t>股，占运通资管计划的</w:t>
      </w:r>
      <w:r>
        <w:rPr>
          <w:rFonts w:ascii="Times New Roman" w:hAnsi="Times New Roman" w:cs="Times New Roman" w:eastAsia="Times New Roman" w:hint="default"/>
        </w:rPr>
        <w:t>90.81%</w:t>
      </w:r>
      <w:r>
        <w:rPr/>
        <w:t>。</w:t>
      </w:r>
    </w:p>
    <w:p>
      <w:pPr>
        <w:pStyle w:val="BodyText"/>
        <w:spacing w:line="300" w:lineRule="auto" w:before="49"/>
        <w:ind w:right="1132" w:firstLine="360"/>
        <w:jc w:val="both"/>
      </w:pP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日公司收到中国证券监督管理委员会《关于核准广州广电运通金融电子股份有限公司非公开发行股票的批</w:t>
      </w:r>
      <w:r>
        <w:rPr/>
        <w:t> </w:t>
      </w:r>
      <w:r>
        <w:rPr>
          <w:spacing w:val="-2"/>
        </w:rPr>
        <w:t>复》（证监许可【</w:t>
      </w:r>
      <w:r>
        <w:rPr>
          <w:rFonts w:ascii="Times New Roman" w:hAnsi="Times New Roman" w:cs="Times New Roman" w:eastAsia="Times New Roman" w:hint="default"/>
          <w:spacing w:val="-2"/>
        </w:rPr>
        <w:t>2015</w:t>
      </w:r>
      <w:r>
        <w:rPr>
          <w:spacing w:val="-2"/>
        </w:rPr>
        <w:t>】</w:t>
      </w:r>
      <w:r>
        <w:rPr>
          <w:rFonts w:ascii="Times New Roman" w:hAnsi="Times New Roman" w:cs="Times New Roman" w:eastAsia="Times New Roman" w:hint="default"/>
          <w:spacing w:val="-2"/>
        </w:rPr>
        <w:t>3135</w:t>
      </w:r>
      <w:r>
        <w:rPr>
          <w:spacing w:val="-2"/>
        </w:rPr>
        <w:t>号）。公司在中国证券登记结算有限责任公司深圳分公司已办理完毕本次非公开发行股份登记</w:t>
      </w:r>
      <w:r>
        <w:rPr>
          <w:spacing w:val="-62"/>
        </w:rPr>
        <w:t> </w:t>
      </w:r>
      <w:r>
        <w:rPr>
          <w:spacing w:val="-62"/>
        </w:rPr>
      </w:r>
      <w:r>
        <w:rPr>
          <w:spacing w:val="-2"/>
        </w:rPr>
        <w:t>业务，新增股份已于</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11</w:t>
      </w:r>
      <w:r>
        <w:rPr>
          <w:spacing w:val="-2"/>
        </w:rPr>
        <w:t>日上市，运通资管计划本次认购的</w:t>
      </w:r>
      <w:r>
        <w:rPr>
          <w:rFonts w:ascii="Times New Roman" w:hAnsi="Times New Roman" w:cs="Times New Roman" w:eastAsia="Times New Roman" w:hint="default"/>
          <w:spacing w:val="-2"/>
        </w:rPr>
        <w:t>43,530,000</w:t>
      </w:r>
      <w:r>
        <w:rPr>
          <w:spacing w:val="-2"/>
        </w:rPr>
        <w:t>股股票自新增股份上市之日起</w:t>
      </w:r>
      <w:r>
        <w:rPr>
          <w:rFonts w:ascii="Times New Roman" w:hAnsi="Times New Roman" w:cs="Times New Roman" w:eastAsia="Times New Roman" w:hint="default"/>
          <w:spacing w:val="-2"/>
        </w:rPr>
        <w:t>36</w:t>
      </w:r>
      <w:r>
        <w:rPr>
          <w:spacing w:val="-2"/>
        </w:rPr>
        <w:t>个月内不得转</w:t>
      </w:r>
      <w:r>
        <w:rPr>
          <w:spacing w:val="-53"/>
        </w:rPr>
        <w:t> </w:t>
      </w:r>
      <w:r>
        <w:rPr/>
        <w:t>让。</w:t>
      </w:r>
    </w:p>
    <w:p>
      <w:pPr>
        <w:pStyle w:val="BodyText"/>
        <w:spacing w:line="300" w:lineRule="auto" w:before="72"/>
        <w:ind w:right="1132" w:firstLine="360"/>
        <w:jc w:val="left"/>
      </w:pPr>
      <w:r>
        <w:rPr>
          <w:spacing w:val="-2"/>
        </w:rPr>
        <w:t>广电运通第一期员工持股计划锁定期于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11</w:t>
      </w:r>
      <w:r>
        <w:rPr>
          <w:spacing w:val="-2"/>
        </w:rPr>
        <w:t>日届满，公司已于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11</w:t>
      </w:r>
      <w:r>
        <w:rPr>
          <w:spacing w:val="-2"/>
        </w:rPr>
        <w:t>日发布《公司第一期员工持股计划锁</w:t>
      </w:r>
      <w:r>
        <w:rPr/>
        <w:t> 定期届满的提示公告》（公告编号：临</w:t>
      </w:r>
      <w:r>
        <w:rPr>
          <w:rFonts w:ascii="Times New Roman" w:hAnsi="Times New Roman" w:cs="Times New Roman" w:eastAsia="Times New Roman" w:hint="default"/>
        </w:rPr>
        <w:t>2019-017</w:t>
      </w:r>
      <w:r>
        <w:rPr/>
        <w:t>）。</w:t>
      </w:r>
    </w:p>
    <w:p>
      <w:pPr>
        <w:pStyle w:val="BodyText"/>
        <w:spacing w:line="240" w:lineRule="auto" w:before="51"/>
        <w:ind w:left="472" w:right="1394"/>
        <w:jc w:val="left"/>
      </w:pPr>
      <w:r>
        <w:rPr/>
        <w:t>员工持股计划事项临时报告披露网站查询：</w:t>
      </w:r>
    </w:p>
    <w:p>
      <w:pPr>
        <w:spacing w:line="240" w:lineRule="auto" w:before="3"/>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6120"/>
        <w:gridCol w:w="1535"/>
        <w:gridCol w:w="2065"/>
      </w:tblGrid>
      <w:tr>
        <w:trPr>
          <w:trHeight w:val="427" w:hRule="exact"/>
        </w:trPr>
        <w:tc>
          <w:tcPr>
            <w:tcW w:w="6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宋体" w:hAnsi="宋体" w:cs="宋体" w:eastAsia="宋体" w:hint="default"/>
                <w:sz w:val="18"/>
                <w:szCs w:val="18"/>
              </w:rPr>
            </w:pPr>
            <w:r>
              <w:rPr>
                <w:rFonts w:ascii="宋体" w:hAnsi="宋体" w:cs="宋体" w:eastAsia="宋体" w:hint="default"/>
                <w:sz w:val="18"/>
                <w:szCs w:val="18"/>
              </w:rPr>
              <w:t>临时公告名称</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宋体" w:hAnsi="宋体" w:cs="宋体" w:eastAsia="宋体" w:hint="default"/>
                <w:sz w:val="18"/>
                <w:szCs w:val="18"/>
              </w:rPr>
            </w:pPr>
            <w:r>
              <w:rPr>
                <w:rFonts w:ascii="宋体" w:hAnsi="宋体" w:cs="宋体" w:eastAsia="宋体" w:hint="default"/>
                <w:sz w:val="18"/>
                <w:szCs w:val="18"/>
              </w:rPr>
              <w:t>临时公告披露日期</w:t>
            </w:r>
          </w:p>
        </w:tc>
        <w:tc>
          <w:tcPr>
            <w:tcW w:w="2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04" w:right="0"/>
              <w:jc w:val="left"/>
              <w:rPr>
                <w:rFonts w:ascii="宋体" w:hAnsi="宋体" w:cs="宋体" w:eastAsia="宋体" w:hint="default"/>
                <w:sz w:val="18"/>
                <w:szCs w:val="18"/>
              </w:rPr>
            </w:pPr>
            <w:r>
              <w:rPr>
                <w:rFonts w:ascii="宋体" w:hAnsi="宋体" w:cs="宋体" w:eastAsia="宋体" w:hint="default"/>
                <w:sz w:val="18"/>
                <w:szCs w:val="18"/>
              </w:rPr>
              <w:t>临时公告披露索引</w:t>
            </w:r>
          </w:p>
        </w:tc>
      </w:tr>
      <w:tr>
        <w:trPr>
          <w:trHeight w:val="1675" w:hRule="exact"/>
        </w:trPr>
        <w:tc>
          <w:tcPr>
            <w:tcW w:w="6120"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60"/>
              <w:ind w:left="3" w:right="1"/>
              <w:jc w:val="left"/>
              <w:rPr>
                <w:rFonts w:ascii="宋体" w:hAnsi="宋体" w:cs="宋体" w:eastAsia="宋体" w:hint="default"/>
                <w:sz w:val="18"/>
                <w:szCs w:val="18"/>
              </w:rPr>
            </w:pPr>
            <w:r>
              <w:rPr>
                <w:rFonts w:ascii="宋体" w:hAnsi="宋体" w:cs="宋体" w:eastAsia="宋体" w:hint="default"/>
                <w:spacing w:val="-6"/>
                <w:sz w:val="18"/>
                <w:szCs w:val="18"/>
              </w:rPr>
              <w:t>《第四届董事会第二次会议决议公告》《第一期员工持股计划（草案）摘要（认</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
                <w:sz w:val="18"/>
                <w:szCs w:val="18"/>
              </w:rPr>
              <w:t>购非公开发行股票方式）》</w:t>
            </w:r>
            <w:hyperlink r:id="rId17">
              <w:r>
                <w:rPr>
                  <w:rFonts w:ascii="宋体" w:hAnsi="宋体" w:cs="宋体" w:eastAsia="宋体" w:hint="default"/>
                  <w:spacing w:val="-1"/>
                  <w:sz w:val="18"/>
                  <w:szCs w:val="18"/>
                </w:rPr>
                <w:t>《第一期员工持股计划（草案）（认购非公开发行</w:t>
              </w:r>
            </w:hyperlink>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1"/>
                <w:sz w:val="18"/>
                <w:szCs w:val="18"/>
              </w:rPr>
              <w:t>股票方式）》《</w:t>
            </w:r>
            <w:hyperlink r:id="rId18">
              <w:r>
                <w:rPr>
                  <w:rFonts w:ascii="宋体" w:hAnsi="宋体" w:cs="宋体" w:eastAsia="宋体" w:hint="default"/>
                  <w:spacing w:val="-1"/>
                  <w:sz w:val="18"/>
                  <w:szCs w:val="18"/>
                </w:rPr>
                <w:t>广东广信君达律师事务所关于公司实施第一期员工持股计划的</w:t>
              </w:r>
            </w:hyperlink>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法律意见书》《</w:t>
            </w:r>
            <w:hyperlink r:id="rId19">
              <w:r>
                <w:rPr>
                  <w:rFonts w:ascii="宋体" w:hAnsi="宋体" w:cs="宋体" w:eastAsia="宋体" w:hint="default"/>
                  <w:sz w:val="18"/>
                  <w:szCs w:val="18"/>
                </w:rPr>
                <w:t>广州证券鲲鹏运通</w:t>
              </w:r>
              <w:r>
                <w:rPr>
                  <w:rFonts w:ascii="Times New Roman" w:hAnsi="Times New Roman" w:cs="Times New Roman" w:eastAsia="Times New Roman" w:hint="default"/>
                  <w:sz w:val="18"/>
                  <w:szCs w:val="18"/>
                </w:rPr>
                <w:t>1</w:t>
              </w:r>
              <w:r>
                <w:rPr>
                  <w:rFonts w:ascii="宋体" w:hAnsi="宋体" w:cs="宋体" w:eastAsia="宋体" w:hint="default"/>
                  <w:sz w:val="18"/>
                  <w:szCs w:val="18"/>
                </w:rPr>
                <w:t>号定向资产管理计划资产管理合同</w:t>
              </w:r>
            </w:hyperlink>
            <w:r>
              <w:rPr>
                <w:rFonts w:ascii="宋体" w:hAnsi="宋体" w:cs="宋体" w:eastAsia="宋体" w:hint="default"/>
                <w:sz w:val="18"/>
                <w:szCs w:val="18"/>
              </w:rPr>
              <w:t>》《</w:t>
            </w:r>
            <w:hyperlink r:id="rId20">
              <w:r>
                <w:rPr>
                  <w:rFonts w:ascii="宋体" w:hAnsi="宋体" w:cs="宋体" w:eastAsia="宋体" w:hint="default"/>
                  <w:sz w:val="18"/>
                  <w:szCs w:val="18"/>
                </w:rPr>
                <w:t>监</w:t>
              </w:r>
            </w:hyperlink>
            <w:r>
              <w:rPr>
                <w:rFonts w:ascii="宋体" w:hAnsi="宋体" w:cs="宋体" w:eastAsia="宋体" w:hint="default"/>
                <w:sz w:val="18"/>
                <w:szCs w:val="18"/>
              </w:rPr>
              <w:t> 事会关于公司第一期员工持股计划相关事项的审核意见》</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03</w:t>
            </w:r>
            <w:r>
              <w:rPr>
                <w:rFonts w:ascii="宋体" w:hAnsi="宋体" w:cs="宋体" w:eastAsia="宋体" w:hint="default"/>
                <w:sz w:val="18"/>
                <w:szCs w:val="18"/>
              </w:rPr>
              <w:t>月</w:t>
            </w:r>
            <w:r>
              <w:rPr>
                <w:rFonts w:ascii="Times New Roman" w:hAnsi="Times New Roman" w:cs="Times New Roman" w:eastAsia="Times New Roman" w:hint="default"/>
                <w:sz w:val="18"/>
                <w:szCs w:val="18"/>
              </w:rPr>
              <w:t>11</w:t>
            </w:r>
            <w:r>
              <w:rPr>
                <w:rFonts w:ascii="宋体" w:hAnsi="宋体" w:cs="宋体" w:eastAsia="宋体" w:hint="default"/>
                <w:sz w:val="18"/>
                <w:szCs w:val="18"/>
              </w:rPr>
              <w:t>日</w:t>
            </w:r>
          </w:p>
        </w:tc>
        <w:tc>
          <w:tcPr>
            <w:tcW w:w="2065"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2" w:lineRule="auto" w:before="126"/>
              <w:ind w:left="2" w:right="402"/>
              <w:jc w:val="left"/>
              <w:rPr>
                <w:rFonts w:ascii="宋体" w:hAnsi="宋体" w:cs="宋体" w:eastAsia="宋体" w:hint="default"/>
                <w:sz w:val="18"/>
                <w:szCs w:val="18"/>
              </w:rPr>
            </w:pPr>
            <w:r>
              <w:rPr>
                <w:rFonts w:ascii="宋体" w:hAnsi="宋体" w:cs="宋体" w:eastAsia="宋体" w:hint="default"/>
                <w:sz w:val="18"/>
                <w:szCs w:val="18"/>
              </w:rPr>
              <w:t>刊登在《证券时报》 及巨潮资讯网 </w:t>
            </w:r>
            <w:hyperlink r:id="rId10">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上 的相关公告</w:t>
            </w:r>
          </w:p>
        </w:tc>
      </w:tr>
      <w:tr>
        <w:trPr>
          <w:trHeight w:val="427" w:hRule="exact"/>
        </w:trPr>
        <w:tc>
          <w:tcPr>
            <w:tcW w:w="6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left"/>
              <w:rPr>
                <w:rFonts w:ascii="宋体" w:hAnsi="宋体" w:cs="宋体" w:eastAsia="宋体" w:hint="default"/>
                <w:sz w:val="18"/>
                <w:szCs w:val="18"/>
              </w:rPr>
            </w:pPr>
            <w:r>
              <w:rPr>
                <w:rFonts w:ascii="宋体" w:hAnsi="宋体" w:cs="宋体" w:eastAsia="宋体" w:hint="default"/>
                <w:sz w:val="18"/>
                <w:szCs w:val="18"/>
              </w:rPr>
              <w:t>《</w:t>
            </w:r>
            <w:hyperlink r:id="rId21">
              <w:r>
                <w:rPr>
                  <w:rFonts w:ascii="Times New Roman" w:hAnsi="Times New Roman" w:cs="Times New Roman" w:eastAsia="Times New Roman" w:hint="default"/>
                  <w:sz w:val="18"/>
                  <w:szCs w:val="18"/>
                </w:rPr>
                <w:t>2014</w:t>
              </w:r>
              <w:r>
                <w:rPr>
                  <w:rFonts w:ascii="宋体" w:hAnsi="宋体" w:cs="宋体" w:eastAsia="宋体" w:hint="default"/>
                  <w:sz w:val="18"/>
                  <w:szCs w:val="18"/>
                </w:rPr>
                <w:t>年度股东大会决议公告</w:t>
              </w:r>
            </w:hyperlink>
            <w:r>
              <w:rPr>
                <w:rFonts w:ascii="宋体" w:hAnsi="宋体" w:cs="宋体" w:eastAsia="宋体" w:hint="default"/>
                <w:sz w:val="18"/>
                <w:szCs w:val="18"/>
              </w:rPr>
              <w:t>》</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04</w:t>
            </w:r>
            <w:r>
              <w:rPr>
                <w:rFonts w:ascii="宋体" w:hAnsi="宋体" w:cs="宋体" w:eastAsia="宋体" w:hint="default"/>
                <w:sz w:val="18"/>
                <w:szCs w:val="18"/>
              </w:rPr>
              <w:t>月</w:t>
            </w:r>
            <w:r>
              <w:rPr>
                <w:rFonts w:ascii="Times New Roman" w:hAnsi="Times New Roman" w:cs="Times New Roman" w:eastAsia="Times New Roman" w:hint="default"/>
                <w:sz w:val="18"/>
                <w:szCs w:val="18"/>
              </w:rPr>
              <w:t>17</w:t>
            </w:r>
            <w:r>
              <w:rPr>
                <w:rFonts w:ascii="宋体" w:hAnsi="宋体" w:cs="宋体" w:eastAsia="宋体" w:hint="default"/>
                <w:sz w:val="18"/>
                <w:szCs w:val="18"/>
              </w:rPr>
              <w:t>日</w:t>
            </w:r>
          </w:p>
        </w:tc>
        <w:tc>
          <w:tcPr>
            <w:tcW w:w="2065" w:type="dxa"/>
            <w:vMerge/>
            <w:tcBorders>
              <w:left w:val="single" w:sz="6" w:space="0" w:color="000000"/>
              <w:right w:val="single" w:sz="6" w:space="0" w:color="000000"/>
            </w:tcBorders>
          </w:tcPr>
          <w:p>
            <w:pPr/>
          </w:p>
        </w:tc>
      </w:tr>
      <w:tr>
        <w:trPr>
          <w:trHeight w:val="1051" w:hRule="exact"/>
        </w:trPr>
        <w:tc>
          <w:tcPr>
            <w:tcW w:w="6120"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61"/>
              <w:ind w:left="3" w:right="59"/>
              <w:jc w:val="both"/>
              <w:rPr>
                <w:rFonts w:ascii="宋体" w:hAnsi="宋体" w:cs="宋体" w:eastAsia="宋体" w:hint="default"/>
                <w:sz w:val="18"/>
                <w:szCs w:val="18"/>
              </w:rPr>
            </w:pPr>
            <w:hyperlink r:id="rId22">
              <w:r>
                <w:rPr>
                  <w:rFonts w:ascii="宋体" w:hAnsi="宋体" w:cs="宋体" w:eastAsia="宋体" w:hint="default"/>
                  <w:sz w:val="18"/>
                  <w:szCs w:val="18"/>
                </w:rPr>
                <w:t>《第四届董事会第十次会议决议公告</w:t>
              </w:r>
            </w:hyperlink>
            <w:r>
              <w:rPr>
                <w:rFonts w:ascii="宋体" w:hAnsi="宋体" w:cs="宋体" w:eastAsia="宋体" w:hint="default"/>
                <w:sz w:val="18"/>
                <w:szCs w:val="18"/>
              </w:rPr>
              <w:t>》《广州证券鲲鹏运通</w:t>
            </w:r>
            <w:r>
              <w:rPr>
                <w:rFonts w:ascii="Times New Roman" w:hAnsi="Times New Roman" w:cs="Times New Roman" w:eastAsia="Times New Roman" w:hint="default"/>
                <w:sz w:val="18"/>
                <w:szCs w:val="18"/>
              </w:rPr>
              <w:t>1</w:t>
            </w:r>
            <w:r>
              <w:rPr>
                <w:rFonts w:ascii="宋体" w:hAnsi="宋体" w:cs="宋体" w:eastAsia="宋体" w:hint="default"/>
                <w:sz w:val="18"/>
                <w:szCs w:val="18"/>
              </w:rPr>
              <w:t>号定向资产管理 计划资产管理合同之补充合同》《</w:t>
            </w:r>
            <w:hyperlink r:id="rId23">
              <w:r>
                <w:rPr>
                  <w:rFonts w:ascii="宋体" w:hAnsi="宋体" w:cs="宋体" w:eastAsia="宋体" w:hint="default"/>
                  <w:sz w:val="18"/>
                  <w:szCs w:val="18"/>
                </w:rPr>
                <w:t>关于签订</w:t>
              </w:r>
              <w:r>
                <w:rPr>
                  <w:rFonts w:ascii="Times New Roman" w:hAnsi="Times New Roman" w:cs="Times New Roman" w:eastAsia="Times New Roman" w:hint="default"/>
                  <w:sz w:val="18"/>
                  <w:szCs w:val="18"/>
                </w:rPr>
                <w:t>&lt;</w:t>
              </w:r>
              <w:r>
                <w:rPr>
                  <w:rFonts w:ascii="宋体" w:hAnsi="宋体" w:cs="宋体" w:eastAsia="宋体" w:hint="default"/>
                  <w:sz w:val="18"/>
                  <w:szCs w:val="18"/>
                </w:rPr>
                <w:t>附条件生效的非公开发行股份认</w:t>
              </w:r>
            </w:hyperlink>
            <w:r>
              <w:rPr>
                <w:rFonts w:ascii="宋体" w:hAnsi="宋体" w:cs="宋体" w:eastAsia="宋体" w:hint="default"/>
                <w:sz w:val="18"/>
                <w:szCs w:val="18"/>
              </w:rPr>
              <w:t> 购合同之补充合同</w:t>
            </w:r>
            <w:r>
              <w:rPr>
                <w:rFonts w:ascii="Times New Roman" w:hAnsi="Times New Roman" w:cs="Times New Roman" w:eastAsia="Times New Roman" w:hint="default"/>
                <w:sz w:val="18"/>
                <w:szCs w:val="18"/>
              </w:rPr>
              <w:t>&gt;</w:t>
            </w:r>
            <w:r>
              <w:rPr>
                <w:rFonts w:ascii="宋体" w:hAnsi="宋体" w:cs="宋体" w:eastAsia="宋体" w:hint="default"/>
                <w:sz w:val="18"/>
                <w:szCs w:val="18"/>
              </w:rPr>
              <w:t>的公告》</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08</w:t>
            </w:r>
            <w:r>
              <w:rPr>
                <w:rFonts w:ascii="宋体" w:hAnsi="宋体" w:cs="宋体" w:eastAsia="宋体" w:hint="default"/>
                <w:sz w:val="18"/>
                <w:szCs w:val="18"/>
              </w:rPr>
              <w:t>月</w:t>
            </w:r>
            <w:r>
              <w:rPr>
                <w:rFonts w:ascii="Times New Roman" w:hAnsi="Times New Roman" w:cs="Times New Roman" w:eastAsia="Times New Roman" w:hint="default"/>
                <w:sz w:val="18"/>
                <w:szCs w:val="18"/>
              </w:rPr>
              <w:t>03</w:t>
            </w:r>
            <w:r>
              <w:rPr>
                <w:rFonts w:ascii="宋体" w:hAnsi="宋体" w:cs="宋体" w:eastAsia="宋体" w:hint="default"/>
                <w:sz w:val="18"/>
                <w:szCs w:val="18"/>
              </w:rPr>
              <w:t>日</w:t>
            </w:r>
          </w:p>
        </w:tc>
        <w:tc>
          <w:tcPr>
            <w:tcW w:w="2065" w:type="dxa"/>
            <w:vMerge/>
            <w:tcBorders>
              <w:left w:val="single" w:sz="6" w:space="0" w:color="000000"/>
              <w:right w:val="single" w:sz="6" w:space="0" w:color="000000"/>
            </w:tcBorders>
          </w:tcPr>
          <w:p>
            <w:pPr/>
          </w:p>
        </w:tc>
      </w:tr>
      <w:tr>
        <w:trPr>
          <w:trHeight w:val="697" w:hRule="exact"/>
        </w:trPr>
        <w:tc>
          <w:tcPr>
            <w:tcW w:w="612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3" w:right="1"/>
              <w:jc w:val="left"/>
              <w:rPr>
                <w:rFonts w:ascii="宋体" w:hAnsi="宋体" w:cs="宋体" w:eastAsia="宋体" w:hint="default"/>
                <w:sz w:val="18"/>
                <w:szCs w:val="18"/>
              </w:rPr>
            </w:pPr>
            <w:hyperlink r:id="rId24">
              <w:r>
                <w:rPr>
                  <w:rFonts w:ascii="宋体" w:hAnsi="宋体" w:cs="宋体" w:eastAsia="宋体" w:hint="default"/>
                  <w:spacing w:val="-1"/>
                  <w:sz w:val="18"/>
                  <w:szCs w:val="18"/>
                </w:rPr>
                <w:t>《第四届董事会第十二次（临时）会议决议公告</w:t>
              </w:r>
            </w:hyperlink>
            <w:r>
              <w:rPr>
                <w:rFonts w:ascii="宋体" w:hAnsi="宋体" w:cs="宋体" w:eastAsia="宋体" w:hint="default"/>
                <w:spacing w:val="-1"/>
                <w:sz w:val="18"/>
                <w:szCs w:val="18"/>
              </w:rPr>
              <w:t>》《第一期员工持股计划（草</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1"/>
                <w:sz w:val="18"/>
                <w:szCs w:val="18"/>
              </w:rPr>
              <w:t>案）（认购非公开发行股票方式）（修订稿）》《</w:t>
            </w:r>
            <w:hyperlink r:id="rId25">
              <w:r>
                <w:rPr>
                  <w:rFonts w:ascii="宋体" w:hAnsi="宋体" w:cs="宋体" w:eastAsia="宋体" w:hint="default"/>
                  <w:spacing w:val="-1"/>
                  <w:sz w:val="18"/>
                  <w:szCs w:val="18"/>
                </w:rPr>
                <w:t>关于调减公司第一期员工持</w:t>
              </w:r>
            </w:hyperlink>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w:t>
            </w:r>
          </w:p>
        </w:tc>
        <w:tc>
          <w:tcPr>
            <w:tcW w:w="2065" w:type="dxa"/>
            <w:vMerge/>
            <w:tcBorders>
              <w:left w:val="single" w:sz="6" w:space="0" w:color="000000"/>
              <w:bottom w:val="single" w:sz="6" w:space="0" w:color="000000"/>
              <w:right w:val="single" w:sz="6" w:space="0" w:color="000000"/>
            </w:tcBorders>
          </w:tcPr>
          <w:p>
            <w:pPr/>
          </w:p>
        </w:tc>
      </w:tr>
    </w:tbl>
    <w:p>
      <w:pPr>
        <w:spacing w:after="0"/>
        <w:sectPr>
          <w:pgSz w:w="11910" w:h="16840"/>
          <w:pgMar w:header="878" w:footer="978" w:top="1100" w:bottom="1160" w:left="1020" w:right="0"/>
        </w:sectPr>
      </w:pPr>
    </w:p>
    <w:p>
      <w:pPr>
        <w:spacing w:line="240" w:lineRule="auto" w:before="8"/>
        <w:rPr>
          <w:rFonts w:ascii="宋体" w:hAnsi="宋体" w:cs="宋体" w:eastAsia="宋体" w:hint="default"/>
          <w:sz w:val="24"/>
          <w:szCs w:val="24"/>
        </w:rPr>
      </w:pPr>
    </w:p>
    <w:tbl>
      <w:tblPr>
        <w:tblW w:w="0" w:type="auto"/>
        <w:jc w:val="left"/>
        <w:tblInd w:w="526" w:type="dxa"/>
        <w:tblLayout w:type="fixed"/>
        <w:tblCellMar>
          <w:top w:w="0" w:type="dxa"/>
          <w:left w:w="0" w:type="dxa"/>
          <w:bottom w:w="0" w:type="dxa"/>
          <w:right w:w="0" w:type="dxa"/>
        </w:tblCellMar>
        <w:tblLook w:val="01E0"/>
      </w:tblPr>
      <w:tblGrid>
        <w:gridCol w:w="6120"/>
        <w:gridCol w:w="1535"/>
        <w:gridCol w:w="2065"/>
      </w:tblGrid>
      <w:tr>
        <w:trPr>
          <w:trHeight w:val="699" w:hRule="exact"/>
        </w:trPr>
        <w:tc>
          <w:tcPr>
            <w:tcW w:w="612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1"/>
              <w:jc w:val="left"/>
              <w:rPr>
                <w:rFonts w:ascii="宋体" w:hAnsi="宋体" w:cs="宋体" w:eastAsia="宋体" w:hint="default"/>
                <w:sz w:val="18"/>
                <w:szCs w:val="18"/>
              </w:rPr>
            </w:pPr>
            <w:hyperlink r:id="rId25">
              <w:r>
                <w:rPr>
                  <w:rFonts w:ascii="宋体" w:hAnsi="宋体" w:cs="宋体" w:eastAsia="宋体" w:hint="default"/>
                  <w:spacing w:val="-1"/>
                  <w:sz w:val="18"/>
                  <w:szCs w:val="18"/>
                </w:rPr>
                <w:t>股计划计划认购金额的公告</w:t>
              </w:r>
            </w:hyperlink>
            <w:r>
              <w:rPr>
                <w:rFonts w:ascii="宋体" w:hAnsi="宋体" w:cs="宋体" w:eastAsia="宋体" w:hint="default"/>
                <w:spacing w:val="-1"/>
                <w:sz w:val="18"/>
                <w:szCs w:val="18"/>
              </w:rPr>
              <w:t>》《</w:t>
            </w:r>
            <w:hyperlink r:id="rId26">
              <w:r>
                <w:rPr>
                  <w:rFonts w:ascii="宋体" w:hAnsi="宋体" w:cs="宋体" w:eastAsia="宋体" w:hint="default"/>
                  <w:spacing w:val="-1"/>
                  <w:sz w:val="18"/>
                  <w:szCs w:val="18"/>
                </w:rPr>
                <w:t>广东广信君达律师事务所关于公司实施第一期</w:t>
              </w:r>
            </w:hyperlink>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员工持股计划的补充法律意见书》</w:t>
            </w:r>
          </w:p>
        </w:tc>
        <w:tc>
          <w:tcPr>
            <w:tcW w:w="1535" w:type="dxa"/>
            <w:tcBorders>
              <w:top w:val="single" w:sz="6" w:space="0" w:color="000000"/>
              <w:left w:val="single" w:sz="6" w:space="0" w:color="000000"/>
              <w:bottom w:val="single" w:sz="6" w:space="0" w:color="000000"/>
              <w:right w:val="single" w:sz="6" w:space="0" w:color="000000"/>
            </w:tcBorders>
          </w:tcPr>
          <w:p>
            <w:pPr/>
          </w:p>
        </w:tc>
        <w:tc>
          <w:tcPr>
            <w:tcW w:w="2065" w:type="dxa"/>
            <w:vMerge w:val="restart"/>
            <w:tcBorders>
              <w:top w:val="single" w:sz="6" w:space="0" w:color="000000"/>
              <w:left w:val="single" w:sz="6" w:space="0" w:color="000000"/>
              <w:right w:val="single" w:sz="6" w:space="0" w:color="000000"/>
            </w:tcBorders>
          </w:tcPr>
          <w:p>
            <w:pPr/>
          </w:p>
        </w:tc>
      </w:tr>
      <w:tr>
        <w:trPr>
          <w:trHeight w:val="427" w:hRule="exact"/>
        </w:trPr>
        <w:tc>
          <w:tcPr>
            <w:tcW w:w="6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宋体" w:hAnsi="宋体" w:cs="宋体" w:eastAsia="宋体" w:hint="default"/>
                <w:sz w:val="18"/>
                <w:szCs w:val="18"/>
              </w:rPr>
            </w:pPr>
            <w:r>
              <w:rPr>
                <w:rFonts w:ascii="宋体" w:hAnsi="宋体" w:cs="宋体" w:eastAsia="宋体" w:hint="default"/>
                <w:sz w:val="18"/>
                <w:szCs w:val="18"/>
              </w:rPr>
              <w:t>《</w:t>
            </w:r>
            <w:hyperlink r:id="rId27">
              <w:r>
                <w:rPr>
                  <w:rFonts w:ascii="Times New Roman" w:hAnsi="Times New Roman" w:cs="Times New Roman" w:eastAsia="Times New Roman" w:hint="default"/>
                  <w:sz w:val="18"/>
                  <w:szCs w:val="18"/>
                </w:rPr>
                <w:t>2015</w:t>
              </w:r>
              <w:r>
                <w:rPr>
                  <w:rFonts w:ascii="宋体" w:hAnsi="宋体" w:cs="宋体" w:eastAsia="宋体" w:hint="default"/>
                  <w:sz w:val="18"/>
                  <w:szCs w:val="18"/>
                </w:rPr>
                <w:t>年第三次临时股东大会决议公告</w:t>
              </w:r>
            </w:hyperlink>
            <w:r>
              <w:rPr>
                <w:rFonts w:ascii="宋体" w:hAnsi="宋体" w:cs="宋体" w:eastAsia="宋体" w:hint="default"/>
                <w:sz w:val="18"/>
                <w:szCs w:val="18"/>
              </w:rPr>
              <w:t>》</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w:t>
            </w:r>
          </w:p>
        </w:tc>
        <w:tc>
          <w:tcPr>
            <w:tcW w:w="2065" w:type="dxa"/>
            <w:vMerge/>
            <w:tcBorders>
              <w:left w:val="single" w:sz="6" w:space="0" w:color="000000"/>
              <w:right w:val="single" w:sz="6" w:space="0" w:color="000000"/>
            </w:tcBorders>
          </w:tcPr>
          <w:p>
            <w:pPr/>
          </w:p>
        </w:tc>
      </w:tr>
      <w:tr>
        <w:trPr>
          <w:trHeight w:val="427" w:hRule="exact"/>
        </w:trPr>
        <w:tc>
          <w:tcPr>
            <w:tcW w:w="6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宋体" w:hAnsi="宋体" w:cs="宋体" w:eastAsia="宋体" w:hint="default"/>
                <w:sz w:val="18"/>
                <w:szCs w:val="18"/>
              </w:rPr>
            </w:pPr>
            <w:hyperlink r:id="rId28">
              <w:r>
                <w:rPr>
                  <w:rFonts w:ascii="宋体" w:hAnsi="宋体" w:cs="宋体" w:eastAsia="宋体" w:hint="default"/>
                  <w:sz w:val="18"/>
                  <w:szCs w:val="18"/>
                </w:rPr>
                <w:t>《关于非公开发行股票获得中国证监会核准批复的公告</w:t>
              </w:r>
            </w:hyperlink>
            <w:r>
              <w:rPr>
                <w:rFonts w:ascii="宋体" w:hAnsi="宋体" w:cs="宋体" w:eastAsia="宋体" w:hint="default"/>
                <w:sz w:val="18"/>
                <w:szCs w:val="18"/>
              </w:rPr>
              <w:t>》</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01</w:t>
            </w:r>
            <w:r>
              <w:rPr>
                <w:rFonts w:ascii="宋体" w:hAnsi="宋体" w:cs="宋体" w:eastAsia="宋体" w:hint="default"/>
                <w:sz w:val="18"/>
                <w:szCs w:val="18"/>
              </w:rPr>
              <w:t>月</w:t>
            </w:r>
            <w:r>
              <w:rPr>
                <w:rFonts w:ascii="Times New Roman" w:hAnsi="Times New Roman" w:cs="Times New Roman" w:eastAsia="Times New Roman" w:hint="default"/>
                <w:sz w:val="18"/>
                <w:szCs w:val="18"/>
              </w:rPr>
              <w:t>04</w:t>
            </w:r>
            <w:r>
              <w:rPr>
                <w:rFonts w:ascii="宋体" w:hAnsi="宋体" w:cs="宋体" w:eastAsia="宋体" w:hint="default"/>
                <w:sz w:val="18"/>
                <w:szCs w:val="18"/>
              </w:rPr>
              <w:t>日</w:t>
            </w:r>
          </w:p>
        </w:tc>
        <w:tc>
          <w:tcPr>
            <w:tcW w:w="2065" w:type="dxa"/>
            <w:vMerge/>
            <w:tcBorders>
              <w:left w:val="single" w:sz="6" w:space="0" w:color="000000"/>
              <w:right w:val="single" w:sz="6" w:space="0" w:color="000000"/>
            </w:tcBorders>
          </w:tcPr>
          <w:p>
            <w:pPr/>
          </w:p>
        </w:tc>
      </w:tr>
      <w:tr>
        <w:trPr>
          <w:trHeight w:val="427" w:hRule="exact"/>
        </w:trPr>
        <w:tc>
          <w:tcPr>
            <w:tcW w:w="6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宋体" w:hAnsi="宋体" w:cs="宋体" w:eastAsia="宋体" w:hint="default"/>
                <w:sz w:val="18"/>
                <w:szCs w:val="18"/>
              </w:rPr>
            </w:pPr>
            <w:r>
              <w:rPr>
                <w:rFonts w:ascii="宋体" w:hAnsi="宋体" w:cs="宋体" w:eastAsia="宋体" w:hint="default"/>
                <w:sz w:val="18"/>
                <w:szCs w:val="18"/>
              </w:rPr>
              <w:t>《发行情况报告暨上市公告书》</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03</w:t>
            </w:r>
            <w:r>
              <w:rPr>
                <w:rFonts w:ascii="宋体" w:hAnsi="宋体" w:cs="宋体" w:eastAsia="宋体" w:hint="default"/>
                <w:sz w:val="18"/>
                <w:szCs w:val="18"/>
              </w:rPr>
              <w:t>月</w:t>
            </w:r>
            <w:r>
              <w:rPr>
                <w:rFonts w:ascii="Times New Roman" w:hAnsi="Times New Roman" w:cs="Times New Roman" w:eastAsia="Times New Roman" w:hint="default"/>
                <w:sz w:val="18"/>
                <w:szCs w:val="18"/>
              </w:rPr>
              <w:t>11</w:t>
            </w:r>
            <w:r>
              <w:rPr>
                <w:rFonts w:ascii="宋体" w:hAnsi="宋体" w:cs="宋体" w:eastAsia="宋体" w:hint="default"/>
                <w:sz w:val="18"/>
                <w:szCs w:val="18"/>
              </w:rPr>
              <w:t>日</w:t>
            </w:r>
          </w:p>
        </w:tc>
        <w:tc>
          <w:tcPr>
            <w:tcW w:w="2065" w:type="dxa"/>
            <w:vMerge/>
            <w:tcBorders>
              <w:left w:val="single" w:sz="6" w:space="0" w:color="000000"/>
              <w:bottom w:val="single" w:sz="6" w:space="0" w:color="000000"/>
              <w:right w:val="single" w:sz="6" w:space="0" w:color="000000"/>
            </w:tcBorders>
          </w:tcPr>
          <w:p>
            <w:pPr/>
          </w:p>
        </w:tc>
      </w:tr>
      <w:tr>
        <w:trPr>
          <w:trHeight w:val="1283" w:hRule="exact"/>
        </w:trPr>
        <w:tc>
          <w:tcPr>
            <w:tcW w:w="6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3" w:right="0"/>
              <w:jc w:val="left"/>
              <w:rPr>
                <w:rFonts w:ascii="宋体" w:hAnsi="宋体" w:cs="宋体" w:eastAsia="宋体" w:hint="default"/>
                <w:sz w:val="18"/>
                <w:szCs w:val="18"/>
              </w:rPr>
            </w:pPr>
            <w:r>
              <w:rPr>
                <w:rFonts w:ascii="宋体" w:hAnsi="宋体" w:cs="宋体" w:eastAsia="宋体" w:hint="default"/>
                <w:sz w:val="18"/>
                <w:szCs w:val="18"/>
              </w:rPr>
              <w:t>《公司第一期员工持股计划锁定期届满的提示公告》</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1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03</w:t>
            </w:r>
            <w:r>
              <w:rPr>
                <w:rFonts w:ascii="宋体" w:hAnsi="宋体" w:cs="宋体" w:eastAsia="宋体" w:hint="default"/>
                <w:sz w:val="18"/>
                <w:szCs w:val="18"/>
              </w:rPr>
              <w:t>月</w:t>
            </w:r>
            <w:r>
              <w:rPr>
                <w:rFonts w:ascii="Times New Roman" w:hAnsi="Times New Roman" w:cs="Times New Roman" w:eastAsia="Times New Roman" w:hint="default"/>
                <w:sz w:val="18"/>
                <w:szCs w:val="18"/>
              </w:rPr>
              <w:t>11</w:t>
            </w:r>
            <w:r>
              <w:rPr>
                <w:rFonts w:ascii="宋体" w:hAnsi="宋体" w:cs="宋体" w:eastAsia="宋体" w:hint="default"/>
                <w:sz w:val="18"/>
                <w:szCs w:val="18"/>
              </w:rPr>
              <w:t>日</w:t>
            </w:r>
          </w:p>
        </w:tc>
        <w:tc>
          <w:tcPr>
            <w:tcW w:w="2065" w:type="dxa"/>
            <w:tcBorders>
              <w:top w:val="single" w:sz="6" w:space="0" w:color="000000"/>
              <w:left w:val="single" w:sz="6" w:space="0" w:color="000000"/>
              <w:bottom w:val="single" w:sz="6" w:space="0" w:color="000000"/>
              <w:right w:val="single" w:sz="6" w:space="0" w:color="000000"/>
            </w:tcBorders>
          </w:tcPr>
          <w:p>
            <w:pPr>
              <w:pStyle w:val="TableParagraph"/>
              <w:spacing w:line="312" w:lineRule="auto" w:before="21"/>
              <w:ind w:left="2" w:right="42"/>
              <w:jc w:val="both"/>
              <w:rPr>
                <w:rFonts w:ascii="宋体" w:hAnsi="宋体" w:cs="宋体" w:eastAsia="宋体" w:hint="default"/>
                <w:sz w:val="18"/>
                <w:szCs w:val="18"/>
              </w:rPr>
            </w:pPr>
            <w:r>
              <w:rPr>
                <w:rFonts w:ascii="宋体" w:hAnsi="宋体" w:cs="宋体" w:eastAsia="宋体" w:hint="default"/>
                <w:sz w:val="18"/>
                <w:szCs w:val="18"/>
              </w:rPr>
              <w:t>刊登在《证券时报》《中 国证券报》及巨潮资讯网 </w:t>
            </w:r>
            <w:hyperlink r:id="rId10">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上的相 关公告</w:t>
            </w:r>
          </w:p>
        </w:tc>
      </w:tr>
    </w:tbl>
    <w:p>
      <w:pPr>
        <w:spacing w:line="240" w:lineRule="auto" w:before="3"/>
        <w:rPr>
          <w:rFonts w:ascii="宋体" w:hAnsi="宋体" w:cs="宋体" w:eastAsia="宋体" w:hint="default"/>
          <w:sz w:val="18"/>
          <w:szCs w:val="18"/>
        </w:rPr>
      </w:pPr>
    </w:p>
    <w:p>
      <w:pPr>
        <w:pStyle w:val="Heading2"/>
        <w:spacing w:line="240" w:lineRule="auto" w:before="26"/>
        <w:ind w:left="532" w:right="6434"/>
        <w:jc w:val="left"/>
        <w:rPr>
          <w:b w:val="0"/>
          <w:bCs w:val="0"/>
        </w:rPr>
      </w:pPr>
      <w:bookmarkStart w:name="十六、重大关联交易" w:id="81"/>
      <w:bookmarkEnd w:id="81"/>
      <w:r>
        <w:rPr>
          <w:b w:val="0"/>
          <w:bCs w:val="0"/>
        </w:rPr>
      </w:r>
      <w:r>
        <w:rPr/>
        <w:t>十六、重大关联交易</w:t>
      </w:r>
      <w:r>
        <w:rPr>
          <w:b w:val="0"/>
          <w:bCs w:val="0"/>
        </w:rPr>
      </w:r>
    </w:p>
    <w:p>
      <w:pPr>
        <w:spacing w:line="240" w:lineRule="auto" w:before="3"/>
        <w:rPr>
          <w:rFonts w:ascii="宋体" w:hAnsi="宋体" w:cs="宋体" w:eastAsia="宋体" w:hint="default"/>
          <w:b/>
          <w:bCs/>
          <w:sz w:val="25"/>
          <w:szCs w:val="25"/>
        </w:rPr>
      </w:pPr>
    </w:p>
    <w:p>
      <w:pPr>
        <w:pStyle w:val="Heading5"/>
        <w:spacing w:line="240" w:lineRule="auto"/>
        <w:ind w:left="532" w:right="6434"/>
        <w:jc w:val="left"/>
        <w:rPr>
          <w:b w:val="0"/>
          <w:bCs w:val="0"/>
        </w:rPr>
      </w:pPr>
      <w:bookmarkStart w:name="1、与日常经营相关的关联交易" w:id="82"/>
      <w:bookmarkEnd w:id="82"/>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left="532" w:right="6434"/>
        <w:jc w:val="left"/>
      </w:pPr>
      <w:r>
        <w:rPr/>
        <w:pict>
          <v:group style="position:absolute;margin-left:517.549988pt;margin-top:84.402695pt;width:42.25pt;height:368.15pt;mso-position-horizontal-relative:page;mso-position-vertical-relative:paragraph;z-index:-1487680" coordorigin="10351,1688" coordsize="845,7363">
            <v:shape style="position:absolute;left:10351;top:1688;width:845;height:7363" coordorigin="10351,1688" coordsize="845,7363" path="m10351,1688l11196,1688,11196,9051,10351,9051,10351,1688xe" filled="true" fillcolor="#ffffff" stroked="false">
              <v:path arrowok="t"/>
              <v:fill type="solid"/>
            </v:shape>
            <w10:wrap type="none"/>
          </v:group>
        </w:pict>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2"/>
        <w:rPr>
          <w:rFonts w:ascii="宋体" w:hAnsi="宋体" w:cs="宋体" w:eastAsia="宋体" w:hint="default"/>
          <w:sz w:val="7"/>
          <w:szCs w:val="7"/>
        </w:rPr>
      </w:pPr>
    </w:p>
    <w:tbl>
      <w:tblPr>
        <w:tblW w:w="0" w:type="auto"/>
        <w:jc w:val="left"/>
        <w:tblInd w:w="103" w:type="dxa"/>
        <w:tblLayout w:type="fixed"/>
        <w:tblCellMar>
          <w:top w:w="0" w:type="dxa"/>
          <w:left w:w="0" w:type="dxa"/>
          <w:bottom w:w="0" w:type="dxa"/>
          <w:right w:w="0" w:type="dxa"/>
        </w:tblCellMar>
        <w:tblLook w:val="01E0"/>
      </w:tblPr>
      <w:tblGrid>
        <w:gridCol w:w="1276"/>
        <w:gridCol w:w="851"/>
        <w:gridCol w:w="652"/>
        <w:gridCol w:w="907"/>
        <w:gridCol w:w="482"/>
        <w:gridCol w:w="653"/>
        <w:gridCol w:w="708"/>
        <w:gridCol w:w="709"/>
        <w:gridCol w:w="851"/>
        <w:gridCol w:w="708"/>
        <w:gridCol w:w="567"/>
        <w:gridCol w:w="709"/>
        <w:gridCol w:w="567"/>
        <w:gridCol w:w="850"/>
      </w:tblGrid>
      <w:tr>
        <w:trPr>
          <w:trHeight w:val="1338"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82" w:right="0"/>
              <w:jc w:val="left"/>
              <w:rPr>
                <w:rFonts w:ascii="宋体" w:hAnsi="宋体" w:cs="宋体" w:eastAsia="宋体" w:hint="default"/>
                <w:sz w:val="18"/>
                <w:szCs w:val="18"/>
              </w:rPr>
            </w:pPr>
            <w:r>
              <w:rPr>
                <w:rFonts w:ascii="宋体" w:hAnsi="宋体" w:cs="宋体" w:eastAsia="宋体" w:hint="default"/>
                <w:sz w:val="18"/>
                <w:szCs w:val="18"/>
              </w:rPr>
              <w:t>关联交易方</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0"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52" w:right="48"/>
              <w:jc w:val="left"/>
              <w:rPr>
                <w:rFonts w:ascii="宋体" w:hAnsi="宋体" w:cs="宋体" w:eastAsia="宋体" w:hint="default"/>
                <w:sz w:val="18"/>
                <w:szCs w:val="18"/>
              </w:rPr>
            </w:pPr>
            <w:r>
              <w:rPr>
                <w:rFonts w:ascii="宋体" w:hAnsi="宋体" w:cs="宋体" w:eastAsia="宋体" w:hint="default"/>
                <w:sz w:val="18"/>
                <w:szCs w:val="18"/>
              </w:rPr>
              <w:t>关联交 易类型</w:t>
            </w:r>
          </w:p>
        </w:tc>
        <w:tc>
          <w:tcPr>
            <w:tcW w:w="9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68" w:right="86" w:hanging="180"/>
              <w:jc w:val="left"/>
              <w:rPr>
                <w:rFonts w:ascii="宋体" w:hAnsi="宋体" w:cs="宋体" w:eastAsia="宋体" w:hint="default"/>
                <w:sz w:val="18"/>
                <w:szCs w:val="18"/>
              </w:rPr>
            </w:pPr>
            <w:r>
              <w:rPr>
                <w:rFonts w:ascii="宋体" w:hAnsi="宋体" w:cs="宋体" w:eastAsia="宋体" w:hint="default"/>
                <w:sz w:val="18"/>
                <w:szCs w:val="18"/>
              </w:rPr>
              <w:t>关联交易 内容</w:t>
            </w:r>
          </w:p>
        </w:tc>
        <w:tc>
          <w:tcPr>
            <w:tcW w:w="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55" w:right="54"/>
              <w:jc w:val="both"/>
              <w:rPr>
                <w:rFonts w:ascii="宋体" w:hAnsi="宋体" w:cs="宋体" w:eastAsia="宋体" w:hint="default"/>
                <w:sz w:val="18"/>
                <w:szCs w:val="18"/>
              </w:rPr>
            </w:pPr>
            <w:r>
              <w:rPr>
                <w:rFonts w:ascii="宋体" w:hAnsi="宋体" w:cs="宋体" w:eastAsia="宋体" w:hint="default"/>
                <w:sz w:val="18"/>
                <w:szCs w:val="18"/>
              </w:rPr>
              <w:t>关联 交易 定价 原则</w:t>
            </w:r>
          </w:p>
        </w:tc>
        <w:tc>
          <w:tcPr>
            <w:tcW w:w="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51" w:right="50"/>
              <w:jc w:val="left"/>
              <w:rPr>
                <w:rFonts w:ascii="宋体" w:hAnsi="宋体" w:cs="宋体" w:eastAsia="宋体" w:hint="default"/>
                <w:sz w:val="18"/>
                <w:szCs w:val="18"/>
              </w:rPr>
            </w:pPr>
            <w:r>
              <w:rPr>
                <w:rFonts w:ascii="宋体" w:hAnsi="宋体" w:cs="宋体" w:eastAsia="宋体" w:hint="default"/>
                <w:sz w:val="18"/>
                <w:szCs w:val="18"/>
              </w:rPr>
              <w:t>关联交 易价格</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79" w:right="76"/>
              <w:jc w:val="left"/>
              <w:rPr>
                <w:rFonts w:ascii="宋体" w:hAnsi="宋体" w:cs="宋体" w:eastAsia="宋体" w:hint="default"/>
                <w:sz w:val="18"/>
                <w:szCs w:val="18"/>
              </w:rPr>
            </w:pPr>
            <w:r>
              <w:rPr>
                <w:rFonts w:ascii="宋体" w:hAnsi="宋体" w:cs="宋体" w:eastAsia="宋体" w:hint="default"/>
                <w:sz w:val="18"/>
                <w:szCs w:val="18"/>
              </w:rPr>
              <w:t>关联交 易金额</w:t>
            </w:r>
          </w:p>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79" w:right="77"/>
              <w:jc w:val="center"/>
              <w:rPr>
                <w:rFonts w:ascii="宋体" w:hAnsi="宋体" w:cs="宋体" w:eastAsia="宋体" w:hint="default"/>
                <w:sz w:val="18"/>
                <w:szCs w:val="18"/>
              </w:rPr>
            </w:pPr>
            <w:r>
              <w:rPr>
                <w:rFonts w:ascii="宋体" w:hAnsi="宋体" w:cs="宋体" w:eastAsia="宋体" w:hint="default"/>
                <w:sz w:val="18"/>
                <w:szCs w:val="18"/>
              </w:rPr>
              <w:t>占同类 交易金</w:t>
            </w:r>
          </w:p>
          <w:p>
            <w:pPr>
              <w:pStyle w:val="TableParagraph"/>
              <w:spacing w:line="240" w:lineRule="auto" w:before="19"/>
              <w:ind w:left="-146"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45"/>
                <w:sz w:val="18"/>
                <w:szCs w:val="18"/>
              </w:rPr>
              <w:t> </w:t>
            </w:r>
            <w:r>
              <w:rPr>
                <w:rFonts w:ascii="宋体" w:hAnsi="宋体" w:cs="宋体" w:eastAsia="宋体" w:hint="default"/>
                <w:sz w:val="18"/>
                <w:szCs w:val="18"/>
              </w:rPr>
              <w:t>额的比</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例</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50" w:right="59" w:hanging="92"/>
              <w:jc w:val="left"/>
              <w:rPr>
                <w:rFonts w:ascii="宋体" w:hAnsi="宋体" w:cs="宋体" w:eastAsia="宋体" w:hint="default"/>
                <w:sz w:val="18"/>
                <w:szCs w:val="18"/>
              </w:rPr>
            </w:pPr>
            <w:r>
              <w:rPr>
                <w:rFonts w:ascii="宋体" w:hAnsi="宋体" w:cs="宋体" w:eastAsia="宋体" w:hint="default"/>
                <w:sz w:val="18"/>
                <w:szCs w:val="18"/>
              </w:rPr>
              <w:t>获批的交 易额度</w:t>
            </w:r>
          </w:p>
          <w:p>
            <w:pPr>
              <w:pStyle w:val="TableParagraph"/>
              <w:spacing w:line="240" w:lineRule="auto" w:before="19"/>
              <w:ind w:left="59"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79" w:right="76"/>
              <w:jc w:val="both"/>
              <w:rPr>
                <w:rFonts w:ascii="宋体" w:hAnsi="宋体" w:cs="宋体" w:eastAsia="宋体" w:hint="default"/>
                <w:sz w:val="18"/>
                <w:szCs w:val="18"/>
              </w:rPr>
            </w:pPr>
            <w:r>
              <w:rPr>
                <w:rFonts w:ascii="宋体" w:hAnsi="宋体" w:cs="宋体" w:eastAsia="宋体" w:hint="default"/>
                <w:sz w:val="18"/>
                <w:szCs w:val="18"/>
              </w:rPr>
              <w:t>是否超 过获批 额度</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98" w:right="96"/>
              <w:jc w:val="both"/>
              <w:rPr>
                <w:rFonts w:ascii="宋体" w:hAnsi="宋体" w:cs="宋体" w:eastAsia="宋体" w:hint="default"/>
                <w:sz w:val="18"/>
                <w:szCs w:val="18"/>
              </w:rPr>
            </w:pPr>
            <w:r>
              <w:rPr>
                <w:rFonts w:ascii="宋体" w:hAnsi="宋体" w:cs="宋体" w:eastAsia="宋体" w:hint="default"/>
                <w:sz w:val="18"/>
                <w:szCs w:val="18"/>
              </w:rPr>
              <w:t>关联 交易 结算 方式</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79" w:right="78"/>
              <w:jc w:val="center"/>
              <w:rPr>
                <w:rFonts w:ascii="宋体" w:hAnsi="宋体" w:cs="宋体" w:eastAsia="宋体" w:hint="default"/>
                <w:sz w:val="18"/>
                <w:szCs w:val="18"/>
              </w:rPr>
            </w:pPr>
            <w:r>
              <w:rPr>
                <w:rFonts w:ascii="宋体" w:hAnsi="宋体" w:cs="宋体" w:eastAsia="宋体" w:hint="default"/>
                <w:sz w:val="18"/>
                <w:szCs w:val="18"/>
              </w:rPr>
              <w:t>可获得 的同类 交易市 价</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97" w:right="98"/>
              <w:jc w:val="left"/>
              <w:rPr>
                <w:rFonts w:ascii="宋体" w:hAnsi="宋体" w:cs="宋体" w:eastAsia="宋体" w:hint="default"/>
                <w:sz w:val="18"/>
                <w:szCs w:val="18"/>
              </w:rPr>
            </w:pPr>
            <w:r>
              <w:rPr>
                <w:rFonts w:ascii="宋体" w:hAnsi="宋体" w:cs="宋体" w:eastAsia="宋体" w:hint="default"/>
                <w:sz w:val="18"/>
                <w:szCs w:val="18"/>
              </w:rPr>
              <w:t>披露 日期</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0"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714"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广电智能</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97"/>
              <w:jc w:val="left"/>
              <w:rPr>
                <w:rFonts w:ascii="宋体" w:hAnsi="宋体" w:cs="宋体" w:eastAsia="宋体" w:hint="default"/>
                <w:sz w:val="18"/>
                <w:szCs w:val="18"/>
              </w:rPr>
            </w:pPr>
            <w:r>
              <w:rPr>
                <w:rFonts w:ascii="宋体" w:hAnsi="宋体" w:cs="宋体" w:eastAsia="宋体" w:hint="default"/>
                <w:sz w:val="18"/>
                <w:szCs w:val="18"/>
              </w:rPr>
              <w:t>同一最终 母公司</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316" w:lineRule="auto"/>
              <w:ind w:left="23" w:right="77"/>
              <w:jc w:val="both"/>
              <w:rPr>
                <w:rFonts w:ascii="宋体" w:hAnsi="宋体" w:cs="宋体" w:eastAsia="宋体" w:hint="default"/>
                <w:sz w:val="18"/>
                <w:szCs w:val="18"/>
              </w:rPr>
            </w:pPr>
            <w:r>
              <w:rPr>
                <w:rFonts w:ascii="宋体" w:hAnsi="宋体" w:cs="宋体" w:eastAsia="宋体" w:hint="default"/>
                <w:sz w:val="18"/>
                <w:szCs w:val="18"/>
              </w:rPr>
              <w:t>向关联 人采购 商品</w:t>
            </w:r>
          </w:p>
        </w:tc>
        <w:tc>
          <w:tcPr>
            <w:tcW w:w="90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48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316" w:lineRule="auto"/>
              <w:ind w:left="21" w:right="23"/>
              <w:jc w:val="left"/>
              <w:rPr>
                <w:rFonts w:ascii="宋体" w:hAnsi="宋体" w:cs="宋体" w:eastAsia="宋体" w:hint="default"/>
                <w:sz w:val="18"/>
                <w:szCs w:val="18"/>
              </w:rPr>
            </w:pPr>
            <w:r>
              <w:rPr>
                <w:rFonts w:ascii="宋体" w:hAnsi="宋体" w:cs="宋体" w:eastAsia="宋体" w:hint="default"/>
                <w:sz w:val="18"/>
                <w:szCs w:val="18"/>
              </w:rPr>
              <w:t>市</w:t>
            </w:r>
            <w:r>
              <w:rPr>
                <w:rFonts w:ascii="宋体" w:hAnsi="宋体" w:cs="宋体" w:eastAsia="宋体" w:hint="default"/>
                <w:spacing w:val="-26"/>
                <w:sz w:val="18"/>
                <w:szCs w:val="18"/>
              </w:rPr>
              <w:t> </w:t>
            </w:r>
            <w:r>
              <w:rPr>
                <w:rFonts w:ascii="宋体" w:hAnsi="宋体" w:cs="宋体" w:eastAsia="宋体" w:hint="default"/>
                <w:sz w:val="18"/>
                <w:szCs w:val="18"/>
              </w:rPr>
              <w:t>场</w:t>
            </w:r>
            <w:r>
              <w:rPr>
                <w:rFonts w:ascii="宋体" w:hAnsi="宋体" w:cs="宋体" w:eastAsia="宋体" w:hint="default"/>
                <w:sz w:val="18"/>
                <w:szCs w:val="18"/>
              </w:rPr>
              <w:t> 定价</w:t>
            </w:r>
          </w:p>
        </w:tc>
        <w:tc>
          <w:tcPr>
            <w:tcW w:w="65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688.98</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0.33%</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2,157</w:t>
            </w:r>
          </w:p>
        </w:tc>
        <w:tc>
          <w:tcPr>
            <w:tcW w:w="70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56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316" w:lineRule="auto"/>
              <w:ind w:left="98" w:right="96"/>
              <w:jc w:val="left"/>
              <w:rPr>
                <w:rFonts w:ascii="宋体" w:hAnsi="宋体" w:cs="宋体" w:eastAsia="宋体" w:hint="default"/>
                <w:sz w:val="18"/>
                <w:szCs w:val="18"/>
              </w:rPr>
            </w:pPr>
            <w:r>
              <w:rPr>
                <w:rFonts w:ascii="宋体" w:hAnsi="宋体" w:cs="宋体" w:eastAsia="宋体" w:hint="default"/>
                <w:sz w:val="18"/>
                <w:szCs w:val="18"/>
              </w:rPr>
              <w:t>转账 结算</w:t>
            </w:r>
          </w:p>
        </w:tc>
        <w:tc>
          <w:tcPr>
            <w:tcW w:w="70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6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p>
            <w:pPr>
              <w:pStyle w:val="TableParagraph"/>
              <w:spacing w:line="240" w:lineRule="auto" w:before="102"/>
              <w:ind w:left="22"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刊登在</w:t>
            </w:r>
          </w:p>
          <w:p>
            <w:pPr>
              <w:pStyle w:val="TableParagraph"/>
              <w:spacing w:line="316" w:lineRule="auto" w:before="76"/>
              <w:ind w:left="22" w:right="96"/>
              <w:jc w:val="left"/>
              <w:rPr>
                <w:rFonts w:ascii="宋体" w:hAnsi="宋体" w:cs="宋体" w:eastAsia="宋体" w:hint="default"/>
                <w:sz w:val="18"/>
                <w:szCs w:val="18"/>
              </w:rPr>
            </w:pPr>
            <w:r>
              <w:rPr>
                <w:rFonts w:ascii="宋体" w:hAnsi="宋体" w:cs="宋体" w:eastAsia="宋体" w:hint="default"/>
                <w:sz w:val="18"/>
                <w:szCs w:val="18"/>
              </w:rPr>
              <w:t>《证券时 报》《中 国证券 报》及巨 潮资讯网</w:t>
            </w:r>
          </w:p>
          <w:p>
            <w:pPr>
              <w:pStyle w:val="TableParagraph"/>
              <w:spacing w:line="338" w:lineRule="auto" w:before="19"/>
              <w:ind w:left="22" w:right="70" w:hanging="161"/>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www.cnin</w:t>
            </w:r>
            <w:r>
              <w:rPr>
                <w:rFonts w:ascii="Times New Roman" w:hAnsi="Times New Roman" w:cs="Times New Roman" w:eastAsia="Times New Roman" w:hint="default"/>
                <w:spacing w:val="-42"/>
                <w:sz w:val="18"/>
                <w:szCs w:val="18"/>
              </w:rPr>
              <w:t> </w:t>
            </w:r>
            <w:r>
              <w:rPr>
                <w:rFonts w:ascii="Times New Roman" w:hAnsi="Times New Roman" w:cs="Times New Roman" w:eastAsia="Times New Roman" w:hint="default"/>
                <w:spacing w:val="-42"/>
                <w:sz w:val="18"/>
                <w:szCs w:val="18"/>
              </w:rPr>
            </w:r>
            <w:r>
              <w:rPr>
                <w:rFonts w:ascii="Times New Roman" w:hAnsi="Times New Roman" w:cs="Times New Roman" w:eastAsia="Times New Roman" w:hint="default"/>
                <w:sz w:val="18"/>
                <w:szCs w:val="18"/>
              </w:rPr>
              <w:t>fo.com.cn</w:t>
            </w:r>
            <w:r>
              <w:rPr>
                <w:rFonts w:ascii="Times New Roman" w:hAnsi="Times New Roman" w:cs="Times New Roman" w:eastAsia="Times New Roman" w:hint="default"/>
                <w:sz w:val="18"/>
                <w:szCs w:val="18"/>
              </w:rPr>
              <w:t> </w:t>
            </w:r>
            <w:r>
              <w:rPr>
                <w:rFonts w:ascii="宋体" w:hAnsi="宋体" w:cs="宋体" w:eastAsia="宋体" w:hint="default"/>
                <w:sz w:val="18"/>
                <w:szCs w:val="18"/>
              </w:rPr>
              <w:t>上的临 </w:t>
            </w:r>
            <w:r>
              <w:rPr>
                <w:rFonts w:ascii="Times New Roman" w:hAnsi="Times New Roman" w:cs="Times New Roman" w:eastAsia="Times New Roman" w:hint="default"/>
                <w:sz w:val="18"/>
                <w:szCs w:val="18"/>
              </w:rPr>
              <w:t>2019-027</w:t>
            </w:r>
          </w:p>
          <w:p>
            <w:pPr>
              <w:pStyle w:val="TableParagraph"/>
              <w:spacing w:line="219" w:lineRule="exact"/>
              <w:ind w:left="22" w:right="0"/>
              <w:jc w:val="left"/>
              <w:rPr>
                <w:rFonts w:ascii="宋体" w:hAnsi="宋体" w:cs="宋体" w:eastAsia="宋体" w:hint="default"/>
                <w:sz w:val="18"/>
                <w:szCs w:val="18"/>
              </w:rPr>
            </w:pPr>
            <w:r>
              <w:rPr>
                <w:rFonts w:ascii="宋体" w:hAnsi="宋体" w:cs="宋体" w:eastAsia="宋体" w:hint="default"/>
                <w:sz w:val="18"/>
                <w:szCs w:val="18"/>
              </w:rPr>
              <w:t>号公告、</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临</w:t>
            </w:r>
          </w:p>
          <w:p>
            <w:pPr>
              <w:pStyle w:val="TableParagraph"/>
              <w:spacing w:line="240" w:lineRule="auto" w:before="116"/>
              <w:ind w:left="22" w:right="0"/>
              <w:jc w:val="left"/>
              <w:rPr>
                <w:rFonts w:ascii="Times New Roman" w:hAnsi="Times New Roman" w:cs="Times New Roman" w:eastAsia="Times New Roman" w:hint="default"/>
                <w:sz w:val="18"/>
                <w:szCs w:val="18"/>
              </w:rPr>
            </w:pPr>
            <w:r>
              <w:rPr>
                <w:rFonts w:ascii="Times New Roman"/>
                <w:sz w:val="18"/>
              </w:rPr>
              <w:t>2019-058</w:t>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号公告</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广州辉远</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652" w:type="dxa"/>
            <w:vMerge/>
            <w:tcBorders>
              <w:left w:val="single" w:sz="4" w:space="0" w:color="000000"/>
              <w:right w:val="single" w:sz="4" w:space="0" w:color="000000"/>
            </w:tcBorders>
          </w:tcPr>
          <w:p>
            <w:pPr/>
          </w:p>
        </w:tc>
        <w:tc>
          <w:tcPr>
            <w:tcW w:w="907" w:type="dxa"/>
            <w:vMerge/>
            <w:tcBorders>
              <w:left w:val="single" w:sz="4" w:space="0" w:color="000000"/>
              <w:right w:val="single" w:sz="4" w:space="0" w:color="000000"/>
            </w:tcBorders>
          </w:tcPr>
          <w:p>
            <w:pPr/>
          </w:p>
        </w:tc>
        <w:tc>
          <w:tcPr>
            <w:tcW w:w="482"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375</w:t>
            </w:r>
          </w:p>
        </w:tc>
        <w:tc>
          <w:tcPr>
            <w:tcW w:w="708" w:type="dxa"/>
            <w:vMerge/>
            <w:tcBorders>
              <w:left w:val="single" w:sz="4" w:space="0" w:color="000000"/>
              <w:right w:val="single" w:sz="4" w:space="0" w:color="000000"/>
            </w:tcBorders>
          </w:tcPr>
          <w:p>
            <w:pPr/>
          </w:p>
        </w:tc>
        <w:tc>
          <w:tcPr>
            <w:tcW w:w="567"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567"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广电研究院</w:t>
            </w:r>
          </w:p>
        </w:tc>
        <w:tc>
          <w:tcPr>
            <w:tcW w:w="851" w:type="dxa"/>
            <w:vMerge w:val="restart"/>
            <w:tcBorders>
              <w:top w:val="single" w:sz="4" w:space="0" w:color="000000"/>
              <w:left w:val="single" w:sz="4" w:space="0" w:color="000000"/>
              <w:right w:val="single" w:sz="4" w:space="0" w:color="000000"/>
            </w:tcBorders>
          </w:tcPr>
          <w:p>
            <w:pPr>
              <w:pStyle w:val="TableParagraph"/>
              <w:spacing w:line="316" w:lineRule="auto" w:before="95"/>
              <w:ind w:left="22" w:right="97"/>
              <w:jc w:val="left"/>
              <w:rPr>
                <w:rFonts w:ascii="宋体" w:hAnsi="宋体" w:cs="宋体" w:eastAsia="宋体" w:hint="default"/>
                <w:sz w:val="18"/>
                <w:szCs w:val="18"/>
              </w:rPr>
            </w:pPr>
            <w:r>
              <w:rPr>
                <w:rFonts w:ascii="宋体" w:hAnsi="宋体" w:cs="宋体" w:eastAsia="宋体" w:hint="default"/>
                <w:sz w:val="18"/>
                <w:szCs w:val="18"/>
              </w:rPr>
              <w:t>同一最终 母公司</w:t>
            </w:r>
          </w:p>
        </w:tc>
        <w:tc>
          <w:tcPr>
            <w:tcW w:w="652" w:type="dxa"/>
            <w:vMerge/>
            <w:tcBorders>
              <w:left w:val="single" w:sz="4" w:space="0" w:color="000000"/>
              <w:right w:val="single" w:sz="4" w:space="0" w:color="000000"/>
            </w:tcBorders>
          </w:tcPr>
          <w:p>
            <w:pPr/>
          </w:p>
        </w:tc>
        <w:tc>
          <w:tcPr>
            <w:tcW w:w="907" w:type="dxa"/>
            <w:vMerge/>
            <w:tcBorders>
              <w:left w:val="single" w:sz="4" w:space="0" w:color="000000"/>
              <w:right w:val="single" w:sz="4" w:space="0" w:color="000000"/>
            </w:tcBorders>
          </w:tcPr>
          <w:p>
            <w:pPr/>
          </w:p>
        </w:tc>
        <w:tc>
          <w:tcPr>
            <w:tcW w:w="482"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w:t>
            </w:r>
          </w:p>
        </w:tc>
        <w:tc>
          <w:tcPr>
            <w:tcW w:w="708" w:type="dxa"/>
            <w:vMerge/>
            <w:tcBorders>
              <w:left w:val="single" w:sz="4" w:space="0" w:color="000000"/>
              <w:right w:val="single" w:sz="4" w:space="0" w:color="000000"/>
            </w:tcBorders>
          </w:tcPr>
          <w:p>
            <w:pPr/>
          </w:p>
        </w:tc>
        <w:tc>
          <w:tcPr>
            <w:tcW w:w="567"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567"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海格通信</w:t>
            </w:r>
          </w:p>
        </w:tc>
        <w:tc>
          <w:tcPr>
            <w:tcW w:w="851"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907" w:type="dxa"/>
            <w:vMerge/>
            <w:tcBorders>
              <w:left w:val="single" w:sz="4" w:space="0" w:color="000000"/>
              <w:bottom w:val="single" w:sz="4" w:space="0" w:color="000000"/>
              <w:right w:val="single" w:sz="4" w:space="0" w:color="000000"/>
            </w:tcBorders>
          </w:tcPr>
          <w:p>
            <w:pPr/>
          </w:p>
        </w:tc>
        <w:tc>
          <w:tcPr>
            <w:tcW w:w="482"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4.09</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2"/>
              <w:jc w:val="right"/>
              <w:rPr>
                <w:rFonts w:ascii="Times New Roman" w:hAnsi="Times New Roman" w:cs="Times New Roman" w:eastAsia="Times New Roman" w:hint="default"/>
                <w:sz w:val="20"/>
                <w:szCs w:val="20"/>
              </w:rPr>
            </w:pPr>
            <w:r>
              <w:rPr>
                <w:rFonts w:ascii="Times New Roman"/>
                <w:w w:val="95"/>
                <w:sz w:val="20"/>
              </w:rPr>
              <w:t>0.00%</w:t>
            </w:r>
            <w:r>
              <w:rPr>
                <w:rFonts w:ascii="Times New Roman"/>
                <w:sz w:val="20"/>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450</w:t>
            </w:r>
          </w:p>
        </w:tc>
        <w:tc>
          <w:tcPr>
            <w:tcW w:w="708" w:type="dxa"/>
            <w:vMerge/>
            <w:tcBorders>
              <w:left w:val="single" w:sz="4" w:space="0" w:color="000000"/>
              <w:bottom w:val="single" w:sz="4" w:space="0" w:color="000000"/>
              <w:right w:val="single" w:sz="4" w:space="0" w:color="000000"/>
            </w:tcBorders>
          </w:tcPr>
          <w:p>
            <w:pPr/>
          </w:p>
        </w:tc>
        <w:tc>
          <w:tcPr>
            <w:tcW w:w="567"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567"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无线电集团</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控股股东</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49"/>
              <w:ind w:left="23" w:right="77"/>
              <w:jc w:val="both"/>
              <w:rPr>
                <w:rFonts w:ascii="宋体" w:hAnsi="宋体" w:cs="宋体" w:eastAsia="宋体" w:hint="default"/>
                <w:sz w:val="18"/>
                <w:szCs w:val="18"/>
              </w:rPr>
            </w:pPr>
            <w:r>
              <w:rPr>
                <w:rFonts w:ascii="宋体" w:hAnsi="宋体" w:cs="宋体" w:eastAsia="宋体" w:hint="default"/>
                <w:sz w:val="18"/>
                <w:szCs w:val="18"/>
              </w:rPr>
              <w:t>接受关 联人提 供的服 务</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管理服务</w:t>
            </w:r>
          </w:p>
        </w:tc>
        <w:tc>
          <w:tcPr>
            <w:tcW w:w="482"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70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6"/>
              <w:ind w:left="1"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567"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567"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广电计量</w:t>
            </w:r>
          </w:p>
        </w:tc>
        <w:tc>
          <w:tcPr>
            <w:tcW w:w="85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9"/>
                <w:szCs w:val="19"/>
              </w:rPr>
            </w:pPr>
          </w:p>
          <w:p>
            <w:pPr>
              <w:pStyle w:val="TableParagraph"/>
              <w:spacing w:line="316" w:lineRule="auto"/>
              <w:ind w:left="22" w:right="97"/>
              <w:jc w:val="left"/>
              <w:rPr>
                <w:rFonts w:ascii="宋体" w:hAnsi="宋体" w:cs="宋体" w:eastAsia="宋体" w:hint="default"/>
                <w:sz w:val="18"/>
                <w:szCs w:val="18"/>
              </w:rPr>
            </w:pPr>
            <w:r>
              <w:rPr>
                <w:rFonts w:ascii="宋体" w:hAnsi="宋体" w:cs="宋体" w:eastAsia="宋体" w:hint="default"/>
                <w:sz w:val="18"/>
                <w:szCs w:val="18"/>
              </w:rPr>
              <w:t>同一最终 母公司</w:t>
            </w:r>
          </w:p>
        </w:tc>
        <w:tc>
          <w:tcPr>
            <w:tcW w:w="652" w:type="dxa"/>
            <w:vMerge/>
            <w:tcBorders>
              <w:left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计量检测</w:t>
            </w:r>
          </w:p>
        </w:tc>
        <w:tc>
          <w:tcPr>
            <w:tcW w:w="482"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11.89</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Times New Roman" w:hAnsi="Times New Roman" w:cs="Times New Roman" w:eastAsia="Times New Roman" w:hint="default"/>
                <w:sz w:val="18"/>
                <w:szCs w:val="18"/>
              </w:rPr>
            </w:pPr>
            <w:r>
              <w:rPr>
                <w:rFonts w:ascii="Times New Roman"/>
                <w:sz w:val="18"/>
              </w:rPr>
              <w:t>4.90%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20</w:t>
            </w:r>
          </w:p>
        </w:tc>
        <w:tc>
          <w:tcPr>
            <w:tcW w:w="708" w:type="dxa"/>
            <w:vMerge/>
            <w:tcBorders>
              <w:left w:val="single" w:sz="4" w:space="0" w:color="000000"/>
              <w:right w:val="single" w:sz="4" w:space="0" w:color="000000"/>
            </w:tcBorders>
          </w:tcPr>
          <w:p>
            <w:pPr/>
          </w:p>
        </w:tc>
        <w:tc>
          <w:tcPr>
            <w:tcW w:w="567"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567"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海格通信</w:t>
            </w:r>
          </w:p>
        </w:tc>
        <w:tc>
          <w:tcPr>
            <w:tcW w:w="851"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907" w:type="dxa"/>
            <w:vMerge w:val="restart"/>
            <w:tcBorders>
              <w:top w:val="single" w:sz="4" w:space="0" w:color="000000"/>
              <w:left w:val="single" w:sz="4" w:space="0" w:color="000000"/>
              <w:right w:val="single" w:sz="4" w:space="0" w:color="000000"/>
            </w:tcBorders>
          </w:tcPr>
          <w:p>
            <w:pPr>
              <w:pStyle w:val="TableParagraph"/>
              <w:spacing w:line="316" w:lineRule="auto" w:before="95"/>
              <w:ind w:left="24" w:right="151"/>
              <w:jc w:val="left"/>
              <w:rPr>
                <w:rFonts w:ascii="宋体" w:hAnsi="宋体" w:cs="宋体" w:eastAsia="宋体" w:hint="default"/>
                <w:sz w:val="18"/>
                <w:szCs w:val="18"/>
              </w:rPr>
            </w:pPr>
            <w:r>
              <w:rPr>
                <w:rFonts w:ascii="宋体" w:hAnsi="宋体" w:cs="宋体" w:eastAsia="宋体" w:hint="default"/>
                <w:sz w:val="18"/>
                <w:szCs w:val="18"/>
              </w:rPr>
              <w:t>接受技术 服务</w:t>
            </w:r>
          </w:p>
        </w:tc>
        <w:tc>
          <w:tcPr>
            <w:tcW w:w="482"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2"/>
              <w:jc w:val="right"/>
              <w:rPr>
                <w:rFonts w:ascii="Times New Roman" w:hAnsi="Times New Roman" w:cs="Times New Roman" w:eastAsia="Times New Roman" w:hint="default"/>
                <w:sz w:val="20"/>
                <w:szCs w:val="20"/>
              </w:rPr>
            </w:pPr>
            <w:r>
              <w:rPr>
                <w:rFonts w:ascii="Times New Roman"/>
                <w:w w:val="95"/>
                <w:sz w:val="20"/>
              </w:rPr>
              <w:t>0.00%</w:t>
            </w:r>
            <w:r>
              <w:rPr>
                <w:rFonts w:ascii="Times New Roman"/>
                <w:sz w:val="20"/>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w:t>
            </w:r>
          </w:p>
        </w:tc>
        <w:tc>
          <w:tcPr>
            <w:tcW w:w="708" w:type="dxa"/>
            <w:vMerge/>
            <w:tcBorders>
              <w:left w:val="single" w:sz="4" w:space="0" w:color="000000"/>
              <w:right w:val="single" w:sz="4" w:space="0" w:color="000000"/>
            </w:tcBorders>
          </w:tcPr>
          <w:p>
            <w:pPr/>
          </w:p>
        </w:tc>
        <w:tc>
          <w:tcPr>
            <w:tcW w:w="567"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567"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广电城市服务</w:t>
            </w:r>
          </w:p>
        </w:tc>
        <w:tc>
          <w:tcPr>
            <w:tcW w:w="851"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907" w:type="dxa"/>
            <w:vMerge/>
            <w:tcBorders>
              <w:left w:val="single" w:sz="4" w:space="0" w:color="000000"/>
              <w:bottom w:val="single" w:sz="4" w:space="0" w:color="000000"/>
              <w:right w:val="single" w:sz="4" w:space="0" w:color="000000"/>
            </w:tcBorders>
          </w:tcPr>
          <w:p>
            <w:pPr/>
          </w:p>
        </w:tc>
        <w:tc>
          <w:tcPr>
            <w:tcW w:w="482"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656.72</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8.44%</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755</w:t>
            </w:r>
          </w:p>
        </w:tc>
        <w:tc>
          <w:tcPr>
            <w:tcW w:w="708" w:type="dxa"/>
            <w:vMerge/>
            <w:tcBorders>
              <w:left w:val="single" w:sz="4" w:space="0" w:color="000000"/>
              <w:right w:val="single" w:sz="4" w:space="0" w:color="000000"/>
            </w:tcBorders>
          </w:tcPr>
          <w:p>
            <w:pPr/>
          </w:p>
        </w:tc>
        <w:tc>
          <w:tcPr>
            <w:tcW w:w="567"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567"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广电研究院</w:t>
            </w:r>
          </w:p>
        </w:tc>
        <w:tc>
          <w:tcPr>
            <w:tcW w:w="851"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482"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750</w:t>
            </w:r>
          </w:p>
        </w:tc>
        <w:tc>
          <w:tcPr>
            <w:tcW w:w="708" w:type="dxa"/>
            <w:vMerge/>
            <w:tcBorders>
              <w:left w:val="single" w:sz="4" w:space="0" w:color="000000"/>
              <w:bottom w:val="single" w:sz="4" w:space="0" w:color="000000"/>
              <w:right w:val="single" w:sz="4" w:space="0" w:color="000000"/>
            </w:tcBorders>
          </w:tcPr>
          <w:p>
            <w:pPr/>
          </w:p>
        </w:tc>
        <w:tc>
          <w:tcPr>
            <w:tcW w:w="567"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567"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r>
      <w:tr>
        <w:trPr>
          <w:trHeight w:val="1026"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4" w:right="0"/>
              <w:jc w:val="left"/>
              <w:rPr>
                <w:rFonts w:ascii="宋体" w:hAnsi="宋体" w:cs="宋体" w:eastAsia="宋体" w:hint="default"/>
                <w:sz w:val="18"/>
                <w:szCs w:val="18"/>
              </w:rPr>
            </w:pPr>
            <w:r>
              <w:rPr>
                <w:rFonts w:ascii="宋体" w:hAnsi="宋体" w:cs="宋体" w:eastAsia="宋体" w:hint="default"/>
                <w:sz w:val="18"/>
                <w:szCs w:val="18"/>
              </w:rPr>
              <w:t>海格通信</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2" w:right="97"/>
              <w:jc w:val="left"/>
              <w:rPr>
                <w:rFonts w:ascii="宋体" w:hAnsi="宋体" w:cs="宋体" w:eastAsia="宋体" w:hint="default"/>
                <w:sz w:val="18"/>
                <w:szCs w:val="18"/>
              </w:rPr>
            </w:pPr>
            <w:r>
              <w:rPr>
                <w:rFonts w:ascii="宋体" w:hAnsi="宋体" w:cs="宋体" w:eastAsia="宋体" w:hint="default"/>
                <w:sz w:val="18"/>
                <w:szCs w:val="18"/>
              </w:rPr>
              <w:t>同一最终 母公司</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77"/>
              <w:jc w:val="both"/>
              <w:rPr>
                <w:rFonts w:ascii="宋体" w:hAnsi="宋体" w:cs="宋体" w:eastAsia="宋体" w:hint="default"/>
                <w:sz w:val="18"/>
                <w:szCs w:val="18"/>
              </w:rPr>
            </w:pPr>
            <w:r>
              <w:rPr>
                <w:rFonts w:ascii="宋体" w:hAnsi="宋体" w:cs="宋体" w:eastAsia="宋体" w:hint="default"/>
                <w:sz w:val="18"/>
                <w:szCs w:val="18"/>
              </w:rPr>
              <w:t>向关联 人承租 房屋</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4" w:right="151"/>
              <w:jc w:val="left"/>
              <w:rPr>
                <w:rFonts w:ascii="宋体" w:hAnsi="宋体" w:cs="宋体" w:eastAsia="宋体" w:hint="default"/>
                <w:sz w:val="18"/>
                <w:szCs w:val="18"/>
              </w:rPr>
            </w:pPr>
            <w:r>
              <w:rPr>
                <w:rFonts w:ascii="宋体" w:hAnsi="宋体" w:cs="宋体" w:eastAsia="宋体" w:hint="default"/>
                <w:sz w:val="18"/>
                <w:szCs w:val="18"/>
              </w:rPr>
              <w:t>租赁员工 宿舍</w:t>
            </w:r>
          </w:p>
        </w:tc>
        <w:tc>
          <w:tcPr>
            <w:tcW w:w="482"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96.96</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567"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567"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广州辉远</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316" w:lineRule="auto"/>
              <w:ind w:left="23" w:right="77"/>
              <w:jc w:val="both"/>
              <w:rPr>
                <w:rFonts w:ascii="宋体" w:hAnsi="宋体" w:cs="宋体" w:eastAsia="宋体" w:hint="default"/>
                <w:sz w:val="18"/>
                <w:szCs w:val="18"/>
              </w:rPr>
            </w:pPr>
            <w:r>
              <w:rPr>
                <w:rFonts w:ascii="宋体" w:hAnsi="宋体" w:cs="宋体" w:eastAsia="宋体" w:hint="default"/>
                <w:sz w:val="18"/>
                <w:szCs w:val="18"/>
              </w:rPr>
              <w:t>向关联 人出售 商品</w:t>
            </w:r>
          </w:p>
        </w:tc>
        <w:tc>
          <w:tcPr>
            <w:tcW w:w="90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出售商品</w:t>
            </w:r>
          </w:p>
        </w:tc>
        <w:tc>
          <w:tcPr>
            <w:tcW w:w="482"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w:t>
            </w:r>
          </w:p>
        </w:tc>
        <w:tc>
          <w:tcPr>
            <w:tcW w:w="70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567"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567"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无线电集团</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控股股东</w:t>
            </w:r>
          </w:p>
        </w:tc>
        <w:tc>
          <w:tcPr>
            <w:tcW w:w="652" w:type="dxa"/>
            <w:vMerge/>
            <w:tcBorders>
              <w:left w:val="single" w:sz="4" w:space="0" w:color="000000"/>
              <w:right w:val="single" w:sz="4" w:space="0" w:color="000000"/>
            </w:tcBorders>
          </w:tcPr>
          <w:p>
            <w:pPr/>
          </w:p>
        </w:tc>
        <w:tc>
          <w:tcPr>
            <w:tcW w:w="907" w:type="dxa"/>
            <w:vMerge/>
            <w:tcBorders>
              <w:left w:val="single" w:sz="4" w:space="0" w:color="000000"/>
              <w:right w:val="single" w:sz="4" w:space="0" w:color="000000"/>
            </w:tcBorders>
          </w:tcPr>
          <w:p>
            <w:pPr/>
          </w:p>
        </w:tc>
        <w:tc>
          <w:tcPr>
            <w:tcW w:w="482"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20"/>
                <w:szCs w:val="20"/>
              </w:rPr>
            </w:pPr>
            <w:r>
              <w:rPr>
                <w:rFonts w:ascii="Times New Roman"/>
                <w:w w:val="95"/>
                <w:sz w:val="20"/>
              </w:rPr>
              <w:t>30.20</w:t>
            </w:r>
            <w:r>
              <w:rPr>
                <w:rFonts w:ascii="Times New Roman"/>
                <w:sz w:val="20"/>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2"/>
              <w:jc w:val="right"/>
              <w:rPr>
                <w:rFonts w:ascii="Times New Roman" w:hAnsi="Times New Roman" w:cs="Times New Roman" w:eastAsia="Times New Roman" w:hint="default"/>
                <w:sz w:val="20"/>
                <w:szCs w:val="20"/>
              </w:rPr>
            </w:pPr>
            <w:r>
              <w:rPr>
                <w:rFonts w:ascii="Times New Roman"/>
                <w:w w:val="95"/>
                <w:sz w:val="20"/>
              </w:rPr>
              <w:t>0.00%</w:t>
            </w:r>
            <w:r>
              <w:rPr>
                <w:rFonts w:ascii="Times New Roman"/>
                <w:sz w:val="20"/>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580</w:t>
            </w:r>
          </w:p>
        </w:tc>
        <w:tc>
          <w:tcPr>
            <w:tcW w:w="708" w:type="dxa"/>
            <w:vMerge/>
            <w:tcBorders>
              <w:left w:val="single" w:sz="4" w:space="0" w:color="000000"/>
              <w:right w:val="single" w:sz="4" w:space="0" w:color="000000"/>
            </w:tcBorders>
          </w:tcPr>
          <w:p>
            <w:pPr/>
          </w:p>
        </w:tc>
        <w:tc>
          <w:tcPr>
            <w:tcW w:w="567"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567"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广电研究院</w:t>
            </w:r>
          </w:p>
        </w:tc>
        <w:tc>
          <w:tcPr>
            <w:tcW w:w="85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316" w:lineRule="auto"/>
              <w:ind w:left="22" w:right="97"/>
              <w:jc w:val="left"/>
              <w:rPr>
                <w:rFonts w:ascii="宋体" w:hAnsi="宋体" w:cs="宋体" w:eastAsia="宋体" w:hint="default"/>
                <w:sz w:val="18"/>
                <w:szCs w:val="18"/>
              </w:rPr>
            </w:pPr>
            <w:r>
              <w:rPr>
                <w:rFonts w:ascii="宋体" w:hAnsi="宋体" w:cs="宋体" w:eastAsia="宋体" w:hint="default"/>
                <w:sz w:val="18"/>
                <w:szCs w:val="18"/>
              </w:rPr>
              <w:t>同一最终 母公司</w:t>
            </w:r>
          </w:p>
        </w:tc>
        <w:tc>
          <w:tcPr>
            <w:tcW w:w="652" w:type="dxa"/>
            <w:vMerge/>
            <w:tcBorders>
              <w:left w:val="single" w:sz="4" w:space="0" w:color="000000"/>
              <w:right w:val="single" w:sz="4" w:space="0" w:color="000000"/>
            </w:tcBorders>
          </w:tcPr>
          <w:p>
            <w:pPr/>
          </w:p>
        </w:tc>
        <w:tc>
          <w:tcPr>
            <w:tcW w:w="907" w:type="dxa"/>
            <w:vMerge/>
            <w:tcBorders>
              <w:left w:val="single" w:sz="4" w:space="0" w:color="000000"/>
              <w:right w:val="single" w:sz="4" w:space="0" w:color="000000"/>
            </w:tcBorders>
          </w:tcPr>
          <w:p>
            <w:pPr/>
          </w:p>
        </w:tc>
        <w:tc>
          <w:tcPr>
            <w:tcW w:w="482"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20"/>
                <w:szCs w:val="20"/>
              </w:rPr>
            </w:pPr>
            <w:r>
              <w:rPr>
                <w:rFonts w:ascii="Times New Roman"/>
                <w:w w:val="95"/>
                <w:sz w:val="20"/>
              </w:rPr>
              <w:t>715.99</w:t>
            </w:r>
            <w:r>
              <w:rPr>
                <w:rFonts w:ascii="Times New Roman"/>
                <w:sz w:val="20"/>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2"/>
              <w:jc w:val="right"/>
              <w:rPr>
                <w:rFonts w:ascii="Times New Roman" w:hAnsi="Times New Roman" w:cs="Times New Roman" w:eastAsia="Times New Roman" w:hint="default"/>
                <w:sz w:val="20"/>
                <w:szCs w:val="20"/>
              </w:rPr>
            </w:pPr>
            <w:r>
              <w:rPr>
                <w:rFonts w:ascii="Times New Roman"/>
                <w:w w:val="95"/>
                <w:sz w:val="20"/>
              </w:rPr>
              <w:t>0.11%</w:t>
            </w:r>
            <w:r>
              <w:rPr>
                <w:rFonts w:ascii="Times New Roman"/>
                <w:sz w:val="20"/>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1,148</w:t>
            </w:r>
          </w:p>
        </w:tc>
        <w:tc>
          <w:tcPr>
            <w:tcW w:w="708" w:type="dxa"/>
            <w:vMerge/>
            <w:tcBorders>
              <w:left w:val="single" w:sz="4" w:space="0" w:color="000000"/>
              <w:right w:val="single" w:sz="4" w:space="0" w:color="000000"/>
            </w:tcBorders>
          </w:tcPr>
          <w:p>
            <w:pPr/>
          </w:p>
        </w:tc>
        <w:tc>
          <w:tcPr>
            <w:tcW w:w="567"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567"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海格通信</w:t>
            </w:r>
          </w:p>
        </w:tc>
        <w:tc>
          <w:tcPr>
            <w:tcW w:w="851"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907" w:type="dxa"/>
            <w:vMerge/>
            <w:tcBorders>
              <w:left w:val="single" w:sz="4" w:space="0" w:color="000000"/>
              <w:right w:val="single" w:sz="4" w:space="0" w:color="000000"/>
            </w:tcBorders>
          </w:tcPr>
          <w:p>
            <w:pPr/>
          </w:p>
        </w:tc>
        <w:tc>
          <w:tcPr>
            <w:tcW w:w="482"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20"/>
                <w:szCs w:val="20"/>
              </w:rPr>
            </w:pPr>
            <w:r>
              <w:rPr>
                <w:rFonts w:ascii="Times New Roman"/>
                <w:sz w:val="20"/>
              </w:rPr>
              <w:t>7.55</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2"/>
              <w:jc w:val="right"/>
              <w:rPr>
                <w:rFonts w:ascii="Times New Roman" w:hAnsi="Times New Roman" w:cs="Times New Roman" w:eastAsia="Times New Roman" w:hint="default"/>
                <w:sz w:val="20"/>
                <w:szCs w:val="20"/>
              </w:rPr>
            </w:pPr>
            <w:r>
              <w:rPr>
                <w:rFonts w:ascii="Times New Roman"/>
                <w:w w:val="95"/>
                <w:sz w:val="20"/>
              </w:rPr>
              <w:t>0.00%</w:t>
            </w:r>
            <w:r>
              <w:rPr>
                <w:rFonts w:ascii="Times New Roman"/>
                <w:sz w:val="20"/>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310</w:t>
            </w:r>
          </w:p>
        </w:tc>
        <w:tc>
          <w:tcPr>
            <w:tcW w:w="708" w:type="dxa"/>
            <w:vMerge/>
            <w:tcBorders>
              <w:left w:val="single" w:sz="4" w:space="0" w:color="000000"/>
              <w:right w:val="single" w:sz="4" w:space="0" w:color="000000"/>
            </w:tcBorders>
          </w:tcPr>
          <w:p>
            <w:pPr/>
          </w:p>
        </w:tc>
        <w:tc>
          <w:tcPr>
            <w:tcW w:w="567"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567"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广电城市服务</w:t>
            </w:r>
          </w:p>
        </w:tc>
        <w:tc>
          <w:tcPr>
            <w:tcW w:w="851"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907" w:type="dxa"/>
            <w:vMerge/>
            <w:tcBorders>
              <w:left w:val="single" w:sz="4" w:space="0" w:color="000000"/>
              <w:right w:val="single" w:sz="4" w:space="0" w:color="000000"/>
            </w:tcBorders>
          </w:tcPr>
          <w:p>
            <w:pPr/>
          </w:p>
        </w:tc>
        <w:tc>
          <w:tcPr>
            <w:tcW w:w="482"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112.77</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2"/>
              <w:jc w:val="right"/>
              <w:rPr>
                <w:rFonts w:ascii="Times New Roman" w:hAnsi="Times New Roman" w:cs="Times New Roman" w:eastAsia="Times New Roman" w:hint="default"/>
                <w:sz w:val="20"/>
                <w:szCs w:val="20"/>
              </w:rPr>
            </w:pPr>
            <w:r>
              <w:rPr>
                <w:rFonts w:ascii="Times New Roman"/>
                <w:w w:val="95"/>
                <w:sz w:val="20"/>
              </w:rPr>
              <w:t>0.02%</w:t>
            </w:r>
            <w:r>
              <w:rPr>
                <w:rFonts w:ascii="Times New Roman"/>
                <w:sz w:val="20"/>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w:t>
            </w:r>
          </w:p>
        </w:tc>
        <w:tc>
          <w:tcPr>
            <w:tcW w:w="708" w:type="dxa"/>
            <w:vMerge/>
            <w:tcBorders>
              <w:left w:val="single" w:sz="4" w:space="0" w:color="000000"/>
              <w:right w:val="single" w:sz="4" w:space="0" w:color="000000"/>
            </w:tcBorders>
          </w:tcPr>
          <w:p>
            <w:pPr/>
          </w:p>
        </w:tc>
        <w:tc>
          <w:tcPr>
            <w:tcW w:w="567"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567"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r>
      <w:tr>
        <w:trPr>
          <w:trHeight w:val="400"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广电计量</w:t>
            </w:r>
          </w:p>
        </w:tc>
        <w:tc>
          <w:tcPr>
            <w:tcW w:w="851"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907" w:type="dxa"/>
            <w:vMerge/>
            <w:tcBorders>
              <w:left w:val="single" w:sz="4" w:space="0" w:color="000000"/>
              <w:bottom w:val="single" w:sz="4" w:space="0" w:color="000000"/>
              <w:right w:val="single" w:sz="4" w:space="0" w:color="000000"/>
            </w:tcBorders>
          </w:tcPr>
          <w:p>
            <w:pPr/>
          </w:p>
        </w:tc>
        <w:tc>
          <w:tcPr>
            <w:tcW w:w="482" w:type="dxa"/>
            <w:vMerge/>
            <w:tcBorders>
              <w:left w:val="single" w:sz="4" w:space="0" w:color="000000"/>
              <w:bottom w:val="nil" w:sz="6" w:space="0" w:color="auto"/>
              <w:right w:val="single" w:sz="4" w:space="0" w:color="000000"/>
            </w:tcBorders>
          </w:tcPr>
          <w:p>
            <w:pPr/>
          </w:p>
        </w:tc>
        <w:tc>
          <w:tcPr>
            <w:tcW w:w="653" w:type="dxa"/>
            <w:vMerge/>
            <w:tcBorders>
              <w:left w:val="single" w:sz="4" w:space="0" w:color="000000"/>
              <w:bottom w:val="nil" w:sz="6" w:space="0" w:color="auto"/>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100</w:t>
            </w:r>
          </w:p>
        </w:tc>
        <w:tc>
          <w:tcPr>
            <w:tcW w:w="708" w:type="dxa"/>
            <w:vMerge/>
            <w:tcBorders>
              <w:left w:val="single" w:sz="4" w:space="0" w:color="000000"/>
              <w:bottom w:val="single" w:sz="4" w:space="0" w:color="000000"/>
              <w:right w:val="single" w:sz="4" w:space="0" w:color="000000"/>
            </w:tcBorders>
          </w:tcPr>
          <w:p>
            <w:pPr/>
          </w:p>
        </w:tc>
        <w:tc>
          <w:tcPr>
            <w:tcW w:w="567" w:type="dxa"/>
            <w:vMerge/>
            <w:tcBorders>
              <w:left w:val="single" w:sz="4" w:space="0" w:color="000000"/>
              <w:bottom w:val="nil" w:sz="6" w:space="0" w:color="auto"/>
              <w:right w:val="single" w:sz="4" w:space="0" w:color="000000"/>
            </w:tcBorders>
          </w:tcPr>
          <w:p>
            <w:pPr/>
          </w:p>
        </w:tc>
        <w:tc>
          <w:tcPr>
            <w:tcW w:w="709" w:type="dxa"/>
            <w:vMerge/>
            <w:tcBorders>
              <w:left w:val="single" w:sz="4" w:space="0" w:color="000000"/>
              <w:bottom w:val="nil" w:sz="6" w:space="0" w:color="auto"/>
              <w:right w:val="single" w:sz="4" w:space="0" w:color="000000"/>
            </w:tcBorders>
          </w:tcPr>
          <w:p>
            <w:pPr/>
          </w:p>
        </w:tc>
        <w:tc>
          <w:tcPr>
            <w:tcW w:w="567" w:type="dxa"/>
            <w:vMerge/>
            <w:tcBorders>
              <w:left w:val="single" w:sz="4" w:space="0" w:color="000000"/>
              <w:bottom w:val="nil" w:sz="6" w:space="0" w:color="auto"/>
              <w:right w:val="single" w:sz="4" w:space="0" w:color="000000"/>
            </w:tcBorders>
          </w:tcPr>
          <w:p>
            <w:pPr/>
          </w:p>
        </w:tc>
        <w:tc>
          <w:tcPr>
            <w:tcW w:w="850" w:type="dxa"/>
            <w:vMerge/>
            <w:tcBorders>
              <w:left w:val="single" w:sz="4" w:space="0" w:color="000000"/>
              <w:bottom w:val="nil" w:sz="6" w:space="0" w:color="auto"/>
              <w:right w:val="single" w:sz="4" w:space="0" w:color="000000"/>
            </w:tcBorders>
          </w:tcPr>
          <w:p>
            <w:pPr/>
          </w:p>
        </w:tc>
      </w:tr>
    </w:tbl>
    <w:p>
      <w:pPr>
        <w:spacing w:after="0"/>
        <w:sectPr>
          <w:pgSz w:w="11910" w:h="16840"/>
          <w:pgMar w:header="878" w:footer="978" w:top="1100" w:bottom="1160" w:left="600" w:right="0"/>
        </w:sectPr>
      </w:pPr>
    </w:p>
    <w:p>
      <w:pPr>
        <w:spacing w:line="240" w:lineRule="auto" w:before="8"/>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1276"/>
        <w:gridCol w:w="851"/>
        <w:gridCol w:w="652"/>
        <w:gridCol w:w="907"/>
        <w:gridCol w:w="482"/>
        <w:gridCol w:w="653"/>
        <w:gridCol w:w="708"/>
        <w:gridCol w:w="709"/>
        <w:gridCol w:w="851"/>
        <w:gridCol w:w="708"/>
        <w:gridCol w:w="567"/>
        <w:gridCol w:w="709"/>
        <w:gridCol w:w="567"/>
        <w:gridCol w:w="850"/>
      </w:tblGrid>
      <w:tr>
        <w:trPr>
          <w:trHeight w:val="714"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广州辉远</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23" w:right="77"/>
              <w:jc w:val="both"/>
              <w:rPr>
                <w:rFonts w:ascii="宋体" w:hAnsi="宋体" w:cs="宋体" w:eastAsia="宋体" w:hint="default"/>
                <w:sz w:val="18"/>
                <w:szCs w:val="18"/>
              </w:rPr>
            </w:pPr>
            <w:r>
              <w:rPr>
                <w:rFonts w:ascii="宋体" w:hAnsi="宋体" w:cs="宋体" w:eastAsia="宋体" w:hint="default"/>
                <w:sz w:val="18"/>
                <w:szCs w:val="18"/>
              </w:rPr>
              <w:t>向关联 人提供 服务</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4" w:right="151"/>
              <w:jc w:val="left"/>
              <w:rPr>
                <w:rFonts w:ascii="宋体" w:hAnsi="宋体" w:cs="宋体" w:eastAsia="宋体" w:hint="default"/>
                <w:sz w:val="18"/>
                <w:szCs w:val="18"/>
              </w:rPr>
            </w:pPr>
            <w:r>
              <w:rPr>
                <w:rFonts w:ascii="宋体" w:hAnsi="宋体" w:cs="宋体" w:eastAsia="宋体" w:hint="default"/>
                <w:sz w:val="18"/>
                <w:szCs w:val="18"/>
              </w:rPr>
              <w:t>提供技术 服务</w:t>
            </w:r>
          </w:p>
        </w:tc>
        <w:tc>
          <w:tcPr>
            <w:tcW w:w="482" w:type="dxa"/>
            <w:vMerge w:val="restart"/>
            <w:tcBorders>
              <w:top w:val="nil" w:sz="6" w:space="0" w:color="auto"/>
              <w:left w:val="single" w:sz="4" w:space="0" w:color="000000"/>
              <w:right w:val="single" w:sz="4" w:space="0" w:color="000000"/>
            </w:tcBorders>
          </w:tcPr>
          <w:p>
            <w:pPr/>
          </w:p>
        </w:tc>
        <w:tc>
          <w:tcPr>
            <w:tcW w:w="653" w:type="dxa"/>
            <w:vMerge w:val="restart"/>
            <w:tcBorders>
              <w:top w:val="nil" w:sz="6" w:space="0" w:color="auto"/>
              <w:left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800</w:t>
            </w:r>
          </w:p>
        </w:tc>
        <w:tc>
          <w:tcPr>
            <w:tcW w:w="70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567" w:type="dxa"/>
            <w:vMerge w:val="restart"/>
            <w:tcBorders>
              <w:top w:val="nil" w:sz="6" w:space="0" w:color="auto"/>
              <w:left w:val="single" w:sz="4" w:space="0" w:color="000000"/>
              <w:right w:val="single" w:sz="4" w:space="0" w:color="000000"/>
            </w:tcBorders>
          </w:tcPr>
          <w:p>
            <w:pPr/>
          </w:p>
        </w:tc>
        <w:tc>
          <w:tcPr>
            <w:tcW w:w="709" w:type="dxa"/>
            <w:vMerge w:val="restart"/>
            <w:tcBorders>
              <w:top w:val="nil" w:sz="6" w:space="0" w:color="auto"/>
              <w:left w:val="single" w:sz="4" w:space="0" w:color="000000"/>
              <w:right w:val="single" w:sz="4" w:space="0" w:color="000000"/>
            </w:tcBorders>
          </w:tcPr>
          <w:p>
            <w:pPr/>
          </w:p>
        </w:tc>
        <w:tc>
          <w:tcPr>
            <w:tcW w:w="567" w:type="dxa"/>
            <w:vMerge w:val="restart"/>
            <w:tcBorders>
              <w:top w:val="nil" w:sz="6" w:space="0" w:color="auto"/>
              <w:left w:val="single" w:sz="4" w:space="0" w:color="000000"/>
              <w:right w:val="single" w:sz="4" w:space="0" w:color="000000"/>
            </w:tcBorders>
          </w:tcPr>
          <w:p>
            <w:pPr/>
          </w:p>
        </w:tc>
        <w:tc>
          <w:tcPr>
            <w:tcW w:w="850" w:type="dxa"/>
            <w:vMerge w:val="restart"/>
            <w:tcBorders>
              <w:top w:val="nil" w:sz="6" w:space="0" w:color="auto"/>
              <w:left w:val="single" w:sz="4" w:space="0" w:color="000000"/>
              <w:right w:val="single" w:sz="4" w:space="0" w:color="000000"/>
            </w:tcBorders>
          </w:tcPr>
          <w:p>
            <w:pPr/>
          </w:p>
        </w:tc>
      </w:tr>
      <w:tr>
        <w:trPr>
          <w:trHeight w:val="714"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广电研究院</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7"/>
              <w:jc w:val="left"/>
              <w:rPr>
                <w:rFonts w:ascii="宋体" w:hAnsi="宋体" w:cs="宋体" w:eastAsia="宋体" w:hint="default"/>
                <w:sz w:val="18"/>
                <w:szCs w:val="18"/>
              </w:rPr>
            </w:pPr>
            <w:r>
              <w:rPr>
                <w:rFonts w:ascii="宋体" w:hAnsi="宋体" w:cs="宋体" w:eastAsia="宋体" w:hint="default"/>
                <w:sz w:val="18"/>
                <w:szCs w:val="18"/>
              </w:rPr>
              <w:t>同一最终 母公司</w:t>
            </w:r>
          </w:p>
        </w:tc>
        <w:tc>
          <w:tcPr>
            <w:tcW w:w="652" w:type="dxa"/>
            <w:vMerge/>
            <w:tcBorders>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1"/>
              <w:jc w:val="left"/>
              <w:rPr>
                <w:rFonts w:ascii="宋体" w:hAnsi="宋体" w:cs="宋体" w:eastAsia="宋体" w:hint="default"/>
                <w:sz w:val="18"/>
                <w:szCs w:val="18"/>
              </w:rPr>
            </w:pPr>
            <w:r>
              <w:rPr>
                <w:rFonts w:ascii="宋体" w:hAnsi="宋体" w:cs="宋体" w:eastAsia="宋体" w:hint="default"/>
                <w:sz w:val="18"/>
                <w:szCs w:val="18"/>
              </w:rPr>
              <w:t>提供人力 外包服务</w:t>
            </w:r>
          </w:p>
        </w:tc>
        <w:tc>
          <w:tcPr>
            <w:tcW w:w="482"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w w:val="95"/>
                <w:sz w:val="20"/>
              </w:rPr>
              <w:t>412.10</w:t>
            </w:r>
            <w:r>
              <w:rPr>
                <w:rFonts w:ascii="Times New Roman"/>
                <w:sz w:val="20"/>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20"/>
                <w:szCs w:val="20"/>
              </w:rPr>
            </w:pPr>
            <w:r>
              <w:rPr>
                <w:rFonts w:ascii="Times New Roman"/>
                <w:w w:val="95"/>
                <w:sz w:val="20"/>
              </w:rPr>
              <w:t>0.06%</w:t>
            </w:r>
            <w:r>
              <w:rPr>
                <w:rFonts w:ascii="Times New Roman"/>
                <w:sz w:val="20"/>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w:t>
            </w:r>
          </w:p>
        </w:tc>
        <w:tc>
          <w:tcPr>
            <w:tcW w:w="708" w:type="dxa"/>
            <w:vMerge/>
            <w:tcBorders>
              <w:left w:val="single" w:sz="4" w:space="0" w:color="000000"/>
              <w:bottom w:val="single" w:sz="4" w:space="0" w:color="000000"/>
              <w:right w:val="single" w:sz="4" w:space="0" w:color="000000"/>
            </w:tcBorders>
          </w:tcPr>
          <w:p>
            <w:pPr/>
          </w:p>
        </w:tc>
        <w:tc>
          <w:tcPr>
            <w:tcW w:w="567" w:type="dxa"/>
            <w:vMerge/>
            <w:tcBorders>
              <w:left w:val="single" w:sz="4" w:space="0" w:color="000000"/>
              <w:bottom w:val="single" w:sz="4" w:space="0" w:color="000000"/>
              <w:right w:val="single" w:sz="4" w:space="0" w:color="000000"/>
            </w:tcBorders>
          </w:tcPr>
          <w:p>
            <w:pPr/>
          </w:p>
        </w:tc>
        <w:tc>
          <w:tcPr>
            <w:tcW w:w="709" w:type="dxa"/>
            <w:vMerge/>
            <w:tcBorders>
              <w:left w:val="single" w:sz="4" w:space="0" w:color="000000"/>
              <w:bottom w:val="single" w:sz="4" w:space="0" w:color="000000"/>
              <w:right w:val="single" w:sz="4" w:space="0" w:color="000000"/>
            </w:tcBorders>
          </w:tcPr>
          <w:p>
            <w:pPr/>
          </w:p>
        </w:tc>
        <w:tc>
          <w:tcPr>
            <w:tcW w:w="567"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r>
      <w:tr>
        <w:trPr>
          <w:trHeight w:val="1026"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广电城市服务</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2" w:right="97"/>
              <w:jc w:val="left"/>
              <w:rPr>
                <w:rFonts w:ascii="宋体" w:hAnsi="宋体" w:cs="宋体" w:eastAsia="宋体" w:hint="default"/>
                <w:sz w:val="18"/>
                <w:szCs w:val="18"/>
              </w:rPr>
            </w:pPr>
            <w:r>
              <w:rPr>
                <w:rFonts w:ascii="宋体" w:hAnsi="宋体" w:cs="宋体" w:eastAsia="宋体" w:hint="default"/>
                <w:sz w:val="18"/>
                <w:szCs w:val="18"/>
              </w:rPr>
              <w:t>同一最终 母公司</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77"/>
              <w:jc w:val="both"/>
              <w:rPr>
                <w:rFonts w:ascii="宋体" w:hAnsi="宋体" w:cs="宋体" w:eastAsia="宋体" w:hint="default"/>
                <w:sz w:val="18"/>
                <w:szCs w:val="18"/>
              </w:rPr>
            </w:pPr>
            <w:r>
              <w:rPr>
                <w:rFonts w:ascii="宋体" w:hAnsi="宋体" w:cs="宋体" w:eastAsia="宋体" w:hint="default"/>
                <w:sz w:val="18"/>
                <w:szCs w:val="18"/>
              </w:rPr>
              <w:t>向关联 人出租 场地</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出租场地</w:t>
            </w:r>
          </w:p>
        </w:tc>
        <w:tc>
          <w:tcPr>
            <w:tcW w:w="482"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22.43</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4.20%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1"/>
              <w:ind w:right="1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98" w:right="96"/>
              <w:jc w:val="left"/>
              <w:rPr>
                <w:rFonts w:ascii="宋体" w:hAnsi="宋体" w:cs="宋体" w:eastAsia="宋体" w:hint="default"/>
                <w:sz w:val="18"/>
                <w:szCs w:val="18"/>
              </w:rPr>
            </w:pPr>
            <w:r>
              <w:rPr>
                <w:rFonts w:ascii="宋体" w:hAnsi="宋体" w:cs="宋体" w:eastAsia="宋体" w:hint="default"/>
                <w:sz w:val="18"/>
                <w:szCs w:val="18"/>
              </w:rPr>
              <w:t>转账 结算</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368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w:t>
            </w:r>
          </w:p>
        </w:tc>
        <w:tc>
          <w:tcPr>
            <w:tcW w:w="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2,760.85</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9,093</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68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大额销货退回的详细情况</w:t>
            </w:r>
          </w:p>
        </w:tc>
        <w:tc>
          <w:tcPr>
            <w:tcW w:w="6804"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6" w:hRule="exact"/>
        </w:trPr>
        <w:tc>
          <w:tcPr>
            <w:tcW w:w="368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50"/>
              <w:jc w:val="left"/>
              <w:rPr>
                <w:rFonts w:ascii="宋体" w:hAnsi="宋体" w:cs="宋体" w:eastAsia="宋体" w:hint="default"/>
                <w:sz w:val="18"/>
                <w:szCs w:val="18"/>
              </w:rPr>
            </w:pPr>
            <w:r>
              <w:rPr>
                <w:rFonts w:ascii="宋体" w:hAnsi="宋体" w:cs="宋体" w:eastAsia="宋体" w:hint="default"/>
                <w:sz w:val="18"/>
                <w:szCs w:val="18"/>
              </w:rPr>
              <w:t>按类别对本期将发生的日常关联交易进行总金 额预计的，在报告期内的实际履行情况</w:t>
            </w:r>
          </w:p>
        </w:tc>
        <w:tc>
          <w:tcPr>
            <w:tcW w:w="6804" w:type="dxa"/>
            <w:gridSpan w:val="10"/>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1" w:right="21"/>
              <w:jc w:val="both"/>
              <w:rPr>
                <w:rFonts w:ascii="宋体" w:hAnsi="宋体" w:cs="宋体" w:eastAsia="宋体" w:hint="default"/>
                <w:sz w:val="18"/>
                <w:szCs w:val="18"/>
              </w:rPr>
            </w:pPr>
            <w:r>
              <w:rPr>
                <w:rFonts w:ascii="宋体" w:hAnsi="宋体" w:cs="宋体" w:eastAsia="宋体" w:hint="default"/>
                <w:sz w:val="18"/>
                <w:szCs w:val="18"/>
              </w:rPr>
              <w:t>公司按类别对</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年将发生的日常关联交易进行总金额预计，详见上述公告，实际执 行情况列示于上表中，除公司向广电城市服务出租场地属于偶发性关联交易，</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初未进行预计且实际发生金额较小外，其他交易均在预计范围内。</w:t>
            </w:r>
          </w:p>
        </w:tc>
      </w:tr>
      <w:tr>
        <w:trPr>
          <w:trHeight w:val="402" w:hRule="exact"/>
        </w:trPr>
        <w:tc>
          <w:tcPr>
            <w:tcW w:w="368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交易价格与市场参考价格差异较大的原因</w:t>
            </w:r>
          </w:p>
        </w:tc>
        <w:tc>
          <w:tcPr>
            <w:tcW w:w="6804"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11"/>
        <w:rPr>
          <w:rFonts w:ascii="宋体" w:hAnsi="宋体" w:cs="宋体" w:eastAsia="宋体" w:hint="default"/>
          <w:sz w:val="19"/>
          <w:szCs w:val="19"/>
        </w:rPr>
      </w:pPr>
    </w:p>
    <w:p>
      <w:pPr>
        <w:pStyle w:val="Heading5"/>
        <w:spacing w:line="240" w:lineRule="auto" w:before="37"/>
        <w:ind w:left="532" w:right="6434"/>
        <w:jc w:val="left"/>
        <w:rPr>
          <w:b w:val="0"/>
          <w:bCs w:val="0"/>
        </w:rPr>
      </w:pPr>
      <w:bookmarkStart w:name="2、资产或股权收购、出售发生的关联交易" w:id="83"/>
      <w:bookmarkEnd w:id="83"/>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11"/>
        <w:rPr>
          <w:rFonts w:ascii="宋体" w:hAnsi="宋体" w:cs="宋体" w:eastAsia="宋体" w:hint="default"/>
          <w:b/>
          <w:bCs/>
          <w:sz w:val="26"/>
          <w:szCs w:val="26"/>
        </w:rPr>
      </w:pPr>
    </w:p>
    <w:p>
      <w:pPr>
        <w:pStyle w:val="BodyText"/>
        <w:spacing w:line="338" w:lineRule="auto"/>
        <w:ind w:left="532" w:right="6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公司报告期未发生资产或股权收购、出售的关联交易。</w:t>
      </w:r>
    </w:p>
    <w:p>
      <w:pPr>
        <w:spacing w:line="240" w:lineRule="auto" w:before="1"/>
        <w:rPr>
          <w:rFonts w:ascii="宋体" w:hAnsi="宋体" w:cs="宋体" w:eastAsia="宋体" w:hint="default"/>
          <w:sz w:val="22"/>
          <w:szCs w:val="22"/>
        </w:rPr>
      </w:pPr>
    </w:p>
    <w:p>
      <w:pPr>
        <w:pStyle w:val="Heading5"/>
        <w:spacing w:line="240" w:lineRule="auto"/>
        <w:ind w:left="532" w:right="6434"/>
        <w:jc w:val="left"/>
        <w:rPr>
          <w:b w:val="0"/>
          <w:bCs w:val="0"/>
        </w:rPr>
      </w:pPr>
      <w:bookmarkStart w:name="3、共同对外投资的关联交易" w:id="84"/>
      <w:bookmarkEnd w:id="84"/>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11"/>
        <w:rPr>
          <w:rFonts w:ascii="宋体" w:hAnsi="宋体" w:cs="宋体" w:eastAsia="宋体" w:hint="default"/>
          <w:b/>
          <w:bCs/>
          <w:sz w:val="26"/>
          <w:szCs w:val="26"/>
        </w:rPr>
      </w:pPr>
    </w:p>
    <w:p>
      <w:pPr>
        <w:pStyle w:val="BodyText"/>
        <w:spacing w:line="338" w:lineRule="auto"/>
        <w:ind w:left="532" w:right="71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公司报告期未发生共同对外投资的关联交易。</w:t>
      </w:r>
    </w:p>
    <w:p>
      <w:pPr>
        <w:spacing w:line="240" w:lineRule="auto" w:before="1"/>
        <w:rPr>
          <w:rFonts w:ascii="宋体" w:hAnsi="宋体" w:cs="宋体" w:eastAsia="宋体" w:hint="default"/>
          <w:sz w:val="22"/>
          <w:szCs w:val="22"/>
        </w:rPr>
      </w:pPr>
    </w:p>
    <w:p>
      <w:pPr>
        <w:pStyle w:val="Heading5"/>
        <w:spacing w:line="240" w:lineRule="auto"/>
        <w:ind w:left="532" w:right="6434"/>
        <w:jc w:val="left"/>
        <w:rPr>
          <w:b w:val="0"/>
          <w:bCs w:val="0"/>
        </w:rPr>
      </w:pPr>
      <w:bookmarkStart w:name="4、关联债权债务往来" w:id="85"/>
      <w:bookmarkEnd w:id="85"/>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11"/>
        <w:rPr>
          <w:rFonts w:ascii="宋体" w:hAnsi="宋体" w:cs="宋体" w:eastAsia="宋体" w:hint="default"/>
          <w:b/>
          <w:bCs/>
          <w:sz w:val="26"/>
          <w:szCs w:val="26"/>
        </w:rPr>
      </w:pPr>
    </w:p>
    <w:p>
      <w:pPr>
        <w:pStyle w:val="BodyText"/>
        <w:spacing w:line="340" w:lineRule="auto"/>
        <w:ind w:left="532" w:right="78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是否存在非经营性关联债权债务往来</w:t>
      </w:r>
    </w:p>
    <w:p>
      <w:pPr>
        <w:pStyle w:val="BodyText"/>
        <w:spacing w:line="240" w:lineRule="auto" w:before="39"/>
        <w:ind w:left="532" w:right="643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否</w:t>
      </w:r>
    </w:p>
    <w:p>
      <w:pPr>
        <w:spacing w:line="240" w:lineRule="auto" w:before="6"/>
        <w:rPr>
          <w:rFonts w:ascii="宋体" w:hAnsi="宋体" w:cs="宋体" w:eastAsia="宋体" w:hint="default"/>
          <w:sz w:val="26"/>
          <w:szCs w:val="26"/>
        </w:rPr>
      </w:pPr>
    </w:p>
    <w:p>
      <w:pPr>
        <w:pStyle w:val="Heading5"/>
        <w:spacing w:line="240" w:lineRule="auto"/>
        <w:ind w:left="532" w:right="6434"/>
        <w:jc w:val="left"/>
        <w:rPr>
          <w:b w:val="0"/>
          <w:bCs w:val="0"/>
        </w:rPr>
      </w:pPr>
      <w:bookmarkStart w:name="5、其他重大关联交易" w:id="86"/>
      <w:bookmarkEnd w:id="86"/>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11"/>
        <w:rPr>
          <w:rFonts w:ascii="宋体" w:hAnsi="宋体" w:cs="宋体" w:eastAsia="宋体" w:hint="default"/>
          <w:b/>
          <w:bCs/>
          <w:sz w:val="26"/>
          <w:szCs w:val="26"/>
        </w:rPr>
      </w:pPr>
    </w:p>
    <w:p>
      <w:pPr>
        <w:pStyle w:val="BodyText"/>
        <w:spacing w:line="340" w:lineRule="auto"/>
        <w:ind w:left="532" w:right="80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公司报告期无其他重大关联交易。</w:t>
      </w:r>
    </w:p>
    <w:p>
      <w:pPr>
        <w:spacing w:line="240" w:lineRule="auto" w:before="4"/>
        <w:rPr>
          <w:rFonts w:ascii="宋体" w:hAnsi="宋体" w:cs="宋体" w:eastAsia="宋体" w:hint="default"/>
          <w:sz w:val="19"/>
          <w:szCs w:val="19"/>
        </w:rPr>
      </w:pPr>
    </w:p>
    <w:p>
      <w:pPr>
        <w:pStyle w:val="Heading2"/>
        <w:spacing w:line="240" w:lineRule="auto"/>
        <w:ind w:left="532" w:right="6434"/>
        <w:jc w:val="left"/>
        <w:rPr>
          <w:b w:val="0"/>
          <w:bCs w:val="0"/>
        </w:rPr>
      </w:pPr>
      <w:bookmarkStart w:name="十七、重大合同及其履行情况" w:id="87"/>
      <w:bookmarkEnd w:id="87"/>
      <w:r>
        <w:rPr>
          <w:b w:val="0"/>
          <w:bCs w:val="0"/>
        </w:rPr>
      </w:r>
      <w:r>
        <w:rPr/>
        <w:t>十七、重大合同及其履行情况</w:t>
      </w:r>
      <w:r>
        <w:rPr>
          <w:b w:val="0"/>
          <w:bCs w:val="0"/>
        </w:rPr>
      </w:r>
    </w:p>
    <w:p>
      <w:pPr>
        <w:spacing w:line="240" w:lineRule="auto" w:before="6"/>
        <w:rPr>
          <w:rFonts w:ascii="宋体" w:hAnsi="宋体" w:cs="宋体" w:eastAsia="宋体" w:hint="default"/>
          <w:b/>
          <w:bCs/>
          <w:sz w:val="25"/>
          <w:szCs w:val="25"/>
        </w:rPr>
      </w:pPr>
    </w:p>
    <w:p>
      <w:pPr>
        <w:pStyle w:val="Heading5"/>
        <w:spacing w:line="240" w:lineRule="auto"/>
        <w:ind w:left="532" w:right="6434"/>
        <w:jc w:val="left"/>
        <w:rPr>
          <w:b w:val="0"/>
          <w:bCs w:val="0"/>
        </w:rPr>
      </w:pPr>
      <w:bookmarkStart w:name="1、托管、承包、租赁事项情况" w:id="88"/>
      <w:bookmarkEnd w:id="88"/>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8"/>
        <w:rPr>
          <w:rFonts w:ascii="宋体" w:hAnsi="宋体" w:cs="宋体" w:eastAsia="宋体" w:hint="default"/>
          <w:b/>
          <w:bCs/>
          <w:sz w:val="25"/>
          <w:szCs w:val="25"/>
        </w:rPr>
      </w:pPr>
    </w:p>
    <w:p>
      <w:pPr>
        <w:pStyle w:val="Heading5"/>
        <w:spacing w:line="240" w:lineRule="auto"/>
        <w:ind w:left="532" w:right="6434"/>
        <w:jc w:val="left"/>
        <w:rPr>
          <w:b w:val="0"/>
          <w:bCs w:val="0"/>
        </w:rPr>
      </w:pPr>
      <w:bookmarkStart w:name="（1）托管情况" w:id="89"/>
      <w:bookmarkEnd w:id="89"/>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0"/>
        <w:rPr>
          <w:rFonts w:ascii="宋体" w:hAnsi="宋体" w:cs="宋体" w:eastAsia="宋体" w:hint="default"/>
          <w:b/>
          <w:bCs/>
          <w:sz w:val="27"/>
          <w:szCs w:val="27"/>
        </w:rPr>
      </w:pPr>
    </w:p>
    <w:p>
      <w:pPr>
        <w:pStyle w:val="BodyText"/>
        <w:spacing w:line="240" w:lineRule="auto"/>
        <w:ind w:left="532" w:right="6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after="0" w:line="240" w:lineRule="auto"/>
        <w:jc w:val="left"/>
        <w:sectPr>
          <w:pgSz w:w="11910" w:h="16840"/>
          <w:pgMar w:header="878" w:footer="978" w:top="1100" w:bottom="1160" w:left="600" w:right="0"/>
        </w:sectPr>
      </w:pPr>
    </w:p>
    <w:p>
      <w:pPr>
        <w:spacing w:line="240" w:lineRule="auto" w:before="1"/>
        <w:rPr>
          <w:rFonts w:ascii="宋体" w:hAnsi="宋体" w:cs="宋体" w:eastAsia="宋体" w:hint="default"/>
          <w:sz w:val="22"/>
          <w:szCs w:val="22"/>
        </w:rPr>
      </w:pPr>
    </w:p>
    <w:p>
      <w:pPr>
        <w:pStyle w:val="BodyText"/>
        <w:spacing w:line="240" w:lineRule="auto" w:before="44"/>
        <w:ind w:right="1394"/>
        <w:jc w:val="left"/>
      </w:pPr>
      <w:r>
        <w:rPr/>
        <w:t>公司报告期不存在托管情况。</w:t>
      </w:r>
    </w:p>
    <w:p>
      <w:pPr>
        <w:spacing w:line="240" w:lineRule="auto" w:before="0"/>
        <w:rPr>
          <w:rFonts w:ascii="宋体" w:hAnsi="宋体" w:cs="宋体" w:eastAsia="宋体" w:hint="default"/>
          <w:sz w:val="18"/>
          <w:szCs w:val="18"/>
        </w:rPr>
      </w:pPr>
    </w:p>
    <w:p>
      <w:pPr>
        <w:pStyle w:val="Heading5"/>
        <w:spacing w:line="240" w:lineRule="auto" w:before="124"/>
        <w:ind w:right="1394"/>
        <w:jc w:val="left"/>
        <w:rPr>
          <w:b w:val="0"/>
          <w:bCs w:val="0"/>
        </w:rPr>
      </w:pPr>
      <w:bookmarkStart w:name="（2）承包情况" w:id="90"/>
      <w:bookmarkEnd w:id="90"/>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11"/>
        <w:rPr>
          <w:rFonts w:ascii="宋体" w:hAnsi="宋体" w:cs="宋体" w:eastAsia="宋体" w:hint="default"/>
          <w:b/>
          <w:bCs/>
          <w:sz w:val="26"/>
          <w:szCs w:val="26"/>
        </w:rPr>
      </w:pPr>
    </w:p>
    <w:p>
      <w:pPr>
        <w:pStyle w:val="BodyText"/>
        <w:spacing w:line="340" w:lineRule="auto"/>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 公司报告期不存在承包情况。</w:t>
      </w:r>
    </w:p>
    <w:p>
      <w:pPr>
        <w:spacing w:line="240" w:lineRule="auto" w:before="10"/>
        <w:rPr>
          <w:rFonts w:ascii="宋体" w:hAnsi="宋体" w:cs="宋体" w:eastAsia="宋体" w:hint="default"/>
          <w:sz w:val="21"/>
          <w:szCs w:val="21"/>
        </w:rPr>
      </w:pPr>
    </w:p>
    <w:p>
      <w:pPr>
        <w:pStyle w:val="Heading5"/>
        <w:spacing w:line="240" w:lineRule="auto"/>
        <w:ind w:right="1394"/>
        <w:jc w:val="left"/>
        <w:rPr>
          <w:b w:val="0"/>
          <w:bCs w:val="0"/>
        </w:rPr>
      </w:pPr>
      <w:bookmarkStart w:name="（3）租赁情况" w:id="91"/>
      <w:bookmarkEnd w:id="91"/>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11"/>
        <w:rPr>
          <w:rFonts w:ascii="宋体" w:hAnsi="宋体" w:cs="宋体" w:eastAsia="宋体" w:hint="default"/>
          <w:b/>
          <w:bCs/>
          <w:sz w:val="26"/>
          <w:szCs w:val="26"/>
        </w:rPr>
      </w:pPr>
    </w:p>
    <w:p>
      <w:pPr>
        <w:pStyle w:val="BodyText"/>
        <w:spacing w:line="340" w:lineRule="auto"/>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 公司报告期不存在租赁情况。</w:t>
      </w:r>
    </w:p>
    <w:p>
      <w:pPr>
        <w:spacing w:line="240" w:lineRule="auto" w:before="10"/>
        <w:rPr>
          <w:rFonts w:ascii="宋体" w:hAnsi="宋体" w:cs="宋体" w:eastAsia="宋体" w:hint="default"/>
          <w:sz w:val="21"/>
          <w:szCs w:val="21"/>
        </w:rPr>
      </w:pPr>
    </w:p>
    <w:p>
      <w:pPr>
        <w:pStyle w:val="Heading5"/>
        <w:spacing w:line="240" w:lineRule="auto"/>
        <w:ind w:right="1394"/>
        <w:jc w:val="left"/>
        <w:rPr>
          <w:b w:val="0"/>
          <w:bCs w:val="0"/>
        </w:rPr>
      </w:pPr>
      <w:bookmarkStart w:name="2、重大担保" w:id="92"/>
      <w:bookmarkEnd w:id="92"/>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6"/>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78" w:footer="978" w:top="1100" w:bottom="1160" w:left="1020" w:right="0"/>
        </w:sectPr>
      </w:pPr>
    </w:p>
    <w:p>
      <w:pPr>
        <w:pStyle w:val="BodyText"/>
        <w:spacing w:line="240" w:lineRule="auto" w:before="44"/>
        <w:ind w:right="-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pStyle w:val="BodyText"/>
        <w:spacing w:line="240" w:lineRule="auto" w:before="103"/>
        <w:ind w:right="-17"/>
        <w:jc w:val="left"/>
      </w:pPr>
      <w:r>
        <w:rPr/>
        <w:t>（</w:t>
      </w:r>
      <w:r>
        <w:rPr>
          <w:rFonts w:ascii="Times New Roman" w:hAnsi="Times New Roman" w:cs="Times New Roman" w:eastAsia="Times New Roman" w:hint="default"/>
        </w:rPr>
        <w:t>1</w:t>
      </w:r>
      <w:r>
        <w:rPr/>
        <w:t>）担保情况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ind w:right="0"/>
        <w:jc w:val="left"/>
      </w:pPr>
      <w:r>
        <w:rPr/>
        <w:t>单位：万元</w:t>
      </w:r>
    </w:p>
    <w:p>
      <w:pPr>
        <w:spacing w:after="0" w:line="240" w:lineRule="auto"/>
        <w:jc w:val="left"/>
        <w:sectPr>
          <w:type w:val="continuous"/>
          <w:pgSz w:w="11910" w:h="16840"/>
          <w:pgMar w:top="1100" w:bottom="1160" w:left="1020" w:right="0"/>
          <w:cols w:num="2" w:equalWidth="0">
            <w:col w:w="1491" w:space="7247"/>
            <w:col w:w="2152"/>
          </w:cols>
        </w:sectPr>
      </w:pPr>
    </w:p>
    <w:p>
      <w:pPr>
        <w:spacing w:line="240" w:lineRule="auto" w:before="1"/>
        <w:rPr>
          <w:rFonts w:ascii="宋体" w:hAnsi="宋体" w:cs="宋体" w:eastAsia="宋体" w:hint="default"/>
          <w:sz w:val="8"/>
          <w:szCs w:val="8"/>
        </w:rPr>
      </w:pPr>
      <w:r>
        <w:rPr/>
        <w:pict>
          <v:group style="position:absolute;margin-left:177.350006pt;margin-top:578.450012pt;width:43.6pt;height:189.95pt;mso-position-horizontal-relative:page;mso-position-vertical-relative:page;z-index:-1487656" coordorigin="3547,11569" coordsize="872,3799">
            <v:shape style="position:absolute;left:3547;top:11569;width:872;height:3799" coordorigin="3547,11569" coordsize="872,3799" path="m3547,11569l4419,11569,4419,15368,3547,15368,3547,11569xe" filled="true" fillcolor="#ffffff" stroked="false">
              <v:path arrowok="t"/>
              <v:fill type="solid"/>
            </v:shape>
            <w10:wrap type="none"/>
          </v:group>
        </w:pict>
      </w:r>
    </w:p>
    <w:tbl>
      <w:tblPr>
        <w:tblW w:w="0" w:type="auto"/>
        <w:jc w:val="left"/>
        <w:tblInd w:w="109" w:type="dxa"/>
        <w:tblLayout w:type="fixed"/>
        <w:tblCellMar>
          <w:top w:w="0" w:type="dxa"/>
          <w:left w:w="0" w:type="dxa"/>
          <w:bottom w:w="0" w:type="dxa"/>
          <w:right w:w="0" w:type="dxa"/>
        </w:tblCellMar>
        <w:tblLook w:val="01E0"/>
      </w:tblPr>
      <w:tblGrid>
        <w:gridCol w:w="1418"/>
        <w:gridCol w:w="291"/>
        <w:gridCol w:w="701"/>
        <w:gridCol w:w="226"/>
        <w:gridCol w:w="651"/>
        <w:gridCol w:w="272"/>
        <w:gridCol w:w="688"/>
        <w:gridCol w:w="608"/>
        <w:gridCol w:w="568"/>
        <w:gridCol w:w="495"/>
        <w:gridCol w:w="645"/>
        <w:gridCol w:w="390"/>
        <w:gridCol w:w="1052"/>
        <w:gridCol w:w="359"/>
        <w:gridCol w:w="430"/>
        <w:gridCol w:w="137"/>
        <w:gridCol w:w="642"/>
      </w:tblGrid>
      <w:tr>
        <w:trPr>
          <w:trHeight w:val="402" w:hRule="exact"/>
        </w:trPr>
        <w:tc>
          <w:tcPr>
            <w:tcW w:w="9573" w:type="dxa"/>
            <w:gridSpan w:val="1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530"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1026" w:hRule="exact"/>
        </w:trPr>
        <w:tc>
          <w:tcPr>
            <w:tcW w:w="170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08"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9" w:right="95"/>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9"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6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5" w:right="75"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2"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08" w:right="28"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7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22"/>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402" w:hRule="exact"/>
        </w:trPr>
        <w:tc>
          <w:tcPr>
            <w:tcW w:w="17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927" w:type="dxa"/>
            <w:gridSpan w:val="2"/>
            <w:tcBorders>
              <w:top w:val="single" w:sz="4" w:space="0" w:color="000000"/>
              <w:left w:val="single" w:sz="4" w:space="0" w:color="000000"/>
              <w:bottom w:val="single" w:sz="4" w:space="0" w:color="000000"/>
              <w:right w:val="single" w:sz="4" w:space="0" w:color="000000"/>
            </w:tcBorders>
          </w:tcPr>
          <w:p>
            <w:pPr/>
          </w:p>
        </w:tc>
        <w:tc>
          <w:tcPr>
            <w:tcW w:w="923" w:type="dxa"/>
            <w:gridSpan w:val="2"/>
            <w:tcBorders>
              <w:top w:val="single" w:sz="4" w:space="0" w:color="000000"/>
              <w:left w:val="single" w:sz="4" w:space="0" w:color="000000"/>
              <w:bottom w:val="single" w:sz="4" w:space="0" w:color="000000"/>
              <w:right w:val="single" w:sz="4" w:space="0" w:color="000000"/>
            </w:tcBorders>
          </w:tcPr>
          <w:p>
            <w:pPr/>
          </w:p>
        </w:tc>
        <w:tc>
          <w:tcPr>
            <w:tcW w:w="1296" w:type="dxa"/>
            <w:gridSpan w:val="2"/>
            <w:tcBorders>
              <w:top w:val="single" w:sz="4" w:space="0" w:color="000000"/>
              <w:left w:val="single" w:sz="4" w:space="0" w:color="000000"/>
              <w:bottom w:val="single" w:sz="4" w:space="0" w:color="000000"/>
              <w:right w:val="single" w:sz="4" w:space="0" w:color="000000"/>
            </w:tcBorders>
          </w:tcPr>
          <w:p>
            <w:pPr/>
          </w:p>
        </w:tc>
        <w:tc>
          <w:tcPr>
            <w:tcW w:w="1063" w:type="dxa"/>
            <w:gridSpan w:val="2"/>
            <w:tcBorders>
              <w:top w:val="single" w:sz="4" w:space="0" w:color="000000"/>
              <w:left w:val="single" w:sz="4" w:space="0" w:color="000000"/>
              <w:bottom w:val="single" w:sz="4" w:space="0" w:color="000000"/>
              <w:right w:val="single" w:sz="4" w:space="0" w:color="000000"/>
            </w:tcBorders>
          </w:tcPr>
          <w:p>
            <w:pPr/>
          </w:p>
        </w:tc>
        <w:tc>
          <w:tcPr>
            <w:tcW w:w="1035" w:type="dxa"/>
            <w:gridSpan w:val="2"/>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789" w:type="dxa"/>
            <w:gridSpan w:val="2"/>
            <w:tcBorders>
              <w:top w:val="single" w:sz="4" w:space="0" w:color="000000"/>
              <w:left w:val="single" w:sz="4" w:space="0" w:color="000000"/>
              <w:bottom w:val="single" w:sz="4" w:space="0" w:color="000000"/>
              <w:right w:val="single" w:sz="4" w:space="0" w:color="000000"/>
            </w:tcBorders>
          </w:tcPr>
          <w:p>
            <w:pPr/>
          </w:p>
        </w:tc>
        <w:tc>
          <w:tcPr>
            <w:tcW w:w="779" w:type="dxa"/>
            <w:gridSpan w:val="2"/>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63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81"/>
              <w:jc w:val="left"/>
              <w:rPr>
                <w:rFonts w:ascii="宋体" w:hAnsi="宋体" w:cs="宋体" w:eastAsia="宋体" w:hint="default"/>
                <w:sz w:val="18"/>
                <w:szCs w:val="18"/>
              </w:rPr>
            </w:pPr>
            <w:r>
              <w:rPr>
                <w:rFonts w:ascii="宋体" w:hAnsi="宋体" w:cs="宋体" w:eastAsia="宋体" w:hint="default"/>
                <w:sz w:val="18"/>
                <w:szCs w:val="18"/>
              </w:rPr>
              <w:t>报告期内审批的对外担保额度合 计（</w:t>
            </w:r>
            <w:r>
              <w:rPr>
                <w:rFonts w:ascii="Times New Roman" w:hAnsi="Times New Roman" w:cs="Times New Roman" w:eastAsia="Times New Roman" w:hint="default"/>
                <w:sz w:val="18"/>
                <w:szCs w:val="18"/>
              </w:rPr>
              <w:t>A1</w:t>
            </w:r>
            <w:r>
              <w:rPr>
                <w:rFonts w:ascii="宋体" w:hAnsi="宋体" w:cs="宋体" w:eastAsia="宋体" w:hint="default"/>
                <w:sz w:val="18"/>
                <w:szCs w:val="18"/>
              </w:rPr>
              <w:t>）</w:t>
            </w:r>
          </w:p>
        </w:tc>
        <w:tc>
          <w:tcPr>
            <w:tcW w:w="221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09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报告期内对外担保实际发 生额合计（</w:t>
            </w:r>
            <w:r>
              <w:rPr>
                <w:rFonts w:ascii="Times New Roman" w:hAnsi="Times New Roman" w:cs="Times New Roman" w:eastAsia="Times New Roman" w:hint="default"/>
                <w:sz w:val="18"/>
                <w:szCs w:val="18"/>
              </w:rPr>
              <w:t>A2</w:t>
            </w:r>
            <w:r>
              <w:rPr>
                <w:rFonts w:ascii="宋体" w:hAnsi="宋体" w:cs="宋体" w:eastAsia="宋体" w:hint="default"/>
                <w:sz w:val="18"/>
                <w:szCs w:val="18"/>
              </w:rPr>
              <w:t>）</w:t>
            </w:r>
          </w:p>
        </w:tc>
        <w:tc>
          <w:tcPr>
            <w:tcW w:w="262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4" w:hRule="exact"/>
        </w:trPr>
        <w:tc>
          <w:tcPr>
            <w:tcW w:w="263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81"/>
              <w:jc w:val="left"/>
              <w:rPr>
                <w:rFonts w:ascii="宋体" w:hAnsi="宋体" w:cs="宋体" w:eastAsia="宋体" w:hint="default"/>
                <w:sz w:val="18"/>
                <w:szCs w:val="18"/>
              </w:rPr>
            </w:pPr>
            <w:r>
              <w:rPr>
                <w:rFonts w:ascii="宋体" w:hAnsi="宋体" w:cs="宋体" w:eastAsia="宋体" w:hint="default"/>
                <w:sz w:val="18"/>
                <w:szCs w:val="18"/>
              </w:rPr>
              <w:t>报告期末已审批的对外担保额度 合计（</w:t>
            </w:r>
            <w:r>
              <w:rPr>
                <w:rFonts w:ascii="Times New Roman" w:hAnsi="Times New Roman" w:cs="Times New Roman" w:eastAsia="Times New Roman" w:hint="default"/>
                <w:sz w:val="18"/>
                <w:szCs w:val="18"/>
              </w:rPr>
              <w:t>A3</w:t>
            </w:r>
            <w:r>
              <w:rPr>
                <w:rFonts w:ascii="宋体" w:hAnsi="宋体" w:cs="宋体" w:eastAsia="宋体" w:hint="default"/>
                <w:sz w:val="18"/>
                <w:szCs w:val="18"/>
              </w:rPr>
              <w:t>）</w:t>
            </w:r>
          </w:p>
        </w:tc>
        <w:tc>
          <w:tcPr>
            <w:tcW w:w="221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09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83"/>
              <w:jc w:val="left"/>
              <w:rPr>
                <w:rFonts w:ascii="宋体" w:hAnsi="宋体" w:cs="宋体" w:eastAsia="宋体" w:hint="default"/>
                <w:sz w:val="18"/>
                <w:szCs w:val="18"/>
              </w:rPr>
            </w:pPr>
            <w:r>
              <w:rPr>
                <w:rFonts w:ascii="宋体" w:hAnsi="宋体" w:cs="宋体" w:eastAsia="宋体" w:hint="default"/>
                <w:sz w:val="18"/>
                <w:szCs w:val="18"/>
              </w:rPr>
              <w:t>报告期末实际对外担保余 额合计（</w:t>
            </w:r>
            <w:r>
              <w:rPr>
                <w:rFonts w:ascii="Times New Roman" w:hAnsi="Times New Roman" w:cs="Times New Roman" w:eastAsia="Times New Roman" w:hint="default"/>
                <w:sz w:val="18"/>
                <w:szCs w:val="18"/>
              </w:rPr>
              <w:t>A4</w:t>
            </w:r>
            <w:r>
              <w:rPr>
                <w:rFonts w:ascii="宋体" w:hAnsi="宋体" w:cs="宋体" w:eastAsia="宋体" w:hint="default"/>
                <w:sz w:val="18"/>
                <w:szCs w:val="18"/>
              </w:rPr>
              <w:t>）</w:t>
            </w:r>
          </w:p>
        </w:tc>
        <w:tc>
          <w:tcPr>
            <w:tcW w:w="262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9573" w:type="dxa"/>
            <w:gridSpan w:val="1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64"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40" w:right="40"/>
              <w:jc w:val="center"/>
              <w:rPr>
                <w:rFonts w:ascii="宋体" w:hAnsi="宋体" w:cs="宋体" w:eastAsia="宋体" w:hint="default"/>
                <w:sz w:val="18"/>
                <w:szCs w:val="18"/>
              </w:rPr>
            </w:pPr>
            <w:r>
              <w:rPr>
                <w:rFonts w:ascii="宋体" w:hAnsi="宋体" w:cs="宋体" w:eastAsia="宋体" w:hint="default"/>
                <w:sz w:val="18"/>
                <w:szCs w:val="18"/>
              </w:rPr>
              <w:t>担保额度相 关公告披露 日期</w:t>
            </w:r>
          </w:p>
        </w:tc>
        <w:tc>
          <w:tcPr>
            <w:tcW w:w="87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72"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96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6" w:right="22"/>
              <w:jc w:val="center"/>
              <w:rPr>
                <w:rFonts w:ascii="宋体" w:hAnsi="宋体" w:cs="宋体" w:eastAsia="宋体" w:hint="default"/>
                <w:sz w:val="18"/>
                <w:szCs w:val="18"/>
              </w:rPr>
            </w:pPr>
            <w:r>
              <w:rPr>
                <w:rFonts w:ascii="宋体" w:hAnsi="宋体" w:cs="宋体" w:eastAsia="宋体" w:hint="default"/>
                <w:sz w:val="18"/>
                <w:szCs w:val="18"/>
              </w:rPr>
              <w:t>实际发生日 期（协议签 署日）</w:t>
            </w:r>
          </w:p>
        </w:tc>
        <w:tc>
          <w:tcPr>
            <w:tcW w:w="117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42" w:right="0"/>
              <w:jc w:val="left"/>
              <w:rPr>
                <w:rFonts w:ascii="宋体" w:hAnsi="宋体" w:cs="宋体" w:eastAsia="宋体" w:hint="default"/>
                <w:sz w:val="18"/>
                <w:szCs w:val="18"/>
              </w:rPr>
            </w:pPr>
            <w:r>
              <w:rPr>
                <w:rFonts w:ascii="宋体" w:hAnsi="宋体" w:cs="宋体" w:eastAsia="宋体" w:hint="default"/>
                <w:sz w:val="18"/>
                <w:szCs w:val="18"/>
              </w:rPr>
              <w:t>实际担保金额</w:t>
            </w:r>
          </w:p>
        </w:tc>
        <w:tc>
          <w:tcPr>
            <w:tcW w:w="114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06"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80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 w:right="0"/>
              <w:jc w:val="center"/>
              <w:rPr>
                <w:rFonts w:ascii="宋体" w:hAnsi="宋体" w:cs="宋体" w:eastAsia="宋体" w:hint="default"/>
                <w:sz w:val="18"/>
                <w:szCs w:val="18"/>
              </w:rPr>
            </w:pPr>
            <w:r>
              <w:rPr>
                <w:rFonts w:ascii="宋体" w:hAnsi="宋体" w:cs="宋体" w:eastAsia="宋体" w:hint="default"/>
                <w:sz w:val="18"/>
                <w:szCs w:val="18"/>
              </w:rPr>
              <w:t>担保期</w:t>
            </w:r>
          </w:p>
        </w:tc>
        <w:tc>
          <w:tcPr>
            <w:tcW w:w="56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97" w:right="98"/>
              <w:jc w:val="both"/>
              <w:rPr>
                <w:rFonts w:ascii="宋体" w:hAnsi="宋体" w:cs="宋体" w:eastAsia="宋体" w:hint="default"/>
                <w:sz w:val="18"/>
                <w:szCs w:val="18"/>
              </w:rPr>
            </w:pPr>
            <w:r>
              <w:rPr>
                <w:rFonts w:ascii="宋体" w:hAnsi="宋体" w:cs="宋体" w:eastAsia="宋体" w:hint="default"/>
                <w:sz w:val="18"/>
                <w:szCs w:val="18"/>
              </w:rPr>
              <w:t>是否 履行 完毕</w:t>
            </w:r>
          </w:p>
        </w:tc>
        <w:tc>
          <w:tcPr>
            <w:tcW w:w="6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46" w:right="44"/>
              <w:jc w:val="both"/>
              <w:rPr>
                <w:rFonts w:ascii="宋体" w:hAnsi="宋体" w:cs="宋体" w:eastAsia="宋体" w:hint="default"/>
                <w:sz w:val="18"/>
                <w:szCs w:val="18"/>
              </w:rPr>
            </w:pPr>
            <w:r>
              <w:rPr>
                <w:rFonts w:ascii="宋体" w:hAnsi="宋体" w:cs="宋体" w:eastAsia="宋体" w:hint="default"/>
                <w:sz w:val="18"/>
                <w:szCs w:val="18"/>
              </w:rPr>
              <w:t>是否为 关联方 担保</w:t>
            </w:r>
          </w:p>
        </w:tc>
      </w:tr>
      <w:tr>
        <w:trPr>
          <w:trHeight w:val="402" w:hRule="exact"/>
        </w:trPr>
        <w:tc>
          <w:tcPr>
            <w:tcW w:w="141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316" w:lineRule="auto"/>
              <w:ind w:left="22" w:right="123"/>
              <w:jc w:val="left"/>
              <w:rPr>
                <w:rFonts w:ascii="宋体" w:hAnsi="宋体" w:cs="宋体" w:eastAsia="宋体" w:hint="default"/>
                <w:sz w:val="18"/>
                <w:szCs w:val="18"/>
              </w:rPr>
            </w:pPr>
            <w:r>
              <w:rPr>
                <w:rFonts w:ascii="宋体" w:hAnsi="宋体" w:cs="宋体" w:eastAsia="宋体" w:hint="default"/>
                <w:sz w:val="18"/>
                <w:szCs w:val="18"/>
              </w:rPr>
              <w:t>运通国际及其下 属子公司</w:t>
            </w:r>
          </w:p>
        </w:tc>
        <w:tc>
          <w:tcPr>
            <w:tcW w:w="992" w:type="dxa"/>
            <w:gridSpan w:val="2"/>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2017/04/08</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2017/05/06</w:t>
            </w:r>
          </w:p>
        </w:tc>
        <w:tc>
          <w:tcPr>
            <w:tcW w:w="877" w:type="dxa"/>
            <w:gridSpan w:val="2"/>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49" w:right="22"/>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万美</w:t>
            </w:r>
          </w:p>
          <w:p>
            <w:pPr>
              <w:pStyle w:val="TableParagraph"/>
              <w:spacing w:line="240" w:lineRule="auto" w:before="63"/>
              <w:ind w:right="22"/>
              <w:jc w:val="right"/>
              <w:rPr>
                <w:rFonts w:ascii="宋体" w:hAnsi="宋体" w:cs="宋体" w:eastAsia="宋体" w:hint="default"/>
                <w:sz w:val="18"/>
                <w:szCs w:val="18"/>
              </w:rPr>
            </w:pPr>
            <w:r>
              <w:rPr>
                <w:rFonts w:ascii="宋体" w:hAnsi="宋体" w:cs="宋体" w:eastAsia="宋体" w:hint="default"/>
                <w:sz w:val="18"/>
                <w:szCs w:val="18"/>
              </w:rPr>
              <w:t>元</w:t>
            </w:r>
          </w:p>
        </w:tc>
        <w:tc>
          <w:tcPr>
            <w:tcW w:w="9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5" w:right="0"/>
              <w:jc w:val="left"/>
              <w:rPr>
                <w:rFonts w:ascii="Times New Roman" w:hAnsi="Times New Roman" w:cs="Times New Roman" w:eastAsia="Times New Roman" w:hint="default"/>
                <w:sz w:val="18"/>
                <w:szCs w:val="18"/>
              </w:rPr>
            </w:pPr>
            <w:r>
              <w:rPr>
                <w:rFonts w:ascii="Times New Roman"/>
                <w:sz w:val="18"/>
              </w:rPr>
              <w:t>2017/1/6</w:t>
            </w:r>
          </w:p>
        </w:tc>
        <w:tc>
          <w:tcPr>
            <w:tcW w:w="11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5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32.46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万美元</w:t>
            </w:r>
          </w:p>
        </w:tc>
        <w:tc>
          <w:tcPr>
            <w:tcW w:w="11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180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29" w:right="0"/>
              <w:jc w:val="left"/>
              <w:rPr>
                <w:rFonts w:ascii="Times New Roman" w:hAnsi="Times New Roman" w:cs="Times New Roman" w:eastAsia="Times New Roman" w:hint="default"/>
                <w:sz w:val="18"/>
                <w:szCs w:val="18"/>
              </w:rPr>
            </w:pPr>
            <w:r>
              <w:rPr>
                <w:rFonts w:ascii="Times New Roman"/>
                <w:sz w:val="18"/>
              </w:rPr>
              <w:t>2017/1/6-2020/1/6</w:t>
            </w:r>
          </w:p>
        </w:tc>
        <w:tc>
          <w:tcPr>
            <w:tcW w:w="5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37" w:hRule="exact"/>
        </w:trPr>
        <w:tc>
          <w:tcPr>
            <w:tcW w:w="1418" w:type="dxa"/>
            <w:vMerge/>
            <w:tcBorders>
              <w:left w:val="single" w:sz="4" w:space="0" w:color="000000"/>
              <w:right w:val="single" w:sz="4" w:space="0" w:color="000000"/>
            </w:tcBorders>
          </w:tcPr>
          <w:p>
            <w:pPr/>
          </w:p>
        </w:tc>
        <w:tc>
          <w:tcPr>
            <w:tcW w:w="992" w:type="dxa"/>
            <w:gridSpan w:val="2"/>
            <w:vMerge/>
            <w:tcBorders>
              <w:left w:val="single" w:sz="4" w:space="0" w:color="000000"/>
              <w:right w:val="single" w:sz="4" w:space="0" w:color="000000"/>
            </w:tcBorders>
          </w:tcPr>
          <w:p>
            <w:pPr/>
          </w:p>
        </w:tc>
        <w:tc>
          <w:tcPr>
            <w:tcW w:w="877" w:type="dxa"/>
            <w:gridSpan w:val="2"/>
            <w:vMerge/>
            <w:tcBorders>
              <w:left w:val="single" w:sz="4" w:space="0" w:color="000000"/>
              <w:right w:val="single" w:sz="4" w:space="0" w:color="000000"/>
            </w:tcBorders>
          </w:tcPr>
          <w:p>
            <w:pPr/>
          </w:p>
        </w:tc>
        <w:tc>
          <w:tcPr>
            <w:tcW w:w="9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10" w:right="0"/>
              <w:jc w:val="left"/>
              <w:rPr>
                <w:rFonts w:ascii="Times New Roman" w:hAnsi="Times New Roman" w:cs="Times New Roman" w:eastAsia="Times New Roman" w:hint="default"/>
                <w:sz w:val="18"/>
                <w:szCs w:val="18"/>
              </w:rPr>
            </w:pPr>
            <w:r>
              <w:rPr>
                <w:rFonts w:ascii="Times New Roman"/>
                <w:sz w:val="18"/>
              </w:rPr>
              <w:t>2019/6/19</w:t>
            </w:r>
          </w:p>
        </w:tc>
        <w:tc>
          <w:tcPr>
            <w:tcW w:w="11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5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56.54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万美元</w:t>
            </w:r>
          </w:p>
        </w:tc>
        <w:tc>
          <w:tcPr>
            <w:tcW w:w="11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26"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180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338" w:right="0"/>
              <w:jc w:val="left"/>
              <w:rPr>
                <w:rFonts w:ascii="Times New Roman" w:hAnsi="Times New Roman" w:cs="Times New Roman" w:eastAsia="Times New Roman" w:hint="default"/>
                <w:sz w:val="18"/>
                <w:szCs w:val="18"/>
              </w:rPr>
            </w:pPr>
            <w:r>
              <w:rPr>
                <w:rFonts w:ascii="Times New Roman"/>
                <w:sz w:val="18"/>
              </w:rPr>
              <w:t>2019/6/19-2020/1/8</w:t>
            </w:r>
          </w:p>
        </w:tc>
        <w:tc>
          <w:tcPr>
            <w:tcW w:w="5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15" w:hRule="exact"/>
        </w:trPr>
        <w:tc>
          <w:tcPr>
            <w:tcW w:w="1418" w:type="dxa"/>
            <w:vMerge/>
            <w:tcBorders>
              <w:left w:val="single" w:sz="4" w:space="0" w:color="000000"/>
              <w:right w:val="single" w:sz="4" w:space="0" w:color="000000"/>
            </w:tcBorders>
          </w:tcPr>
          <w:p>
            <w:pPr/>
          </w:p>
        </w:tc>
        <w:tc>
          <w:tcPr>
            <w:tcW w:w="992" w:type="dxa"/>
            <w:gridSpan w:val="2"/>
            <w:vMerge/>
            <w:tcBorders>
              <w:left w:val="single" w:sz="4" w:space="0" w:color="000000"/>
              <w:right w:val="single" w:sz="4" w:space="0" w:color="000000"/>
            </w:tcBorders>
          </w:tcPr>
          <w:p>
            <w:pPr/>
          </w:p>
        </w:tc>
        <w:tc>
          <w:tcPr>
            <w:tcW w:w="877" w:type="dxa"/>
            <w:gridSpan w:val="2"/>
            <w:vMerge/>
            <w:tcBorders>
              <w:left w:val="single" w:sz="4" w:space="0" w:color="000000"/>
              <w:right w:val="single" w:sz="4" w:space="0" w:color="000000"/>
            </w:tcBorders>
          </w:tcPr>
          <w:p>
            <w:pPr/>
          </w:p>
        </w:tc>
        <w:tc>
          <w:tcPr>
            <w:tcW w:w="9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10" w:right="0"/>
              <w:jc w:val="left"/>
              <w:rPr>
                <w:rFonts w:ascii="Times New Roman" w:hAnsi="Times New Roman" w:cs="Times New Roman" w:eastAsia="Times New Roman" w:hint="default"/>
                <w:sz w:val="18"/>
                <w:szCs w:val="18"/>
              </w:rPr>
            </w:pPr>
            <w:r>
              <w:rPr>
                <w:rFonts w:ascii="Times New Roman"/>
                <w:sz w:val="18"/>
              </w:rPr>
              <w:t>2019/6/19</w:t>
            </w:r>
          </w:p>
        </w:tc>
        <w:tc>
          <w:tcPr>
            <w:tcW w:w="11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5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万美元</w:t>
            </w:r>
          </w:p>
        </w:tc>
        <w:tc>
          <w:tcPr>
            <w:tcW w:w="11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6"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180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58" w:right="0"/>
              <w:jc w:val="left"/>
              <w:rPr>
                <w:rFonts w:ascii="Times New Roman" w:hAnsi="Times New Roman" w:cs="Times New Roman" w:eastAsia="Times New Roman" w:hint="default"/>
                <w:sz w:val="18"/>
                <w:szCs w:val="18"/>
              </w:rPr>
            </w:pPr>
            <w:r>
              <w:rPr>
                <w:rFonts w:ascii="Times New Roman"/>
                <w:sz w:val="18"/>
              </w:rPr>
              <w:t>2019/6/19-2019/10/21</w:t>
            </w:r>
          </w:p>
        </w:tc>
        <w:tc>
          <w:tcPr>
            <w:tcW w:w="5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23" w:hRule="exact"/>
        </w:trPr>
        <w:tc>
          <w:tcPr>
            <w:tcW w:w="1418" w:type="dxa"/>
            <w:vMerge/>
            <w:tcBorders>
              <w:left w:val="single" w:sz="4" w:space="0" w:color="000000"/>
              <w:right w:val="single" w:sz="4" w:space="0" w:color="000000"/>
            </w:tcBorders>
          </w:tcPr>
          <w:p>
            <w:pPr/>
          </w:p>
        </w:tc>
        <w:tc>
          <w:tcPr>
            <w:tcW w:w="992" w:type="dxa"/>
            <w:gridSpan w:val="2"/>
            <w:vMerge/>
            <w:tcBorders>
              <w:left w:val="single" w:sz="4" w:space="0" w:color="000000"/>
              <w:right w:val="single" w:sz="4" w:space="0" w:color="000000"/>
            </w:tcBorders>
          </w:tcPr>
          <w:p>
            <w:pPr/>
          </w:p>
        </w:tc>
        <w:tc>
          <w:tcPr>
            <w:tcW w:w="877" w:type="dxa"/>
            <w:gridSpan w:val="2"/>
            <w:vMerge/>
            <w:tcBorders>
              <w:left w:val="single" w:sz="4" w:space="0" w:color="000000"/>
              <w:right w:val="single" w:sz="4" w:space="0" w:color="000000"/>
            </w:tcBorders>
          </w:tcPr>
          <w:p>
            <w:pPr/>
          </w:p>
        </w:tc>
        <w:tc>
          <w:tcPr>
            <w:tcW w:w="9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64" w:right="0"/>
              <w:jc w:val="left"/>
              <w:rPr>
                <w:rFonts w:ascii="Times New Roman" w:hAnsi="Times New Roman" w:cs="Times New Roman" w:eastAsia="Times New Roman" w:hint="default"/>
                <w:sz w:val="18"/>
                <w:szCs w:val="18"/>
              </w:rPr>
            </w:pPr>
            <w:r>
              <w:rPr>
                <w:rFonts w:ascii="Times New Roman"/>
                <w:sz w:val="18"/>
              </w:rPr>
              <w:t>2017/11/21</w:t>
            </w:r>
          </w:p>
        </w:tc>
        <w:tc>
          <w:tcPr>
            <w:tcW w:w="11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47.04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万美元</w:t>
            </w:r>
          </w:p>
        </w:tc>
        <w:tc>
          <w:tcPr>
            <w:tcW w:w="11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6"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180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69" w:right="0"/>
              <w:jc w:val="left"/>
              <w:rPr>
                <w:rFonts w:ascii="Times New Roman" w:hAnsi="Times New Roman" w:cs="Times New Roman" w:eastAsia="Times New Roman" w:hint="default"/>
                <w:sz w:val="18"/>
                <w:szCs w:val="18"/>
              </w:rPr>
            </w:pPr>
            <w:r>
              <w:rPr>
                <w:rFonts w:ascii="Times New Roman"/>
                <w:sz w:val="18"/>
              </w:rPr>
              <w:t>2017/11/21-2020/11/25</w:t>
            </w:r>
          </w:p>
        </w:tc>
        <w:tc>
          <w:tcPr>
            <w:tcW w:w="5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25" w:hRule="exact"/>
        </w:trPr>
        <w:tc>
          <w:tcPr>
            <w:tcW w:w="1418" w:type="dxa"/>
            <w:vMerge/>
            <w:tcBorders>
              <w:left w:val="single" w:sz="4" w:space="0" w:color="000000"/>
              <w:right w:val="single" w:sz="4" w:space="0" w:color="000000"/>
            </w:tcBorders>
          </w:tcPr>
          <w:p>
            <w:pPr/>
          </w:p>
        </w:tc>
        <w:tc>
          <w:tcPr>
            <w:tcW w:w="992" w:type="dxa"/>
            <w:gridSpan w:val="2"/>
            <w:vMerge/>
            <w:tcBorders>
              <w:left w:val="single" w:sz="4" w:space="0" w:color="000000"/>
              <w:right w:val="single" w:sz="4" w:space="0" w:color="000000"/>
            </w:tcBorders>
          </w:tcPr>
          <w:p>
            <w:pPr/>
          </w:p>
        </w:tc>
        <w:tc>
          <w:tcPr>
            <w:tcW w:w="877" w:type="dxa"/>
            <w:gridSpan w:val="2"/>
            <w:vMerge/>
            <w:tcBorders>
              <w:left w:val="single" w:sz="4" w:space="0" w:color="000000"/>
              <w:right w:val="single" w:sz="4" w:space="0" w:color="000000"/>
            </w:tcBorders>
          </w:tcPr>
          <w:p>
            <w:pPr/>
          </w:p>
        </w:tc>
        <w:tc>
          <w:tcPr>
            <w:tcW w:w="9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10" w:right="0"/>
              <w:jc w:val="left"/>
              <w:rPr>
                <w:rFonts w:ascii="Times New Roman" w:hAnsi="Times New Roman" w:cs="Times New Roman" w:eastAsia="Times New Roman" w:hint="default"/>
                <w:sz w:val="18"/>
                <w:szCs w:val="18"/>
              </w:rPr>
            </w:pPr>
            <w:r>
              <w:rPr>
                <w:rFonts w:ascii="Times New Roman"/>
                <w:sz w:val="18"/>
              </w:rPr>
              <w:t>2018/1/17</w:t>
            </w:r>
          </w:p>
        </w:tc>
        <w:tc>
          <w:tcPr>
            <w:tcW w:w="11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4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万美元</w:t>
            </w:r>
          </w:p>
        </w:tc>
        <w:tc>
          <w:tcPr>
            <w:tcW w:w="11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6"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180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9" w:right="0"/>
              <w:jc w:val="left"/>
              <w:rPr>
                <w:rFonts w:ascii="Times New Roman" w:hAnsi="Times New Roman" w:cs="Times New Roman" w:eastAsia="Times New Roman" w:hint="default"/>
                <w:sz w:val="18"/>
                <w:szCs w:val="18"/>
              </w:rPr>
            </w:pPr>
            <w:r>
              <w:rPr>
                <w:rFonts w:ascii="Times New Roman"/>
                <w:sz w:val="18"/>
              </w:rPr>
              <w:t>2018/1/17-2022/1/14</w:t>
            </w:r>
          </w:p>
        </w:tc>
        <w:tc>
          <w:tcPr>
            <w:tcW w:w="5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17" w:hRule="exact"/>
        </w:trPr>
        <w:tc>
          <w:tcPr>
            <w:tcW w:w="1418" w:type="dxa"/>
            <w:vMerge/>
            <w:tcBorders>
              <w:left w:val="single" w:sz="4" w:space="0" w:color="000000"/>
              <w:right w:val="single" w:sz="4" w:space="0" w:color="000000"/>
            </w:tcBorders>
          </w:tcPr>
          <w:p>
            <w:pPr/>
          </w:p>
        </w:tc>
        <w:tc>
          <w:tcPr>
            <w:tcW w:w="992" w:type="dxa"/>
            <w:gridSpan w:val="2"/>
            <w:vMerge/>
            <w:tcBorders>
              <w:left w:val="single" w:sz="4" w:space="0" w:color="000000"/>
              <w:right w:val="single" w:sz="4" w:space="0" w:color="000000"/>
            </w:tcBorders>
          </w:tcPr>
          <w:p>
            <w:pPr/>
          </w:p>
        </w:tc>
        <w:tc>
          <w:tcPr>
            <w:tcW w:w="877" w:type="dxa"/>
            <w:gridSpan w:val="2"/>
            <w:vMerge/>
            <w:tcBorders>
              <w:left w:val="single" w:sz="4" w:space="0" w:color="000000"/>
              <w:right w:val="single" w:sz="4" w:space="0" w:color="000000"/>
            </w:tcBorders>
          </w:tcPr>
          <w:p>
            <w:pPr/>
          </w:p>
        </w:tc>
        <w:tc>
          <w:tcPr>
            <w:tcW w:w="9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10" w:right="0"/>
              <w:jc w:val="left"/>
              <w:rPr>
                <w:rFonts w:ascii="Times New Roman" w:hAnsi="Times New Roman" w:cs="Times New Roman" w:eastAsia="Times New Roman" w:hint="default"/>
                <w:sz w:val="18"/>
                <w:szCs w:val="18"/>
              </w:rPr>
            </w:pPr>
            <w:r>
              <w:rPr>
                <w:rFonts w:ascii="Times New Roman"/>
                <w:sz w:val="18"/>
              </w:rPr>
              <w:t>2018/1/18</w:t>
            </w:r>
          </w:p>
        </w:tc>
        <w:tc>
          <w:tcPr>
            <w:tcW w:w="11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5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15.50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万美元</w:t>
            </w:r>
          </w:p>
        </w:tc>
        <w:tc>
          <w:tcPr>
            <w:tcW w:w="11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180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58" w:right="0"/>
              <w:jc w:val="left"/>
              <w:rPr>
                <w:rFonts w:ascii="Times New Roman" w:hAnsi="Times New Roman" w:cs="Times New Roman" w:eastAsia="Times New Roman" w:hint="default"/>
                <w:sz w:val="18"/>
                <w:szCs w:val="18"/>
              </w:rPr>
            </w:pPr>
            <w:r>
              <w:rPr>
                <w:rFonts w:ascii="Times New Roman"/>
                <w:sz w:val="18"/>
              </w:rPr>
              <w:t>2018/1/18-2020/12/31</w:t>
            </w:r>
          </w:p>
        </w:tc>
        <w:tc>
          <w:tcPr>
            <w:tcW w:w="5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36" w:hRule="exact"/>
        </w:trPr>
        <w:tc>
          <w:tcPr>
            <w:tcW w:w="1418" w:type="dxa"/>
            <w:vMerge/>
            <w:tcBorders>
              <w:left w:val="single" w:sz="4" w:space="0" w:color="000000"/>
              <w:right w:val="single" w:sz="4" w:space="0" w:color="000000"/>
            </w:tcBorders>
          </w:tcPr>
          <w:p>
            <w:pPr/>
          </w:p>
        </w:tc>
        <w:tc>
          <w:tcPr>
            <w:tcW w:w="992" w:type="dxa"/>
            <w:gridSpan w:val="2"/>
            <w:vMerge/>
            <w:tcBorders>
              <w:left w:val="single" w:sz="4" w:space="0" w:color="000000"/>
              <w:right w:val="single" w:sz="4" w:space="0" w:color="000000"/>
            </w:tcBorders>
          </w:tcPr>
          <w:p>
            <w:pPr/>
          </w:p>
        </w:tc>
        <w:tc>
          <w:tcPr>
            <w:tcW w:w="877" w:type="dxa"/>
            <w:gridSpan w:val="2"/>
            <w:vMerge/>
            <w:tcBorders>
              <w:left w:val="single" w:sz="4" w:space="0" w:color="000000"/>
              <w:right w:val="single" w:sz="4" w:space="0" w:color="000000"/>
            </w:tcBorders>
          </w:tcPr>
          <w:p>
            <w:pPr/>
          </w:p>
        </w:tc>
        <w:tc>
          <w:tcPr>
            <w:tcW w:w="9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110" w:right="0"/>
              <w:jc w:val="left"/>
              <w:rPr>
                <w:rFonts w:ascii="Times New Roman" w:hAnsi="Times New Roman" w:cs="Times New Roman" w:eastAsia="Times New Roman" w:hint="default"/>
                <w:sz w:val="18"/>
                <w:szCs w:val="18"/>
              </w:rPr>
            </w:pPr>
            <w:r>
              <w:rPr>
                <w:rFonts w:ascii="Times New Roman"/>
                <w:sz w:val="18"/>
              </w:rPr>
              <w:t>2018/1/19</w:t>
            </w:r>
          </w:p>
        </w:tc>
        <w:tc>
          <w:tcPr>
            <w:tcW w:w="11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24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万美元</w:t>
            </w:r>
          </w:p>
        </w:tc>
        <w:tc>
          <w:tcPr>
            <w:tcW w:w="11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26"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180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249" w:right="0"/>
              <w:jc w:val="left"/>
              <w:rPr>
                <w:rFonts w:ascii="Times New Roman" w:hAnsi="Times New Roman" w:cs="Times New Roman" w:eastAsia="Times New Roman" w:hint="default"/>
                <w:sz w:val="18"/>
                <w:szCs w:val="18"/>
              </w:rPr>
            </w:pPr>
            <w:r>
              <w:rPr>
                <w:rFonts w:ascii="Times New Roman"/>
                <w:sz w:val="18"/>
              </w:rPr>
              <w:t>2018/1/19-2023/1/14</w:t>
            </w:r>
          </w:p>
        </w:tc>
        <w:tc>
          <w:tcPr>
            <w:tcW w:w="5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28" w:hRule="exact"/>
        </w:trPr>
        <w:tc>
          <w:tcPr>
            <w:tcW w:w="1418" w:type="dxa"/>
            <w:vMerge/>
            <w:tcBorders>
              <w:left w:val="single" w:sz="4" w:space="0" w:color="000000"/>
              <w:right w:val="single" w:sz="4" w:space="0" w:color="000000"/>
            </w:tcBorders>
          </w:tcPr>
          <w:p>
            <w:pPr/>
          </w:p>
        </w:tc>
        <w:tc>
          <w:tcPr>
            <w:tcW w:w="992" w:type="dxa"/>
            <w:gridSpan w:val="2"/>
            <w:vMerge/>
            <w:tcBorders>
              <w:left w:val="single" w:sz="4" w:space="0" w:color="000000"/>
              <w:right w:val="single" w:sz="4" w:space="0" w:color="000000"/>
            </w:tcBorders>
          </w:tcPr>
          <w:p>
            <w:pPr/>
          </w:p>
        </w:tc>
        <w:tc>
          <w:tcPr>
            <w:tcW w:w="877" w:type="dxa"/>
            <w:gridSpan w:val="2"/>
            <w:vMerge/>
            <w:tcBorders>
              <w:left w:val="single" w:sz="4" w:space="0" w:color="000000"/>
              <w:right w:val="single" w:sz="4" w:space="0" w:color="000000"/>
            </w:tcBorders>
          </w:tcPr>
          <w:p>
            <w:pPr/>
          </w:p>
        </w:tc>
        <w:tc>
          <w:tcPr>
            <w:tcW w:w="9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10" w:right="0"/>
              <w:jc w:val="left"/>
              <w:rPr>
                <w:rFonts w:ascii="Times New Roman" w:hAnsi="Times New Roman" w:cs="Times New Roman" w:eastAsia="Times New Roman" w:hint="default"/>
                <w:sz w:val="18"/>
                <w:szCs w:val="18"/>
              </w:rPr>
            </w:pPr>
            <w:r>
              <w:rPr>
                <w:rFonts w:ascii="Times New Roman"/>
                <w:sz w:val="18"/>
              </w:rPr>
              <w:t>2018/1/19</w:t>
            </w:r>
          </w:p>
        </w:tc>
        <w:tc>
          <w:tcPr>
            <w:tcW w:w="11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38.16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万美元</w:t>
            </w:r>
          </w:p>
        </w:tc>
        <w:tc>
          <w:tcPr>
            <w:tcW w:w="11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6"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180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58" w:right="0"/>
              <w:jc w:val="left"/>
              <w:rPr>
                <w:rFonts w:ascii="Times New Roman" w:hAnsi="Times New Roman" w:cs="Times New Roman" w:eastAsia="Times New Roman" w:hint="default"/>
                <w:sz w:val="18"/>
                <w:szCs w:val="18"/>
              </w:rPr>
            </w:pPr>
            <w:r>
              <w:rPr>
                <w:rFonts w:ascii="Times New Roman"/>
                <w:sz w:val="18"/>
              </w:rPr>
              <w:t>2018/1/19-2020/12/31</w:t>
            </w:r>
          </w:p>
        </w:tc>
        <w:tc>
          <w:tcPr>
            <w:tcW w:w="5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19" w:hRule="exact"/>
        </w:trPr>
        <w:tc>
          <w:tcPr>
            <w:tcW w:w="1418" w:type="dxa"/>
            <w:vMerge/>
            <w:tcBorders>
              <w:left w:val="single" w:sz="4" w:space="0" w:color="000000"/>
              <w:bottom w:val="single" w:sz="4" w:space="0" w:color="000000"/>
              <w:right w:val="single" w:sz="4" w:space="0" w:color="000000"/>
            </w:tcBorders>
          </w:tcPr>
          <w:p>
            <w:pPr/>
          </w:p>
        </w:tc>
        <w:tc>
          <w:tcPr>
            <w:tcW w:w="992" w:type="dxa"/>
            <w:gridSpan w:val="2"/>
            <w:vMerge/>
            <w:tcBorders>
              <w:left w:val="single" w:sz="4" w:space="0" w:color="000000"/>
              <w:bottom w:val="single" w:sz="4" w:space="0" w:color="000000"/>
              <w:right w:val="single" w:sz="4" w:space="0" w:color="000000"/>
            </w:tcBorders>
          </w:tcPr>
          <w:p>
            <w:pPr/>
          </w:p>
        </w:tc>
        <w:tc>
          <w:tcPr>
            <w:tcW w:w="877" w:type="dxa"/>
            <w:gridSpan w:val="2"/>
            <w:vMerge/>
            <w:tcBorders>
              <w:left w:val="single" w:sz="4" w:space="0" w:color="000000"/>
              <w:bottom w:val="single" w:sz="4" w:space="0" w:color="000000"/>
              <w:right w:val="single" w:sz="4" w:space="0" w:color="000000"/>
            </w:tcBorders>
          </w:tcPr>
          <w:p>
            <w:pPr/>
          </w:p>
        </w:tc>
        <w:tc>
          <w:tcPr>
            <w:tcW w:w="9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10" w:right="0"/>
              <w:jc w:val="left"/>
              <w:rPr>
                <w:rFonts w:ascii="Times New Roman" w:hAnsi="Times New Roman" w:cs="Times New Roman" w:eastAsia="Times New Roman" w:hint="default"/>
                <w:sz w:val="18"/>
                <w:szCs w:val="18"/>
              </w:rPr>
            </w:pPr>
            <w:r>
              <w:rPr>
                <w:rFonts w:ascii="Times New Roman"/>
                <w:sz w:val="18"/>
              </w:rPr>
              <w:t>2018/3/24</w:t>
            </w:r>
          </w:p>
        </w:tc>
        <w:tc>
          <w:tcPr>
            <w:tcW w:w="11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4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万美元</w:t>
            </w:r>
          </w:p>
        </w:tc>
        <w:tc>
          <w:tcPr>
            <w:tcW w:w="11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6"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180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249" w:right="0"/>
              <w:jc w:val="left"/>
              <w:rPr>
                <w:rFonts w:ascii="Times New Roman" w:hAnsi="Times New Roman" w:cs="Times New Roman" w:eastAsia="Times New Roman" w:hint="default"/>
                <w:sz w:val="18"/>
                <w:szCs w:val="18"/>
              </w:rPr>
            </w:pPr>
            <w:r>
              <w:rPr>
                <w:rFonts w:ascii="Times New Roman"/>
                <w:sz w:val="18"/>
              </w:rPr>
              <w:t>2018/3/24-2019/3/22</w:t>
            </w:r>
          </w:p>
        </w:tc>
        <w:tc>
          <w:tcPr>
            <w:tcW w:w="5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type w:val="continuous"/>
          <w:pgSz w:w="11910" w:h="16840"/>
          <w:pgMar w:top="1100" w:bottom="1160" w:left="1020" w:right="0"/>
        </w:sectPr>
      </w:pPr>
    </w:p>
    <w:p>
      <w:pPr>
        <w:spacing w:line="240" w:lineRule="auto" w:before="11"/>
        <w:rPr>
          <w:rFonts w:ascii="Times New Roman" w:hAnsi="Times New Roman" w:cs="Times New Roman" w:eastAsia="Times New Roman" w:hint="default"/>
          <w:sz w:val="27"/>
          <w:szCs w:val="27"/>
        </w:rPr>
      </w:pPr>
      <w:r>
        <w:rPr/>
        <w:pict>
          <v:group style="position:absolute;margin-left:127.75pt;margin-top:339.850037pt;width:49.35pt;height:40.550pt;mso-position-horizontal-relative:page;mso-position-vertical-relative:page;z-index:-1487632" coordorigin="2555,6797" coordsize="987,811">
            <v:shape style="position:absolute;left:2555;top:6797;width:987;height:811" coordorigin="2555,6797" coordsize="987,811" path="m2555,6797l3542,6797,3542,7608,2555,7608,2555,6797xe" filled="true" fillcolor="#ffffff" stroked="false">
              <v:path arrowok="t"/>
              <v:fill type="solid"/>
            </v:shape>
            <w10:wrap type="none"/>
          </v:group>
        </w:pict>
      </w:r>
    </w:p>
    <w:tbl>
      <w:tblPr>
        <w:tblW w:w="0" w:type="auto"/>
        <w:jc w:val="left"/>
        <w:tblInd w:w="109" w:type="dxa"/>
        <w:tblLayout w:type="fixed"/>
        <w:tblCellMar>
          <w:top w:w="0" w:type="dxa"/>
          <w:left w:w="0" w:type="dxa"/>
          <w:bottom w:w="0" w:type="dxa"/>
          <w:right w:w="0" w:type="dxa"/>
        </w:tblCellMar>
        <w:tblLook w:val="01E0"/>
      </w:tblPr>
      <w:tblGrid>
        <w:gridCol w:w="1418"/>
        <w:gridCol w:w="992"/>
        <w:gridCol w:w="253"/>
        <w:gridCol w:w="624"/>
        <w:gridCol w:w="399"/>
        <w:gridCol w:w="561"/>
        <w:gridCol w:w="608"/>
        <w:gridCol w:w="568"/>
        <w:gridCol w:w="476"/>
        <w:gridCol w:w="664"/>
        <w:gridCol w:w="390"/>
        <w:gridCol w:w="1045"/>
        <w:gridCol w:w="366"/>
        <w:gridCol w:w="420"/>
        <w:gridCol w:w="147"/>
        <w:gridCol w:w="642"/>
      </w:tblGrid>
      <w:tr>
        <w:trPr>
          <w:trHeight w:val="427" w:hRule="exact"/>
        </w:trPr>
        <w:tc>
          <w:tcPr>
            <w:tcW w:w="1418" w:type="dxa"/>
            <w:vMerge w:val="restart"/>
            <w:tcBorders>
              <w:top w:val="single" w:sz="4" w:space="0" w:color="000000"/>
              <w:left w:val="single" w:sz="4" w:space="0" w:color="000000"/>
              <w:right w:val="single" w:sz="4" w:space="0" w:color="000000"/>
            </w:tcBorders>
          </w:tcPr>
          <w:p>
            <w:pPr/>
          </w:p>
        </w:tc>
        <w:tc>
          <w:tcPr>
            <w:tcW w:w="992" w:type="dxa"/>
            <w:vMerge w:val="restart"/>
            <w:tcBorders>
              <w:top w:val="single" w:sz="4" w:space="0" w:color="000000"/>
              <w:left w:val="single" w:sz="4" w:space="0" w:color="000000"/>
              <w:right w:val="single" w:sz="4" w:space="0" w:color="000000"/>
            </w:tcBorders>
          </w:tcPr>
          <w:p>
            <w:pPr/>
          </w:p>
        </w:tc>
        <w:tc>
          <w:tcPr>
            <w:tcW w:w="877" w:type="dxa"/>
            <w:gridSpan w:val="2"/>
            <w:vMerge w:val="restart"/>
            <w:tcBorders>
              <w:top w:val="single" w:sz="4" w:space="0" w:color="000000"/>
              <w:left w:val="single" w:sz="4" w:space="0" w:color="000000"/>
              <w:right w:val="single" w:sz="4" w:space="0" w:color="000000"/>
            </w:tcBorders>
          </w:tcPr>
          <w:p>
            <w:pPr/>
          </w:p>
        </w:tc>
        <w:tc>
          <w:tcPr>
            <w:tcW w:w="9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55" w:right="0"/>
              <w:jc w:val="left"/>
              <w:rPr>
                <w:rFonts w:ascii="Times New Roman" w:hAnsi="Times New Roman" w:cs="Times New Roman" w:eastAsia="Times New Roman" w:hint="default"/>
                <w:sz w:val="18"/>
                <w:szCs w:val="18"/>
              </w:rPr>
            </w:pPr>
            <w:r>
              <w:rPr>
                <w:rFonts w:ascii="Times New Roman"/>
                <w:sz w:val="18"/>
              </w:rPr>
              <w:t>2018/4/4</w:t>
            </w:r>
          </w:p>
        </w:tc>
        <w:tc>
          <w:tcPr>
            <w:tcW w:w="11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5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28.50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万美元</w:t>
            </w:r>
          </w:p>
        </w:tc>
        <w:tc>
          <w:tcPr>
            <w:tcW w:w="11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6"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180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249" w:right="0"/>
              <w:jc w:val="left"/>
              <w:rPr>
                <w:rFonts w:ascii="Times New Roman" w:hAnsi="Times New Roman" w:cs="Times New Roman" w:eastAsia="Times New Roman" w:hint="default"/>
                <w:sz w:val="18"/>
                <w:szCs w:val="18"/>
              </w:rPr>
            </w:pPr>
            <w:r>
              <w:rPr>
                <w:rFonts w:ascii="Times New Roman"/>
                <w:sz w:val="18"/>
              </w:rPr>
              <w:t>2018/4/4-2023/12/15</w:t>
            </w:r>
          </w:p>
        </w:tc>
        <w:tc>
          <w:tcPr>
            <w:tcW w:w="5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2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18" w:hRule="exact"/>
        </w:trPr>
        <w:tc>
          <w:tcPr>
            <w:tcW w:w="1418"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877" w:type="dxa"/>
            <w:gridSpan w:val="2"/>
            <w:vMerge/>
            <w:tcBorders>
              <w:left w:val="single" w:sz="4" w:space="0" w:color="000000"/>
              <w:right w:val="single" w:sz="4" w:space="0" w:color="000000"/>
            </w:tcBorders>
          </w:tcPr>
          <w:p>
            <w:pPr/>
          </w:p>
        </w:tc>
        <w:tc>
          <w:tcPr>
            <w:tcW w:w="9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10" w:right="0"/>
              <w:jc w:val="left"/>
              <w:rPr>
                <w:rFonts w:ascii="Times New Roman" w:hAnsi="Times New Roman" w:cs="Times New Roman" w:eastAsia="Times New Roman" w:hint="default"/>
                <w:sz w:val="18"/>
                <w:szCs w:val="18"/>
              </w:rPr>
            </w:pPr>
            <w:r>
              <w:rPr>
                <w:rFonts w:ascii="Times New Roman"/>
                <w:sz w:val="18"/>
              </w:rPr>
              <w:t>2018/5/15</w:t>
            </w:r>
          </w:p>
        </w:tc>
        <w:tc>
          <w:tcPr>
            <w:tcW w:w="11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万美元</w:t>
            </w:r>
          </w:p>
        </w:tc>
        <w:tc>
          <w:tcPr>
            <w:tcW w:w="11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6"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180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249" w:right="0"/>
              <w:jc w:val="left"/>
              <w:rPr>
                <w:rFonts w:ascii="Times New Roman" w:hAnsi="Times New Roman" w:cs="Times New Roman" w:eastAsia="Times New Roman" w:hint="default"/>
                <w:sz w:val="18"/>
                <w:szCs w:val="18"/>
              </w:rPr>
            </w:pPr>
            <w:r>
              <w:rPr>
                <w:rFonts w:ascii="Times New Roman"/>
                <w:sz w:val="18"/>
              </w:rPr>
              <w:t>2018/5/15-2021/11/5</w:t>
            </w:r>
          </w:p>
        </w:tc>
        <w:tc>
          <w:tcPr>
            <w:tcW w:w="5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2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38" w:hRule="exact"/>
        </w:trPr>
        <w:tc>
          <w:tcPr>
            <w:tcW w:w="1418"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877" w:type="dxa"/>
            <w:gridSpan w:val="2"/>
            <w:vMerge/>
            <w:tcBorders>
              <w:left w:val="single" w:sz="4" w:space="0" w:color="000000"/>
              <w:right w:val="single" w:sz="4" w:space="0" w:color="000000"/>
            </w:tcBorders>
          </w:tcPr>
          <w:p>
            <w:pPr/>
          </w:p>
        </w:tc>
        <w:tc>
          <w:tcPr>
            <w:tcW w:w="9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10" w:right="0"/>
              <w:jc w:val="left"/>
              <w:rPr>
                <w:rFonts w:ascii="Times New Roman" w:hAnsi="Times New Roman" w:cs="Times New Roman" w:eastAsia="Times New Roman" w:hint="default"/>
                <w:sz w:val="18"/>
                <w:szCs w:val="18"/>
              </w:rPr>
            </w:pPr>
            <w:r>
              <w:rPr>
                <w:rFonts w:ascii="Times New Roman"/>
                <w:sz w:val="18"/>
              </w:rPr>
              <w:t>2018/5/22</w:t>
            </w:r>
          </w:p>
        </w:tc>
        <w:tc>
          <w:tcPr>
            <w:tcW w:w="11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24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万美元</w:t>
            </w:r>
          </w:p>
        </w:tc>
        <w:tc>
          <w:tcPr>
            <w:tcW w:w="11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26"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180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49" w:right="0"/>
              <w:jc w:val="left"/>
              <w:rPr>
                <w:rFonts w:ascii="Times New Roman" w:hAnsi="Times New Roman" w:cs="Times New Roman" w:eastAsia="Times New Roman" w:hint="default"/>
                <w:sz w:val="18"/>
                <w:szCs w:val="18"/>
              </w:rPr>
            </w:pPr>
            <w:r>
              <w:rPr>
                <w:rFonts w:ascii="Times New Roman"/>
                <w:sz w:val="18"/>
              </w:rPr>
              <w:t>2018/5/22-2023/1/17</w:t>
            </w:r>
          </w:p>
        </w:tc>
        <w:tc>
          <w:tcPr>
            <w:tcW w:w="5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22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17" w:hRule="exact"/>
        </w:trPr>
        <w:tc>
          <w:tcPr>
            <w:tcW w:w="1418"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877" w:type="dxa"/>
            <w:gridSpan w:val="2"/>
            <w:vMerge/>
            <w:tcBorders>
              <w:left w:val="single" w:sz="4" w:space="0" w:color="000000"/>
              <w:right w:val="single" w:sz="4" w:space="0" w:color="000000"/>
            </w:tcBorders>
          </w:tcPr>
          <w:p>
            <w:pPr/>
          </w:p>
        </w:tc>
        <w:tc>
          <w:tcPr>
            <w:tcW w:w="9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10" w:right="0"/>
              <w:jc w:val="left"/>
              <w:rPr>
                <w:rFonts w:ascii="Times New Roman" w:hAnsi="Times New Roman" w:cs="Times New Roman" w:eastAsia="Times New Roman" w:hint="default"/>
                <w:sz w:val="18"/>
                <w:szCs w:val="18"/>
              </w:rPr>
            </w:pPr>
            <w:r>
              <w:rPr>
                <w:rFonts w:ascii="Times New Roman"/>
                <w:sz w:val="18"/>
              </w:rPr>
              <w:t>2018/5/22</w:t>
            </w:r>
          </w:p>
        </w:tc>
        <w:tc>
          <w:tcPr>
            <w:tcW w:w="11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5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45.28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万美元</w:t>
            </w:r>
          </w:p>
        </w:tc>
        <w:tc>
          <w:tcPr>
            <w:tcW w:w="11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6"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180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9" w:right="0"/>
              <w:jc w:val="left"/>
              <w:rPr>
                <w:rFonts w:ascii="Times New Roman" w:hAnsi="Times New Roman" w:cs="Times New Roman" w:eastAsia="Times New Roman" w:hint="default"/>
                <w:sz w:val="18"/>
                <w:szCs w:val="18"/>
              </w:rPr>
            </w:pPr>
            <w:r>
              <w:rPr>
                <w:rFonts w:ascii="Times New Roman"/>
                <w:sz w:val="18"/>
              </w:rPr>
              <w:t>2018/5/22-2022/2/15</w:t>
            </w:r>
          </w:p>
        </w:tc>
        <w:tc>
          <w:tcPr>
            <w:tcW w:w="5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2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418"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877" w:type="dxa"/>
            <w:gridSpan w:val="2"/>
            <w:vMerge/>
            <w:tcBorders>
              <w:left w:val="single" w:sz="4" w:space="0" w:color="000000"/>
              <w:right w:val="single" w:sz="4" w:space="0" w:color="000000"/>
            </w:tcBorders>
          </w:tcPr>
          <w:p>
            <w:pPr/>
          </w:p>
        </w:tc>
        <w:tc>
          <w:tcPr>
            <w:tcW w:w="9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2018/10/26</w:t>
            </w:r>
          </w:p>
        </w:tc>
        <w:tc>
          <w:tcPr>
            <w:tcW w:w="11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万美元</w:t>
            </w:r>
          </w:p>
        </w:tc>
        <w:tc>
          <w:tcPr>
            <w:tcW w:w="11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180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left"/>
              <w:rPr>
                <w:rFonts w:ascii="Times New Roman" w:hAnsi="Times New Roman" w:cs="Times New Roman" w:eastAsia="Times New Roman" w:hint="default"/>
                <w:sz w:val="18"/>
                <w:szCs w:val="18"/>
              </w:rPr>
            </w:pPr>
            <w:r>
              <w:rPr>
                <w:rFonts w:ascii="Times New Roman"/>
                <w:sz w:val="18"/>
              </w:rPr>
              <w:t>2018/10/26-2019/10/25</w:t>
            </w:r>
          </w:p>
        </w:tc>
        <w:tc>
          <w:tcPr>
            <w:tcW w:w="5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418"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877" w:type="dxa"/>
            <w:gridSpan w:val="2"/>
            <w:vMerge/>
            <w:tcBorders>
              <w:left w:val="single" w:sz="4" w:space="0" w:color="000000"/>
              <w:right w:val="single" w:sz="4" w:space="0" w:color="000000"/>
            </w:tcBorders>
          </w:tcPr>
          <w:p>
            <w:pPr/>
          </w:p>
        </w:tc>
        <w:tc>
          <w:tcPr>
            <w:tcW w:w="9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4" w:right="0"/>
              <w:jc w:val="left"/>
              <w:rPr>
                <w:rFonts w:ascii="Times New Roman" w:hAnsi="Times New Roman" w:cs="Times New Roman" w:eastAsia="Times New Roman" w:hint="default"/>
                <w:sz w:val="18"/>
                <w:szCs w:val="18"/>
              </w:rPr>
            </w:pPr>
            <w:r>
              <w:rPr>
                <w:rFonts w:ascii="Times New Roman"/>
                <w:sz w:val="18"/>
              </w:rPr>
              <w:t>2018/11/15</w:t>
            </w:r>
          </w:p>
        </w:tc>
        <w:tc>
          <w:tcPr>
            <w:tcW w:w="11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5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万美元</w:t>
            </w:r>
          </w:p>
        </w:tc>
        <w:tc>
          <w:tcPr>
            <w:tcW w:w="11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6"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180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58" w:right="0"/>
              <w:jc w:val="left"/>
              <w:rPr>
                <w:rFonts w:ascii="Times New Roman" w:hAnsi="Times New Roman" w:cs="Times New Roman" w:eastAsia="Times New Roman" w:hint="default"/>
                <w:sz w:val="18"/>
                <w:szCs w:val="18"/>
              </w:rPr>
            </w:pPr>
            <w:r>
              <w:rPr>
                <w:rFonts w:ascii="Times New Roman"/>
                <w:sz w:val="18"/>
              </w:rPr>
              <w:t>2018/11/15-2019/3/25</w:t>
            </w:r>
          </w:p>
        </w:tc>
        <w:tc>
          <w:tcPr>
            <w:tcW w:w="5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33" w:hRule="exact"/>
        </w:trPr>
        <w:tc>
          <w:tcPr>
            <w:tcW w:w="1418"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877" w:type="dxa"/>
            <w:gridSpan w:val="2"/>
            <w:vMerge/>
            <w:tcBorders>
              <w:left w:val="single" w:sz="4" w:space="0" w:color="000000"/>
              <w:right w:val="single" w:sz="4" w:space="0" w:color="000000"/>
            </w:tcBorders>
          </w:tcPr>
          <w:p>
            <w:pPr/>
          </w:p>
        </w:tc>
        <w:tc>
          <w:tcPr>
            <w:tcW w:w="9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64" w:right="0"/>
              <w:jc w:val="left"/>
              <w:rPr>
                <w:rFonts w:ascii="Times New Roman" w:hAnsi="Times New Roman" w:cs="Times New Roman" w:eastAsia="Times New Roman" w:hint="default"/>
                <w:sz w:val="18"/>
                <w:szCs w:val="18"/>
              </w:rPr>
            </w:pPr>
            <w:r>
              <w:rPr>
                <w:rFonts w:ascii="Times New Roman"/>
                <w:sz w:val="18"/>
              </w:rPr>
              <w:t>2018/12/14</w:t>
            </w:r>
          </w:p>
        </w:tc>
        <w:tc>
          <w:tcPr>
            <w:tcW w:w="11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5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67.90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万美元</w:t>
            </w:r>
          </w:p>
        </w:tc>
        <w:tc>
          <w:tcPr>
            <w:tcW w:w="11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26"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180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158" w:right="0"/>
              <w:jc w:val="left"/>
              <w:rPr>
                <w:rFonts w:ascii="Times New Roman" w:hAnsi="Times New Roman" w:cs="Times New Roman" w:eastAsia="Times New Roman" w:hint="default"/>
                <w:sz w:val="18"/>
                <w:szCs w:val="18"/>
              </w:rPr>
            </w:pPr>
            <w:r>
              <w:rPr>
                <w:rFonts w:ascii="Times New Roman"/>
                <w:sz w:val="18"/>
              </w:rPr>
              <w:t>2018/12/14-2020/3/21</w:t>
            </w:r>
          </w:p>
        </w:tc>
        <w:tc>
          <w:tcPr>
            <w:tcW w:w="5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22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418"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877" w:type="dxa"/>
            <w:gridSpan w:val="2"/>
            <w:vMerge/>
            <w:tcBorders>
              <w:left w:val="single" w:sz="4" w:space="0" w:color="000000"/>
              <w:right w:val="single" w:sz="4" w:space="0" w:color="000000"/>
            </w:tcBorders>
          </w:tcPr>
          <w:p>
            <w:pPr/>
          </w:p>
        </w:tc>
        <w:tc>
          <w:tcPr>
            <w:tcW w:w="9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4" w:right="0"/>
              <w:jc w:val="left"/>
              <w:rPr>
                <w:rFonts w:ascii="Times New Roman" w:hAnsi="Times New Roman" w:cs="Times New Roman" w:eastAsia="Times New Roman" w:hint="default"/>
                <w:sz w:val="18"/>
                <w:szCs w:val="18"/>
              </w:rPr>
            </w:pPr>
            <w:r>
              <w:rPr>
                <w:rFonts w:ascii="Times New Roman"/>
                <w:sz w:val="18"/>
              </w:rPr>
              <w:t>2018/12/18</w:t>
            </w:r>
          </w:p>
        </w:tc>
        <w:tc>
          <w:tcPr>
            <w:tcW w:w="11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5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万美元</w:t>
            </w:r>
          </w:p>
        </w:tc>
        <w:tc>
          <w:tcPr>
            <w:tcW w:w="11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6"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180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58" w:right="0"/>
              <w:jc w:val="left"/>
              <w:rPr>
                <w:rFonts w:ascii="Times New Roman" w:hAnsi="Times New Roman" w:cs="Times New Roman" w:eastAsia="Times New Roman" w:hint="default"/>
                <w:sz w:val="18"/>
                <w:szCs w:val="18"/>
              </w:rPr>
            </w:pPr>
            <w:r>
              <w:rPr>
                <w:rFonts w:ascii="Times New Roman"/>
                <w:sz w:val="18"/>
              </w:rPr>
              <w:t>2018/12/18-2021/3/21</w:t>
            </w:r>
          </w:p>
        </w:tc>
        <w:tc>
          <w:tcPr>
            <w:tcW w:w="5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418"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877" w:type="dxa"/>
            <w:gridSpan w:val="2"/>
            <w:vMerge/>
            <w:tcBorders>
              <w:left w:val="single" w:sz="4" w:space="0" w:color="000000"/>
              <w:right w:val="single" w:sz="4" w:space="0" w:color="000000"/>
            </w:tcBorders>
          </w:tcPr>
          <w:p>
            <w:pPr/>
          </w:p>
        </w:tc>
        <w:tc>
          <w:tcPr>
            <w:tcW w:w="9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2019/9/30</w:t>
            </w:r>
          </w:p>
        </w:tc>
        <w:tc>
          <w:tcPr>
            <w:tcW w:w="11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5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15.86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万美元</w:t>
            </w:r>
          </w:p>
        </w:tc>
        <w:tc>
          <w:tcPr>
            <w:tcW w:w="11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180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9" w:right="0"/>
              <w:jc w:val="left"/>
              <w:rPr>
                <w:rFonts w:ascii="Times New Roman" w:hAnsi="Times New Roman" w:cs="Times New Roman" w:eastAsia="Times New Roman" w:hint="default"/>
                <w:sz w:val="18"/>
                <w:szCs w:val="18"/>
              </w:rPr>
            </w:pPr>
            <w:r>
              <w:rPr>
                <w:rFonts w:ascii="Times New Roman"/>
                <w:sz w:val="18"/>
              </w:rPr>
              <w:t>2019/9/30-2022/9/25</w:t>
            </w:r>
          </w:p>
        </w:tc>
        <w:tc>
          <w:tcPr>
            <w:tcW w:w="5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418"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877" w:type="dxa"/>
            <w:gridSpan w:val="2"/>
            <w:vMerge/>
            <w:tcBorders>
              <w:left w:val="single" w:sz="4" w:space="0" w:color="000000"/>
              <w:right w:val="single" w:sz="4" w:space="0" w:color="000000"/>
            </w:tcBorders>
          </w:tcPr>
          <w:p>
            <w:pPr/>
          </w:p>
        </w:tc>
        <w:tc>
          <w:tcPr>
            <w:tcW w:w="9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4" w:right="0"/>
              <w:jc w:val="left"/>
              <w:rPr>
                <w:rFonts w:ascii="Times New Roman" w:hAnsi="Times New Roman" w:cs="Times New Roman" w:eastAsia="Times New Roman" w:hint="default"/>
                <w:sz w:val="18"/>
                <w:szCs w:val="18"/>
              </w:rPr>
            </w:pPr>
            <w:r>
              <w:rPr>
                <w:rFonts w:ascii="Times New Roman"/>
                <w:sz w:val="18"/>
              </w:rPr>
              <w:t>2019/12/31</w:t>
            </w:r>
          </w:p>
        </w:tc>
        <w:tc>
          <w:tcPr>
            <w:tcW w:w="11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万美元</w:t>
            </w:r>
          </w:p>
        </w:tc>
        <w:tc>
          <w:tcPr>
            <w:tcW w:w="11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180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9" w:right="0"/>
              <w:jc w:val="left"/>
              <w:rPr>
                <w:rFonts w:ascii="Times New Roman" w:hAnsi="Times New Roman" w:cs="Times New Roman" w:eastAsia="Times New Roman" w:hint="default"/>
                <w:sz w:val="18"/>
                <w:szCs w:val="18"/>
              </w:rPr>
            </w:pPr>
            <w:r>
              <w:rPr>
                <w:rFonts w:ascii="Times New Roman"/>
                <w:sz w:val="18"/>
              </w:rPr>
              <w:t>2019/12/31-2020/12/30</w:t>
            </w:r>
          </w:p>
        </w:tc>
        <w:tc>
          <w:tcPr>
            <w:tcW w:w="5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418"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877" w:type="dxa"/>
            <w:gridSpan w:val="2"/>
            <w:vMerge/>
            <w:tcBorders>
              <w:left w:val="single" w:sz="4" w:space="0" w:color="000000"/>
              <w:right w:val="single" w:sz="4" w:space="0" w:color="000000"/>
            </w:tcBorders>
          </w:tcPr>
          <w:p>
            <w:pPr/>
          </w:p>
        </w:tc>
        <w:tc>
          <w:tcPr>
            <w:tcW w:w="9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2019/12/30</w:t>
            </w:r>
          </w:p>
        </w:tc>
        <w:tc>
          <w:tcPr>
            <w:tcW w:w="11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5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31.73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万美元</w:t>
            </w:r>
          </w:p>
        </w:tc>
        <w:tc>
          <w:tcPr>
            <w:tcW w:w="11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180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left"/>
              <w:rPr>
                <w:rFonts w:ascii="Times New Roman" w:hAnsi="Times New Roman" w:cs="Times New Roman" w:eastAsia="Times New Roman" w:hint="default"/>
                <w:sz w:val="18"/>
                <w:szCs w:val="18"/>
              </w:rPr>
            </w:pPr>
            <w:r>
              <w:rPr>
                <w:rFonts w:ascii="Times New Roman"/>
                <w:sz w:val="18"/>
              </w:rPr>
              <w:t>2019/12/30-2022/12/22</w:t>
            </w:r>
          </w:p>
        </w:tc>
        <w:tc>
          <w:tcPr>
            <w:tcW w:w="5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418"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877" w:type="dxa"/>
            <w:gridSpan w:val="2"/>
            <w:vMerge/>
            <w:tcBorders>
              <w:left w:val="single" w:sz="4" w:space="0" w:color="000000"/>
              <w:right w:val="single" w:sz="4" w:space="0" w:color="000000"/>
            </w:tcBorders>
          </w:tcPr>
          <w:p>
            <w:pPr/>
          </w:p>
        </w:tc>
        <w:tc>
          <w:tcPr>
            <w:tcW w:w="9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4" w:right="0"/>
              <w:jc w:val="left"/>
              <w:rPr>
                <w:rFonts w:ascii="Times New Roman" w:hAnsi="Times New Roman" w:cs="Times New Roman" w:eastAsia="Times New Roman" w:hint="default"/>
                <w:sz w:val="18"/>
                <w:szCs w:val="18"/>
              </w:rPr>
            </w:pPr>
            <w:r>
              <w:rPr>
                <w:rFonts w:ascii="Times New Roman"/>
                <w:sz w:val="18"/>
              </w:rPr>
              <w:t>2019/12/20</w:t>
            </w:r>
          </w:p>
        </w:tc>
        <w:tc>
          <w:tcPr>
            <w:tcW w:w="11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5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28.66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万美元</w:t>
            </w:r>
          </w:p>
        </w:tc>
        <w:tc>
          <w:tcPr>
            <w:tcW w:w="11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180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9" w:right="0"/>
              <w:jc w:val="left"/>
              <w:rPr>
                <w:rFonts w:ascii="Times New Roman" w:hAnsi="Times New Roman" w:cs="Times New Roman" w:eastAsia="Times New Roman" w:hint="default"/>
                <w:sz w:val="18"/>
                <w:szCs w:val="18"/>
              </w:rPr>
            </w:pPr>
            <w:r>
              <w:rPr>
                <w:rFonts w:ascii="Times New Roman"/>
                <w:sz w:val="18"/>
              </w:rPr>
              <w:t>2019/12/20-2022/10/16</w:t>
            </w:r>
          </w:p>
        </w:tc>
        <w:tc>
          <w:tcPr>
            <w:tcW w:w="5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418"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877" w:type="dxa"/>
            <w:gridSpan w:val="2"/>
            <w:vMerge/>
            <w:tcBorders>
              <w:left w:val="single" w:sz="4" w:space="0" w:color="000000"/>
              <w:bottom w:val="single" w:sz="4" w:space="0" w:color="000000"/>
              <w:right w:val="single" w:sz="4" w:space="0" w:color="000000"/>
            </w:tcBorders>
          </w:tcPr>
          <w:p>
            <w:pPr/>
          </w:p>
        </w:tc>
        <w:tc>
          <w:tcPr>
            <w:tcW w:w="9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2019/12/17</w:t>
            </w:r>
          </w:p>
        </w:tc>
        <w:tc>
          <w:tcPr>
            <w:tcW w:w="11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5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40.53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万美元</w:t>
            </w:r>
          </w:p>
        </w:tc>
        <w:tc>
          <w:tcPr>
            <w:tcW w:w="11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180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8" w:right="0"/>
              <w:jc w:val="left"/>
              <w:rPr>
                <w:rFonts w:ascii="Times New Roman" w:hAnsi="Times New Roman" w:cs="Times New Roman" w:eastAsia="Times New Roman" w:hint="default"/>
                <w:sz w:val="18"/>
                <w:szCs w:val="18"/>
              </w:rPr>
            </w:pPr>
            <w:r>
              <w:rPr>
                <w:rFonts w:ascii="Times New Roman"/>
                <w:sz w:val="18"/>
              </w:rPr>
              <w:t>2019/12/17-2022/1/12</w:t>
            </w:r>
          </w:p>
        </w:tc>
        <w:tc>
          <w:tcPr>
            <w:tcW w:w="5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816"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22" w:right="123"/>
              <w:jc w:val="left"/>
              <w:rPr>
                <w:rFonts w:ascii="宋体" w:hAnsi="宋体" w:cs="宋体" w:eastAsia="宋体" w:hint="default"/>
                <w:sz w:val="18"/>
                <w:szCs w:val="18"/>
              </w:rPr>
            </w:pPr>
            <w:r>
              <w:rPr>
                <w:rFonts w:ascii="宋体" w:hAnsi="宋体" w:cs="宋体" w:eastAsia="宋体" w:hint="default"/>
                <w:sz w:val="18"/>
                <w:szCs w:val="18"/>
              </w:rPr>
              <w:t>广电汇通（香港 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before="101"/>
              <w:ind w:left="-136"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88" w:lineRule="exact"/>
              <w:ind w:left="23" w:right="0"/>
              <w:jc w:val="left"/>
              <w:rPr>
                <w:rFonts w:ascii="Times New Roman" w:hAnsi="Times New Roman" w:cs="Times New Roman" w:eastAsia="Times New Roman" w:hint="default"/>
                <w:sz w:val="18"/>
                <w:szCs w:val="18"/>
              </w:rPr>
            </w:pPr>
            <w:r>
              <w:rPr>
                <w:rFonts w:ascii="Times New Roman"/>
                <w:sz w:val="18"/>
              </w:rPr>
              <w:t>2016/8/27</w:t>
            </w:r>
          </w:p>
        </w:tc>
        <w:tc>
          <w:tcPr>
            <w:tcW w:w="8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亿港元</w:t>
            </w:r>
          </w:p>
        </w:tc>
        <w:tc>
          <w:tcPr>
            <w:tcW w:w="9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6"/>
                <w:szCs w:val="26"/>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6"/>
                <w:szCs w:val="26"/>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0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6"/>
                <w:szCs w:val="26"/>
              </w:rPr>
            </w:pPr>
          </w:p>
          <w:p>
            <w:pPr>
              <w:pStyle w:val="TableParagraph"/>
              <w:spacing w:line="240" w:lineRule="auto"/>
              <w:ind w:left="286"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14" w:hRule="exact"/>
        </w:trPr>
        <w:tc>
          <w:tcPr>
            <w:tcW w:w="241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35"/>
              <w:jc w:val="left"/>
              <w:rPr>
                <w:rFonts w:ascii="宋体" w:hAnsi="宋体" w:cs="宋体" w:eastAsia="宋体" w:hint="default"/>
                <w:sz w:val="18"/>
                <w:szCs w:val="18"/>
              </w:rPr>
            </w:pPr>
            <w:r>
              <w:rPr>
                <w:rFonts w:ascii="宋体" w:hAnsi="宋体" w:cs="宋体" w:eastAsia="宋体" w:hint="default"/>
                <w:sz w:val="18"/>
                <w:szCs w:val="18"/>
              </w:rPr>
              <w:t>报告期内审批对子公司担保额 度合计（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183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1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3" w:right="120"/>
              <w:jc w:val="left"/>
              <w:rPr>
                <w:rFonts w:ascii="宋体" w:hAnsi="宋体" w:cs="宋体" w:eastAsia="宋体" w:hint="default"/>
                <w:sz w:val="18"/>
                <w:szCs w:val="18"/>
              </w:rPr>
            </w:pPr>
            <w:r>
              <w:rPr>
                <w:rFonts w:ascii="宋体" w:hAnsi="宋体" w:cs="宋体" w:eastAsia="宋体" w:hint="default"/>
                <w:sz w:val="18"/>
                <w:szCs w:val="18"/>
              </w:rPr>
              <w:t>报告期内对子公司担保实际 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3010"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76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1,620.93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万美元</w:t>
            </w:r>
          </w:p>
        </w:tc>
      </w:tr>
      <w:tr>
        <w:trPr>
          <w:trHeight w:val="714" w:hRule="exact"/>
        </w:trPr>
        <w:tc>
          <w:tcPr>
            <w:tcW w:w="241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35"/>
              <w:jc w:val="left"/>
              <w:rPr>
                <w:rFonts w:ascii="宋体" w:hAnsi="宋体" w:cs="宋体" w:eastAsia="宋体" w:hint="default"/>
                <w:sz w:val="18"/>
                <w:szCs w:val="18"/>
              </w:rPr>
            </w:pPr>
            <w:r>
              <w:rPr>
                <w:rFonts w:ascii="宋体" w:hAnsi="宋体" w:cs="宋体" w:eastAsia="宋体" w:hint="default"/>
                <w:sz w:val="18"/>
                <w:szCs w:val="18"/>
              </w:rPr>
              <w:t>报告期末已审批的对子公司担 保额度合计（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183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宋体" w:hAnsi="宋体" w:cs="宋体" w:eastAsia="宋体" w:hint="default"/>
                <w:sz w:val="18"/>
                <w:szCs w:val="18"/>
              </w:rPr>
              <w:t>折合人民币</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43,838.80</w:t>
            </w:r>
          </w:p>
          <w:p>
            <w:pPr>
              <w:pStyle w:val="TableParagraph"/>
              <w:spacing w:line="240" w:lineRule="auto" w:before="63"/>
              <w:ind w:right="22"/>
              <w:jc w:val="right"/>
              <w:rPr>
                <w:rFonts w:ascii="宋体" w:hAnsi="宋体" w:cs="宋体" w:eastAsia="宋体" w:hint="default"/>
                <w:sz w:val="18"/>
                <w:szCs w:val="18"/>
              </w:rPr>
            </w:pPr>
            <w:r>
              <w:rPr>
                <w:rFonts w:ascii="宋体" w:hAnsi="宋体" w:cs="宋体" w:eastAsia="宋体" w:hint="default"/>
                <w:sz w:val="18"/>
                <w:szCs w:val="18"/>
              </w:rPr>
              <w:t>万元</w:t>
            </w:r>
          </w:p>
        </w:tc>
        <w:tc>
          <w:tcPr>
            <w:tcW w:w="231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3" w:right="120"/>
              <w:jc w:val="left"/>
              <w:rPr>
                <w:rFonts w:ascii="宋体" w:hAnsi="宋体" w:cs="宋体" w:eastAsia="宋体" w:hint="default"/>
                <w:sz w:val="18"/>
                <w:szCs w:val="18"/>
              </w:rPr>
            </w:pPr>
            <w:r>
              <w:rPr>
                <w:rFonts w:ascii="宋体" w:hAnsi="宋体" w:cs="宋体" w:eastAsia="宋体" w:hint="default"/>
                <w:sz w:val="18"/>
                <w:szCs w:val="18"/>
              </w:rPr>
              <w:t>报告期末对子公司实际担保 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3010"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89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780.74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万美元</w:t>
            </w:r>
          </w:p>
        </w:tc>
      </w:tr>
      <w:tr>
        <w:trPr>
          <w:trHeight w:val="402" w:hRule="exact"/>
        </w:trPr>
        <w:tc>
          <w:tcPr>
            <w:tcW w:w="9573" w:type="dxa"/>
            <w:gridSpan w:val="1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4"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12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4" w:right="149"/>
              <w:jc w:val="center"/>
              <w:rPr>
                <w:rFonts w:ascii="宋体" w:hAnsi="宋体" w:cs="宋体" w:eastAsia="宋体" w:hint="default"/>
                <w:sz w:val="18"/>
                <w:szCs w:val="18"/>
              </w:rPr>
            </w:pPr>
            <w:r>
              <w:rPr>
                <w:rFonts w:ascii="宋体" w:hAnsi="宋体" w:cs="宋体" w:eastAsia="宋体" w:hint="default"/>
                <w:sz w:val="18"/>
                <w:szCs w:val="18"/>
              </w:rPr>
              <w:t>担保额度相 关公告披露 日期</w:t>
            </w:r>
          </w:p>
        </w:tc>
        <w:tc>
          <w:tcPr>
            <w:tcW w:w="10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2"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1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8" w:right="128"/>
              <w:jc w:val="center"/>
              <w:rPr>
                <w:rFonts w:ascii="宋体" w:hAnsi="宋体" w:cs="宋体" w:eastAsia="宋体" w:hint="default"/>
                <w:sz w:val="18"/>
                <w:szCs w:val="18"/>
              </w:rPr>
            </w:pPr>
            <w:r>
              <w:rPr>
                <w:rFonts w:ascii="宋体" w:hAnsi="宋体" w:cs="宋体" w:eastAsia="宋体" w:hint="default"/>
                <w:sz w:val="18"/>
                <w:szCs w:val="18"/>
              </w:rPr>
              <w:t>实际发生日 期（协议签 署日）</w:t>
            </w:r>
          </w:p>
        </w:tc>
        <w:tc>
          <w:tcPr>
            <w:tcW w:w="104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7" w:right="155" w:hanging="180"/>
              <w:jc w:val="left"/>
              <w:rPr>
                <w:rFonts w:ascii="宋体" w:hAnsi="宋体" w:cs="宋体" w:eastAsia="宋体" w:hint="default"/>
                <w:sz w:val="18"/>
                <w:szCs w:val="18"/>
              </w:rPr>
            </w:pPr>
            <w:r>
              <w:rPr>
                <w:rFonts w:ascii="宋体" w:hAnsi="宋体" w:cs="宋体" w:eastAsia="宋体" w:hint="default"/>
                <w:sz w:val="18"/>
                <w:szCs w:val="18"/>
              </w:rPr>
              <w:t>实际担保 金额</w:t>
            </w:r>
          </w:p>
        </w:tc>
        <w:tc>
          <w:tcPr>
            <w:tcW w:w="105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2"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7" w:right="116"/>
              <w:jc w:val="left"/>
              <w:rPr>
                <w:rFonts w:ascii="宋体" w:hAnsi="宋体" w:cs="宋体" w:eastAsia="宋体" w:hint="default"/>
                <w:sz w:val="18"/>
                <w:szCs w:val="18"/>
              </w:rPr>
            </w:pPr>
            <w:r>
              <w:rPr>
                <w:rFonts w:ascii="宋体" w:hAnsi="宋体" w:cs="宋体" w:eastAsia="宋体" w:hint="default"/>
                <w:sz w:val="18"/>
                <w:szCs w:val="18"/>
              </w:rPr>
              <w:t>是否履 行完毕</w:t>
            </w:r>
          </w:p>
        </w:tc>
        <w:tc>
          <w:tcPr>
            <w:tcW w:w="7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8" w:right="118"/>
              <w:jc w:val="both"/>
              <w:rPr>
                <w:rFonts w:ascii="宋体" w:hAnsi="宋体" w:cs="宋体" w:eastAsia="宋体" w:hint="default"/>
                <w:sz w:val="18"/>
                <w:szCs w:val="18"/>
              </w:rPr>
            </w:pPr>
            <w:r>
              <w:rPr>
                <w:rFonts w:ascii="宋体" w:hAnsi="宋体" w:cs="宋体" w:eastAsia="宋体" w:hint="default"/>
                <w:sz w:val="18"/>
                <w:szCs w:val="18"/>
              </w:rPr>
              <w:t>是否为 关联方 担保</w:t>
            </w:r>
          </w:p>
        </w:tc>
      </w:tr>
      <w:tr>
        <w:trPr>
          <w:trHeight w:val="754"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224"/>
              <w:jc w:val="left"/>
              <w:rPr>
                <w:rFonts w:ascii="宋体" w:hAnsi="宋体" w:cs="宋体" w:eastAsia="宋体" w:hint="default"/>
                <w:sz w:val="18"/>
                <w:szCs w:val="18"/>
              </w:rPr>
            </w:pPr>
            <w:r>
              <w:rPr>
                <w:rFonts w:ascii="宋体" w:hAnsi="宋体" w:cs="宋体" w:eastAsia="宋体" w:hint="default"/>
                <w:sz w:val="18"/>
                <w:szCs w:val="18"/>
              </w:rPr>
              <w:t>运通国际下属 子公司</w:t>
            </w:r>
          </w:p>
        </w:tc>
        <w:tc>
          <w:tcPr>
            <w:tcW w:w="12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2017/4/8</w:t>
            </w:r>
            <w:r>
              <w:rPr>
                <w:rFonts w:ascii="宋体" w:hAnsi="宋体" w:cs="宋体" w:eastAsia="宋体" w:hint="default"/>
                <w:sz w:val="18"/>
                <w:szCs w:val="18"/>
              </w:rPr>
              <w:t>、</w:t>
            </w:r>
          </w:p>
          <w:p>
            <w:pPr>
              <w:pStyle w:val="TableParagraph"/>
              <w:spacing w:line="240" w:lineRule="auto" w:before="143"/>
              <w:ind w:left="102" w:right="0"/>
              <w:jc w:val="left"/>
              <w:rPr>
                <w:rFonts w:ascii="Times New Roman" w:hAnsi="Times New Roman" w:cs="Times New Roman" w:eastAsia="Times New Roman" w:hint="default"/>
                <w:sz w:val="18"/>
                <w:szCs w:val="18"/>
              </w:rPr>
            </w:pPr>
            <w:r>
              <w:rPr>
                <w:rFonts w:ascii="Times New Roman"/>
                <w:sz w:val="18"/>
              </w:rPr>
              <w:t>2017/5/6</w:t>
            </w:r>
          </w:p>
        </w:tc>
        <w:tc>
          <w:tcPr>
            <w:tcW w:w="10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w:t>
            </w:r>
          </w:p>
          <w:p>
            <w:pPr>
              <w:pStyle w:val="TableParagraph"/>
              <w:spacing w:line="240" w:lineRule="auto" w:before="63"/>
              <w:ind w:left="549"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1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14" w:hRule="exact"/>
        </w:trPr>
        <w:tc>
          <w:tcPr>
            <w:tcW w:w="266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209"/>
              <w:jc w:val="left"/>
              <w:rPr>
                <w:rFonts w:ascii="宋体" w:hAnsi="宋体" w:cs="宋体" w:eastAsia="宋体" w:hint="default"/>
                <w:sz w:val="18"/>
                <w:szCs w:val="18"/>
              </w:rPr>
            </w:pPr>
            <w:r>
              <w:rPr>
                <w:rFonts w:ascii="宋体" w:hAnsi="宋体" w:cs="宋体" w:eastAsia="宋体" w:hint="default"/>
                <w:sz w:val="18"/>
                <w:szCs w:val="18"/>
              </w:rPr>
              <w:t>报告期内审批对子公司担保额 度合计（</w:t>
            </w:r>
            <w:r>
              <w:rPr>
                <w:rFonts w:ascii="Times New Roman" w:hAnsi="Times New Roman" w:cs="Times New Roman" w:eastAsia="Times New Roman" w:hint="default"/>
                <w:sz w:val="18"/>
                <w:szCs w:val="18"/>
              </w:rPr>
              <w:t>C1</w:t>
            </w:r>
            <w:r>
              <w:rPr>
                <w:rFonts w:ascii="宋体" w:hAnsi="宋体" w:cs="宋体" w:eastAsia="宋体" w:hint="default"/>
                <w:sz w:val="18"/>
                <w:szCs w:val="18"/>
              </w:rPr>
              <w:t>）</w:t>
            </w:r>
          </w:p>
        </w:tc>
        <w:tc>
          <w:tcPr>
            <w:tcW w:w="219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33" w:right="0"/>
              <w:jc w:val="center"/>
              <w:rPr>
                <w:rFonts w:ascii="Times New Roman" w:hAnsi="Times New Roman" w:cs="Times New Roman" w:eastAsia="Times New Roman" w:hint="default"/>
                <w:sz w:val="18"/>
                <w:szCs w:val="18"/>
              </w:rPr>
            </w:pPr>
            <w:r>
              <w:rPr>
                <w:rFonts w:ascii="Times New Roman"/>
                <w:sz w:val="18"/>
              </w:rPr>
              <w:t>0.00</w:t>
            </w:r>
          </w:p>
        </w:tc>
        <w:tc>
          <w:tcPr>
            <w:tcW w:w="209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2" w:right="153"/>
              <w:jc w:val="left"/>
              <w:rPr>
                <w:rFonts w:ascii="宋体" w:hAnsi="宋体" w:cs="宋体" w:eastAsia="宋体" w:hint="default"/>
                <w:sz w:val="18"/>
                <w:szCs w:val="18"/>
              </w:rPr>
            </w:pPr>
            <w:r>
              <w:rPr>
                <w:rFonts w:ascii="宋体" w:hAnsi="宋体" w:cs="宋体" w:eastAsia="宋体" w:hint="default"/>
                <w:sz w:val="18"/>
                <w:szCs w:val="18"/>
              </w:rPr>
              <w:t>报告期内对子公司担保 实际发生额合计（</w:t>
            </w:r>
            <w:r>
              <w:rPr>
                <w:rFonts w:ascii="Times New Roman" w:hAnsi="Times New Roman" w:cs="Times New Roman" w:eastAsia="Times New Roman" w:hint="default"/>
                <w:sz w:val="18"/>
                <w:szCs w:val="18"/>
              </w:rPr>
              <w:t>C2</w:t>
            </w:r>
            <w:r>
              <w:rPr>
                <w:rFonts w:ascii="宋体" w:hAnsi="宋体" w:cs="宋体" w:eastAsia="宋体" w:hint="default"/>
                <w:sz w:val="18"/>
                <w:szCs w:val="18"/>
              </w:rPr>
              <w:t>）</w:t>
            </w:r>
          </w:p>
        </w:tc>
        <w:tc>
          <w:tcPr>
            <w:tcW w:w="262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4" w:hRule="exact"/>
        </w:trPr>
        <w:tc>
          <w:tcPr>
            <w:tcW w:w="266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209"/>
              <w:jc w:val="left"/>
              <w:rPr>
                <w:rFonts w:ascii="宋体" w:hAnsi="宋体" w:cs="宋体" w:eastAsia="宋体" w:hint="default"/>
                <w:sz w:val="18"/>
                <w:szCs w:val="18"/>
              </w:rPr>
            </w:pPr>
            <w:r>
              <w:rPr>
                <w:rFonts w:ascii="宋体" w:hAnsi="宋体" w:cs="宋体" w:eastAsia="宋体" w:hint="default"/>
                <w:sz w:val="18"/>
                <w:szCs w:val="18"/>
              </w:rPr>
              <w:t>报告期末已审批的对子公司担 保额度合计（</w:t>
            </w:r>
            <w:r>
              <w:rPr>
                <w:rFonts w:ascii="Times New Roman" w:hAnsi="Times New Roman" w:cs="Times New Roman" w:eastAsia="Times New Roman" w:hint="default"/>
                <w:sz w:val="18"/>
                <w:szCs w:val="18"/>
              </w:rPr>
              <w:t>C3</w:t>
            </w:r>
            <w:r>
              <w:rPr>
                <w:rFonts w:ascii="宋体" w:hAnsi="宋体" w:cs="宋体" w:eastAsia="宋体" w:hint="default"/>
                <w:sz w:val="18"/>
                <w:szCs w:val="18"/>
              </w:rPr>
              <w:t>）</w:t>
            </w:r>
          </w:p>
        </w:tc>
        <w:tc>
          <w:tcPr>
            <w:tcW w:w="2192" w:type="dxa"/>
            <w:gridSpan w:val="4"/>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14" w:right="128" w:hanging="855"/>
              <w:jc w:val="left"/>
              <w:rPr>
                <w:rFonts w:ascii="宋体" w:hAnsi="宋体" w:cs="宋体" w:eastAsia="宋体" w:hint="default"/>
                <w:sz w:val="18"/>
                <w:szCs w:val="18"/>
              </w:rPr>
            </w:pPr>
            <w:r>
              <w:rPr>
                <w:rFonts w:ascii="宋体" w:hAnsi="宋体" w:cs="宋体" w:eastAsia="宋体" w:hint="default"/>
                <w:sz w:val="18"/>
                <w:szCs w:val="18"/>
              </w:rPr>
              <w:t>折合人民币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13,952.40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 元</w:t>
            </w:r>
          </w:p>
        </w:tc>
        <w:tc>
          <w:tcPr>
            <w:tcW w:w="209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2" w:right="184"/>
              <w:jc w:val="left"/>
              <w:rPr>
                <w:rFonts w:ascii="宋体" w:hAnsi="宋体" w:cs="宋体" w:eastAsia="宋体" w:hint="default"/>
                <w:sz w:val="18"/>
                <w:szCs w:val="18"/>
              </w:rPr>
            </w:pPr>
            <w:r>
              <w:rPr>
                <w:rFonts w:ascii="宋体" w:hAnsi="宋体" w:cs="宋体" w:eastAsia="宋体" w:hint="default"/>
                <w:sz w:val="18"/>
                <w:szCs w:val="18"/>
              </w:rPr>
              <w:t>报告期末对子公司实际 担保余额合计（</w:t>
            </w:r>
            <w:r>
              <w:rPr>
                <w:rFonts w:ascii="Times New Roman" w:hAnsi="Times New Roman" w:cs="Times New Roman" w:eastAsia="Times New Roman" w:hint="default"/>
                <w:sz w:val="18"/>
                <w:szCs w:val="18"/>
              </w:rPr>
              <w:t>C4</w:t>
            </w:r>
            <w:r>
              <w:rPr>
                <w:rFonts w:ascii="宋体" w:hAnsi="宋体" w:cs="宋体" w:eastAsia="宋体" w:hint="default"/>
                <w:sz w:val="18"/>
                <w:szCs w:val="18"/>
              </w:rPr>
              <w:t>）</w:t>
            </w:r>
          </w:p>
        </w:tc>
        <w:tc>
          <w:tcPr>
            <w:tcW w:w="262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9573" w:type="dxa"/>
            <w:gridSpan w:val="1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714" w:hRule="exact"/>
        </w:trPr>
        <w:tc>
          <w:tcPr>
            <w:tcW w:w="266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19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09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报告期内担保实际发生额 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62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1,620.93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万美元</w:t>
            </w:r>
          </w:p>
        </w:tc>
      </w:tr>
      <w:tr>
        <w:trPr>
          <w:trHeight w:val="714" w:hRule="exact"/>
        </w:trPr>
        <w:tc>
          <w:tcPr>
            <w:tcW w:w="266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19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88" w:right="0"/>
              <w:jc w:val="left"/>
              <w:rPr>
                <w:rFonts w:ascii="宋体" w:hAnsi="宋体" w:cs="宋体" w:eastAsia="宋体" w:hint="default"/>
                <w:sz w:val="18"/>
                <w:szCs w:val="18"/>
              </w:rPr>
            </w:pPr>
            <w:r>
              <w:rPr>
                <w:rFonts w:ascii="宋体" w:hAnsi="宋体" w:cs="宋体" w:eastAsia="宋体" w:hint="default"/>
                <w:sz w:val="18"/>
                <w:szCs w:val="18"/>
              </w:rPr>
              <w:t>折合人民币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57,791.20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c>
          <w:tcPr>
            <w:tcW w:w="209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83"/>
              <w:jc w:val="left"/>
              <w:rPr>
                <w:rFonts w:ascii="宋体" w:hAnsi="宋体" w:cs="宋体" w:eastAsia="宋体" w:hint="default"/>
                <w:sz w:val="18"/>
                <w:szCs w:val="18"/>
              </w:rPr>
            </w:pPr>
            <w:r>
              <w:rPr>
                <w:rFonts w:ascii="宋体" w:hAnsi="宋体" w:cs="宋体" w:eastAsia="宋体" w:hint="default"/>
                <w:sz w:val="18"/>
                <w:szCs w:val="18"/>
              </w:rPr>
              <w:t>报告期末实际担保余额合 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2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5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780.74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万美元</w:t>
            </w:r>
          </w:p>
        </w:tc>
      </w:tr>
      <w:tr>
        <w:trPr>
          <w:trHeight w:val="402" w:hRule="exact"/>
        </w:trPr>
        <w:tc>
          <w:tcPr>
            <w:tcW w:w="4855"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p>
        </w:tc>
        <w:tc>
          <w:tcPr>
            <w:tcW w:w="4718"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0.60%</w:t>
            </w:r>
          </w:p>
        </w:tc>
      </w:tr>
      <w:tr>
        <w:trPr>
          <w:trHeight w:val="400" w:hRule="exact"/>
        </w:trPr>
        <w:tc>
          <w:tcPr>
            <w:tcW w:w="9573" w:type="dxa"/>
            <w:gridSpan w:val="1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r>
    </w:tbl>
    <w:p>
      <w:pPr>
        <w:spacing w:after="0" w:line="240" w:lineRule="auto"/>
        <w:jc w:val="left"/>
        <w:rPr>
          <w:rFonts w:ascii="宋体" w:hAnsi="宋体" w:cs="宋体" w:eastAsia="宋体" w:hint="default"/>
          <w:sz w:val="18"/>
          <w:szCs w:val="18"/>
        </w:rPr>
        <w:sectPr>
          <w:pgSz w:w="11910" w:h="16840"/>
          <w:pgMar w:header="878" w:footer="978" w:top="1100" w:bottom="1160" w:left="102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09" w:type="dxa"/>
        <w:tblLayout w:type="fixed"/>
        <w:tblCellMar>
          <w:top w:w="0" w:type="dxa"/>
          <w:left w:w="0" w:type="dxa"/>
          <w:bottom w:w="0" w:type="dxa"/>
          <w:right w:w="0" w:type="dxa"/>
        </w:tblCellMar>
        <w:tblLook w:val="01E0"/>
      </w:tblPr>
      <w:tblGrid>
        <w:gridCol w:w="4855"/>
        <w:gridCol w:w="4718"/>
      </w:tblGrid>
      <w:tr>
        <w:trPr>
          <w:trHeight w:val="402" w:hRule="exact"/>
        </w:trPr>
        <w:tc>
          <w:tcPr>
            <w:tcW w:w="4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为股东、实际控制人及其关联方提供担保的余额（</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4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4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26"/>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的被担保对象提供的债务 担保余额（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83.06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万美元</w:t>
            </w:r>
          </w:p>
        </w:tc>
      </w:tr>
      <w:tr>
        <w:trPr>
          <w:trHeight w:val="402" w:hRule="exact"/>
        </w:trPr>
        <w:tc>
          <w:tcPr>
            <w:tcW w:w="4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部分的金额（</w:t>
            </w:r>
            <w:r>
              <w:rPr>
                <w:rFonts w:ascii="Times New Roman" w:hAnsi="Times New Roman" w:cs="Times New Roman" w:eastAsia="Times New Roman" w:hint="default"/>
                <w:sz w:val="18"/>
                <w:szCs w:val="18"/>
              </w:rPr>
              <w:t>F</w:t>
            </w:r>
            <w:r>
              <w:rPr>
                <w:rFonts w:ascii="宋体" w:hAnsi="宋体" w:cs="宋体" w:eastAsia="宋体" w:hint="default"/>
                <w:sz w:val="18"/>
                <w:szCs w:val="18"/>
              </w:rPr>
              <w:t>）</w:t>
            </w:r>
          </w:p>
        </w:tc>
        <w:tc>
          <w:tcPr>
            <w:tcW w:w="4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D+E+F</w:t>
            </w:r>
            <w:r>
              <w:rPr>
                <w:rFonts w:ascii="宋体" w:hAnsi="宋体" w:cs="宋体" w:eastAsia="宋体" w:hint="default"/>
                <w:sz w:val="18"/>
                <w:szCs w:val="18"/>
              </w:rPr>
              <w:t>）</w:t>
            </w:r>
          </w:p>
        </w:tc>
        <w:tc>
          <w:tcPr>
            <w:tcW w:w="4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83.06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万美元</w:t>
            </w:r>
          </w:p>
        </w:tc>
      </w:tr>
      <w:tr>
        <w:trPr>
          <w:trHeight w:val="714" w:hRule="exact"/>
        </w:trPr>
        <w:tc>
          <w:tcPr>
            <w:tcW w:w="4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20"/>
              <w:jc w:val="left"/>
              <w:rPr>
                <w:rFonts w:ascii="宋体" w:hAnsi="宋体" w:cs="宋体" w:eastAsia="宋体" w:hint="default"/>
                <w:sz w:val="18"/>
                <w:szCs w:val="18"/>
              </w:rPr>
            </w:pPr>
            <w:r>
              <w:rPr>
                <w:rFonts w:ascii="宋体" w:hAnsi="宋体" w:cs="宋体" w:eastAsia="宋体" w:hint="default"/>
                <w:spacing w:val="-3"/>
                <w:sz w:val="18"/>
                <w:szCs w:val="18"/>
              </w:rPr>
              <w:t>对未到期担保，报告期内已发生担保责任或可能承担连带清偿</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责任的情况说明</w:t>
            </w:r>
          </w:p>
        </w:tc>
        <w:tc>
          <w:tcPr>
            <w:tcW w:w="4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违反规定程序对外提供担保的说明</w:t>
            </w:r>
          </w:p>
        </w:tc>
        <w:tc>
          <w:tcPr>
            <w:tcW w:w="4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5"/>
        <w:rPr>
          <w:rFonts w:ascii="Times New Roman" w:hAnsi="Times New Roman" w:cs="Times New Roman" w:eastAsia="Times New Roman" w:hint="default"/>
          <w:sz w:val="22"/>
          <w:szCs w:val="22"/>
        </w:rPr>
      </w:pPr>
    </w:p>
    <w:p>
      <w:pPr>
        <w:pStyle w:val="Heading5"/>
        <w:spacing w:line="240" w:lineRule="auto" w:before="37"/>
        <w:ind w:right="1394"/>
        <w:jc w:val="left"/>
        <w:rPr>
          <w:b w:val="0"/>
          <w:bCs w:val="0"/>
        </w:rPr>
      </w:pPr>
      <w:bookmarkStart w:name="（2）违规对外担保情况" w:id="93"/>
      <w:bookmarkEnd w:id="93"/>
      <w:r>
        <w:rPr>
          <w:b w:val="0"/>
          <w:bCs w:val="0"/>
        </w:rPr>
      </w:r>
      <w:r>
        <w:rPr/>
        <w:t>（</w:t>
      </w:r>
      <w:r>
        <w:rPr>
          <w:rFonts w:ascii="Times New Roman" w:hAnsi="Times New Roman" w:cs="Times New Roman" w:eastAsia="Times New Roman" w:hint="default"/>
        </w:rPr>
        <w:t>2</w:t>
      </w:r>
      <w:r>
        <w:rPr/>
        <w:t>）违规对外担保情况</w:t>
      </w:r>
      <w:r>
        <w:rPr>
          <w:b w:val="0"/>
          <w:bCs w:val="0"/>
        </w:rPr>
      </w:r>
    </w:p>
    <w:p>
      <w:pPr>
        <w:spacing w:line="240" w:lineRule="auto" w:before="11"/>
        <w:rPr>
          <w:rFonts w:ascii="宋体" w:hAnsi="宋体" w:cs="宋体" w:eastAsia="宋体" w:hint="default"/>
          <w:b/>
          <w:bCs/>
          <w:sz w:val="26"/>
          <w:szCs w:val="26"/>
        </w:rPr>
      </w:pPr>
    </w:p>
    <w:p>
      <w:pPr>
        <w:pStyle w:val="BodyText"/>
        <w:spacing w:line="340" w:lineRule="auto"/>
        <w:ind w:right="6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公司报告期无违规对外担保情况。</w:t>
      </w:r>
    </w:p>
    <w:p>
      <w:pPr>
        <w:spacing w:line="240" w:lineRule="auto" w:before="10"/>
        <w:rPr>
          <w:rFonts w:ascii="宋体" w:hAnsi="宋体" w:cs="宋体" w:eastAsia="宋体" w:hint="default"/>
          <w:sz w:val="21"/>
          <w:szCs w:val="21"/>
        </w:rPr>
      </w:pPr>
    </w:p>
    <w:p>
      <w:pPr>
        <w:pStyle w:val="Heading5"/>
        <w:spacing w:line="240" w:lineRule="auto"/>
        <w:ind w:right="1394"/>
        <w:jc w:val="left"/>
        <w:rPr>
          <w:b w:val="0"/>
          <w:bCs w:val="0"/>
        </w:rPr>
      </w:pPr>
      <w:bookmarkStart w:name="3、委托他人进行现金资产管理情况" w:id="94"/>
      <w:bookmarkEnd w:id="94"/>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5"/>
          <w:szCs w:val="25"/>
        </w:rPr>
      </w:pPr>
    </w:p>
    <w:p>
      <w:pPr>
        <w:pStyle w:val="Heading5"/>
        <w:spacing w:line="240" w:lineRule="auto"/>
        <w:ind w:right="1394"/>
        <w:jc w:val="left"/>
        <w:rPr>
          <w:b w:val="0"/>
          <w:bCs w:val="0"/>
        </w:rPr>
      </w:pPr>
      <w:bookmarkStart w:name="（1）委托理财情况" w:id="95"/>
      <w:bookmarkEnd w:id="95"/>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6"/>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78" w:footer="978" w:top="1100" w:bottom="1160" w:left="1020" w:right="0"/>
        </w:sectPr>
      </w:pPr>
    </w:p>
    <w:p>
      <w:pPr>
        <w:pStyle w:val="BodyText"/>
        <w:spacing w:line="338" w:lineRule="auto" w:before="44"/>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 报告期内委托理财概况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单位：万元</w:t>
      </w:r>
    </w:p>
    <w:p>
      <w:pPr>
        <w:spacing w:after="0" w:line="240" w:lineRule="auto"/>
        <w:jc w:val="left"/>
        <w:sectPr>
          <w:type w:val="continuous"/>
          <w:pgSz w:w="11910" w:h="16840"/>
          <w:pgMar w:top="1100" w:bottom="1160" w:left="1020" w:right="0"/>
          <w:cols w:num="2" w:equalWidth="0">
            <w:col w:w="1913" w:space="6825"/>
            <w:col w:w="2152"/>
          </w:cols>
        </w:sectPr>
      </w:pP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418"/>
        <w:gridCol w:w="2268"/>
        <w:gridCol w:w="2125"/>
        <w:gridCol w:w="1909"/>
        <w:gridCol w:w="1847"/>
      </w:tblGrid>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42"/>
              <w:jc w:val="right"/>
              <w:rPr>
                <w:rFonts w:ascii="宋体" w:hAnsi="宋体" w:cs="宋体" w:eastAsia="宋体" w:hint="default"/>
                <w:sz w:val="18"/>
                <w:szCs w:val="18"/>
              </w:rPr>
            </w:pPr>
            <w:r>
              <w:rPr>
                <w:rFonts w:ascii="宋体" w:hAnsi="宋体" w:cs="宋体" w:eastAsia="宋体" w:hint="default"/>
                <w:sz w:val="18"/>
                <w:szCs w:val="18"/>
              </w:rPr>
              <w:t>具体类型</w:t>
            </w:r>
          </w:p>
        </w:tc>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委托理财的资金来源</w:t>
            </w:r>
          </w:p>
        </w:tc>
        <w:tc>
          <w:tcPr>
            <w:tcW w:w="21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26" w:right="0"/>
              <w:jc w:val="left"/>
              <w:rPr>
                <w:rFonts w:ascii="宋体" w:hAnsi="宋体" w:cs="宋体" w:eastAsia="宋体" w:hint="default"/>
                <w:sz w:val="18"/>
                <w:szCs w:val="18"/>
              </w:rPr>
            </w:pPr>
            <w:r>
              <w:rPr>
                <w:rFonts w:ascii="宋体" w:hAnsi="宋体" w:cs="宋体" w:eastAsia="宋体" w:hint="default"/>
                <w:sz w:val="18"/>
                <w:szCs w:val="18"/>
              </w:rPr>
              <w:t>委托理财发生额</w:t>
            </w:r>
          </w:p>
        </w:tc>
        <w:tc>
          <w:tcPr>
            <w:tcW w:w="1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8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8"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303"/>
              <w:jc w:val="right"/>
              <w:rPr>
                <w:rFonts w:ascii="宋体" w:hAnsi="宋体" w:cs="宋体" w:eastAsia="宋体" w:hint="default"/>
                <w:sz w:val="18"/>
                <w:szCs w:val="18"/>
              </w:rPr>
            </w:pPr>
            <w:r>
              <w:rPr>
                <w:rFonts w:ascii="宋体" w:hAnsi="宋体" w:cs="宋体" w:eastAsia="宋体" w:hint="default"/>
                <w:sz w:val="18"/>
                <w:szCs w:val="18"/>
              </w:rPr>
              <w:t>银行理财产品</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200,000.00</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88,346.23</w:t>
            </w:r>
          </w:p>
        </w:tc>
        <w:tc>
          <w:tcPr>
            <w:tcW w:w="184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03"/>
              <w:jc w:val="right"/>
              <w:rPr>
                <w:rFonts w:ascii="宋体" w:hAnsi="宋体" w:cs="宋体" w:eastAsia="宋体" w:hint="default"/>
                <w:sz w:val="18"/>
                <w:szCs w:val="18"/>
              </w:rPr>
            </w:pPr>
            <w:r>
              <w:rPr>
                <w:rFonts w:ascii="宋体" w:hAnsi="宋体" w:cs="宋体" w:eastAsia="宋体" w:hint="default"/>
                <w:sz w:val="18"/>
                <w:szCs w:val="18"/>
              </w:rPr>
              <w:t>银行理财产品</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募集资金</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120,000.00</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70,000.00</w:t>
            </w:r>
          </w:p>
        </w:tc>
        <w:tc>
          <w:tcPr>
            <w:tcW w:w="184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320,000.00</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158,346.23</w:t>
            </w:r>
          </w:p>
        </w:tc>
        <w:tc>
          <w:tcPr>
            <w:tcW w:w="1847"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00" w:bottom="1160" w:left="1020" w:right="0"/>
        </w:sectPr>
      </w:pPr>
    </w:p>
    <w:p>
      <w:pPr>
        <w:pStyle w:val="BodyText"/>
        <w:spacing w:line="240" w:lineRule="auto" w:before="51"/>
        <w:ind w:right="-20"/>
        <w:jc w:val="left"/>
      </w:pPr>
      <w:r>
        <w:rPr/>
        <w:t>单项金额重大或安全性较低、流动性较差、不保本的高风险委托理财具体情况</w:t>
      </w:r>
    </w:p>
    <w:p>
      <w:pPr>
        <w:pStyle w:val="BodyText"/>
        <w:spacing w:line="240" w:lineRule="auto" w:before="115"/>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right="0"/>
        <w:jc w:val="left"/>
      </w:pPr>
      <w:r>
        <w:rPr/>
        <w:t>单位：万元</w:t>
      </w:r>
    </w:p>
    <w:p>
      <w:pPr>
        <w:spacing w:after="0" w:line="240" w:lineRule="auto"/>
        <w:jc w:val="left"/>
        <w:sectPr>
          <w:type w:val="continuous"/>
          <w:pgSz w:w="11910" w:h="16840"/>
          <w:pgMar w:top="1100" w:bottom="1160" w:left="1020" w:right="0"/>
          <w:cols w:num="2" w:equalWidth="0">
            <w:col w:w="6233" w:space="2505"/>
            <w:col w:w="2152"/>
          </w:cols>
        </w:sectPr>
      </w:pP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571"/>
        <w:gridCol w:w="590"/>
        <w:gridCol w:w="607"/>
        <w:gridCol w:w="574"/>
        <w:gridCol w:w="561"/>
        <w:gridCol w:w="561"/>
        <w:gridCol w:w="561"/>
        <w:gridCol w:w="561"/>
        <w:gridCol w:w="561"/>
        <w:gridCol w:w="561"/>
        <w:gridCol w:w="561"/>
        <w:gridCol w:w="561"/>
        <w:gridCol w:w="561"/>
        <w:gridCol w:w="549"/>
        <w:gridCol w:w="547"/>
        <w:gridCol w:w="547"/>
        <w:gridCol w:w="538"/>
      </w:tblGrid>
      <w:tr>
        <w:trPr>
          <w:trHeight w:val="356" w:hRule="exact"/>
        </w:trPr>
        <w:tc>
          <w:tcPr>
            <w:tcW w:w="571"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受托</w:t>
            </w:r>
          </w:p>
        </w:tc>
        <w:tc>
          <w:tcPr>
            <w:tcW w:w="590"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受托</w:t>
            </w:r>
          </w:p>
        </w:tc>
        <w:tc>
          <w:tcPr>
            <w:tcW w:w="607"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产品类</w:t>
            </w:r>
          </w:p>
        </w:tc>
        <w:tc>
          <w:tcPr>
            <w:tcW w:w="574"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561"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49"/>
              <w:ind w:right="94"/>
              <w:jc w:val="right"/>
              <w:rPr>
                <w:rFonts w:ascii="宋体" w:hAnsi="宋体" w:cs="宋体" w:eastAsia="宋体" w:hint="default"/>
                <w:sz w:val="18"/>
                <w:szCs w:val="18"/>
              </w:rPr>
            </w:pPr>
            <w:r>
              <w:rPr>
                <w:rFonts w:ascii="宋体" w:hAnsi="宋体" w:cs="宋体" w:eastAsia="宋体" w:hint="default"/>
                <w:sz w:val="18"/>
                <w:szCs w:val="18"/>
              </w:rPr>
              <w:t>资金</w:t>
            </w:r>
          </w:p>
        </w:tc>
        <w:tc>
          <w:tcPr>
            <w:tcW w:w="561"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49"/>
              <w:ind w:right="93"/>
              <w:jc w:val="right"/>
              <w:rPr>
                <w:rFonts w:ascii="宋体" w:hAnsi="宋体" w:cs="宋体" w:eastAsia="宋体" w:hint="default"/>
                <w:sz w:val="18"/>
                <w:szCs w:val="18"/>
              </w:rPr>
            </w:pPr>
            <w:r>
              <w:rPr>
                <w:rFonts w:ascii="宋体" w:hAnsi="宋体" w:cs="宋体" w:eastAsia="宋体" w:hint="default"/>
                <w:sz w:val="18"/>
                <w:szCs w:val="18"/>
              </w:rPr>
              <w:t>起始</w:t>
            </w:r>
          </w:p>
        </w:tc>
        <w:tc>
          <w:tcPr>
            <w:tcW w:w="561"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49"/>
              <w:ind w:right="95"/>
              <w:jc w:val="right"/>
              <w:rPr>
                <w:rFonts w:ascii="宋体" w:hAnsi="宋体" w:cs="宋体" w:eastAsia="宋体" w:hint="default"/>
                <w:sz w:val="18"/>
                <w:szCs w:val="18"/>
              </w:rPr>
            </w:pPr>
            <w:r>
              <w:rPr>
                <w:rFonts w:ascii="宋体" w:hAnsi="宋体" w:cs="宋体" w:eastAsia="宋体" w:hint="default"/>
                <w:sz w:val="18"/>
                <w:szCs w:val="18"/>
              </w:rPr>
              <w:t>终止</w:t>
            </w:r>
          </w:p>
        </w:tc>
        <w:tc>
          <w:tcPr>
            <w:tcW w:w="561"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资金</w:t>
            </w:r>
          </w:p>
        </w:tc>
        <w:tc>
          <w:tcPr>
            <w:tcW w:w="561"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49"/>
              <w:ind w:left="95" w:right="0"/>
              <w:jc w:val="left"/>
              <w:rPr>
                <w:rFonts w:ascii="宋体" w:hAnsi="宋体" w:cs="宋体" w:eastAsia="宋体" w:hint="default"/>
                <w:sz w:val="18"/>
                <w:szCs w:val="18"/>
              </w:rPr>
            </w:pPr>
            <w:r>
              <w:rPr>
                <w:rFonts w:ascii="宋体" w:hAnsi="宋体" w:cs="宋体" w:eastAsia="宋体" w:hint="default"/>
                <w:sz w:val="18"/>
                <w:szCs w:val="18"/>
              </w:rPr>
              <w:t>报酬</w:t>
            </w:r>
          </w:p>
        </w:tc>
        <w:tc>
          <w:tcPr>
            <w:tcW w:w="561"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参考</w:t>
            </w:r>
          </w:p>
        </w:tc>
        <w:tc>
          <w:tcPr>
            <w:tcW w:w="561"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49"/>
              <w:ind w:left="93" w:right="0"/>
              <w:jc w:val="left"/>
              <w:rPr>
                <w:rFonts w:ascii="宋体" w:hAnsi="宋体" w:cs="宋体" w:eastAsia="宋体" w:hint="default"/>
                <w:sz w:val="18"/>
                <w:szCs w:val="18"/>
              </w:rPr>
            </w:pPr>
            <w:r>
              <w:rPr>
                <w:rFonts w:ascii="宋体" w:hAnsi="宋体" w:cs="宋体" w:eastAsia="宋体" w:hint="default"/>
                <w:sz w:val="18"/>
                <w:szCs w:val="18"/>
              </w:rPr>
              <w:t>预期</w:t>
            </w:r>
          </w:p>
        </w:tc>
        <w:tc>
          <w:tcPr>
            <w:tcW w:w="561"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报告</w:t>
            </w:r>
          </w:p>
        </w:tc>
        <w:tc>
          <w:tcPr>
            <w:tcW w:w="561"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报告</w:t>
            </w:r>
          </w:p>
        </w:tc>
        <w:tc>
          <w:tcPr>
            <w:tcW w:w="549"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547"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49"/>
              <w:ind w:right="86"/>
              <w:jc w:val="right"/>
              <w:rPr>
                <w:rFonts w:ascii="宋体" w:hAnsi="宋体" w:cs="宋体" w:eastAsia="宋体" w:hint="default"/>
                <w:sz w:val="18"/>
                <w:szCs w:val="18"/>
              </w:rPr>
            </w:pPr>
            <w:r>
              <w:rPr>
                <w:rFonts w:ascii="宋体" w:hAnsi="宋体" w:cs="宋体" w:eastAsia="宋体" w:hint="default"/>
                <w:sz w:val="18"/>
                <w:szCs w:val="18"/>
              </w:rPr>
              <w:t>是否</w:t>
            </w:r>
          </w:p>
        </w:tc>
        <w:tc>
          <w:tcPr>
            <w:tcW w:w="547"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未来</w:t>
            </w:r>
          </w:p>
        </w:tc>
        <w:tc>
          <w:tcPr>
            <w:tcW w:w="538"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事项</w:t>
            </w:r>
          </w:p>
        </w:tc>
      </w:tr>
      <w:tr>
        <w:trPr>
          <w:trHeight w:val="312" w:hRule="exact"/>
        </w:trPr>
        <w:tc>
          <w:tcPr>
            <w:tcW w:w="57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5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机构</w:t>
            </w:r>
          </w:p>
        </w:tc>
        <w:tc>
          <w:tcPr>
            <w:tcW w:w="60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型</w:t>
            </w:r>
          </w:p>
        </w:tc>
        <w:tc>
          <w:tcPr>
            <w:tcW w:w="574" w:type="dxa"/>
            <w:tcBorders>
              <w:top w:val="nil" w:sz="6" w:space="0" w:color="auto"/>
              <w:left w:val="single" w:sz="4" w:space="0" w:color="000000"/>
              <w:bottom w:val="nil" w:sz="6" w:space="0" w:color="auto"/>
              <w:right w:val="single" w:sz="4" w:space="0" w:color="000000"/>
            </w:tcBorders>
            <w:shd w:val="clear" w:color="auto" w:fill="D2D2D2"/>
          </w:tcPr>
          <w:p>
            <w:pPr/>
          </w:p>
        </w:tc>
        <w:tc>
          <w:tcPr>
            <w:tcW w:w="56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94"/>
              <w:jc w:val="right"/>
              <w:rPr>
                <w:rFonts w:ascii="宋体" w:hAnsi="宋体" w:cs="宋体" w:eastAsia="宋体" w:hint="default"/>
                <w:sz w:val="18"/>
                <w:szCs w:val="18"/>
              </w:rPr>
            </w:pPr>
            <w:r>
              <w:rPr>
                <w:rFonts w:ascii="宋体" w:hAnsi="宋体" w:cs="宋体" w:eastAsia="宋体" w:hint="default"/>
                <w:sz w:val="18"/>
                <w:szCs w:val="18"/>
              </w:rPr>
              <w:t>来源</w:t>
            </w:r>
          </w:p>
        </w:tc>
        <w:tc>
          <w:tcPr>
            <w:tcW w:w="56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93"/>
              <w:jc w:val="right"/>
              <w:rPr>
                <w:rFonts w:ascii="宋体" w:hAnsi="宋体" w:cs="宋体" w:eastAsia="宋体" w:hint="default"/>
                <w:sz w:val="18"/>
                <w:szCs w:val="18"/>
              </w:rPr>
            </w:pPr>
            <w:r>
              <w:rPr>
                <w:rFonts w:ascii="宋体" w:hAnsi="宋体" w:cs="宋体" w:eastAsia="宋体" w:hint="default"/>
                <w:sz w:val="18"/>
                <w:szCs w:val="18"/>
              </w:rPr>
              <w:t>日期</w:t>
            </w:r>
          </w:p>
        </w:tc>
        <w:tc>
          <w:tcPr>
            <w:tcW w:w="56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95"/>
              <w:jc w:val="right"/>
              <w:rPr>
                <w:rFonts w:ascii="宋体" w:hAnsi="宋体" w:cs="宋体" w:eastAsia="宋体" w:hint="default"/>
                <w:sz w:val="18"/>
                <w:szCs w:val="18"/>
              </w:rPr>
            </w:pPr>
            <w:r>
              <w:rPr>
                <w:rFonts w:ascii="宋体" w:hAnsi="宋体" w:cs="宋体" w:eastAsia="宋体" w:hint="default"/>
                <w:sz w:val="18"/>
                <w:szCs w:val="18"/>
              </w:rPr>
              <w:t>日期</w:t>
            </w:r>
          </w:p>
        </w:tc>
        <w:tc>
          <w:tcPr>
            <w:tcW w:w="56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投向</w:t>
            </w:r>
          </w:p>
        </w:tc>
        <w:tc>
          <w:tcPr>
            <w:tcW w:w="56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95" w:right="0"/>
              <w:jc w:val="left"/>
              <w:rPr>
                <w:rFonts w:ascii="宋体" w:hAnsi="宋体" w:cs="宋体" w:eastAsia="宋体" w:hint="default"/>
                <w:sz w:val="18"/>
                <w:szCs w:val="18"/>
              </w:rPr>
            </w:pPr>
            <w:r>
              <w:rPr>
                <w:rFonts w:ascii="宋体" w:hAnsi="宋体" w:cs="宋体" w:eastAsia="宋体" w:hint="default"/>
                <w:sz w:val="18"/>
                <w:szCs w:val="18"/>
              </w:rPr>
              <w:t>确定</w:t>
            </w:r>
          </w:p>
        </w:tc>
        <w:tc>
          <w:tcPr>
            <w:tcW w:w="56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年化</w:t>
            </w:r>
          </w:p>
        </w:tc>
        <w:tc>
          <w:tcPr>
            <w:tcW w:w="56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收益</w:t>
            </w:r>
          </w:p>
        </w:tc>
        <w:tc>
          <w:tcPr>
            <w:tcW w:w="56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期实</w:t>
            </w:r>
          </w:p>
        </w:tc>
        <w:tc>
          <w:tcPr>
            <w:tcW w:w="56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期损</w:t>
            </w:r>
          </w:p>
        </w:tc>
        <w:tc>
          <w:tcPr>
            <w:tcW w:w="54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减值</w:t>
            </w:r>
          </w:p>
        </w:tc>
        <w:tc>
          <w:tcPr>
            <w:tcW w:w="54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86"/>
              <w:jc w:val="right"/>
              <w:rPr>
                <w:rFonts w:ascii="宋体" w:hAnsi="宋体" w:cs="宋体" w:eastAsia="宋体" w:hint="default"/>
                <w:sz w:val="18"/>
                <w:szCs w:val="18"/>
              </w:rPr>
            </w:pPr>
            <w:r>
              <w:rPr>
                <w:rFonts w:ascii="宋体" w:hAnsi="宋体" w:cs="宋体" w:eastAsia="宋体" w:hint="default"/>
                <w:sz w:val="18"/>
                <w:szCs w:val="18"/>
              </w:rPr>
              <w:t>经过</w:t>
            </w:r>
          </w:p>
        </w:tc>
        <w:tc>
          <w:tcPr>
            <w:tcW w:w="54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是否</w:t>
            </w:r>
          </w:p>
        </w:tc>
        <w:tc>
          <w:tcPr>
            <w:tcW w:w="5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概述</w:t>
            </w:r>
          </w:p>
        </w:tc>
      </w:tr>
      <w:tr>
        <w:trPr>
          <w:trHeight w:val="312" w:hRule="exact"/>
        </w:trPr>
        <w:tc>
          <w:tcPr>
            <w:tcW w:w="57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5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（或</w:t>
            </w:r>
          </w:p>
        </w:tc>
        <w:tc>
          <w:tcPr>
            <w:tcW w:w="607" w:type="dxa"/>
            <w:tcBorders>
              <w:top w:val="nil" w:sz="6" w:space="0" w:color="auto"/>
              <w:left w:val="single" w:sz="4" w:space="0" w:color="000000"/>
              <w:bottom w:val="nil" w:sz="6" w:space="0" w:color="auto"/>
              <w:right w:val="single" w:sz="4" w:space="0" w:color="000000"/>
            </w:tcBorders>
            <w:shd w:val="clear" w:color="auto" w:fill="D2D2D2"/>
          </w:tcPr>
          <w:p>
            <w:pPr/>
          </w:p>
        </w:tc>
        <w:tc>
          <w:tcPr>
            <w:tcW w:w="574" w:type="dxa"/>
            <w:tcBorders>
              <w:top w:val="nil" w:sz="6" w:space="0" w:color="auto"/>
              <w:left w:val="single" w:sz="4" w:space="0" w:color="000000"/>
              <w:bottom w:val="nil" w:sz="6" w:space="0" w:color="auto"/>
              <w:right w:val="single" w:sz="4" w:space="0" w:color="000000"/>
            </w:tcBorders>
            <w:shd w:val="clear" w:color="auto" w:fill="D2D2D2"/>
          </w:tcPr>
          <w:p>
            <w:pPr/>
          </w:p>
        </w:tc>
        <w:tc>
          <w:tcPr>
            <w:tcW w:w="561" w:type="dxa"/>
            <w:tcBorders>
              <w:top w:val="nil" w:sz="6" w:space="0" w:color="auto"/>
              <w:left w:val="single" w:sz="4" w:space="0" w:color="000000"/>
              <w:bottom w:val="nil" w:sz="6" w:space="0" w:color="auto"/>
              <w:right w:val="single" w:sz="4" w:space="0" w:color="000000"/>
            </w:tcBorders>
            <w:shd w:val="clear" w:color="auto" w:fill="D2D2D2"/>
          </w:tcPr>
          <w:p>
            <w:pPr/>
          </w:p>
        </w:tc>
        <w:tc>
          <w:tcPr>
            <w:tcW w:w="561" w:type="dxa"/>
            <w:tcBorders>
              <w:top w:val="nil" w:sz="6" w:space="0" w:color="auto"/>
              <w:left w:val="single" w:sz="4" w:space="0" w:color="000000"/>
              <w:bottom w:val="nil" w:sz="6" w:space="0" w:color="auto"/>
              <w:right w:val="single" w:sz="4" w:space="0" w:color="000000"/>
            </w:tcBorders>
            <w:shd w:val="clear" w:color="auto" w:fill="D2D2D2"/>
          </w:tcPr>
          <w:p>
            <w:pPr/>
          </w:p>
        </w:tc>
        <w:tc>
          <w:tcPr>
            <w:tcW w:w="561" w:type="dxa"/>
            <w:tcBorders>
              <w:top w:val="nil" w:sz="6" w:space="0" w:color="auto"/>
              <w:left w:val="single" w:sz="4" w:space="0" w:color="000000"/>
              <w:bottom w:val="nil" w:sz="6" w:space="0" w:color="auto"/>
              <w:right w:val="single" w:sz="4" w:space="0" w:color="000000"/>
            </w:tcBorders>
            <w:shd w:val="clear" w:color="auto" w:fill="D2D2D2"/>
          </w:tcPr>
          <w:p>
            <w:pPr/>
          </w:p>
        </w:tc>
        <w:tc>
          <w:tcPr>
            <w:tcW w:w="561" w:type="dxa"/>
            <w:tcBorders>
              <w:top w:val="nil" w:sz="6" w:space="0" w:color="auto"/>
              <w:left w:val="single" w:sz="4" w:space="0" w:color="000000"/>
              <w:bottom w:val="nil" w:sz="6" w:space="0" w:color="auto"/>
              <w:right w:val="single" w:sz="4" w:space="0" w:color="000000"/>
            </w:tcBorders>
            <w:shd w:val="clear" w:color="auto" w:fill="D2D2D2"/>
          </w:tcPr>
          <w:p>
            <w:pPr/>
          </w:p>
        </w:tc>
        <w:tc>
          <w:tcPr>
            <w:tcW w:w="56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95" w:right="0"/>
              <w:jc w:val="left"/>
              <w:rPr>
                <w:rFonts w:ascii="宋体" w:hAnsi="宋体" w:cs="宋体" w:eastAsia="宋体" w:hint="default"/>
                <w:sz w:val="18"/>
                <w:szCs w:val="18"/>
              </w:rPr>
            </w:pPr>
            <w:r>
              <w:rPr>
                <w:rFonts w:ascii="宋体" w:hAnsi="宋体" w:cs="宋体" w:eastAsia="宋体" w:hint="default"/>
                <w:sz w:val="18"/>
                <w:szCs w:val="18"/>
              </w:rPr>
              <w:t>方式</w:t>
            </w:r>
          </w:p>
        </w:tc>
        <w:tc>
          <w:tcPr>
            <w:tcW w:w="56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收益</w:t>
            </w:r>
          </w:p>
        </w:tc>
        <w:tc>
          <w:tcPr>
            <w:tcW w:w="561" w:type="dxa"/>
            <w:tcBorders>
              <w:top w:val="nil" w:sz="6" w:space="0" w:color="auto"/>
              <w:left w:val="single" w:sz="4" w:space="0" w:color="000000"/>
              <w:bottom w:val="nil" w:sz="6" w:space="0" w:color="auto"/>
              <w:right w:val="single" w:sz="4" w:space="0" w:color="000000"/>
            </w:tcBorders>
            <w:shd w:val="clear" w:color="auto" w:fill="D2D2D2"/>
          </w:tcPr>
          <w:p>
            <w:pPr/>
          </w:p>
        </w:tc>
        <w:tc>
          <w:tcPr>
            <w:tcW w:w="56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际损</w:t>
            </w:r>
          </w:p>
        </w:tc>
        <w:tc>
          <w:tcPr>
            <w:tcW w:w="56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益实</w:t>
            </w:r>
          </w:p>
        </w:tc>
        <w:tc>
          <w:tcPr>
            <w:tcW w:w="54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准备</w:t>
            </w:r>
          </w:p>
        </w:tc>
        <w:tc>
          <w:tcPr>
            <w:tcW w:w="54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86"/>
              <w:jc w:val="right"/>
              <w:rPr>
                <w:rFonts w:ascii="宋体" w:hAnsi="宋体" w:cs="宋体" w:eastAsia="宋体" w:hint="default"/>
                <w:sz w:val="18"/>
                <w:szCs w:val="18"/>
              </w:rPr>
            </w:pPr>
            <w:r>
              <w:rPr>
                <w:rFonts w:ascii="宋体" w:hAnsi="宋体" w:cs="宋体" w:eastAsia="宋体" w:hint="default"/>
                <w:sz w:val="18"/>
                <w:szCs w:val="18"/>
              </w:rPr>
              <w:t>法定</w:t>
            </w:r>
          </w:p>
        </w:tc>
        <w:tc>
          <w:tcPr>
            <w:tcW w:w="54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还有</w:t>
            </w:r>
          </w:p>
        </w:tc>
        <w:tc>
          <w:tcPr>
            <w:tcW w:w="5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及相</w:t>
            </w:r>
          </w:p>
        </w:tc>
      </w:tr>
      <w:tr>
        <w:trPr>
          <w:trHeight w:val="312" w:hRule="exact"/>
        </w:trPr>
        <w:tc>
          <w:tcPr>
            <w:tcW w:w="57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（或</w:t>
            </w:r>
          </w:p>
        </w:tc>
        <w:tc>
          <w:tcPr>
            <w:tcW w:w="5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受托</w:t>
            </w:r>
          </w:p>
        </w:tc>
        <w:tc>
          <w:tcPr>
            <w:tcW w:w="607" w:type="dxa"/>
            <w:tcBorders>
              <w:top w:val="nil" w:sz="6" w:space="0" w:color="auto"/>
              <w:left w:val="single" w:sz="4" w:space="0" w:color="000000"/>
              <w:bottom w:val="nil" w:sz="6" w:space="0" w:color="auto"/>
              <w:right w:val="single" w:sz="4" w:space="0" w:color="000000"/>
            </w:tcBorders>
            <w:shd w:val="clear" w:color="auto" w:fill="D2D2D2"/>
          </w:tcPr>
          <w:p>
            <w:pPr/>
          </w:p>
        </w:tc>
        <w:tc>
          <w:tcPr>
            <w:tcW w:w="574" w:type="dxa"/>
            <w:tcBorders>
              <w:top w:val="nil" w:sz="6" w:space="0" w:color="auto"/>
              <w:left w:val="single" w:sz="4" w:space="0" w:color="000000"/>
              <w:bottom w:val="nil" w:sz="6" w:space="0" w:color="auto"/>
              <w:right w:val="single" w:sz="4" w:space="0" w:color="000000"/>
            </w:tcBorders>
            <w:shd w:val="clear" w:color="auto" w:fill="D2D2D2"/>
          </w:tcPr>
          <w:p>
            <w:pPr/>
          </w:p>
        </w:tc>
        <w:tc>
          <w:tcPr>
            <w:tcW w:w="561" w:type="dxa"/>
            <w:tcBorders>
              <w:top w:val="nil" w:sz="6" w:space="0" w:color="auto"/>
              <w:left w:val="single" w:sz="4" w:space="0" w:color="000000"/>
              <w:bottom w:val="nil" w:sz="6" w:space="0" w:color="auto"/>
              <w:right w:val="single" w:sz="4" w:space="0" w:color="000000"/>
            </w:tcBorders>
            <w:shd w:val="clear" w:color="auto" w:fill="D2D2D2"/>
          </w:tcPr>
          <w:p>
            <w:pPr/>
          </w:p>
        </w:tc>
        <w:tc>
          <w:tcPr>
            <w:tcW w:w="561" w:type="dxa"/>
            <w:tcBorders>
              <w:top w:val="nil" w:sz="6" w:space="0" w:color="auto"/>
              <w:left w:val="single" w:sz="4" w:space="0" w:color="000000"/>
              <w:bottom w:val="nil" w:sz="6" w:space="0" w:color="auto"/>
              <w:right w:val="single" w:sz="4" w:space="0" w:color="000000"/>
            </w:tcBorders>
            <w:shd w:val="clear" w:color="auto" w:fill="D2D2D2"/>
          </w:tcPr>
          <w:p>
            <w:pPr/>
          </w:p>
        </w:tc>
        <w:tc>
          <w:tcPr>
            <w:tcW w:w="561" w:type="dxa"/>
            <w:tcBorders>
              <w:top w:val="nil" w:sz="6" w:space="0" w:color="auto"/>
              <w:left w:val="single" w:sz="4" w:space="0" w:color="000000"/>
              <w:bottom w:val="nil" w:sz="6" w:space="0" w:color="auto"/>
              <w:right w:val="single" w:sz="4" w:space="0" w:color="000000"/>
            </w:tcBorders>
            <w:shd w:val="clear" w:color="auto" w:fill="D2D2D2"/>
          </w:tcPr>
          <w:p>
            <w:pPr/>
          </w:p>
        </w:tc>
        <w:tc>
          <w:tcPr>
            <w:tcW w:w="561" w:type="dxa"/>
            <w:tcBorders>
              <w:top w:val="nil" w:sz="6" w:space="0" w:color="auto"/>
              <w:left w:val="single" w:sz="4" w:space="0" w:color="000000"/>
              <w:bottom w:val="nil" w:sz="6" w:space="0" w:color="auto"/>
              <w:right w:val="single" w:sz="4" w:space="0" w:color="000000"/>
            </w:tcBorders>
            <w:shd w:val="clear" w:color="auto" w:fill="D2D2D2"/>
          </w:tcPr>
          <w:p>
            <w:pPr/>
          </w:p>
        </w:tc>
        <w:tc>
          <w:tcPr>
            <w:tcW w:w="561" w:type="dxa"/>
            <w:tcBorders>
              <w:top w:val="nil" w:sz="6" w:space="0" w:color="auto"/>
              <w:left w:val="single" w:sz="4" w:space="0" w:color="000000"/>
              <w:bottom w:val="nil" w:sz="6" w:space="0" w:color="auto"/>
              <w:right w:val="single" w:sz="4" w:space="0" w:color="000000"/>
            </w:tcBorders>
            <w:shd w:val="clear" w:color="auto" w:fill="D2D2D2"/>
          </w:tcPr>
          <w:p>
            <w:pPr/>
          </w:p>
        </w:tc>
        <w:tc>
          <w:tcPr>
            <w:tcW w:w="56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率</w:t>
            </w:r>
          </w:p>
        </w:tc>
        <w:tc>
          <w:tcPr>
            <w:tcW w:w="561" w:type="dxa"/>
            <w:tcBorders>
              <w:top w:val="nil" w:sz="6" w:space="0" w:color="auto"/>
              <w:left w:val="single" w:sz="4" w:space="0" w:color="000000"/>
              <w:bottom w:val="nil" w:sz="6" w:space="0" w:color="auto"/>
              <w:right w:val="single" w:sz="4" w:space="0" w:color="000000"/>
            </w:tcBorders>
            <w:shd w:val="clear" w:color="auto" w:fill="D2D2D2"/>
          </w:tcPr>
          <w:p>
            <w:pPr/>
          </w:p>
        </w:tc>
        <w:tc>
          <w:tcPr>
            <w:tcW w:w="56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益金</w:t>
            </w:r>
          </w:p>
        </w:tc>
        <w:tc>
          <w:tcPr>
            <w:tcW w:w="56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际收</w:t>
            </w:r>
          </w:p>
        </w:tc>
        <w:tc>
          <w:tcPr>
            <w:tcW w:w="54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4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86"/>
              <w:jc w:val="right"/>
              <w:rPr>
                <w:rFonts w:ascii="宋体" w:hAnsi="宋体" w:cs="宋体" w:eastAsia="宋体" w:hint="default"/>
                <w:sz w:val="18"/>
                <w:szCs w:val="18"/>
              </w:rPr>
            </w:pPr>
            <w:r>
              <w:rPr>
                <w:rFonts w:ascii="宋体" w:hAnsi="宋体" w:cs="宋体" w:eastAsia="宋体" w:hint="default"/>
                <w:sz w:val="18"/>
                <w:szCs w:val="18"/>
              </w:rPr>
              <w:t>程序</w:t>
            </w:r>
          </w:p>
        </w:tc>
        <w:tc>
          <w:tcPr>
            <w:tcW w:w="54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委托</w:t>
            </w:r>
          </w:p>
        </w:tc>
        <w:tc>
          <w:tcPr>
            <w:tcW w:w="5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关查</w:t>
            </w:r>
          </w:p>
        </w:tc>
      </w:tr>
      <w:tr>
        <w:trPr>
          <w:trHeight w:val="312" w:hRule="exact"/>
        </w:trPr>
        <w:tc>
          <w:tcPr>
            <w:tcW w:w="57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受托</w:t>
            </w:r>
          </w:p>
        </w:tc>
        <w:tc>
          <w:tcPr>
            <w:tcW w:w="5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人）类</w:t>
            </w:r>
          </w:p>
        </w:tc>
        <w:tc>
          <w:tcPr>
            <w:tcW w:w="607" w:type="dxa"/>
            <w:tcBorders>
              <w:top w:val="nil" w:sz="6" w:space="0" w:color="auto"/>
              <w:left w:val="single" w:sz="4" w:space="0" w:color="000000"/>
              <w:bottom w:val="nil" w:sz="6" w:space="0" w:color="auto"/>
              <w:right w:val="single" w:sz="4" w:space="0" w:color="000000"/>
            </w:tcBorders>
            <w:shd w:val="clear" w:color="auto" w:fill="D2D2D2"/>
          </w:tcPr>
          <w:p>
            <w:pPr/>
          </w:p>
        </w:tc>
        <w:tc>
          <w:tcPr>
            <w:tcW w:w="574" w:type="dxa"/>
            <w:tcBorders>
              <w:top w:val="nil" w:sz="6" w:space="0" w:color="auto"/>
              <w:left w:val="single" w:sz="4" w:space="0" w:color="000000"/>
              <w:bottom w:val="nil" w:sz="6" w:space="0" w:color="auto"/>
              <w:right w:val="single" w:sz="4" w:space="0" w:color="000000"/>
            </w:tcBorders>
            <w:shd w:val="clear" w:color="auto" w:fill="D2D2D2"/>
          </w:tcPr>
          <w:p>
            <w:pPr/>
          </w:p>
        </w:tc>
        <w:tc>
          <w:tcPr>
            <w:tcW w:w="561" w:type="dxa"/>
            <w:tcBorders>
              <w:top w:val="nil" w:sz="6" w:space="0" w:color="auto"/>
              <w:left w:val="single" w:sz="4" w:space="0" w:color="000000"/>
              <w:bottom w:val="nil" w:sz="6" w:space="0" w:color="auto"/>
              <w:right w:val="single" w:sz="4" w:space="0" w:color="000000"/>
            </w:tcBorders>
            <w:shd w:val="clear" w:color="auto" w:fill="D2D2D2"/>
          </w:tcPr>
          <w:p>
            <w:pPr/>
          </w:p>
        </w:tc>
        <w:tc>
          <w:tcPr>
            <w:tcW w:w="561" w:type="dxa"/>
            <w:tcBorders>
              <w:top w:val="nil" w:sz="6" w:space="0" w:color="auto"/>
              <w:left w:val="single" w:sz="4" w:space="0" w:color="000000"/>
              <w:bottom w:val="nil" w:sz="6" w:space="0" w:color="auto"/>
              <w:right w:val="single" w:sz="4" w:space="0" w:color="000000"/>
            </w:tcBorders>
            <w:shd w:val="clear" w:color="auto" w:fill="D2D2D2"/>
          </w:tcPr>
          <w:p>
            <w:pPr/>
          </w:p>
        </w:tc>
        <w:tc>
          <w:tcPr>
            <w:tcW w:w="561" w:type="dxa"/>
            <w:tcBorders>
              <w:top w:val="nil" w:sz="6" w:space="0" w:color="auto"/>
              <w:left w:val="single" w:sz="4" w:space="0" w:color="000000"/>
              <w:bottom w:val="nil" w:sz="6" w:space="0" w:color="auto"/>
              <w:right w:val="single" w:sz="4" w:space="0" w:color="000000"/>
            </w:tcBorders>
            <w:shd w:val="clear" w:color="auto" w:fill="D2D2D2"/>
          </w:tcPr>
          <w:p>
            <w:pPr/>
          </w:p>
        </w:tc>
        <w:tc>
          <w:tcPr>
            <w:tcW w:w="561" w:type="dxa"/>
            <w:tcBorders>
              <w:top w:val="nil" w:sz="6" w:space="0" w:color="auto"/>
              <w:left w:val="single" w:sz="4" w:space="0" w:color="000000"/>
              <w:bottom w:val="nil" w:sz="6" w:space="0" w:color="auto"/>
              <w:right w:val="single" w:sz="4" w:space="0" w:color="000000"/>
            </w:tcBorders>
            <w:shd w:val="clear" w:color="auto" w:fill="D2D2D2"/>
          </w:tcPr>
          <w:p>
            <w:pPr/>
          </w:p>
        </w:tc>
        <w:tc>
          <w:tcPr>
            <w:tcW w:w="561" w:type="dxa"/>
            <w:tcBorders>
              <w:top w:val="nil" w:sz="6" w:space="0" w:color="auto"/>
              <w:left w:val="single" w:sz="4" w:space="0" w:color="000000"/>
              <w:bottom w:val="nil" w:sz="6" w:space="0" w:color="auto"/>
              <w:right w:val="single" w:sz="4" w:space="0" w:color="000000"/>
            </w:tcBorders>
            <w:shd w:val="clear" w:color="auto" w:fill="D2D2D2"/>
          </w:tcPr>
          <w:p>
            <w:pPr/>
          </w:p>
        </w:tc>
        <w:tc>
          <w:tcPr>
            <w:tcW w:w="561" w:type="dxa"/>
            <w:tcBorders>
              <w:top w:val="nil" w:sz="6" w:space="0" w:color="auto"/>
              <w:left w:val="single" w:sz="4" w:space="0" w:color="000000"/>
              <w:bottom w:val="nil" w:sz="6" w:space="0" w:color="auto"/>
              <w:right w:val="single" w:sz="4" w:space="0" w:color="000000"/>
            </w:tcBorders>
            <w:shd w:val="clear" w:color="auto" w:fill="D2D2D2"/>
          </w:tcPr>
          <w:p>
            <w:pPr/>
          </w:p>
        </w:tc>
        <w:tc>
          <w:tcPr>
            <w:tcW w:w="561" w:type="dxa"/>
            <w:tcBorders>
              <w:top w:val="nil" w:sz="6" w:space="0" w:color="auto"/>
              <w:left w:val="single" w:sz="4" w:space="0" w:color="000000"/>
              <w:bottom w:val="nil" w:sz="6" w:space="0" w:color="auto"/>
              <w:right w:val="single" w:sz="4" w:space="0" w:color="000000"/>
            </w:tcBorders>
            <w:shd w:val="clear" w:color="auto" w:fill="D2D2D2"/>
          </w:tcPr>
          <w:p>
            <w:pPr/>
          </w:p>
        </w:tc>
        <w:tc>
          <w:tcPr>
            <w:tcW w:w="56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额</w:t>
            </w:r>
          </w:p>
        </w:tc>
        <w:tc>
          <w:tcPr>
            <w:tcW w:w="56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回情</w:t>
            </w:r>
          </w:p>
        </w:tc>
        <w:tc>
          <w:tcPr>
            <w:tcW w:w="549" w:type="dxa"/>
            <w:tcBorders>
              <w:top w:val="nil" w:sz="6" w:space="0" w:color="auto"/>
              <w:left w:val="single" w:sz="4" w:space="0" w:color="000000"/>
              <w:bottom w:val="nil" w:sz="6" w:space="0" w:color="auto"/>
              <w:right w:val="single" w:sz="4" w:space="0" w:color="000000"/>
            </w:tcBorders>
            <w:shd w:val="clear" w:color="auto" w:fill="D2D2D2"/>
          </w:tcPr>
          <w:p>
            <w:pPr/>
          </w:p>
        </w:tc>
        <w:tc>
          <w:tcPr>
            <w:tcW w:w="547" w:type="dxa"/>
            <w:tcBorders>
              <w:top w:val="nil" w:sz="6" w:space="0" w:color="auto"/>
              <w:left w:val="single" w:sz="4" w:space="0" w:color="000000"/>
              <w:bottom w:val="nil" w:sz="6" w:space="0" w:color="auto"/>
              <w:right w:val="single" w:sz="4" w:space="0" w:color="000000"/>
            </w:tcBorders>
            <w:shd w:val="clear" w:color="auto" w:fill="D2D2D2"/>
          </w:tcPr>
          <w:p>
            <w:pPr/>
          </w:p>
        </w:tc>
        <w:tc>
          <w:tcPr>
            <w:tcW w:w="54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理财</w:t>
            </w:r>
          </w:p>
        </w:tc>
        <w:tc>
          <w:tcPr>
            <w:tcW w:w="5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询索</w:t>
            </w:r>
          </w:p>
        </w:tc>
      </w:tr>
      <w:tr>
        <w:trPr>
          <w:trHeight w:val="312" w:hRule="exact"/>
        </w:trPr>
        <w:tc>
          <w:tcPr>
            <w:tcW w:w="57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人姓</w:t>
            </w:r>
          </w:p>
        </w:tc>
        <w:tc>
          <w:tcPr>
            <w:tcW w:w="5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型</w:t>
            </w:r>
          </w:p>
        </w:tc>
        <w:tc>
          <w:tcPr>
            <w:tcW w:w="607" w:type="dxa"/>
            <w:tcBorders>
              <w:top w:val="nil" w:sz="6" w:space="0" w:color="auto"/>
              <w:left w:val="single" w:sz="4" w:space="0" w:color="000000"/>
              <w:bottom w:val="nil" w:sz="6" w:space="0" w:color="auto"/>
              <w:right w:val="single" w:sz="4" w:space="0" w:color="000000"/>
            </w:tcBorders>
            <w:shd w:val="clear" w:color="auto" w:fill="D2D2D2"/>
          </w:tcPr>
          <w:p>
            <w:pPr/>
          </w:p>
        </w:tc>
        <w:tc>
          <w:tcPr>
            <w:tcW w:w="574" w:type="dxa"/>
            <w:tcBorders>
              <w:top w:val="nil" w:sz="6" w:space="0" w:color="auto"/>
              <w:left w:val="single" w:sz="4" w:space="0" w:color="000000"/>
              <w:bottom w:val="nil" w:sz="6" w:space="0" w:color="auto"/>
              <w:right w:val="single" w:sz="4" w:space="0" w:color="000000"/>
            </w:tcBorders>
            <w:shd w:val="clear" w:color="auto" w:fill="D2D2D2"/>
          </w:tcPr>
          <w:p>
            <w:pPr/>
          </w:p>
        </w:tc>
        <w:tc>
          <w:tcPr>
            <w:tcW w:w="561" w:type="dxa"/>
            <w:tcBorders>
              <w:top w:val="nil" w:sz="6" w:space="0" w:color="auto"/>
              <w:left w:val="single" w:sz="4" w:space="0" w:color="000000"/>
              <w:bottom w:val="nil" w:sz="6" w:space="0" w:color="auto"/>
              <w:right w:val="single" w:sz="4" w:space="0" w:color="000000"/>
            </w:tcBorders>
            <w:shd w:val="clear" w:color="auto" w:fill="D2D2D2"/>
          </w:tcPr>
          <w:p>
            <w:pPr/>
          </w:p>
        </w:tc>
        <w:tc>
          <w:tcPr>
            <w:tcW w:w="561" w:type="dxa"/>
            <w:tcBorders>
              <w:top w:val="nil" w:sz="6" w:space="0" w:color="auto"/>
              <w:left w:val="single" w:sz="4" w:space="0" w:color="000000"/>
              <w:bottom w:val="nil" w:sz="6" w:space="0" w:color="auto"/>
              <w:right w:val="single" w:sz="4" w:space="0" w:color="000000"/>
            </w:tcBorders>
            <w:shd w:val="clear" w:color="auto" w:fill="D2D2D2"/>
          </w:tcPr>
          <w:p>
            <w:pPr/>
          </w:p>
        </w:tc>
        <w:tc>
          <w:tcPr>
            <w:tcW w:w="561" w:type="dxa"/>
            <w:tcBorders>
              <w:top w:val="nil" w:sz="6" w:space="0" w:color="auto"/>
              <w:left w:val="single" w:sz="4" w:space="0" w:color="000000"/>
              <w:bottom w:val="nil" w:sz="6" w:space="0" w:color="auto"/>
              <w:right w:val="single" w:sz="4" w:space="0" w:color="000000"/>
            </w:tcBorders>
            <w:shd w:val="clear" w:color="auto" w:fill="D2D2D2"/>
          </w:tcPr>
          <w:p>
            <w:pPr/>
          </w:p>
        </w:tc>
        <w:tc>
          <w:tcPr>
            <w:tcW w:w="561" w:type="dxa"/>
            <w:tcBorders>
              <w:top w:val="nil" w:sz="6" w:space="0" w:color="auto"/>
              <w:left w:val="single" w:sz="4" w:space="0" w:color="000000"/>
              <w:bottom w:val="nil" w:sz="6" w:space="0" w:color="auto"/>
              <w:right w:val="single" w:sz="4" w:space="0" w:color="000000"/>
            </w:tcBorders>
            <w:shd w:val="clear" w:color="auto" w:fill="D2D2D2"/>
          </w:tcPr>
          <w:p>
            <w:pPr/>
          </w:p>
        </w:tc>
        <w:tc>
          <w:tcPr>
            <w:tcW w:w="561" w:type="dxa"/>
            <w:tcBorders>
              <w:top w:val="nil" w:sz="6" w:space="0" w:color="auto"/>
              <w:left w:val="single" w:sz="4" w:space="0" w:color="000000"/>
              <w:bottom w:val="nil" w:sz="6" w:space="0" w:color="auto"/>
              <w:right w:val="single" w:sz="4" w:space="0" w:color="000000"/>
            </w:tcBorders>
            <w:shd w:val="clear" w:color="auto" w:fill="D2D2D2"/>
          </w:tcPr>
          <w:p>
            <w:pPr/>
          </w:p>
        </w:tc>
        <w:tc>
          <w:tcPr>
            <w:tcW w:w="561" w:type="dxa"/>
            <w:tcBorders>
              <w:top w:val="nil" w:sz="6" w:space="0" w:color="auto"/>
              <w:left w:val="single" w:sz="4" w:space="0" w:color="000000"/>
              <w:bottom w:val="nil" w:sz="6" w:space="0" w:color="auto"/>
              <w:right w:val="single" w:sz="4" w:space="0" w:color="000000"/>
            </w:tcBorders>
            <w:shd w:val="clear" w:color="auto" w:fill="D2D2D2"/>
          </w:tcPr>
          <w:p>
            <w:pPr/>
          </w:p>
        </w:tc>
        <w:tc>
          <w:tcPr>
            <w:tcW w:w="561" w:type="dxa"/>
            <w:tcBorders>
              <w:top w:val="nil" w:sz="6" w:space="0" w:color="auto"/>
              <w:left w:val="single" w:sz="4" w:space="0" w:color="000000"/>
              <w:bottom w:val="nil" w:sz="6" w:space="0" w:color="auto"/>
              <w:right w:val="single" w:sz="4" w:space="0" w:color="000000"/>
            </w:tcBorders>
            <w:shd w:val="clear" w:color="auto" w:fill="D2D2D2"/>
          </w:tcPr>
          <w:p>
            <w:pPr/>
          </w:p>
        </w:tc>
        <w:tc>
          <w:tcPr>
            <w:tcW w:w="561" w:type="dxa"/>
            <w:tcBorders>
              <w:top w:val="nil" w:sz="6" w:space="0" w:color="auto"/>
              <w:left w:val="single" w:sz="4" w:space="0" w:color="000000"/>
              <w:bottom w:val="nil" w:sz="6" w:space="0" w:color="auto"/>
              <w:right w:val="single" w:sz="4" w:space="0" w:color="000000"/>
            </w:tcBorders>
            <w:shd w:val="clear" w:color="auto" w:fill="D2D2D2"/>
          </w:tcPr>
          <w:p>
            <w:pPr/>
          </w:p>
        </w:tc>
        <w:tc>
          <w:tcPr>
            <w:tcW w:w="56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况</w:t>
            </w:r>
          </w:p>
        </w:tc>
        <w:tc>
          <w:tcPr>
            <w:tcW w:w="549" w:type="dxa"/>
            <w:tcBorders>
              <w:top w:val="nil" w:sz="6" w:space="0" w:color="auto"/>
              <w:left w:val="single" w:sz="4" w:space="0" w:color="000000"/>
              <w:bottom w:val="nil" w:sz="6" w:space="0" w:color="auto"/>
              <w:right w:val="single" w:sz="4" w:space="0" w:color="000000"/>
            </w:tcBorders>
            <w:shd w:val="clear" w:color="auto" w:fill="D2D2D2"/>
          </w:tcPr>
          <w:p>
            <w:pPr/>
          </w:p>
        </w:tc>
        <w:tc>
          <w:tcPr>
            <w:tcW w:w="547" w:type="dxa"/>
            <w:tcBorders>
              <w:top w:val="nil" w:sz="6" w:space="0" w:color="auto"/>
              <w:left w:val="single" w:sz="4" w:space="0" w:color="000000"/>
              <w:bottom w:val="nil" w:sz="6" w:space="0" w:color="auto"/>
              <w:right w:val="single" w:sz="4" w:space="0" w:color="000000"/>
            </w:tcBorders>
            <w:shd w:val="clear" w:color="auto" w:fill="D2D2D2"/>
          </w:tcPr>
          <w:p>
            <w:pPr/>
          </w:p>
        </w:tc>
        <w:tc>
          <w:tcPr>
            <w:tcW w:w="54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计划</w:t>
            </w:r>
          </w:p>
        </w:tc>
        <w:tc>
          <w:tcPr>
            <w:tcW w:w="5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引</w:t>
            </w:r>
          </w:p>
        </w:tc>
      </w:tr>
      <w:tr>
        <w:trPr>
          <w:trHeight w:val="356" w:hRule="exact"/>
        </w:trPr>
        <w:tc>
          <w:tcPr>
            <w:tcW w:w="571"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名）</w:t>
            </w:r>
          </w:p>
        </w:tc>
        <w:tc>
          <w:tcPr>
            <w:tcW w:w="590" w:type="dxa"/>
            <w:tcBorders>
              <w:top w:val="nil" w:sz="6" w:space="0" w:color="auto"/>
              <w:left w:val="single" w:sz="4" w:space="0" w:color="000000"/>
              <w:bottom w:val="single" w:sz="4" w:space="0" w:color="000000"/>
              <w:right w:val="single" w:sz="4" w:space="0" w:color="000000"/>
            </w:tcBorders>
            <w:shd w:val="clear" w:color="auto" w:fill="D2D2D2"/>
          </w:tcPr>
          <w:p>
            <w:pPr/>
          </w:p>
        </w:tc>
        <w:tc>
          <w:tcPr>
            <w:tcW w:w="607"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tcBorders>
              <w:top w:val="nil" w:sz="6" w:space="0" w:color="auto"/>
              <w:left w:val="single" w:sz="4" w:space="0" w:color="000000"/>
              <w:bottom w:val="single" w:sz="4" w:space="0" w:color="000000"/>
              <w:right w:val="single" w:sz="4" w:space="0" w:color="000000"/>
            </w:tcBorders>
            <w:shd w:val="clear" w:color="auto" w:fill="D2D2D2"/>
          </w:tcPr>
          <w:p>
            <w:pPr/>
          </w:p>
        </w:tc>
        <w:tc>
          <w:tcPr>
            <w:tcW w:w="561" w:type="dxa"/>
            <w:tcBorders>
              <w:top w:val="nil" w:sz="6" w:space="0" w:color="auto"/>
              <w:left w:val="single" w:sz="4" w:space="0" w:color="000000"/>
              <w:bottom w:val="single" w:sz="4" w:space="0" w:color="000000"/>
              <w:right w:val="single" w:sz="4" w:space="0" w:color="000000"/>
            </w:tcBorders>
            <w:shd w:val="clear" w:color="auto" w:fill="D2D2D2"/>
          </w:tcPr>
          <w:p>
            <w:pPr/>
          </w:p>
        </w:tc>
        <w:tc>
          <w:tcPr>
            <w:tcW w:w="561" w:type="dxa"/>
            <w:tcBorders>
              <w:top w:val="nil" w:sz="6" w:space="0" w:color="auto"/>
              <w:left w:val="single" w:sz="4" w:space="0" w:color="000000"/>
              <w:bottom w:val="single" w:sz="4" w:space="0" w:color="000000"/>
              <w:right w:val="single" w:sz="4" w:space="0" w:color="000000"/>
            </w:tcBorders>
            <w:shd w:val="clear" w:color="auto" w:fill="D2D2D2"/>
          </w:tcPr>
          <w:p>
            <w:pPr/>
          </w:p>
        </w:tc>
        <w:tc>
          <w:tcPr>
            <w:tcW w:w="561" w:type="dxa"/>
            <w:tcBorders>
              <w:top w:val="nil" w:sz="6" w:space="0" w:color="auto"/>
              <w:left w:val="single" w:sz="4" w:space="0" w:color="000000"/>
              <w:bottom w:val="single" w:sz="4" w:space="0" w:color="000000"/>
              <w:right w:val="single" w:sz="4" w:space="0" w:color="000000"/>
            </w:tcBorders>
            <w:shd w:val="clear" w:color="auto" w:fill="D2D2D2"/>
          </w:tcPr>
          <w:p>
            <w:pPr/>
          </w:p>
        </w:tc>
        <w:tc>
          <w:tcPr>
            <w:tcW w:w="561" w:type="dxa"/>
            <w:tcBorders>
              <w:top w:val="nil" w:sz="6" w:space="0" w:color="auto"/>
              <w:left w:val="single" w:sz="4" w:space="0" w:color="000000"/>
              <w:bottom w:val="single" w:sz="4" w:space="0" w:color="000000"/>
              <w:right w:val="single" w:sz="4" w:space="0" w:color="000000"/>
            </w:tcBorders>
            <w:shd w:val="clear" w:color="auto" w:fill="D2D2D2"/>
          </w:tcPr>
          <w:p>
            <w:pPr/>
          </w:p>
        </w:tc>
        <w:tc>
          <w:tcPr>
            <w:tcW w:w="561" w:type="dxa"/>
            <w:tcBorders>
              <w:top w:val="nil" w:sz="6" w:space="0" w:color="auto"/>
              <w:left w:val="single" w:sz="4" w:space="0" w:color="000000"/>
              <w:bottom w:val="single" w:sz="4" w:space="0" w:color="000000"/>
              <w:right w:val="single" w:sz="4" w:space="0" w:color="000000"/>
            </w:tcBorders>
            <w:shd w:val="clear" w:color="auto" w:fill="D2D2D2"/>
          </w:tcPr>
          <w:p>
            <w:pPr/>
          </w:p>
        </w:tc>
        <w:tc>
          <w:tcPr>
            <w:tcW w:w="561" w:type="dxa"/>
            <w:tcBorders>
              <w:top w:val="nil" w:sz="6" w:space="0" w:color="auto"/>
              <w:left w:val="single" w:sz="4" w:space="0" w:color="000000"/>
              <w:bottom w:val="single" w:sz="4" w:space="0" w:color="000000"/>
              <w:right w:val="single" w:sz="4" w:space="0" w:color="000000"/>
            </w:tcBorders>
            <w:shd w:val="clear" w:color="auto" w:fill="D2D2D2"/>
          </w:tcPr>
          <w:p>
            <w:pPr/>
          </w:p>
        </w:tc>
        <w:tc>
          <w:tcPr>
            <w:tcW w:w="561" w:type="dxa"/>
            <w:tcBorders>
              <w:top w:val="nil" w:sz="6" w:space="0" w:color="auto"/>
              <w:left w:val="single" w:sz="4" w:space="0" w:color="000000"/>
              <w:bottom w:val="single" w:sz="4" w:space="0" w:color="000000"/>
              <w:right w:val="single" w:sz="4" w:space="0" w:color="000000"/>
            </w:tcBorders>
            <w:shd w:val="clear" w:color="auto" w:fill="D2D2D2"/>
          </w:tcPr>
          <w:p>
            <w:pPr/>
          </w:p>
        </w:tc>
        <w:tc>
          <w:tcPr>
            <w:tcW w:w="561" w:type="dxa"/>
            <w:tcBorders>
              <w:top w:val="nil" w:sz="6" w:space="0" w:color="auto"/>
              <w:left w:val="single" w:sz="4" w:space="0" w:color="000000"/>
              <w:bottom w:val="single" w:sz="4" w:space="0" w:color="000000"/>
              <w:right w:val="single" w:sz="4" w:space="0" w:color="000000"/>
            </w:tcBorders>
            <w:shd w:val="clear" w:color="auto" w:fill="D2D2D2"/>
          </w:tcPr>
          <w:p>
            <w:pPr/>
          </w:p>
        </w:tc>
        <w:tc>
          <w:tcPr>
            <w:tcW w:w="561" w:type="dxa"/>
            <w:tcBorders>
              <w:top w:val="nil" w:sz="6" w:space="0" w:color="auto"/>
              <w:left w:val="single" w:sz="4" w:space="0" w:color="000000"/>
              <w:bottom w:val="single" w:sz="4" w:space="0" w:color="000000"/>
              <w:right w:val="single" w:sz="4" w:space="0" w:color="000000"/>
            </w:tcBorders>
            <w:shd w:val="clear" w:color="auto" w:fill="D2D2D2"/>
          </w:tcPr>
          <w:p>
            <w:pPr/>
          </w:p>
        </w:tc>
        <w:tc>
          <w:tcPr>
            <w:tcW w:w="54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7" w:type="dxa"/>
            <w:tcBorders>
              <w:top w:val="nil" w:sz="6" w:space="0" w:color="auto"/>
              <w:left w:val="single" w:sz="4" w:space="0" w:color="000000"/>
              <w:bottom w:val="single" w:sz="4" w:space="0" w:color="000000"/>
              <w:right w:val="single" w:sz="4" w:space="0" w:color="000000"/>
            </w:tcBorders>
            <w:shd w:val="clear" w:color="auto" w:fill="D2D2D2"/>
          </w:tcPr>
          <w:p>
            <w:pPr/>
          </w:p>
        </w:tc>
        <w:tc>
          <w:tcPr>
            <w:tcW w:w="547" w:type="dxa"/>
            <w:tcBorders>
              <w:top w:val="nil" w:sz="6" w:space="0" w:color="auto"/>
              <w:left w:val="single" w:sz="4" w:space="0" w:color="000000"/>
              <w:bottom w:val="single" w:sz="4" w:space="0" w:color="000000"/>
              <w:right w:val="single" w:sz="4" w:space="0" w:color="000000"/>
            </w:tcBorders>
            <w:shd w:val="clear" w:color="auto" w:fill="D2D2D2"/>
          </w:tcPr>
          <w:p>
            <w:pPr/>
          </w:p>
        </w:tc>
        <w:tc>
          <w:tcPr>
            <w:tcW w:w="538" w:type="dxa"/>
            <w:tcBorders>
              <w:top w:val="nil" w:sz="6" w:space="0" w:color="auto"/>
              <w:left w:val="single" w:sz="4" w:space="0" w:color="000000"/>
              <w:bottom w:val="single" w:sz="4" w:space="0" w:color="000000"/>
              <w:right w:val="single" w:sz="4" w:space="0" w:color="000000"/>
            </w:tcBorders>
            <w:shd w:val="clear" w:color="auto" w:fill="D2D2D2"/>
          </w:tcPr>
          <w:p>
            <w:pPr/>
          </w:p>
        </w:tc>
      </w:tr>
    </w:tbl>
    <w:p>
      <w:pPr>
        <w:spacing w:after="0"/>
        <w:sectPr>
          <w:type w:val="continuous"/>
          <w:pgSz w:w="11910" w:h="16840"/>
          <w:pgMar w:top="1100" w:bottom="1160" w:left="102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09" w:type="dxa"/>
        <w:tblLayout w:type="fixed"/>
        <w:tblCellMar>
          <w:top w:w="0" w:type="dxa"/>
          <w:left w:w="0" w:type="dxa"/>
          <w:bottom w:w="0" w:type="dxa"/>
          <w:right w:w="0" w:type="dxa"/>
        </w:tblCellMar>
        <w:tblLook w:val="01E0"/>
      </w:tblPr>
      <w:tblGrid>
        <w:gridCol w:w="571"/>
        <w:gridCol w:w="590"/>
        <w:gridCol w:w="607"/>
        <w:gridCol w:w="574"/>
        <w:gridCol w:w="561"/>
        <w:gridCol w:w="561"/>
        <w:gridCol w:w="561"/>
        <w:gridCol w:w="561"/>
        <w:gridCol w:w="561"/>
        <w:gridCol w:w="561"/>
        <w:gridCol w:w="561"/>
        <w:gridCol w:w="561"/>
        <w:gridCol w:w="561"/>
        <w:gridCol w:w="549"/>
        <w:gridCol w:w="547"/>
        <w:gridCol w:w="547"/>
        <w:gridCol w:w="538"/>
      </w:tblGrid>
      <w:tr>
        <w:trPr>
          <w:trHeight w:val="361" w:hRule="exact"/>
        </w:trPr>
        <w:tc>
          <w:tcPr>
            <w:tcW w:w="57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中国</w:t>
            </w:r>
          </w:p>
        </w:tc>
        <w:tc>
          <w:tcPr>
            <w:tcW w:w="59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银行理</w:t>
            </w:r>
          </w:p>
        </w:tc>
        <w:tc>
          <w:tcPr>
            <w:tcW w:w="57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10,000</w:t>
            </w:r>
          </w:p>
        </w:tc>
        <w:tc>
          <w:tcPr>
            <w:tcW w:w="5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right="94"/>
              <w:jc w:val="right"/>
              <w:rPr>
                <w:rFonts w:ascii="宋体" w:hAnsi="宋体" w:cs="宋体" w:eastAsia="宋体" w:hint="default"/>
                <w:sz w:val="18"/>
                <w:szCs w:val="18"/>
              </w:rPr>
            </w:pPr>
            <w:r>
              <w:rPr>
                <w:rFonts w:ascii="宋体" w:hAnsi="宋体" w:cs="宋体" w:eastAsia="宋体" w:hint="default"/>
                <w:sz w:val="18"/>
                <w:szCs w:val="18"/>
              </w:rPr>
              <w:t>募集</w:t>
            </w:r>
          </w:p>
        </w:tc>
        <w:tc>
          <w:tcPr>
            <w:tcW w:w="5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2"/>
              <w:ind w:left="95" w:right="0"/>
              <w:jc w:val="left"/>
              <w:rPr>
                <w:rFonts w:ascii="Times New Roman" w:hAnsi="Times New Roman" w:cs="Times New Roman" w:eastAsia="Times New Roman" w:hint="default"/>
                <w:sz w:val="18"/>
                <w:szCs w:val="18"/>
              </w:rPr>
            </w:pPr>
            <w:r>
              <w:rPr>
                <w:rFonts w:ascii="Times New Roman"/>
                <w:sz w:val="18"/>
              </w:rPr>
              <w:t>2019</w:t>
            </w:r>
          </w:p>
        </w:tc>
        <w:tc>
          <w:tcPr>
            <w:tcW w:w="5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2"/>
              <w:ind w:left="93" w:right="0"/>
              <w:jc w:val="left"/>
              <w:rPr>
                <w:rFonts w:ascii="Times New Roman" w:hAnsi="Times New Roman" w:cs="Times New Roman" w:eastAsia="Times New Roman" w:hint="default"/>
                <w:sz w:val="18"/>
                <w:szCs w:val="18"/>
              </w:rPr>
            </w:pPr>
            <w:r>
              <w:rPr>
                <w:rFonts w:ascii="Times New Roman"/>
                <w:sz w:val="18"/>
              </w:rPr>
              <w:t>2019</w:t>
            </w:r>
          </w:p>
        </w:tc>
        <w:tc>
          <w:tcPr>
            <w:tcW w:w="5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货币</w:t>
            </w:r>
          </w:p>
        </w:tc>
        <w:tc>
          <w:tcPr>
            <w:tcW w:w="5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95" w:right="0"/>
              <w:jc w:val="left"/>
              <w:rPr>
                <w:rFonts w:ascii="宋体" w:hAnsi="宋体" w:cs="宋体" w:eastAsia="宋体" w:hint="default"/>
                <w:sz w:val="18"/>
                <w:szCs w:val="18"/>
              </w:rPr>
            </w:pPr>
            <w:r>
              <w:rPr>
                <w:rFonts w:ascii="宋体" w:hAnsi="宋体" w:cs="宋体" w:eastAsia="宋体" w:hint="default"/>
                <w:sz w:val="18"/>
                <w:szCs w:val="18"/>
              </w:rPr>
              <w:t>浮动</w:t>
            </w:r>
          </w:p>
        </w:tc>
        <w:tc>
          <w:tcPr>
            <w:tcW w:w="5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2"/>
              <w:ind w:left="42" w:right="0"/>
              <w:jc w:val="left"/>
              <w:rPr>
                <w:rFonts w:ascii="Times New Roman" w:hAnsi="Times New Roman" w:cs="Times New Roman" w:eastAsia="Times New Roman" w:hint="default"/>
                <w:sz w:val="18"/>
                <w:szCs w:val="18"/>
              </w:rPr>
            </w:pPr>
            <w:r>
              <w:rPr>
                <w:rFonts w:ascii="Times New Roman"/>
                <w:sz w:val="18"/>
              </w:rPr>
              <w:t>3.60%</w:t>
            </w:r>
          </w:p>
        </w:tc>
        <w:tc>
          <w:tcPr>
            <w:tcW w:w="5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2"/>
              <w:ind w:left="72" w:right="0"/>
              <w:jc w:val="left"/>
              <w:rPr>
                <w:rFonts w:ascii="Times New Roman" w:hAnsi="Times New Roman" w:cs="Times New Roman" w:eastAsia="Times New Roman" w:hint="default"/>
                <w:sz w:val="18"/>
                <w:szCs w:val="18"/>
              </w:rPr>
            </w:pPr>
            <w:r>
              <w:rPr>
                <w:rFonts w:ascii="Times New Roman"/>
                <w:sz w:val="18"/>
              </w:rPr>
              <w:t>93.70</w:t>
            </w:r>
          </w:p>
        </w:tc>
        <w:tc>
          <w:tcPr>
            <w:tcW w:w="5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2"/>
              <w:ind w:right="69"/>
              <w:jc w:val="right"/>
              <w:rPr>
                <w:rFonts w:ascii="Times New Roman" w:hAnsi="Times New Roman" w:cs="Times New Roman" w:eastAsia="Times New Roman" w:hint="default"/>
                <w:sz w:val="18"/>
                <w:szCs w:val="18"/>
              </w:rPr>
            </w:pPr>
            <w:r>
              <w:rPr>
                <w:rFonts w:ascii="Times New Roman"/>
                <w:sz w:val="18"/>
              </w:rPr>
              <w:t>93.70</w:t>
            </w:r>
          </w:p>
        </w:tc>
        <w:tc>
          <w:tcPr>
            <w:tcW w:w="5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2"/>
              <w:ind w:right="69"/>
              <w:jc w:val="right"/>
              <w:rPr>
                <w:rFonts w:ascii="Times New Roman" w:hAnsi="Times New Roman" w:cs="Times New Roman" w:eastAsia="Times New Roman" w:hint="default"/>
                <w:sz w:val="18"/>
                <w:szCs w:val="18"/>
              </w:rPr>
            </w:pPr>
            <w:r>
              <w:rPr>
                <w:rFonts w:ascii="Times New Roman"/>
                <w:sz w:val="18"/>
              </w:rPr>
              <w:t>93.70</w:t>
            </w:r>
          </w:p>
        </w:tc>
        <w:tc>
          <w:tcPr>
            <w:tcW w:w="549" w:type="dxa"/>
            <w:vMerge w:val="restart"/>
            <w:tcBorders>
              <w:top w:val="single" w:sz="4" w:space="0" w:color="000000"/>
              <w:left w:val="single" w:sz="4" w:space="0" w:color="000000"/>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right="177"/>
              <w:jc w:val="righ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right="177"/>
              <w:jc w:val="right"/>
              <w:rPr>
                <w:rFonts w:ascii="宋体" w:hAnsi="宋体" w:cs="宋体" w:eastAsia="宋体" w:hint="default"/>
                <w:sz w:val="18"/>
                <w:szCs w:val="18"/>
              </w:rPr>
            </w:pPr>
            <w:r>
              <w:rPr>
                <w:rFonts w:ascii="宋体" w:hAnsi="宋体" w:cs="宋体" w:eastAsia="宋体" w:hint="default"/>
                <w:sz w:val="18"/>
                <w:szCs w:val="18"/>
              </w:rPr>
              <w:t>是</w:t>
            </w:r>
          </w:p>
        </w:tc>
        <w:tc>
          <w:tcPr>
            <w:tcW w:w="538" w:type="dxa"/>
            <w:vMerge w:val="restart"/>
            <w:tcBorders>
              <w:top w:val="single" w:sz="4" w:space="0" w:color="000000"/>
              <w:left w:val="single" w:sz="4" w:space="0" w:color="000000"/>
              <w:right w:val="single" w:sz="4" w:space="0" w:color="000000"/>
            </w:tcBorders>
          </w:tcPr>
          <w:p>
            <w:pPr/>
          </w:p>
        </w:tc>
      </w:tr>
      <w:tr>
        <w:trPr>
          <w:trHeight w:val="312" w:hRule="exact"/>
        </w:trPr>
        <w:tc>
          <w:tcPr>
            <w:tcW w:w="57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银行</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财产品</w:t>
            </w:r>
          </w:p>
        </w:tc>
        <w:tc>
          <w:tcPr>
            <w:tcW w:w="574"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0"/>
              <w:jc w:val="center"/>
              <w:rPr>
                <w:rFonts w:ascii="Times New Roman" w:hAnsi="Times New Roman" w:cs="Times New Roman" w:eastAsia="Times New Roman" w:hint="default"/>
                <w:sz w:val="18"/>
                <w:szCs w:val="18"/>
              </w:rPr>
            </w:pPr>
            <w:r>
              <w:rPr>
                <w:rFonts w:ascii="Times New Roman"/>
                <w:sz w:val="18"/>
              </w:rPr>
              <w:t>.00</w:t>
            </w: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94"/>
              <w:jc w:val="right"/>
              <w:rPr>
                <w:rFonts w:ascii="宋体" w:hAnsi="宋体" w:cs="宋体" w:eastAsia="宋体" w:hint="default"/>
                <w:sz w:val="18"/>
                <w:szCs w:val="18"/>
              </w:rPr>
            </w:pPr>
            <w:r>
              <w:rPr>
                <w:rFonts w:ascii="宋体" w:hAnsi="宋体" w:cs="宋体" w:eastAsia="宋体" w:hint="default"/>
                <w:sz w:val="18"/>
                <w:szCs w:val="18"/>
              </w:rPr>
              <w:t>资金</w:t>
            </w: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资金</w:t>
            </w: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95" w:right="0"/>
              <w:jc w:val="left"/>
              <w:rPr>
                <w:rFonts w:ascii="宋体" w:hAnsi="宋体" w:cs="宋体" w:eastAsia="宋体" w:hint="default"/>
                <w:sz w:val="18"/>
                <w:szCs w:val="18"/>
              </w:rPr>
            </w:pPr>
            <w:r>
              <w:rPr>
                <w:rFonts w:ascii="宋体" w:hAnsi="宋体" w:cs="宋体" w:eastAsia="宋体" w:hint="default"/>
                <w:sz w:val="18"/>
                <w:szCs w:val="18"/>
              </w:rPr>
              <w:t>收益</w:t>
            </w: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49" w:type="dxa"/>
            <w:vMerge/>
            <w:tcBorders>
              <w:left w:val="single" w:sz="4" w:space="0" w:color="000000"/>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股份</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7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1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市场</w:t>
            </w: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49" w:type="dxa"/>
            <w:vMerge/>
            <w:tcBorders>
              <w:left w:val="single" w:sz="4" w:space="0" w:color="000000"/>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07" w:hRule="exact"/>
        </w:trPr>
        <w:tc>
          <w:tcPr>
            <w:tcW w:w="57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有限</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49" w:type="dxa"/>
            <w:vMerge/>
            <w:tcBorders>
              <w:left w:val="single" w:sz="4" w:space="0" w:color="000000"/>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公司</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49" w:type="dxa"/>
            <w:vMerge/>
            <w:tcBorders>
              <w:left w:val="single" w:sz="4" w:space="0" w:color="000000"/>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广州</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49" w:type="dxa"/>
            <w:vMerge/>
            <w:tcBorders>
              <w:left w:val="single" w:sz="4" w:space="0" w:color="000000"/>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国贸</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49" w:type="dxa"/>
            <w:vMerge/>
            <w:tcBorders>
              <w:left w:val="single" w:sz="4" w:space="0" w:color="000000"/>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大厦</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49" w:type="dxa"/>
            <w:vMerge/>
            <w:tcBorders>
              <w:left w:val="single" w:sz="4" w:space="0" w:color="000000"/>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58" w:hRule="exact"/>
        </w:trPr>
        <w:tc>
          <w:tcPr>
            <w:tcW w:w="57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支行</w:t>
            </w:r>
          </w:p>
        </w:tc>
        <w:tc>
          <w:tcPr>
            <w:tcW w:w="590" w:type="dxa"/>
            <w:tcBorders>
              <w:top w:val="nil" w:sz="6" w:space="0" w:color="auto"/>
              <w:left w:val="single" w:sz="4" w:space="0" w:color="000000"/>
              <w:bottom w:val="single" w:sz="4" w:space="0" w:color="000000"/>
              <w:right w:val="single" w:sz="4" w:space="0" w:color="000000"/>
            </w:tcBorders>
          </w:tcPr>
          <w:p>
            <w:pPr/>
          </w:p>
        </w:tc>
        <w:tc>
          <w:tcPr>
            <w:tcW w:w="607" w:type="dxa"/>
            <w:tcBorders>
              <w:top w:val="nil" w:sz="6" w:space="0" w:color="auto"/>
              <w:left w:val="single" w:sz="4" w:space="0" w:color="000000"/>
              <w:bottom w:val="single" w:sz="4" w:space="0" w:color="000000"/>
              <w:right w:val="single" w:sz="4" w:space="0" w:color="000000"/>
            </w:tcBorders>
          </w:tcPr>
          <w:p>
            <w:pPr/>
          </w:p>
        </w:tc>
        <w:tc>
          <w:tcPr>
            <w:tcW w:w="574" w:type="dxa"/>
            <w:tcBorders>
              <w:top w:val="nil" w:sz="6" w:space="0" w:color="auto"/>
              <w:left w:val="single" w:sz="4" w:space="0" w:color="000000"/>
              <w:bottom w:val="single" w:sz="4" w:space="0" w:color="000000"/>
              <w:right w:val="single" w:sz="4" w:space="0" w:color="000000"/>
            </w:tcBorders>
          </w:tcPr>
          <w:p>
            <w:pPr/>
          </w:p>
        </w:tc>
        <w:tc>
          <w:tcPr>
            <w:tcW w:w="561" w:type="dxa"/>
            <w:tcBorders>
              <w:top w:val="nil" w:sz="6" w:space="0" w:color="auto"/>
              <w:left w:val="single" w:sz="4" w:space="0" w:color="000000"/>
              <w:bottom w:val="single" w:sz="4" w:space="0" w:color="000000"/>
              <w:right w:val="single" w:sz="4" w:space="0" w:color="000000"/>
            </w:tcBorders>
          </w:tcPr>
          <w:p>
            <w:pPr/>
          </w:p>
        </w:tc>
        <w:tc>
          <w:tcPr>
            <w:tcW w:w="561" w:type="dxa"/>
            <w:tcBorders>
              <w:top w:val="nil" w:sz="6" w:space="0" w:color="auto"/>
              <w:left w:val="single" w:sz="4" w:space="0" w:color="000000"/>
              <w:bottom w:val="single" w:sz="4" w:space="0" w:color="000000"/>
              <w:right w:val="single" w:sz="4" w:space="0" w:color="000000"/>
            </w:tcBorders>
          </w:tcPr>
          <w:p>
            <w:pPr/>
          </w:p>
        </w:tc>
        <w:tc>
          <w:tcPr>
            <w:tcW w:w="561" w:type="dxa"/>
            <w:tcBorders>
              <w:top w:val="nil" w:sz="6" w:space="0" w:color="auto"/>
              <w:left w:val="single" w:sz="4" w:space="0" w:color="000000"/>
              <w:bottom w:val="single" w:sz="4" w:space="0" w:color="000000"/>
              <w:right w:val="single" w:sz="4" w:space="0" w:color="000000"/>
            </w:tcBorders>
          </w:tcPr>
          <w:p>
            <w:pPr/>
          </w:p>
        </w:tc>
        <w:tc>
          <w:tcPr>
            <w:tcW w:w="561" w:type="dxa"/>
            <w:tcBorders>
              <w:top w:val="nil" w:sz="6" w:space="0" w:color="auto"/>
              <w:left w:val="single" w:sz="4" w:space="0" w:color="000000"/>
              <w:bottom w:val="single" w:sz="4" w:space="0" w:color="000000"/>
              <w:right w:val="single" w:sz="4" w:space="0" w:color="000000"/>
            </w:tcBorders>
          </w:tcPr>
          <w:p>
            <w:pPr/>
          </w:p>
        </w:tc>
        <w:tc>
          <w:tcPr>
            <w:tcW w:w="561" w:type="dxa"/>
            <w:tcBorders>
              <w:top w:val="nil" w:sz="6" w:space="0" w:color="auto"/>
              <w:left w:val="single" w:sz="4" w:space="0" w:color="000000"/>
              <w:bottom w:val="single" w:sz="4" w:space="0" w:color="000000"/>
              <w:right w:val="single" w:sz="4" w:space="0" w:color="000000"/>
            </w:tcBorders>
          </w:tcPr>
          <w:p>
            <w:pPr/>
          </w:p>
        </w:tc>
        <w:tc>
          <w:tcPr>
            <w:tcW w:w="561" w:type="dxa"/>
            <w:tcBorders>
              <w:top w:val="nil" w:sz="6" w:space="0" w:color="auto"/>
              <w:left w:val="single" w:sz="4" w:space="0" w:color="000000"/>
              <w:bottom w:val="single" w:sz="4" w:space="0" w:color="000000"/>
              <w:right w:val="single" w:sz="4" w:space="0" w:color="000000"/>
            </w:tcBorders>
          </w:tcPr>
          <w:p>
            <w:pPr/>
          </w:p>
        </w:tc>
        <w:tc>
          <w:tcPr>
            <w:tcW w:w="561" w:type="dxa"/>
            <w:tcBorders>
              <w:top w:val="nil" w:sz="6" w:space="0" w:color="auto"/>
              <w:left w:val="single" w:sz="4" w:space="0" w:color="000000"/>
              <w:bottom w:val="single" w:sz="4" w:space="0" w:color="000000"/>
              <w:right w:val="single" w:sz="4" w:space="0" w:color="000000"/>
            </w:tcBorders>
          </w:tcPr>
          <w:p>
            <w:pPr/>
          </w:p>
        </w:tc>
        <w:tc>
          <w:tcPr>
            <w:tcW w:w="561" w:type="dxa"/>
            <w:tcBorders>
              <w:top w:val="nil" w:sz="6" w:space="0" w:color="auto"/>
              <w:left w:val="single" w:sz="4" w:space="0" w:color="000000"/>
              <w:bottom w:val="single" w:sz="4" w:space="0" w:color="000000"/>
              <w:right w:val="single" w:sz="4" w:space="0" w:color="000000"/>
            </w:tcBorders>
          </w:tcPr>
          <w:p>
            <w:pPr/>
          </w:p>
        </w:tc>
        <w:tc>
          <w:tcPr>
            <w:tcW w:w="561" w:type="dxa"/>
            <w:tcBorders>
              <w:top w:val="nil" w:sz="6" w:space="0" w:color="auto"/>
              <w:left w:val="single" w:sz="4" w:space="0" w:color="000000"/>
              <w:bottom w:val="single" w:sz="4" w:space="0" w:color="000000"/>
              <w:right w:val="single" w:sz="4" w:space="0" w:color="000000"/>
            </w:tcBorders>
          </w:tcPr>
          <w:p>
            <w:pPr/>
          </w:p>
        </w:tc>
        <w:tc>
          <w:tcPr>
            <w:tcW w:w="549" w:type="dxa"/>
            <w:vMerge/>
            <w:tcBorders>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38" w:type="dxa"/>
            <w:vMerge/>
            <w:tcBorders>
              <w:left w:val="single" w:sz="4" w:space="0" w:color="000000"/>
              <w:bottom w:val="single" w:sz="4" w:space="0" w:color="000000"/>
              <w:right w:val="single" w:sz="4" w:space="0" w:color="000000"/>
            </w:tcBorders>
          </w:tcPr>
          <w:p>
            <w:pPr/>
          </w:p>
        </w:tc>
      </w:tr>
      <w:tr>
        <w:trPr>
          <w:trHeight w:val="362" w:hRule="exact"/>
        </w:trPr>
        <w:tc>
          <w:tcPr>
            <w:tcW w:w="57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中信</w:t>
            </w:r>
          </w:p>
        </w:tc>
        <w:tc>
          <w:tcPr>
            <w:tcW w:w="59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银行理</w:t>
            </w:r>
          </w:p>
        </w:tc>
        <w:tc>
          <w:tcPr>
            <w:tcW w:w="57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10,000</w:t>
            </w:r>
          </w:p>
        </w:tc>
        <w:tc>
          <w:tcPr>
            <w:tcW w:w="5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right="94"/>
              <w:jc w:val="right"/>
              <w:rPr>
                <w:rFonts w:ascii="宋体" w:hAnsi="宋体" w:cs="宋体" w:eastAsia="宋体" w:hint="default"/>
                <w:sz w:val="18"/>
                <w:szCs w:val="18"/>
              </w:rPr>
            </w:pPr>
            <w:r>
              <w:rPr>
                <w:rFonts w:ascii="宋体" w:hAnsi="宋体" w:cs="宋体" w:eastAsia="宋体" w:hint="default"/>
                <w:sz w:val="18"/>
                <w:szCs w:val="18"/>
              </w:rPr>
              <w:t>募集</w:t>
            </w:r>
          </w:p>
        </w:tc>
        <w:tc>
          <w:tcPr>
            <w:tcW w:w="5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3"/>
              <w:ind w:left="95" w:right="0"/>
              <w:jc w:val="left"/>
              <w:rPr>
                <w:rFonts w:ascii="Times New Roman" w:hAnsi="Times New Roman" w:cs="Times New Roman" w:eastAsia="Times New Roman" w:hint="default"/>
                <w:sz w:val="18"/>
                <w:szCs w:val="18"/>
              </w:rPr>
            </w:pPr>
            <w:r>
              <w:rPr>
                <w:rFonts w:ascii="Times New Roman"/>
                <w:sz w:val="18"/>
              </w:rPr>
              <w:t>2019</w:t>
            </w:r>
          </w:p>
        </w:tc>
        <w:tc>
          <w:tcPr>
            <w:tcW w:w="5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3"/>
              <w:ind w:left="93" w:right="0"/>
              <w:jc w:val="left"/>
              <w:rPr>
                <w:rFonts w:ascii="Times New Roman" w:hAnsi="Times New Roman" w:cs="Times New Roman" w:eastAsia="Times New Roman" w:hint="default"/>
                <w:sz w:val="18"/>
                <w:szCs w:val="18"/>
              </w:rPr>
            </w:pPr>
            <w:r>
              <w:rPr>
                <w:rFonts w:ascii="Times New Roman"/>
                <w:sz w:val="18"/>
              </w:rPr>
              <w:t>2019</w:t>
            </w:r>
          </w:p>
        </w:tc>
        <w:tc>
          <w:tcPr>
            <w:tcW w:w="5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货币</w:t>
            </w:r>
          </w:p>
        </w:tc>
        <w:tc>
          <w:tcPr>
            <w:tcW w:w="5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95" w:right="0"/>
              <w:jc w:val="left"/>
              <w:rPr>
                <w:rFonts w:ascii="宋体" w:hAnsi="宋体" w:cs="宋体" w:eastAsia="宋体" w:hint="default"/>
                <w:sz w:val="18"/>
                <w:szCs w:val="18"/>
              </w:rPr>
            </w:pPr>
            <w:r>
              <w:rPr>
                <w:rFonts w:ascii="宋体" w:hAnsi="宋体" w:cs="宋体" w:eastAsia="宋体" w:hint="default"/>
                <w:sz w:val="18"/>
                <w:szCs w:val="18"/>
              </w:rPr>
              <w:t>浮动</w:t>
            </w:r>
          </w:p>
        </w:tc>
        <w:tc>
          <w:tcPr>
            <w:tcW w:w="5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3"/>
              <w:ind w:left="42" w:right="0"/>
              <w:jc w:val="left"/>
              <w:rPr>
                <w:rFonts w:ascii="Times New Roman" w:hAnsi="Times New Roman" w:cs="Times New Roman" w:eastAsia="Times New Roman" w:hint="default"/>
                <w:sz w:val="18"/>
                <w:szCs w:val="18"/>
              </w:rPr>
            </w:pPr>
            <w:r>
              <w:rPr>
                <w:rFonts w:ascii="Times New Roman"/>
                <w:sz w:val="18"/>
              </w:rPr>
              <w:t>3.85%</w:t>
            </w:r>
          </w:p>
        </w:tc>
        <w:tc>
          <w:tcPr>
            <w:tcW w:w="5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3"/>
              <w:ind w:left="72" w:right="0"/>
              <w:jc w:val="left"/>
              <w:rPr>
                <w:rFonts w:ascii="Times New Roman" w:hAnsi="Times New Roman" w:cs="Times New Roman" w:eastAsia="Times New Roman" w:hint="default"/>
                <w:sz w:val="18"/>
                <w:szCs w:val="18"/>
              </w:rPr>
            </w:pPr>
            <w:r>
              <w:rPr>
                <w:rFonts w:ascii="Times New Roman"/>
                <w:sz w:val="18"/>
              </w:rPr>
              <w:t>97.04</w:t>
            </w:r>
          </w:p>
        </w:tc>
        <w:tc>
          <w:tcPr>
            <w:tcW w:w="5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3"/>
              <w:ind w:right="69"/>
              <w:jc w:val="right"/>
              <w:rPr>
                <w:rFonts w:ascii="Times New Roman" w:hAnsi="Times New Roman" w:cs="Times New Roman" w:eastAsia="Times New Roman" w:hint="default"/>
                <w:sz w:val="18"/>
                <w:szCs w:val="18"/>
              </w:rPr>
            </w:pPr>
            <w:r>
              <w:rPr>
                <w:rFonts w:ascii="Times New Roman"/>
                <w:sz w:val="18"/>
              </w:rPr>
              <w:t>97.04</w:t>
            </w:r>
          </w:p>
        </w:tc>
        <w:tc>
          <w:tcPr>
            <w:tcW w:w="5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3"/>
              <w:ind w:right="69"/>
              <w:jc w:val="right"/>
              <w:rPr>
                <w:rFonts w:ascii="Times New Roman" w:hAnsi="Times New Roman" w:cs="Times New Roman" w:eastAsia="Times New Roman" w:hint="default"/>
                <w:sz w:val="18"/>
                <w:szCs w:val="18"/>
              </w:rPr>
            </w:pPr>
            <w:r>
              <w:rPr>
                <w:rFonts w:ascii="Times New Roman"/>
                <w:sz w:val="18"/>
              </w:rPr>
              <w:t>97.04</w:t>
            </w:r>
          </w:p>
        </w:tc>
        <w:tc>
          <w:tcPr>
            <w:tcW w:w="549" w:type="dxa"/>
            <w:vMerge w:val="restart"/>
            <w:tcBorders>
              <w:top w:val="single" w:sz="4" w:space="0" w:color="000000"/>
              <w:left w:val="single" w:sz="4" w:space="0" w:color="000000"/>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right="177"/>
              <w:jc w:val="righ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right="177"/>
              <w:jc w:val="right"/>
              <w:rPr>
                <w:rFonts w:ascii="宋体" w:hAnsi="宋体" w:cs="宋体" w:eastAsia="宋体" w:hint="default"/>
                <w:sz w:val="18"/>
                <w:szCs w:val="18"/>
              </w:rPr>
            </w:pPr>
            <w:r>
              <w:rPr>
                <w:rFonts w:ascii="宋体" w:hAnsi="宋体" w:cs="宋体" w:eastAsia="宋体" w:hint="default"/>
                <w:sz w:val="18"/>
                <w:szCs w:val="18"/>
              </w:rPr>
              <w:t>是</w:t>
            </w:r>
          </w:p>
        </w:tc>
        <w:tc>
          <w:tcPr>
            <w:tcW w:w="538" w:type="dxa"/>
            <w:vMerge w:val="restart"/>
            <w:tcBorders>
              <w:top w:val="single" w:sz="4" w:space="0" w:color="000000"/>
              <w:left w:val="single" w:sz="4" w:space="0" w:color="000000"/>
              <w:right w:val="single" w:sz="4" w:space="0" w:color="000000"/>
            </w:tcBorders>
          </w:tcPr>
          <w:p>
            <w:pPr/>
          </w:p>
        </w:tc>
      </w:tr>
      <w:tr>
        <w:trPr>
          <w:trHeight w:val="312" w:hRule="exact"/>
        </w:trPr>
        <w:tc>
          <w:tcPr>
            <w:tcW w:w="57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银行</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财产品</w:t>
            </w:r>
          </w:p>
        </w:tc>
        <w:tc>
          <w:tcPr>
            <w:tcW w:w="574"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0"/>
              <w:jc w:val="center"/>
              <w:rPr>
                <w:rFonts w:ascii="Times New Roman" w:hAnsi="Times New Roman" w:cs="Times New Roman" w:eastAsia="Times New Roman" w:hint="default"/>
                <w:sz w:val="18"/>
                <w:szCs w:val="18"/>
              </w:rPr>
            </w:pPr>
            <w:r>
              <w:rPr>
                <w:rFonts w:ascii="Times New Roman"/>
                <w:sz w:val="18"/>
              </w:rPr>
              <w:t>.00</w:t>
            </w: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94"/>
              <w:jc w:val="right"/>
              <w:rPr>
                <w:rFonts w:ascii="宋体" w:hAnsi="宋体" w:cs="宋体" w:eastAsia="宋体" w:hint="default"/>
                <w:sz w:val="18"/>
                <w:szCs w:val="18"/>
              </w:rPr>
            </w:pPr>
            <w:r>
              <w:rPr>
                <w:rFonts w:ascii="宋体" w:hAnsi="宋体" w:cs="宋体" w:eastAsia="宋体" w:hint="default"/>
                <w:sz w:val="18"/>
                <w:szCs w:val="18"/>
              </w:rPr>
              <w:t>资金</w:t>
            </w: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资金</w:t>
            </w: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95" w:right="0"/>
              <w:jc w:val="left"/>
              <w:rPr>
                <w:rFonts w:ascii="宋体" w:hAnsi="宋体" w:cs="宋体" w:eastAsia="宋体" w:hint="default"/>
                <w:sz w:val="18"/>
                <w:szCs w:val="18"/>
              </w:rPr>
            </w:pPr>
            <w:r>
              <w:rPr>
                <w:rFonts w:ascii="宋体" w:hAnsi="宋体" w:cs="宋体" w:eastAsia="宋体" w:hint="default"/>
                <w:sz w:val="18"/>
                <w:szCs w:val="18"/>
              </w:rPr>
              <w:t>收益</w:t>
            </w: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49" w:type="dxa"/>
            <w:vMerge/>
            <w:tcBorders>
              <w:left w:val="single" w:sz="4" w:space="0" w:color="000000"/>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股份</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7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市场</w:t>
            </w: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49" w:type="dxa"/>
            <w:vMerge/>
            <w:tcBorders>
              <w:left w:val="single" w:sz="4" w:space="0" w:color="000000"/>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07" w:hRule="exact"/>
        </w:trPr>
        <w:tc>
          <w:tcPr>
            <w:tcW w:w="57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有限</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49" w:type="dxa"/>
            <w:vMerge/>
            <w:tcBorders>
              <w:left w:val="single" w:sz="4" w:space="0" w:color="000000"/>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公司</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49" w:type="dxa"/>
            <w:vMerge/>
            <w:tcBorders>
              <w:left w:val="single" w:sz="4" w:space="0" w:color="000000"/>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广州</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49" w:type="dxa"/>
            <w:vMerge/>
            <w:tcBorders>
              <w:left w:val="single" w:sz="4" w:space="0" w:color="000000"/>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天河</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49" w:type="dxa"/>
            <w:vMerge/>
            <w:tcBorders>
              <w:left w:val="single" w:sz="4" w:space="0" w:color="000000"/>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56" w:hRule="exact"/>
        </w:trPr>
        <w:tc>
          <w:tcPr>
            <w:tcW w:w="57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支行</w:t>
            </w:r>
          </w:p>
        </w:tc>
        <w:tc>
          <w:tcPr>
            <w:tcW w:w="590" w:type="dxa"/>
            <w:tcBorders>
              <w:top w:val="nil" w:sz="6" w:space="0" w:color="auto"/>
              <w:left w:val="single" w:sz="4" w:space="0" w:color="000000"/>
              <w:bottom w:val="single" w:sz="4" w:space="0" w:color="000000"/>
              <w:right w:val="single" w:sz="4" w:space="0" w:color="000000"/>
            </w:tcBorders>
          </w:tcPr>
          <w:p>
            <w:pPr/>
          </w:p>
        </w:tc>
        <w:tc>
          <w:tcPr>
            <w:tcW w:w="607" w:type="dxa"/>
            <w:tcBorders>
              <w:top w:val="nil" w:sz="6" w:space="0" w:color="auto"/>
              <w:left w:val="single" w:sz="4" w:space="0" w:color="000000"/>
              <w:bottom w:val="single" w:sz="4" w:space="0" w:color="000000"/>
              <w:right w:val="single" w:sz="4" w:space="0" w:color="000000"/>
            </w:tcBorders>
          </w:tcPr>
          <w:p>
            <w:pPr/>
          </w:p>
        </w:tc>
        <w:tc>
          <w:tcPr>
            <w:tcW w:w="574" w:type="dxa"/>
            <w:tcBorders>
              <w:top w:val="nil" w:sz="6" w:space="0" w:color="auto"/>
              <w:left w:val="single" w:sz="4" w:space="0" w:color="000000"/>
              <w:bottom w:val="single" w:sz="4" w:space="0" w:color="000000"/>
              <w:right w:val="single" w:sz="4" w:space="0" w:color="000000"/>
            </w:tcBorders>
          </w:tcPr>
          <w:p>
            <w:pPr/>
          </w:p>
        </w:tc>
        <w:tc>
          <w:tcPr>
            <w:tcW w:w="561" w:type="dxa"/>
            <w:tcBorders>
              <w:top w:val="nil" w:sz="6" w:space="0" w:color="auto"/>
              <w:left w:val="single" w:sz="4" w:space="0" w:color="000000"/>
              <w:bottom w:val="single" w:sz="4" w:space="0" w:color="000000"/>
              <w:right w:val="single" w:sz="4" w:space="0" w:color="000000"/>
            </w:tcBorders>
          </w:tcPr>
          <w:p>
            <w:pPr/>
          </w:p>
        </w:tc>
        <w:tc>
          <w:tcPr>
            <w:tcW w:w="561" w:type="dxa"/>
            <w:tcBorders>
              <w:top w:val="nil" w:sz="6" w:space="0" w:color="auto"/>
              <w:left w:val="single" w:sz="4" w:space="0" w:color="000000"/>
              <w:bottom w:val="single" w:sz="4" w:space="0" w:color="000000"/>
              <w:right w:val="single" w:sz="4" w:space="0" w:color="000000"/>
            </w:tcBorders>
          </w:tcPr>
          <w:p>
            <w:pPr/>
          </w:p>
        </w:tc>
        <w:tc>
          <w:tcPr>
            <w:tcW w:w="561" w:type="dxa"/>
            <w:tcBorders>
              <w:top w:val="nil" w:sz="6" w:space="0" w:color="auto"/>
              <w:left w:val="single" w:sz="4" w:space="0" w:color="000000"/>
              <w:bottom w:val="single" w:sz="4" w:space="0" w:color="000000"/>
              <w:right w:val="single" w:sz="4" w:space="0" w:color="000000"/>
            </w:tcBorders>
          </w:tcPr>
          <w:p>
            <w:pPr/>
          </w:p>
        </w:tc>
        <w:tc>
          <w:tcPr>
            <w:tcW w:w="561" w:type="dxa"/>
            <w:tcBorders>
              <w:top w:val="nil" w:sz="6" w:space="0" w:color="auto"/>
              <w:left w:val="single" w:sz="4" w:space="0" w:color="000000"/>
              <w:bottom w:val="single" w:sz="4" w:space="0" w:color="000000"/>
              <w:right w:val="single" w:sz="4" w:space="0" w:color="000000"/>
            </w:tcBorders>
          </w:tcPr>
          <w:p>
            <w:pPr/>
          </w:p>
        </w:tc>
        <w:tc>
          <w:tcPr>
            <w:tcW w:w="561" w:type="dxa"/>
            <w:tcBorders>
              <w:top w:val="nil" w:sz="6" w:space="0" w:color="auto"/>
              <w:left w:val="single" w:sz="4" w:space="0" w:color="000000"/>
              <w:bottom w:val="single" w:sz="4" w:space="0" w:color="000000"/>
              <w:right w:val="single" w:sz="4" w:space="0" w:color="000000"/>
            </w:tcBorders>
          </w:tcPr>
          <w:p>
            <w:pPr/>
          </w:p>
        </w:tc>
        <w:tc>
          <w:tcPr>
            <w:tcW w:w="561" w:type="dxa"/>
            <w:tcBorders>
              <w:top w:val="nil" w:sz="6" w:space="0" w:color="auto"/>
              <w:left w:val="single" w:sz="4" w:space="0" w:color="000000"/>
              <w:bottom w:val="single" w:sz="4" w:space="0" w:color="000000"/>
              <w:right w:val="single" w:sz="4" w:space="0" w:color="000000"/>
            </w:tcBorders>
          </w:tcPr>
          <w:p>
            <w:pPr/>
          </w:p>
        </w:tc>
        <w:tc>
          <w:tcPr>
            <w:tcW w:w="561" w:type="dxa"/>
            <w:tcBorders>
              <w:top w:val="nil" w:sz="6" w:space="0" w:color="auto"/>
              <w:left w:val="single" w:sz="4" w:space="0" w:color="000000"/>
              <w:bottom w:val="single" w:sz="4" w:space="0" w:color="000000"/>
              <w:right w:val="single" w:sz="4" w:space="0" w:color="000000"/>
            </w:tcBorders>
          </w:tcPr>
          <w:p>
            <w:pPr/>
          </w:p>
        </w:tc>
        <w:tc>
          <w:tcPr>
            <w:tcW w:w="561" w:type="dxa"/>
            <w:tcBorders>
              <w:top w:val="nil" w:sz="6" w:space="0" w:color="auto"/>
              <w:left w:val="single" w:sz="4" w:space="0" w:color="000000"/>
              <w:bottom w:val="single" w:sz="4" w:space="0" w:color="000000"/>
              <w:right w:val="single" w:sz="4" w:space="0" w:color="000000"/>
            </w:tcBorders>
          </w:tcPr>
          <w:p>
            <w:pPr/>
          </w:p>
        </w:tc>
        <w:tc>
          <w:tcPr>
            <w:tcW w:w="561" w:type="dxa"/>
            <w:tcBorders>
              <w:top w:val="nil" w:sz="6" w:space="0" w:color="auto"/>
              <w:left w:val="single" w:sz="4" w:space="0" w:color="000000"/>
              <w:bottom w:val="single" w:sz="4" w:space="0" w:color="000000"/>
              <w:right w:val="single" w:sz="4" w:space="0" w:color="000000"/>
            </w:tcBorders>
          </w:tcPr>
          <w:p>
            <w:pPr/>
          </w:p>
        </w:tc>
        <w:tc>
          <w:tcPr>
            <w:tcW w:w="549" w:type="dxa"/>
            <w:vMerge/>
            <w:tcBorders>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38" w:type="dxa"/>
            <w:vMerge/>
            <w:tcBorders>
              <w:left w:val="single" w:sz="4" w:space="0" w:color="000000"/>
              <w:bottom w:val="single" w:sz="4" w:space="0" w:color="000000"/>
              <w:right w:val="single" w:sz="4" w:space="0" w:color="000000"/>
            </w:tcBorders>
          </w:tcPr>
          <w:p>
            <w:pPr/>
          </w:p>
        </w:tc>
      </w:tr>
      <w:tr>
        <w:trPr>
          <w:trHeight w:val="361" w:hRule="exact"/>
        </w:trPr>
        <w:tc>
          <w:tcPr>
            <w:tcW w:w="57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中国</w:t>
            </w:r>
          </w:p>
        </w:tc>
        <w:tc>
          <w:tcPr>
            <w:tcW w:w="59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银行理</w:t>
            </w:r>
          </w:p>
        </w:tc>
        <w:tc>
          <w:tcPr>
            <w:tcW w:w="57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20,000</w:t>
            </w:r>
          </w:p>
        </w:tc>
        <w:tc>
          <w:tcPr>
            <w:tcW w:w="5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right="94"/>
              <w:jc w:val="right"/>
              <w:rPr>
                <w:rFonts w:ascii="宋体" w:hAnsi="宋体" w:cs="宋体" w:eastAsia="宋体" w:hint="default"/>
                <w:sz w:val="18"/>
                <w:szCs w:val="18"/>
              </w:rPr>
            </w:pPr>
            <w:r>
              <w:rPr>
                <w:rFonts w:ascii="宋体" w:hAnsi="宋体" w:cs="宋体" w:eastAsia="宋体" w:hint="default"/>
                <w:sz w:val="18"/>
                <w:szCs w:val="18"/>
              </w:rPr>
              <w:t>募集</w:t>
            </w:r>
          </w:p>
        </w:tc>
        <w:tc>
          <w:tcPr>
            <w:tcW w:w="5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2"/>
              <w:ind w:left="95" w:right="0"/>
              <w:jc w:val="left"/>
              <w:rPr>
                <w:rFonts w:ascii="Times New Roman" w:hAnsi="Times New Roman" w:cs="Times New Roman" w:eastAsia="Times New Roman" w:hint="default"/>
                <w:sz w:val="18"/>
                <w:szCs w:val="18"/>
              </w:rPr>
            </w:pPr>
            <w:r>
              <w:rPr>
                <w:rFonts w:ascii="Times New Roman"/>
                <w:sz w:val="18"/>
              </w:rPr>
              <w:t>2018</w:t>
            </w:r>
          </w:p>
        </w:tc>
        <w:tc>
          <w:tcPr>
            <w:tcW w:w="5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2"/>
              <w:ind w:left="93" w:right="0"/>
              <w:jc w:val="left"/>
              <w:rPr>
                <w:rFonts w:ascii="Times New Roman" w:hAnsi="Times New Roman" w:cs="Times New Roman" w:eastAsia="Times New Roman" w:hint="default"/>
                <w:sz w:val="18"/>
                <w:szCs w:val="18"/>
              </w:rPr>
            </w:pPr>
            <w:r>
              <w:rPr>
                <w:rFonts w:ascii="Times New Roman"/>
                <w:sz w:val="18"/>
              </w:rPr>
              <w:t>2019</w:t>
            </w:r>
          </w:p>
        </w:tc>
        <w:tc>
          <w:tcPr>
            <w:tcW w:w="5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货币</w:t>
            </w:r>
          </w:p>
        </w:tc>
        <w:tc>
          <w:tcPr>
            <w:tcW w:w="5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95" w:right="0"/>
              <w:jc w:val="left"/>
              <w:rPr>
                <w:rFonts w:ascii="宋体" w:hAnsi="宋体" w:cs="宋体" w:eastAsia="宋体" w:hint="default"/>
                <w:sz w:val="18"/>
                <w:szCs w:val="18"/>
              </w:rPr>
            </w:pPr>
            <w:r>
              <w:rPr>
                <w:rFonts w:ascii="宋体" w:hAnsi="宋体" w:cs="宋体" w:eastAsia="宋体" w:hint="default"/>
                <w:sz w:val="18"/>
                <w:szCs w:val="18"/>
              </w:rPr>
              <w:t>浮动</w:t>
            </w:r>
          </w:p>
        </w:tc>
        <w:tc>
          <w:tcPr>
            <w:tcW w:w="5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2"/>
              <w:ind w:left="42" w:right="0"/>
              <w:jc w:val="left"/>
              <w:rPr>
                <w:rFonts w:ascii="Times New Roman" w:hAnsi="Times New Roman" w:cs="Times New Roman" w:eastAsia="Times New Roman" w:hint="default"/>
                <w:sz w:val="18"/>
                <w:szCs w:val="18"/>
              </w:rPr>
            </w:pPr>
            <w:r>
              <w:rPr>
                <w:rFonts w:ascii="Times New Roman"/>
                <w:sz w:val="18"/>
              </w:rPr>
              <w:t>3.95%</w:t>
            </w:r>
          </w:p>
        </w:tc>
        <w:tc>
          <w:tcPr>
            <w:tcW w:w="5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2"/>
              <w:ind w:left="29" w:right="0"/>
              <w:jc w:val="left"/>
              <w:rPr>
                <w:rFonts w:ascii="Times New Roman" w:hAnsi="Times New Roman" w:cs="Times New Roman" w:eastAsia="Times New Roman" w:hint="default"/>
                <w:sz w:val="18"/>
                <w:szCs w:val="18"/>
              </w:rPr>
            </w:pPr>
            <w:r>
              <w:rPr>
                <w:rFonts w:ascii="Times New Roman"/>
                <w:sz w:val="18"/>
              </w:rPr>
              <w:t>199.12</w:t>
            </w:r>
          </w:p>
        </w:tc>
        <w:tc>
          <w:tcPr>
            <w:tcW w:w="5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2"/>
              <w:ind w:right="26"/>
              <w:jc w:val="right"/>
              <w:rPr>
                <w:rFonts w:ascii="Times New Roman" w:hAnsi="Times New Roman" w:cs="Times New Roman" w:eastAsia="Times New Roman" w:hint="default"/>
                <w:sz w:val="18"/>
                <w:szCs w:val="18"/>
              </w:rPr>
            </w:pPr>
            <w:r>
              <w:rPr>
                <w:rFonts w:ascii="Times New Roman"/>
                <w:spacing w:val="-1"/>
                <w:sz w:val="18"/>
              </w:rPr>
              <w:t>199.12</w:t>
            </w:r>
          </w:p>
        </w:tc>
        <w:tc>
          <w:tcPr>
            <w:tcW w:w="5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2"/>
              <w:ind w:right="25"/>
              <w:jc w:val="right"/>
              <w:rPr>
                <w:rFonts w:ascii="Times New Roman" w:hAnsi="Times New Roman" w:cs="Times New Roman" w:eastAsia="Times New Roman" w:hint="default"/>
                <w:sz w:val="18"/>
                <w:szCs w:val="18"/>
              </w:rPr>
            </w:pPr>
            <w:r>
              <w:rPr>
                <w:rFonts w:ascii="Times New Roman"/>
                <w:spacing w:val="-1"/>
                <w:sz w:val="18"/>
              </w:rPr>
              <w:t>199.12</w:t>
            </w:r>
          </w:p>
        </w:tc>
        <w:tc>
          <w:tcPr>
            <w:tcW w:w="549" w:type="dxa"/>
            <w:vMerge w:val="restart"/>
            <w:tcBorders>
              <w:top w:val="single" w:sz="4" w:space="0" w:color="000000"/>
              <w:left w:val="single" w:sz="4" w:space="0" w:color="000000"/>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right="177"/>
              <w:jc w:val="righ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right="177"/>
              <w:jc w:val="right"/>
              <w:rPr>
                <w:rFonts w:ascii="宋体" w:hAnsi="宋体" w:cs="宋体" w:eastAsia="宋体" w:hint="default"/>
                <w:sz w:val="18"/>
                <w:szCs w:val="18"/>
              </w:rPr>
            </w:pPr>
            <w:r>
              <w:rPr>
                <w:rFonts w:ascii="宋体" w:hAnsi="宋体" w:cs="宋体" w:eastAsia="宋体" w:hint="default"/>
                <w:sz w:val="18"/>
                <w:szCs w:val="18"/>
              </w:rPr>
              <w:t>是</w:t>
            </w:r>
          </w:p>
        </w:tc>
        <w:tc>
          <w:tcPr>
            <w:tcW w:w="538" w:type="dxa"/>
            <w:vMerge w:val="restart"/>
            <w:tcBorders>
              <w:top w:val="single" w:sz="4" w:space="0" w:color="000000"/>
              <w:left w:val="single" w:sz="4" w:space="0" w:color="000000"/>
              <w:right w:val="single" w:sz="4" w:space="0" w:color="000000"/>
            </w:tcBorders>
          </w:tcPr>
          <w:p>
            <w:pPr/>
          </w:p>
        </w:tc>
      </w:tr>
      <w:tr>
        <w:trPr>
          <w:trHeight w:val="312" w:hRule="exact"/>
        </w:trPr>
        <w:tc>
          <w:tcPr>
            <w:tcW w:w="57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民生</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财产品</w:t>
            </w:r>
          </w:p>
        </w:tc>
        <w:tc>
          <w:tcPr>
            <w:tcW w:w="574"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0"/>
              <w:jc w:val="center"/>
              <w:rPr>
                <w:rFonts w:ascii="Times New Roman" w:hAnsi="Times New Roman" w:cs="Times New Roman" w:eastAsia="Times New Roman" w:hint="default"/>
                <w:sz w:val="18"/>
                <w:szCs w:val="18"/>
              </w:rPr>
            </w:pPr>
            <w:r>
              <w:rPr>
                <w:rFonts w:ascii="Times New Roman"/>
                <w:sz w:val="18"/>
              </w:rPr>
              <w:t>.00</w:t>
            </w: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94"/>
              <w:jc w:val="right"/>
              <w:rPr>
                <w:rFonts w:ascii="宋体" w:hAnsi="宋体" w:cs="宋体" w:eastAsia="宋体" w:hint="default"/>
                <w:sz w:val="18"/>
                <w:szCs w:val="18"/>
              </w:rPr>
            </w:pPr>
            <w:r>
              <w:rPr>
                <w:rFonts w:ascii="宋体" w:hAnsi="宋体" w:cs="宋体" w:eastAsia="宋体" w:hint="default"/>
                <w:sz w:val="18"/>
                <w:szCs w:val="18"/>
              </w:rPr>
              <w:t>资金</w:t>
            </w: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7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资金</w:t>
            </w: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95" w:right="0"/>
              <w:jc w:val="left"/>
              <w:rPr>
                <w:rFonts w:ascii="宋体" w:hAnsi="宋体" w:cs="宋体" w:eastAsia="宋体" w:hint="default"/>
                <w:sz w:val="18"/>
                <w:szCs w:val="18"/>
              </w:rPr>
            </w:pPr>
            <w:r>
              <w:rPr>
                <w:rFonts w:ascii="宋体" w:hAnsi="宋体" w:cs="宋体" w:eastAsia="宋体" w:hint="default"/>
                <w:sz w:val="18"/>
                <w:szCs w:val="18"/>
              </w:rPr>
              <w:t>收益</w:t>
            </w: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49" w:type="dxa"/>
            <w:vMerge/>
            <w:tcBorders>
              <w:left w:val="single" w:sz="4" w:space="0" w:color="000000"/>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银行</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7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市场</w:t>
            </w: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49" w:type="dxa"/>
            <w:vMerge/>
            <w:tcBorders>
              <w:left w:val="single" w:sz="4" w:space="0" w:color="000000"/>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07" w:hRule="exact"/>
        </w:trPr>
        <w:tc>
          <w:tcPr>
            <w:tcW w:w="57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股份</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49" w:type="dxa"/>
            <w:vMerge/>
            <w:tcBorders>
              <w:left w:val="single" w:sz="4" w:space="0" w:color="000000"/>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有限</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49" w:type="dxa"/>
            <w:vMerge/>
            <w:tcBorders>
              <w:left w:val="single" w:sz="4" w:space="0" w:color="000000"/>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公司</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49" w:type="dxa"/>
            <w:vMerge/>
            <w:tcBorders>
              <w:left w:val="single" w:sz="4" w:space="0" w:color="000000"/>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广州</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49" w:type="dxa"/>
            <w:vMerge/>
            <w:tcBorders>
              <w:left w:val="single" w:sz="4" w:space="0" w:color="000000"/>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58" w:hRule="exact"/>
        </w:trPr>
        <w:tc>
          <w:tcPr>
            <w:tcW w:w="57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分行</w:t>
            </w:r>
          </w:p>
        </w:tc>
        <w:tc>
          <w:tcPr>
            <w:tcW w:w="590" w:type="dxa"/>
            <w:tcBorders>
              <w:top w:val="nil" w:sz="6" w:space="0" w:color="auto"/>
              <w:left w:val="single" w:sz="4" w:space="0" w:color="000000"/>
              <w:bottom w:val="single" w:sz="4" w:space="0" w:color="000000"/>
              <w:right w:val="single" w:sz="4" w:space="0" w:color="000000"/>
            </w:tcBorders>
          </w:tcPr>
          <w:p>
            <w:pPr/>
          </w:p>
        </w:tc>
        <w:tc>
          <w:tcPr>
            <w:tcW w:w="607" w:type="dxa"/>
            <w:tcBorders>
              <w:top w:val="nil" w:sz="6" w:space="0" w:color="auto"/>
              <w:left w:val="single" w:sz="4" w:space="0" w:color="000000"/>
              <w:bottom w:val="single" w:sz="4" w:space="0" w:color="000000"/>
              <w:right w:val="single" w:sz="4" w:space="0" w:color="000000"/>
            </w:tcBorders>
          </w:tcPr>
          <w:p>
            <w:pPr/>
          </w:p>
        </w:tc>
        <w:tc>
          <w:tcPr>
            <w:tcW w:w="574" w:type="dxa"/>
            <w:tcBorders>
              <w:top w:val="nil" w:sz="6" w:space="0" w:color="auto"/>
              <w:left w:val="single" w:sz="4" w:space="0" w:color="000000"/>
              <w:bottom w:val="single" w:sz="4" w:space="0" w:color="000000"/>
              <w:right w:val="single" w:sz="4" w:space="0" w:color="000000"/>
            </w:tcBorders>
          </w:tcPr>
          <w:p>
            <w:pPr/>
          </w:p>
        </w:tc>
        <w:tc>
          <w:tcPr>
            <w:tcW w:w="561" w:type="dxa"/>
            <w:tcBorders>
              <w:top w:val="nil" w:sz="6" w:space="0" w:color="auto"/>
              <w:left w:val="single" w:sz="4" w:space="0" w:color="000000"/>
              <w:bottom w:val="single" w:sz="4" w:space="0" w:color="000000"/>
              <w:right w:val="single" w:sz="4" w:space="0" w:color="000000"/>
            </w:tcBorders>
          </w:tcPr>
          <w:p>
            <w:pPr/>
          </w:p>
        </w:tc>
        <w:tc>
          <w:tcPr>
            <w:tcW w:w="561" w:type="dxa"/>
            <w:tcBorders>
              <w:top w:val="nil" w:sz="6" w:space="0" w:color="auto"/>
              <w:left w:val="single" w:sz="4" w:space="0" w:color="000000"/>
              <w:bottom w:val="single" w:sz="4" w:space="0" w:color="000000"/>
              <w:right w:val="single" w:sz="4" w:space="0" w:color="000000"/>
            </w:tcBorders>
          </w:tcPr>
          <w:p>
            <w:pPr/>
          </w:p>
        </w:tc>
        <w:tc>
          <w:tcPr>
            <w:tcW w:w="561" w:type="dxa"/>
            <w:tcBorders>
              <w:top w:val="nil" w:sz="6" w:space="0" w:color="auto"/>
              <w:left w:val="single" w:sz="4" w:space="0" w:color="000000"/>
              <w:bottom w:val="single" w:sz="4" w:space="0" w:color="000000"/>
              <w:right w:val="single" w:sz="4" w:space="0" w:color="000000"/>
            </w:tcBorders>
          </w:tcPr>
          <w:p>
            <w:pPr/>
          </w:p>
        </w:tc>
        <w:tc>
          <w:tcPr>
            <w:tcW w:w="561" w:type="dxa"/>
            <w:tcBorders>
              <w:top w:val="nil" w:sz="6" w:space="0" w:color="auto"/>
              <w:left w:val="single" w:sz="4" w:space="0" w:color="000000"/>
              <w:bottom w:val="single" w:sz="4" w:space="0" w:color="000000"/>
              <w:right w:val="single" w:sz="4" w:space="0" w:color="000000"/>
            </w:tcBorders>
          </w:tcPr>
          <w:p>
            <w:pPr/>
          </w:p>
        </w:tc>
        <w:tc>
          <w:tcPr>
            <w:tcW w:w="561" w:type="dxa"/>
            <w:tcBorders>
              <w:top w:val="nil" w:sz="6" w:space="0" w:color="auto"/>
              <w:left w:val="single" w:sz="4" w:space="0" w:color="000000"/>
              <w:bottom w:val="single" w:sz="4" w:space="0" w:color="000000"/>
              <w:right w:val="single" w:sz="4" w:space="0" w:color="000000"/>
            </w:tcBorders>
          </w:tcPr>
          <w:p>
            <w:pPr/>
          </w:p>
        </w:tc>
        <w:tc>
          <w:tcPr>
            <w:tcW w:w="561" w:type="dxa"/>
            <w:tcBorders>
              <w:top w:val="nil" w:sz="6" w:space="0" w:color="auto"/>
              <w:left w:val="single" w:sz="4" w:space="0" w:color="000000"/>
              <w:bottom w:val="single" w:sz="4" w:space="0" w:color="000000"/>
              <w:right w:val="single" w:sz="4" w:space="0" w:color="000000"/>
            </w:tcBorders>
          </w:tcPr>
          <w:p>
            <w:pPr/>
          </w:p>
        </w:tc>
        <w:tc>
          <w:tcPr>
            <w:tcW w:w="561" w:type="dxa"/>
            <w:tcBorders>
              <w:top w:val="nil" w:sz="6" w:space="0" w:color="auto"/>
              <w:left w:val="single" w:sz="4" w:space="0" w:color="000000"/>
              <w:bottom w:val="single" w:sz="4" w:space="0" w:color="000000"/>
              <w:right w:val="single" w:sz="4" w:space="0" w:color="000000"/>
            </w:tcBorders>
          </w:tcPr>
          <w:p>
            <w:pPr/>
          </w:p>
        </w:tc>
        <w:tc>
          <w:tcPr>
            <w:tcW w:w="561" w:type="dxa"/>
            <w:tcBorders>
              <w:top w:val="nil" w:sz="6" w:space="0" w:color="auto"/>
              <w:left w:val="single" w:sz="4" w:space="0" w:color="000000"/>
              <w:bottom w:val="single" w:sz="4" w:space="0" w:color="000000"/>
              <w:right w:val="single" w:sz="4" w:space="0" w:color="000000"/>
            </w:tcBorders>
          </w:tcPr>
          <w:p>
            <w:pPr/>
          </w:p>
        </w:tc>
        <w:tc>
          <w:tcPr>
            <w:tcW w:w="561" w:type="dxa"/>
            <w:tcBorders>
              <w:top w:val="nil" w:sz="6" w:space="0" w:color="auto"/>
              <w:left w:val="single" w:sz="4" w:space="0" w:color="000000"/>
              <w:bottom w:val="single" w:sz="4" w:space="0" w:color="000000"/>
              <w:right w:val="single" w:sz="4" w:space="0" w:color="000000"/>
            </w:tcBorders>
          </w:tcPr>
          <w:p>
            <w:pPr/>
          </w:p>
        </w:tc>
        <w:tc>
          <w:tcPr>
            <w:tcW w:w="549" w:type="dxa"/>
            <w:vMerge/>
            <w:tcBorders>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38" w:type="dxa"/>
            <w:vMerge/>
            <w:tcBorders>
              <w:left w:val="single" w:sz="4" w:space="0" w:color="000000"/>
              <w:bottom w:val="single" w:sz="4" w:space="0" w:color="000000"/>
              <w:right w:val="single" w:sz="4" w:space="0" w:color="000000"/>
            </w:tcBorders>
          </w:tcPr>
          <w:p>
            <w:pPr/>
          </w:p>
        </w:tc>
      </w:tr>
      <w:tr>
        <w:trPr>
          <w:trHeight w:val="362" w:hRule="exact"/>
        </w:trPr>
        <w:tc>
          <w:tcPr>
            <w:tcW w:w="57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中国</w:t>
            </w:r>
          </w:p>
        </w:tc>
        <w:tc>
          <w:tcPr>
            <w:tcW w:w="59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银行理</w:t>
            </w:r>
          </w:p>
        </w:tc>
        <w:tc>
          <w:tcPr>
            <w:tcW w:w="57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10,000</w:t>
            </w:r>
          </w:p>
        </w:tc>
        <w:tc>
          <w:tcPr>
            <w:tcW w:w="5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right="94"/>
              <w:jc w:val="right"/>
              <w:rPr>
                <w:rFonts w:ascii="宋体" w:hAnsi="宋体" w:cs="宋体" w:eastAsia="宋体" w:hint="default"/>
                <w:sz w:val="18"/>
                <w:szCs w:val="18"/>
              </w:rPr>
            </w:pPr>
            <w:r>
              <w:rPr>
                <w:rFonts w:ascii="宋体" w:hAnsi="宋体" w:cs="宋体" w:eastAsia="宋体" w:hint="default"/>
                <w:sz w:val="18"/>
                <w:szCs w:val="18"/>
              </w:rPr>
              <w:t>募集</w:t>
            </w:r>
          </w:p>
        </w:tc>
        <w:tc>
          <w:tcPr>
            <w:tcW w:w="5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3"/>
              <w:ind w:left="95" w:right="0"/>
              <w:jc w:val="left"/>
              <w:rPr>
                <w:rFonts w:ascii="Times New Roman" w:hAnsi="Times New Roman" w:cs="Times New Roman" w:eastAsia="Times New Roman" w:hint="default"/>
                <w:sz w:val="18"/>
                <w:szCs w:val="18"/>
              </w:rPr>
            </w:pPr>
            <w:r>
              <w:rPr>
                <w:rFonts w:ascii="Times New Roman"/>
                <w:sz w:val="18"/>
              </w:rPr>
              <w:t>2018</w:t>
            </w:r>
          </w:p>
        </w:tc>
        <w:tc>
          <w:tcPr>
            <w:tcW w:w="5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3"/>
              <w:ind w:left="93" w:right="0"/>
              <w:jc w:val="left"/>
              <w:rPr>
                <w:rFonts w:ascii="Times New Roman" w:hAnsi="Times New Roman" w:cs="Times New Roman" w:eastAsia="Times New Roman" w:hint="default"/>
                <w:sz w:val="18"/>
                <w:szCs w:val="18"/>
              </w:rPr>
            </w:pPr>
            <w:r>
              <w:rPr>
                <w:rFonts w:ascii="Times New Roman"/>
                <w:sz w:val="18"/>
              </w:rPr>
              <w:t>2019</w:t>
            </w:r>
          </w:p>
        </w:tc>
        <w:tc>
          <w:tcPr>
            <w:tcW w:w="5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货币</w:t>
            </w:r>
          </w:p>
        </w:tc>
        <w:tc>
          <w:tcPr>
            <w:tcW w:w="5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95" w:right="0"/>
              <w:jc w:val="left"/>
              <w:rPr>
                <w:rFonts w:ascii="宋体" w:hAnsi="宋体" w:cs="宋体" w:eastAsia="宋体" w:hint="default"/>
                <w:sz w:val="18"/>
                <w:szCs w:val="18"/>
              </w:rPr>
            </w:pPr>
            <w:r>
              <w:rPr>
                <w:rFonts w:ascii="宋体" w:hAnsi="宋体" w:cs="宋体" w:eastAsia="宋体" w:hint="default"/>
                <w:sz w:val="18"/>
                <w:szCs w:val="18"/>
              </w:rPr>
              <w:t>浮动</w:t>
            </w:r>
          </w:p>
        </w:tc>
        <w:tc>
          <w:tcPr>
            <w:tcW w:w="5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3"/>
              <w:ind w:left="42" w:right="0"/>
              <w:jc w:val="left"/>
              <w:rPr>
                <w:rFonts w:ascii="Times New Roman" w:hAnsi="Times New Roman" w:cs="Times New Roman" w:eastAsia="Times New Roman" w:hint="default"/>
                <w:sz w:val="18"/>
                <w:szCs w:val="18"/>
              </w:rPr>
            </w:pPr>
            <w:r>
              <w:rPr>
                <w:rFonts w:ascii="Times New Roman"/>
                <w:sz w:val="18"/>
              </w:rPr>
              <w:t>3.35%</w:t>
            </w:r>
          </w:p>
        </w:tc>
        <w:tc>
          <w:tcPr>
            <w:tcW w:w="5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3"/>
              <w:ind w:left="72" w:right="0"/>
              <w:jc w:val="left"/>
              <w:rPr>
                <w:rFonts w:ascii="Times New Roman" w:hAnsi="Times New Roman" w:cs="Times New Roman" w:eastAsia="Times New Roman" w:hint="default"/>
                <w:sz w:val="18"/>
                <w:szCs w:val="18"/>
              </w:rPr>
            </w:pPr>
            <w:r>
              <w:rPr>
                <w:rFonts w:ascii="Times New Roman"/>
                <w:sz w:val="18"/>
              </w:rPr>
              <w:t>87.19</w:t>
            </w:r>
          </w:p>
        </w:tc>
        <w:tc>
          <w:tcPr>
            <w:tcW w:w="5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3"/>
              <w:ind w:right="69"/>
              <w:jc w:val="right"/>
              <w:rPr>
                <w:rFonts w:ascii="Times New Roman" w:hAnsi="Times New Roman" w:cs="Times New Roman" w:eastAsia="Times New Roman" w:hint="default"/>
                <w:sz w:val="18"/>
                <w:szCs w:val="18"/>
              </w:rPr>
            </w:pPr>
            <w:r>
              <w:rPr>
                <w:rFonts w:ascii="Times New Roman"/>
                <w:sz w:val="18"/>
              </w:rPr>
              <w:t>87.19</w:t>
            </w:r>
          </w:p>
        </w:tc>
        <w:tc>
          <w:tcPr>
            <w:tcW w:w="5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3"/>
              <w:ind w:right="69"/>
              <w:jc w:val="right"/>
              <w:rPr>
                <w:rFonts w:ascii="Times New Roman" w:hAnsi="Times New Roman" w:cs="Times New Roman" w:eastAsia="Times New Roman" w:hint="default"/>
                <w:sz w:val="18"/>
                <w:szCs w:val="18"/>
              </w:rPr>
            </w:pPr>
            <w:r>
              <w:rPr>
                <w:rFonts w:ascii="Times New Roman"/>
                <w:sz w:val="18"/>
              </w:rPr>
              <w:t>87.19</w:t>
            </w:r>
          </w:p>
        </w:tc>
        <w:tc>
          <w:tcPr>
            <w:tcW w:w="549" w:type="dxa"/>
            <w:vMerge w:val="restart"/>
            <w:tcBorders>
              <w:top w:val="single" w:sz="4" w:space="0" w:color="000000"/>
              <w:left w:val="single" w:sz="4" w:space="0" w:color="000000"/>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right="177"/>
              <w:jc w:val="righ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right="177"/>
              <w:jc w:val="right"/>
              <w:rPr>
                <w:rFonts w:ascii="宋体" w:hAnsi="宋体" w:cs="宋体" w:eastAsia="宋体" w:hint="default"/>
                <w:sz w:val="18"/>
                <w:szCs w:val="18"/>
              </w:rPr>
            </w:pPr>
            <w:r>
              <w:rPr>
                <w:rFonts w:ascii="宋体" w:hAnsi="宋体" w:cs="宋体" w:eastAsia="宋体" w:hint="default"/>
                <w:sz w:val="18"/>
                <w:szCs w:val="18"/>
              </w:rPr>
              <w:t>是</w:t>
            </w:r>
          </w:p>
        </w:tc>
        <w:tc>
          <w:tcPr>
            <w:tcW w:w="538" w:type="dxa"/>
            <w:vMerge w:val="restart"/>
            <w:tcBorders>
              <w:top w:val="single" w:sz="4" w:space="0" w:color="000000"/>
              <w:left w:val="single" w:sz="4" w:space="0" w:color="000000"/>
              <w:right w:val="single" w:sz="4" w:space="0" w:color="000000"/>
            </w:tcBorders>
          </w:tcPr>
          <w:p>
            <w:pPr/>
          </w:p>
        </w:tc>
      </w:tr>
      <w:tr>
        <w:trPr>
          <w:trHeight w:val="312" w:hRule="exact"/>
        </w:trPr>
        <w:tc>
          <w:tcPr>
            <w:tcW w:w="57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银行</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财产品</w:t>
            </w:r>
          </w:p>
        </w:tc>
        <w:tc>
          <w:tcPr>
            <w:tcW w:w="574"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0"/>
              <w:jc w:val="center"/>
              <w:rPr>
                <w:rFonts w:ascii="Times New Roman" w:hAnsi="Times New Roman" w:cs="Times New Roman" w:eastAsia="Times New Roman" w:hint="default"/>
                <w:sz w:val="18"/>
                <w:szCs w:val="18"/>
              </w:rPr>
            </w:pPr>
            <w:r>
              <w:rPr>
                <w:rFonts w:ascii="Times New Roman"/>
                <w:sz w:val="18"/>
              </w:rPr>
              <w:t>.00</w:t>
            </w: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94"/>
              <w:jc w:val="right"/>
              <w:rPr>
                <w:rFonts w:ascii="宋体" w:hAnsi="宋体" w:cs="宋体" w:eastAsia="宋体" w:hint="default"/>
                <w:sz w:val="18"/>
                <w:szCs w:val="18"/>
              </w:rPr>
            </w:pPr>
            <w:r>
              <w:rPr>
                <w:rFonts w:ascii="宋体" w:hAnsi="宋体" w:cs="宋体" w:eastAsia="宋体" w:hint="default"/>
                <w:sz w:val="18"/>
                <w:szCs w:val="18"/>
              </w:rPr>
              <w:t>资金</w:t>
            </w: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7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资金</w:t>
            </w: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95" w:right="0"/>
              <w:jc w:val="left"/>
              <w:rPr>
                <w:rFonts w:ascii="宋体" w:hAnsi="宋体" w:cs="宋体" w:eastAsia="宋体" w:hint="default"/>
                <w:sz w:val="18"/>
                <w:szCs w:val="18"/>
              </w:rPr>
            </w:pPr>
            <w:r>
              <w:rPr>
                <w:rFonts w:ascii="宋体" w:hAnsi="宋体" w:cs="宋体" w:eastAsia="宋体" w:hint="default"/>
                <w:sz w:val="18"/>
                <w:szCs w:val="18"/>
              </w:rPr>
              <w:t>收益</w:t>
            </w: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49" w:type="dxa"/>
            <w:vMerge/>
            <w:tcBorders>
              <w:left w:val="single" w:sz="4" w:space="0" w:color="000000"/>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股份</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7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市场</w:t>
            </w: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49" w:type="dxa"/>
            <w:vMerge/>
            <w:tcBorders>
              <w:left w:val="single" w:sz="4" w:space="0" w:color="000000"/>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07" w:hRule="exact"/>
        </w:trPr>
        <w:tc>
          <w:tcPr>
            <w:tcW w:w="57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有限</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49" w:type="dxa"/>
            <w:vMerge/>
            <w:tcBorders>
              <w:left w:val="single" w:sz="4" w:space="0" w:color="000000"/>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公司</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49" w:type="dxa"/>
            <w:vMerge/>
            <w:tcBorders>
              <w:left w:val="single" w:sz="4" w:space="0" w:color="000000"/>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广州</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49" w:type="dxa"/>
            <w:vMerge/>
            <w:tcBorders>
              <w:left w:val="single" w:sz="4" w:space="0" w:color="000000"/>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国贸</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49" w:type="dxa"/>
            <w:vMerge/>
            <w:tcBorders>
              <w:left w:val="single" w:sz="4" w:space="0" w:color="000000"/>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大厦</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49" w:type="dxa"/>
            <w:vMerge/>
            <w:tcBorders>
              <w:left w:val="single" w:sz="4" w:space="0" w:color="000000"/>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56" w:hRule="exact"/>
        </w:trPr>
        <w:tc>
          <w:tcPr>
            <w:tcW w:w="57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支行</w:t>
            </w:r>
          </w:p>
        </w:tc>
        <w:tc>
          <w:tcPr>
            <w:tcW w:w="590" w:type="dxa"/>
            <w:tcBorders>
              <w:top w:val="nil" w:sz="6" w:space="0" w:color="auto"/>
              <w:left w:val="single" w:sz="4" w:space="0" w:color="000000"/>
              <w:bottom w:val="single" w:sz="4" w:space="0" w:color="000000"/>
              <w:right w:val="single" w:sz="4" w:space="0" w:color="000000"/>
            </w:tcBorders>
          </w:tcPr>
          <w:p>
            <w:pPr/>
          </w:p>
        </w:tc>
        <w:tc>
          <w:tcPr>
            <w:tcW w:w="607" w:type="dxa"/>
            <w:tcBorders>
              <w:top w:val="nil" w:sz="6" w:space="0" w:color="auto"/>
              <w:left w:val="single" w:sz="4" w:space="0" w:color="000000"/>
              <w:bottom w:val="single" w:sz="4" w:space="0" w:color="000000"/>
              <w:right w:val="single" w:sz="4" w:space="0" w:color="000000"/>
            </w:tcBorders>
          </w:tcPr>
          <w:p>
            <w:pPr/>
          </w:p>
        </w:tc>
        <w:tc>
          <w:tcPr>
            <w:tcW w:w="574" w:type="dxa"/>
            <w:tcBorders>
              <w:top w:val="nil" w:sz="6" w:space="0" w:color="auto"/>
              <w:left w:val="single" w:sz="4" w:space="0" w:color="000000"/>
              <w:bottom w:val="single" w:sz="4" w:space="0" w:color="000000"/>
              <w:right w:val="single" w:sz="4" w:space="0" w:color="000000"/>
            </w:tcBorders>
          </w:tcPr>
          <w:p>
            <w:pPr/>
          </w:p>
        </w:tc>
        <w:tc>
          <w:tcPr>
            <w:tcW w:w="561" w:type="dxa"/>
            <w:tcBorders>
              <w:top w:val="nil" w:sz="6" w:space="0" w:color="auto"/>
              <w:left w:val="single" w:sz="4" w:space="0" w:color="000000"/>
              <w:bottom w:val="single" w:sz="4" w:space="0" w:color="000000"/>
              <w:right w:val="single" w:sz="4" w:space="0" w:color="000000"/>
            </w:tcBorders>
          </w:tcPr>
          <w:p>
            <w:pPr/>
          </w:p>
        </w:tc>
        <w:tc>
          <w:tcPr>
            <w:tcW w:w="561" w:type="dxa"/>
            <w:tcBorders>
              <w:top w:val="nil" w:sz="6" w:space="0" w:color="auto"/>
              <w:left w:val="single" w:sz="4" w:space="0" w:color="000000"/>
              <w:bottom w:val="single" w:sz="4" w:space="0" w:color="000000"/>
              <w:right w:val="single" w:sz="4" w:space="0" w:color="000000"/>
            </w:tcBorders>
          </w:tcPr>
          <w:p>
            <w:pPr/>
          </w:p>
        </w:tc>
        <w:tc>
          <w:tcPr>
            <w:tcW w:w="561" w:type="dxa"/>
            <w:tcBorders>
              <w:top w:val="nil" w:sz="6" w:space="0" w:color="auto"/>
              <w:left w:val="single" w:sz="4" w:space="0" w:color="000000"/>
              <w:bottom w:val="single" w:sz="4" w:space="0" w:color="000000"/>
              <w:right w:val="single" w:sz="4" w:space="0" w:color="000000"/>
            </w:tcBorders>
          </w:tcPr>
          <w:p>
            <w:pPr/>
          </w:p>
        </w:tc>
        <w:tc>
          <w:tcPr>
            <w:tcW w:w="561" w:type="dxa"/>
            <w:tcBorders>
              <w:top w:val="nil" w:sz="6" w:space="0" w:color="auto"/>
              <w:left w:val="single" w:sz="4" w:space="0" w:color="000000"/>
              <w:bottom w:val="single" w:sz="4" w:space="0" w:color="000000"/>
              <w:right w:val="single" w:sz="4" w:space="0" w:color="000000"/>
            </w:tcBorders>
          </w:tcPr>
          <w:p>
            <w:pPr/>
          </w:p>
        </w:tc>
        <w:tc>
          <w:tcPr>
            <w:tcW w:w="561" w:type="dxa"/>
            <w:tcBorders>
              <w:top w:val="nil" w:sz="6" w:space="0" w:color="auto"/>
              <w:left w:val="single" w:sz="4" w:space="0" w:color="000000"/>
              <w:bottom w:val="single" w:sz="4" w:space="0" w:color="000000"/>
              <w:right w:val="single" w:sz="4" w:space="0" w:color="000000"/>
            </w:tcBorders>
          </w:tcPr>
          <w:p>
            <w:pPr/>
          </w:p>
        </w:tc>
        <w:tc>
          <w:tcPr>
            <w:tcW w:w="561" w:type="dxa"/>
            <w:tcBorders>
              <w:top w:val="nil" w:sz="6" w:space="0" w:color="auto"/>
              <w:left w:val="single" w:sz="4" w:space="0" w:color="000000"/>
              <w:bottom w:val="single" w:sz="4" w:space="0" w:color="000000"/>
              <w:right w:val="single" w:sz="4" w:space="0" w:color="000000"/>
            </w:tcBorders>
          </w:tcPr>
          <w:p>
            <w:pPr/>
          </w:p>
        </w:tc>
        <w:tc>
          <w:tcPr>
            <w:tcW w:w="561" w:type="dxa"/>
            <w:tcBorders>
              <w:top w:val="nil" w:sz="6" w:space="0" w:color="auto"/>
              <w:left w:val="single" w:sz="4" w:space="0" w:color="000000"/>
              <w:bottom w:val="single" w:sz="4" w:space="0" w:color="000000"/>
              <w:right w:val="single" w:sz="4" w:space="0" w:color="000000"/>
            </w:tcBorders>
          </w:tcPr>
          <w:p>
            <w:pPr/>
          </w:p>
        </w:tc>
        <w:tc>
          <w:tcPr>
            <w:tcW w:w="561" w:type="dxa"/>
            <w:tcBorders>
              <w:top w:val="nil" w:sz="6" w:space="0" w:color="auto"/>
              <w:left w:val="single" w:sz="4" w:space="0" w:color="000000"/>
              <w:bottom w:val="single" w:sz="4" w:space="0" w:color="000000"/>
              <w:right w:val="single" w:sz="4" w:space="0" w:color="000000"/>
            </w:tcBorders>
          </w:tcPr>
          <w:p>
            <w:pPr/>
          </w:p>
        </w:tc>
        <w:tc>
          <w:tcPr>
            <w:tcW w:w="561" w:type="dxa"/>
            <w:tcBorders>
              <w:top w:val="nil" w:sz="6" w:space="0" w:color="auto"/>
              <w:left w:val="single" w:sz="4" w:space="0" w:color="000000"/>
              <w:bottom w:val="single" w:sz="4" w:space="0" w:color="000000"/>
              <w:right w:val="single" w:sz="4" w:space="0" w:color="000000"/>
            </w:tcBorders>
          </w:tcPr>
          <w:p>
            <w:pPr/>
          </w:p>
        </w:tc>
        <w:tc>
          <w:tcPr>
            <w:tcW w:w="549" w:type="dxa"/>
            <w:vMerge/>
            <w:tcBorders>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38" w:type="dxa"/>
            <w:vMerge/>
            <w:tcBorders>
              <w:left w:val="single" w:sz="4" w:space="0" w:color="000000"/>
              <w:bottom w:val="single" w:sz="4" w:space="0" w:color="000000"/>
              <w:right w:val="single" w:sz="4" w:space="0" w:color="000000"/>
            </w:tcBorders>
          </w:tcPr>
          <w:p>
            <w:pPr/>
          </w:p>
        </w:tc>
      </w:tr>
      <w:tr>
        <w:trPr>
          <w:trHeight w:val="361" w:hRule="exact"/>
        </w:trPr>
        <w:tc>
          <w:tcPr>
            <w:tcW w:w="57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中信</w:t>
            </w:r>
          </w:p>
        </w:tc>
        <w:tc>
          <w:tcPr>
            <w:tcW w:w="59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银行理</w:t>
            </w:r>
          </w:p>
        </w:tc>
        <w:tc>
          <w:tcPr>
            <w:tcW w:w="57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10,000</w:t>
            </w:r>
          </w:p>
        </w:tc>
        <w:tc>
          <w:tcPr>
            <w:tcW w:w="5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right="94"/>
              <w:jc w:val="right"/>
              <w:rPr>
                <w:rFonts w:ascii="宋体" w:hAnsi="宋体" w:cs="宋体" w:eastAsia="宋体" w:hint="default"/>
                <w:sz w:val="18"/>
                <w:szCs w:val="18"/>
              </w:rPr>
            </w:pPr>
            <w:r>
              <w:rPr>
                <w:rFonts w:ascii="宋体" w:hAnsi="宋体" w:cs="宋体" w:eastAsia="宋体" w:hint="default"/>
                <w:sz w:val="18"/>
                <w:szCs w:val="18"/>
              </w:rPr>
              <w:t>募集</w:t>
            </w:r>
          </w:p>
        </w:tc>
        <w:tc>
          <w:tcPr>
            <w:tcW w:w="5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2"/>
              <w:ind w:left="95" w:right="0"/>
              <w:jc w:val="left"/>
              <w:rPr>
                <w:rFonts w:ascii="Times New Roman" w:hAnsi="Times New Roman" w:cs="Times New Roman" w:eastAsia="Times New Roman" w:hint="default"/>
                <w:sz w:val="18"/>
                <w:szCs w:val="18"/>
              </w:rPr>
            </w:pPr>
            <w:r>
              <w:rPr>
                <w:rFonts w:ascii="Times New Roman"/>
                <w:sz w:val="18"/>
              </w:rPr>
              <w:t>2018</w:t>
            </w:r>
          </w:p>
        </w:tc>
        <w:tc>
          <w:tcPr>
            <w:tcW w:w="5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2"/>
              <w:ind w:left="93" w:right="0"/>
              <w:jc w:val="left"/>
              <w:rPr>
                <w:rFonts w:ascii="Times New Roman" w:hAnsi="Times New Roman" w:cs="Times New Roman" w:eastAsia="Times New Roman" w:hint="default"/>
                <w:sz w:val="18"/>
                <w:szCs w:val="18"/>
              </w:rPr>
            </w:pPr>
            <w:r>
              <w:rPr>
                <w:rFonts w:ascii="Times New Roman"/>
                <w:sz w:val="18"/>
              </w:rPr>
              <w:t>2019</w:t>
            </w:r>
          </w:p>
        </w:tc>
        <w:tc>
          <w:tcPr>
            <w:tcW w:w="5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货币</w:t>
            </w:r>
          </w:p>
        </w:tc>
        <w:tc>
          <w:tcPr>
            <w:tcW w:w="5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95" w:right="0"/>
              <w:jc w:val="left"/>
              <w:rPr>
                <w:rFonts w:ascii="宋体" w:hAnsi="宋体" w:cs="宋体" w:eastAsia="宋体" w:hint="default"/>
                <w:sz w:val="18"/>
                <w:szCs w:val="18"/>
              </w:rPr>
            </w:pPr>
            <w:r>
              <w:rPr>
                <w:rFonts w:ascii="宋体" w:hAnsi="宋体" w:cs="宋体" w:eastAsia="宋体" w:hint="default"/>
                <w:sz w:val="18"/>
                <w:szCs w:val="18"/>
              </w:rPr>
              <w:t>浮动</w:t>
            </w:r>
          </w:p>
        </w:tc>
        <w:tc>
          <w:tcPr>
            <w:tcW w:w="5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2"/>
              <w:ind w:left="42" w:right="0"/>
              <w:jc w:val="left"/>
              <w:rPr>
                <w:rFonts w:ascii="Times New Roman" w:hAnsi="Times New Roman" w:cs="Times New Roman" w:eastAsia="Times New Roman" w:hint="default"/>
                <w:sz w:val="18"/>
                <w:szCs w:val="18"/>
              </w:rPr>
            </w:pPr>
            <w:r>
              <w:rPr>
                <w:rFonts w:ascii="Times New Roman"/>
                <w:sz w:val="18"/>
              </w:rPr>
              <w:t>3.90%</w:t>
            </w:r>
          </w:p>
        </w:tc>
        <w:tc>
          <w:tcPr>
            <w:tcW w:w="5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2"/>
              <w:ind w:left="29" w:right="0"/>
              <w:jc w:val="left"/>
              <w:rPr>
                <w:rFonts w:ascii="Times New Roman" w:hAnsi="Times New Roman" w:cs="Times New Roman" w:eastAsia="Times New Roman" w:hint="default"/>
                <w:sz w:val="18"/>
                <w:szCs w:val="18"/>
              </w:rPr>
            </w:pPr>
            <w:r>
              <w:rPr>
                <w:rFonts w:ascii="Times New Roman"/>
                <w:sz w:val="18"/>
              </w:rPr>
              <w:t>115.40</w:t>
            </w:r>
          </w:p>
        </w:tc>
        <w:tc>
          <w:tcPr>
            <w:tcW w:w="5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2"/>
              <w:ind w:right="26"/>
              <w:jc w:val="right"/>
              <w:rPr>
                <w:rFonts w:ascii="Times New Roman" w:hAnsi="Times New Roman" w:cs="Times New Roman" w:eastAsia="Times New Roman" w:hint="default"/>
                <w:sz w:val="18"/>
                <w:szCs w:val="18"/>
              </w:rPr>
            </w:pPr>
            <w:r>
              <w:rPr>
                <w:rFonts w:ascii="Times New Roman"/>
                <w:spacing w:val="-1"/>
                <w:sz w:val="18"/>
              </w:rPr>
              <w:t>115.40</w:t>
            </w:r>
          </w:p>
        </w:tc>
        <w:tc>
          <w:tcPr>
            <w:tcW w:w="5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2"/>
              <w:ind w:right="25"/>
              <w:jc w:val="right"/>
              <w:rPr>
                <w:rFonts w:ascii="Times New Roman" w:hAnsi="Times New Roman" w:cs="Times New Roman" w:eastAsia="Times New Roman" w:hint="default"/>
                <w:sz w:val="18"/>
                <w:szCs w:val="18"/>
              </w:rPr>
            </w:pPr>
            <w:r>
              <w:rPr>
                <w:rFonts w:ascii="Times New Roman"/>
                <w:spacing w:val="-1"/>
                <w:sz w:val="18"/>
              </w:rPr>
              <w:t>115.40</w:t>
            </w:r>
          </w:p>
        </w:tc>
        <w:tc>
          <w:tcPr>
            <w:tcW w:w="549" w:type="dxa"/>
            <w:vMerge w:val="restart"/>
            <w:tcBorders>
              <w:top w:val="single" w:sz="4" w:space="0" w:color="000000"/>
              <w:left w:val="single" w:sz="4" w:space="0" w:color="000000"/>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right="177"/>
              <w:jc w:val="righ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right="177"/>
              <w:jc w:val="right"/>
              <w:rPr>
                <w:rFonts w:ascii="宋体" w:hAnsi="宋体" w:cs="宋体" w:eastAsia="宋体" w:hint="default"/>
                <w:sz w:val="18"/>
                <w:szCs w:val="18"/>
              </w:rPr>
            </w:pPr>
            <w:r>
              <w:rPr>
                <w:rFonts w:ascii="宋体" w:hAnsi="宋体" w:cs="宋体" w:eastAsia="宋体" w:hint="default"/>
                <w:sz w:val="18"/>
                <w:szCs w:val="18"/>
              </w:rPr>
              <w:t>是</w:t>
            </w:r>
          </w:p>
        </w:tc>
        <w:tc>
          <w:tcPr>
            <w:tcW w:w="538" w:type="dxa"/>
            <w:vMerge w:val="restart"/>
            <w:tcBorders>
              <w:top w:val="single" w:sz="4" w:space="0" w:color="000000"/>
              <w:left w:val="single" w:sz="4" w:space="0" w:color="000000"/>
              <w:right w:val="single" w:sz="4" w:space="0" w:color="000000"/>
            </w:tcBorders>
          </w:tcPr>
          <w:p>
            <w:pPr/>
          </w:p>
        </w:tc>
      </w:tr>
      <w:tr>
        <w:trPr>
          <w:trHeight w:val="312" w:hRule="exact"/>
        </w:trPr>
        <w:tc>
          <w:tcPr>
            <w:tcW w:w="57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银行</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财产品</w:t>
            </w:r>
          </w:p>
        </w:tc>
        <w:tc>
          <w:tcPr>
            <w:tcW w:w="574"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0"/>
              <w:jc w:val="center"/>
              <w:rPr>
                <w:rFonts w:ascii="Times New Roman" w:hAnsi="Times New Roman" w:cs="Times New Roman" w:eastAsia="Times New Roman" w:hint="default"/>
                <w:sz w:val="18"/>
                <w:szCs w:val="18"/>
              </w:rPr>
            </w:pPr>
            <w:r>
              <w:rPr>
                <w:rFonts w:ascii="Times New Roman"/>
                <w:sz w:val="18"/>
              </w:rPr>
              <w:t>.00</w:t>
            </w: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94"/>
              <w:jc w:val="right"/>
              <w:rPr>
                <w:rFonts w:ascii="宋体" w:hAnsi="宋体" w:cs="宋体" w:eastAsia="宋体" w:hint="default"/>
                <w:sz w:val="18"/>
                <w:szCs w:val="18"/>
              </w:rPr>
            </w:pPr>
            <w:r>
              <w:rPr>
                <w:rFonts w:ascii="宋体" w:hAnsi="宋体" w:cs="宋体" w:eastAsia="宋体" w:hint="default"/>
                <w:sz w:val="18"/>
                <w:szCs w:val="18"/>
              </w:rPr>
              <w:t>资金</w:t>
            </w: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7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资金</w:t>
            </w: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95" w:right="0"/>
              <w:jc w:val="left"/>
              <w:rPr>
                <w:rFonts w:ascii="宋体" w:hAnsi="宋体" w:cs="宋体" w:eastAsia="宋体" w:hint="default"/>
                <w:sz w:val="18"/>
                <w:szCs w:val="18"/>
              </w:rPr>
            </w:pPr>
            <w:r>
              <w:rPr>
                <w:rFonts w:ascii="宋体" w:hAnsi="宋体" w:cs="宋体" w:eastAsia="宋体" w:hint="default"/>
                <w:sz w:val="18"/>
                <w:szCs w:val="18"/>
              </w:rPr>
              <w:t>收益</w:t>
            </w: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49" w:type="dxa"/>
            <w:vMerge/>
            <w:tcBorders>
              <w:left w:val="single" w:sz="4" w:space="0" w:color="000000"/>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股份</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7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 </w:t>
            </w:r>
            <w:r>
              <w:rPr>
                <w:rFonts w:ascii="宋体" w:hAnsi="宋体" w:cs="宋体" w:eastAsia="宋体" w:hint="default"/>
                <w:sz w:val="18"/>
                <w:szCs w:val="18"/>
              </w:rPr>
              <w:t>日</w:t>
            </w: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市场</w:t>
            </w: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49" w:type="dxa"/>
            <w:vMerge/>
            <w:tcBorders>
              <w:left w:val="single" w:sz="4" w:space="0" w:color="000000"/>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07" w:hRule="exact"/>
        </w:trPr>
        <w:tc>
          <w:tcPr>
            <w:tcW w:w="57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有限</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49" w:type="dxa"/>
            <w:vMerge/>
            <w:tcBorders>
              <w:left w:val="single" w:sz="4" w:space="0" w:color="000000"/>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公司</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49" w:type="dxa"/>
            <w:vMerge/>
            <w:tcBorders>
              <w:left w:val="single" w:sz="4" w:space="0" w:color="000000"/>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广州</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49" w:type="dxa"/>
            <w:vMerge/>
            <w:tcBorders>
              <w:left w:val="single" w:sz="4" w:space="0" w:color="000000"/>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天河</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49" w:type="dxa"/>
            <w:vMerge/>
            <w:tcBorders>
              <w:left w:val="single" w:sz="4" w:space="0" w:color="000000"/>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708" w:hRule="exact"/>
        </w:trPr>
        <w:tc>
          <w:tcPr>
            <w:tcW w:w="57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支行</w:t>
            </w:r>
          </w:p>
        </w:tc>
        <w:tc>
          <w:tcPr>
            <w:tcW w:w="590" w:type="dxa"/>
            <w:tcBorders>
              <w:top w:val="nil" w:sz="6" w:space="0" w:color="auto"/>
              <w:left w:val="single" w:sz="4" w:space="0" w:color="000000"/>
              <w:bottom w:val="single" w:sz="4" w:space="0" w:color="000000"/>
              <w:right w:val="single" w:sz="4" w:space="0" w:color="000000"/>
            </w:tcBorders>
          </w:tcPr>
          <w:p>
            <w:pPr/>
          </w:p>
        </w:tc>
        <w:tc>
          <w:tcPr>
            <w:tcW w:w="607" w:type="dxa"/>
            <w:tcBorders>
              <w:top w:val="nil" w:sz="6" w:space="0" w:color="auto"/>
              <w:left w:val="single" w:sz="4" w:space="0" w:color="000000"/>
              <w:bottom w:val="single" w:sz="4" w:space="0" w:color="000000"/>
              <w:right w:val="single" w:sz="4" w:space="0" w:color="000000"/>
            </w:tcBorders>
          </w:tcPr>
          <w:p>
            <w:pPr/>
          </w:p>
        </w:tc>
        <w:tc>
          <w:tcPr>
            <w:tcW w:w="574" w:type="dxa"/>
            <w:tcBorders>
              <w:top w:val="nil" w:sz="6" w:space="0" w:color="auto"/>
              <w:left w:val="single" w:sz="4" w:space="0" w:color="000000"/>
              <w:bottom w:val="single" w:sz="4" w:space="0" w:color="000000"/>
              <w:right w:val="single" w:sz="4" w:space="0" w:color="000000"/>
            </w:tcBorders>
          </w:tcPr>
          <w:p>
            <w:pPr/>
          </w:p>
        </w:tc>
        <w:tc>
          <w:tcPr>
            <w:tcW w:w="561" w:type="dxa"/>
            <w:tcBorders>
              <w:top w:val="nil" w:sz="6" w:space="0" w:color="auto"/>
              <w:left w:val="single" w:sz="4" w:space="0" w:color="000000"/>
              <w:bottom w:val="single" w:sz="4" w:space="0" w:color="000000"/>
              <w:right w:val="single" w:sz="4" w:space="0" w:color="000000"/>
            </w:tcBorders>
          </w:tcPr>
          <w:p>
            <w:pPr/>
          </w:p>
        </w:tc>
        <w:tc>
          <w:tcPr>
            <w:tcW w:w="561" w:type="dxa"/>
            <w:tcBorders>
              <w:top w:val="nil" w:sz="6" w:space="0" w:color="auto"/>
              <w:left w:val="single" w:sz="4" w:space="0" w:color="000000"/>
              <w:bottom w:val="single" w:sz="4" w:space="0" w:color="000000"/>
              <w:right w:val="single" w:sz="4" w:space="0" w:color="000000"/>
            </w:tcBorders>
          </w:tcPr>
          <w:p>
            <w:pPr/>
          </w:p>
        </w:tc>
        <w:tc>
          <w:tcPr>
            <w:tcW w:w="561" w:type="dxa"/>
            <w:tcBorders>
              <w:top w:val="nil" w:sz="6" w:space="0" w:color="auto"/>
              <w:left w:val="single" w:sz="4" w:space="0" w:color="000000"/>
              <w:bottom w:val="single" w:sz="4" w:space="0" w:color="000000"/>
              <w:right w:val="single" w:sz="4" w:space="0" w:color="000000"/>
            </w:tcBorders>
          </w:tcPr>
          <w:p>
            <w:pPr/>
          </w:p>
        </w:tc>
        <w:tc>
          <w:tcPr>
            <w:tcW w:w="561" w:type="dxa"/>
            <w:tcBorders>
              <w:top w:val="nil" w:sz="6" w:space="0" w:color="auto"/>
              <w:left w:val="single" w:sz="4" w:space="0" w:color="000000"/>
              <w:bottom w:val="single" w:sz="4" w:space="0" w:color="000000"/>
              <w:right w:val="single" w:sz="4" w:space="0" w:color="000000"/>
            </w:tcBorders>
          </w:tcPr>
          <w:p>
            <w:pPr/>
          </w:p>
        </w:tc>
        <w:tc>
          <w:tcPr>
            <w:tcW w:w="561" w:type="dxa"/>
            <w:tcBorders>
              <w:top w:val="nil" w:sz="6" w:space="0" w:color="auto"/>
              <w:left w:val="single" w:sz="4" w:space="0" w:color="000000"/>
              <w:bottom w:val="single" w:sz="4" w:space="0" w:color="000000"/>
              <w:right w:val="single" w:sz="4" w:space="0" w:color="000000"/>
            </w:tcBorders>
          </w:tcPr>
          <w:p>
            <w:pPr/>
          </w:p>
        </w:tc>
        <w:tc>
          <w:tcPr>
            <w:tcW w:w="561" w:type="dxa"/>
            <w:tcBorders>
              <w:top w:val="nil" w:sz="6" w:space="0" w:color="auto"/>
              <w:left w:val="single" w:sz="4" w:space="0" w:color="000000"/>
              <w:bottom w:val="single" w:sz="4" w:space="0" w:color="000000"/>
              <w:right w:val="single" w:sz="4" w:space="0" w:color="000000"/>
            </w:tcBorders>
          </w:tcPr>
          <w:p>
            <w:pPr/>
          </w:p>
        </w:tc>
        <w:tc>
          <w:tcPr>
            <w:tcW w:w="561" w:type="dxa"/>
            <w:tcBorders>
              <w:top w:val="nil" w:sz="6" w:space="0" w:color="auto"/>
              <w:left w:val="single" w:sz="4" w:space="0" w:color="000000"/>
              <w:bottom w:val="single" w:sz="4" w:space="0" w:color="000000"/>
              <w:right w:val="single" w:sz="4" w:space="0" w:color="000000"/>
            </w:tcBorders>
          </w:tcPr>
          <w:p>
            <w:pPr/>
          </w:p>
        </w:tc>
        <w:tc>
          <w:tcPr>
            <w:tcW w:w="561" w:type="dxa"/>
            <w:tcBorders>
              <w:top w:val="nil" w:sz="6" w:space="0" w:color="auto"/>
              <w:left w:val="single" w:sz="4" w:space="0" w:color="000000"/>
              <w:bottom w:val="single" w:sz="4" w:space="0" w:color="000000"/>
              <w:right w:val="single" w:sz="4" w:space="0" w:color="000000"/>
            </w:tcBorders>
          </w:tcPr>
          <w:p>
            <w:pPr/>
          </w:p>
        </w:tc>
        <w:tc>
          <w:tcPr>
            <w:tcW w:w="561" w:type="dxa"/>
            <w:tcBorders>
              <w:top w:val="nil" w:sz="6" w:space="0" w:color="auto"/>
              <w:left w:val="single" w:sz="4" w:space="0" w:color="000000"/>
              <w:bottom w:val="single" w:sz="4" w:space="0" w:color="000000"/>
              <w:right w:val="single" w:sz="4" w:space="0" w:color="000000"/>
            </w:tcBorders>
          </w:tcPr>
          <w:p>
            <w:pPr/>
          </w:p>
        </w:tc>
        <w:tc>
          <w:tcPr>
            <w:tcW w:w="549" w:type="dxa"/>
            <w:vMerge/>
            <w:tcBorders>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38" w:type="dxa"/>
            <w:vMerge/>
            <w:tcBorders>
              <w:left w:val="single" w:sz="4" w:space="0" w:color="000000"/>
              <w:bottom w:val="single" w:sz="4" w:space="0" w:color="000000"/>
              <w:right w:val="single" w:sz="4" w:space="0" w:color="000000"/>
            </w:tcBorders>
          </w:tcPr>
          <w:p>
            <w:pPr/>
          </w:p>
        </w:tc>
      </w:tr>
    </w:tbl>
    <w:p>
      <w:pPr>
        <w:spacing w:after="0"/>
        <w:sectPr>
          <w:footerReference w:type="default" r:id="rId29"/>
          <w:pgSz w:w="11910" w:h="16840"/>
          <w:pgMar w:footer="978" w:header="878" w:top="1100" w:bottom="1160" w:left="1020" w:right="0"/>
          <w:pgNumType w:start="60"/>
        </w:sectPr>
      </w:pPr>
    </w:p>
    <w:p>
      <w:pPr>
        <w:spacing w:line="240" w:lineRule="auto" w:before="11"/>
        <w:rPr>
          <w:rFonts w:ascii="Times New Roman" w:hAnsi="Times New Roman" w:cs="Times New Roman" w:eastAsia="Times New Roman" w:hint="default"/>
          <w:sz w:val="27"/>
          <w:szCs w:val="27"/>
        </w:rPr>
      </w:pPr>
    </w:p>
    <w:tbl>
      <w:tblPr>
        <w:tblW w:w="0" w:type="auto"/>
        <w:jc w:val="left"/>
        <w:tblInd w:w="109" w:type="dxa"/>
        <w:tblLayout w:type="fixed"/>
        <w:tblCellMar>
          <w:top w:w="0" w:type="dxa"/>
          <w:left w:w="0" w:type="dxa"/>
          <w:bottom w:w="0" w:type="dxa"/>
          <w:right w:w="0" w:type="dxa"/>
        </w:tblCellMar>
        <w:tblLook w:val="01E0"/>
      </w:tblPr>
      <w:tblGrid>
        <w:gridCol w:w="571"/>
        <w:gridCol w:w="590"/>
        <w:gridCol w:w="607"/>
        <w:gridCol w:w="574"/>
        <w:gridCol w:w="561"/>
        <w:gridCol w:w="561"/>
        <w:gridCol w:w="561"/>
        <w:gridCol w:w="561"/>
        <w:gridCol w:w="561"/>
        <w:gridCol w:w="561"/>
        <w:gridCol w:w="561"/>
        <w:gridCol w:w="561"/>
        <w:gridCol w:w="561"/>
        <w:gridCol w:w="549"/>
        <w:gridCol w:w="547"/>
        <w:gridCol w:w="547"/>
        <w:gridCol w:w="538"/>
      </w:tblGrid>
      <w:tr>
        <w:trPr>
          <w:trHeight w:val="361" w:hRule="exact"/>
        </w:trPr>
        <w:tc>
          <w:tcPr>
            <w:tcW w:w="57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中国</w:t>
            </w:r>
          </w:p>
        </w:tc>
        <w:tc>
          <w:tcPr>
            <w:tcW w:w="59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银行理</w:t>
            </w:r>
          </w:p>
        </w:tc>
        <w:tc>
          <w:tcPr>
            <w:tcW w:w="57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50,000</w:t>
            </w:r>
          </w:p>
        </w:tc>
        <w:tc>
          <w:tcPr>
            <w:tcW w:w="5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right="94"/>
              <w:jc w:val="right"/>
              <w:rPr>
                <w:rFonts w:ascii="宋体" w:hAnsi="宋体" w:cs="宋体" w:eastAsia="宋体" w:hint="default"/>
                <w:sz w:val="18"/>
                <w:szCs w:val="18"/>
              </w:rPr>
            </w:pPr>
            <w:r>
              <w:rPr>
                <w:rFonts w:ascii="宋体" w:hAnsi="宋体" w:cs="宋体" w:eastAsia="宋体" w:hint="default"/>
                <w:sz w:val="18"/>
                <w:szCs w:val="18"/>
              </w:rPr>
              <w:t>募集</w:t>
            </w:r>
          </w:p>
        </w:tc>
        <w:tc>
          <w:tcPr>
            <w:tcW w:w="5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2"/>
              <w:ind w:left="95" w:right="0"/>
              <w:jc w:val="left"/>
              <w:rPr>
                <w:rFonts w:ascii="Times New Roman" w:hAnsi="Times New Roman" w:cs="Times New Roman" w:eastAsia="Times New Roman" w:hint="default"/>
                <w:sz w:val="18"/>
                <w:szCs w:val="18"/>
              </w:rPr>
            </w:pPr>
            <w:r>
              <w:rPr>
                <w:rFonts w:ascii="Times New Roman"/>
                <w:sz w:val="18"/>
              </w:rPr>
              <w:t>2018</w:t>
            </w:r>
          </w:p>
        </w:tc>
        <w:tc>
          <w:tcPr>
            <w:tcW w:w="5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2"/>
              <w:ind w:left="93" w:right="0"/>
              <w:jc w:val="left"/>
              <w:rPr>
                <w:rFonts w:ascii="Times New Roman" w:hAnsi="Times New Roman" w:cs="Times New Roman" w:eastAsia="Times New Roman" w:hint="default"/>
                <w:sz w:val="18"/>
                <w:szCs w:val="18"/>
              </w:rPr>
            </w:pPr>
            <w:r>
              <w:rPr>
                <w:rFonts w:ascii="Times New Roman"/>
                <w:sz w:val="18"/>
              </w:rPr>
              <w:t>2019</w:t>
            </w:r>
          </w:p>
        </w:tc>
        <w:tc>
          <w:tcPr>
            <w:tcW w:w="5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货币</w:t>
            </w:r>
          </w:p>
        </w:tc>
        <w:tc>
          <w:tcPr>
            <w:tcW w:w="5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95" w:right="0"/>
              <w:jc w:val="left"/>
              <w:rPr>
                <w:rFonts w:ascii="宋体" w:hAnsi="宋体" w:cs="宋体" w:eastAsia="宋体" w:hint="default"/>
                <w:sz w:val="18"/>
                <w:szCs w:val="18"/>
              </w:rPr>
            </w:pPr>
            <w:r>
              <w:rPr>
                <w:rFonts w:ascii="宋体" w:hAnsi="宋体" w:cs="宋体" w:eastAsia="宋体" w:hint="default"/>
                <w:sz w:val="18"/>
                <w:szCs w:val="18"/>
              </w:rPr>
              <w:t>浮动</w:t>
            </w:r>
          </w:p>
        </w:tc>
        <w:tc>
          <w:tcPr>
            <w:tcW w:w="5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2"/>
              <w:ind w:left="42" w:right="0"/>
              <w:jc w:val="left"/>
              <w:rPr>
                <w:rFonts w:ascii="Times New Roman" w:hAnsi="Times New Roman" w:cs="Times New Roman" w:eastAsia="Times New Roman" w:hint="default"/>
                <w:sz w:val="18"/>
                <w:szCs w:val="18"/>
              </w:rPr>
            </w:pPr>
            <w:r>
              <w:rPr>
                <w:rFonts w:ascii="Times New Roman"/>
                <w:sz w:val="18"/>
              </w:rPr>
              <w:t>3.40%</w:t>
            </w:r>
          </w:p>
        </w:tc>
        <w:tc>
          <w:tcPr>
            <w:tcW w:w="5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2"/>
              <w:ind w:left="29" w:right="0"/>
              <w:jc w:val="left"/>
              <w:rPr>
                <w:rFonts w:ascii="Times New Roman" w:hAnsi="Times New Roman" w:cs="Times New Roman" w:eastAsia="Times New Roman" w:hint="default"/>
                <w:sz w:val="18"/>
                <w:szCs w:val="18"/>
              </w:rPr>
            </w:pPr>
            <w:r>
              <w:rPr>
                <w:rFonts w:ascii="Times New Roman"/>
                <w:sz w:val="18"/>
              </w:rPr>
              <w:t>419.18</w:t>
            </w:r>
          </w:p>
        </w:tc>
        <w:tc>
          <w:tcPr>
            <w:tcW w:w="5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2"/>
              <w:ind w:right="26"/>
              <w:jc w:val="right"/>
              <w:rPr>
                <w:rFonts w:ascii="Times New Roman" w:hAnsi="Times New Roman" w:cs="Times New Roman" w:eastAsia="Times New Roman" w:hint="default"/>
                <w:sz w:val="18"/>
                <w:szCs w:val="18"/>
              </w:rPr>
            </w:pPr>
            <w:r>
              <w:rPr>
                <w:rFonts w:ascii="Times New Roman"/>
                <w:spacing w:val="-1"/>
                <w:sz w:val="18"/>
              </w:rPr>
              <w:t>419.18</w:t>
            </w:r>
          </w:p>
        </w:tc>
        <w:tc>
          <w:tcPr>
            <w:tcW w:w="5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2"/>
              <w:ind w:right="25"/>
              <w:jc w:val="right"/>
              <w:rPr>
                <w:rFonts w:ascii="Times New Roman" w:hAnsi="Times New Roman" w:cs="Times New Roman" w:eastAsia="Times New Roman" w:hint="default"/>
                <w:sz w:val="18"/>
                <w:szCs w:val="18"/>
              </w:rPr>
            </w:pPr>
            <w:r>
              <w:rPr>
                <w:rFonts w:ascii="Times New Roman"/>
                <w:spacing w:val="-1"/>
                <w:sz w:val="18"/>
              </w:rPr>
              <w:t>419.18</w:t>
            </w:r>
          </w:p>
        </w:tc>
        <w:tc>
          <w:tcPr>
            <w:tcW w:w="549" w:type="dxa"/>
            <w:vMerge w:val="restart"/>
            <w:tcBorders>
              <w:top w:val="single" w:sz="4" w:space="0" w:color="000000"/>
              <w:left w:val="single" w:sz="4" w:space="0" w:color="000000"/>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right="177"/>
              <w:jc w:val="righ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right="177"/>
              <w:jc w:val="right"/>
              <w:rPr>
                <w:rFonts w:ascii="宋体" w:hAnsi="宋体" w:cs="宋体" w:eastAsia="宋体" w:hint="default"/>
                <w:sz w:val="18"/>
                <w:szCs w:val="18"/>
              </w:rPr>
            </w:pPr>
            <w:r>
              <w:rPr>
                <w:rFonts w:ascii="宋体" w:hAnsi="宋体" w:cs="宋体" w:eastAsia="宋体" w:hint="default"/>
                <w:sz w:val="18"/>
                <w:szCs w:val="18"/>
              </w:rPr>
              <w:t>是</w:t>
            </w:r>
          </w:p>
        </w:tc>
        <w:tc>
          <w:tcPr>
            <w:tcW w:w="538" w:type="dxa"/>
            <w:vMerge w:val="restart"/>
            <w:tcBorders>
              <w:top w:val="single" w:sz="4" w:space="0" w:color="000000"/>
              <w:left w:val="single" w:sz="4" w:space="0" w:color="000000"/>
              <w:right w:val="single" w:sz="4" w:space="0" w:color="000000"/>
            </w:tcBorders>
          </w:tcPr>
          <w:p>
            <w:pPr/>
          </w:p>
        </w:tc>
      </w:tr>
      <w:tr>
        <w:trPr>
          <w:trHeight w:val="312" w:hRule="exact"/>
        </w:trPr>
        <w:tc>
          <w:tcPr>
            <w:tcW w:w="57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建设</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财产品</w:t>
            </w:r>
          </w:p>
        </w:tc>
        <w:tc>
          <w:tcPr>
            <w:tcW w:w="574"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0"/>
              <w:jc w:val="center"/>
              <w:rPr>
                <w:rFonts w:ascii="Times New Roman" w:hAnsi="Times New Roman" w:cs="Times New Roman" w:eastAsia="Times New Roman" w:hint="default"/>
                <w:sz w:val="18"/>
                <w:szCs w:val="18"/>
              </w:rPr>
            </w:pPr>
            <w:r>
              <w:rPr>
                <w:rFonts w:ascii="Times New Roman"/>
                <w:sz w:val="18"/>
              </w:rPr>
              <w:t>.00</w:t>
            </w: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94"/>
              <w:jc w:val="right"/>
              <w:rPr>
                <w:rFonts w:ascii="宋体" w:hAnsi="宋体" w:cs="宋体" w:eastAsia="宋体" w:hint="default"/>
                <w:sz w:val="18"/>
                <w:szCs w:val="18"/>
              </w:rPr>
            </w:pPr>
            <w:r>
              <w:rPr>
                <w:rFonts w:ascii="宋体" w:hAnsi="宋体" w:cs="宋体" w:eastAsia="宋体" w:hint="default"/>
                <w:sz w:val="18"/>
                <w:szCs w:val="18"/>
              </w:rPr>
              <w:t>资金</w:t>
            </w: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7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资金</w:t>
            </w: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95" w:right="0"/>
              <w:jc w:val="left"/>
              <w:rPr>
                <w:rFonts w:ascii="宋体" w:hAnsi="宋体" w:cs="宋体" w:eastAsia="宋体" w:hint="default"/>
                <w:sz w:val="18"/>
                <w:szCs w:val="18"/>
              </w:rPr>
            </w:pPr>
            <w:r>
              <w:rPr>
                <w:rFonts w:ascii="宋体" w:hAnsi="宋体" w:cs="宋体" w:eastAsia="宋体" w:hint="default"/>
                <w:sz w:val="18"/>
                <w:szCs w:val="18"/>
              </w:rPr>
              <w:t>收益</w:t>
            </w: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49" w:type="dxa"/>
            <w:vMerge/>
            <w:tcBorders>
              <w:left w:val="single" w:sz="4" w:space="0" w:color="000000"/>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银行</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7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市场</w:t>
            </w: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49" w:type="dxa"/>
            <w:vMerge/>
            <w:tcBorders>
              <w:left w:val="single" w:sz="4" w:space="0" w:color="000000"/>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07" w:hRule="exact"/>
        </w:trPr>
        <w:tc>
          <w:tcPr>
            <w:tcW w:w="57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股份</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49" w:type="dxa"/>
            <w:vMerge/>
            <w:tcBorders>
              <w:left w:val="single" w:sz="4" w:space="0" w:color="000000"/>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有限</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49" w:type="dxa"/>
            <w:vMerge/>
            <w:tcBorders>
              <w:left w:val="single" w:sz="4" w:space="0" w:color="000000"/>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公司</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49" w:type="dxa"/>
            <w:vMerge/>
            <w:tcBorders>
              <w:left w:val="single" w:sz="4" w:space="0" w:color="000000"/>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广东</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49" w:type="dxa"/>
            <w:vMerge/>
            <w:tcBorders>
              <w:left w:val="single" w:sz="4" w:space="0" w:color="000000"/>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省分</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49" w:type="dxa"/>
            <w:vMerge/>
            <w:tcBorders>
              <w:left w:val="single" w:sz="4" w:space="0" w:color="000000"/>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58" w:hRule="exact"/>
        </w:trPr>
        <w:tc>
          <w:tcPr>
            <w:tcW w:w="57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行</w:t>
            </w:r>
          </w:p>
        </w:tc>
        <w:tc>
          <w:tcPr>
            <w:tcW w:w="590" w:type="dxa"/>
            <w:tcBorders>
              <w:top w:val="nil" w:sz="6" w:space="0" w:color="auto"/>
              <w:left w:val="single" w:sz="4" w:space="0" w:color="000000"/>
              <w:bottom w:val="single" w:sz="4" w:space="0" w:color="000000"/>
              <w:right w:val="single" w:sz="4" w:space="0" w:color="000000"/>
            </w:tcBorders>
          </w:tcPr>
          <w:p>
            <w:pPr/>
          </w:p>
        </w:tc>
        <w:tc>
          <w:tcPr>
            <w:tcW w:w="607" w:type="dxa"/>
            <w:tcBorders>
              <w:top w:val="nil" w:sz="6" w:space="0" w:color="auto"/>
              <w:left w:val="single" w:sz="4" w:space="0" w:color="000000"/>
              <w:bottom w:val="single" w:sz="4" w:space="0" w:color="000000"/>
              <w:right w:val="single" w:sz="4" w:space="0" w:color="000000"/>
            </w:tcBorders>
          </w:tcPr>
          <w:p>
            <w:pPr/>
          </w:p>
        </w:tc>
        <w:tc>
          <w:tcPr>
            <w:tcW w:w="574" w:type="dxa"/>
            <w:tcBorders>
              <w:top w:val="nil" w:sz="6" w:space="0" w:color="auto"/>
              <w:left w:val="single" w:sz="4" w:space="0" w:color="000000"/>
              <w:bottom w:val="single" w:sz="4" w:space="0" w:color="000000"/>
              <w:right w:val="single" w:sz="4" w:space="0" w:color="000000"/>
            </w:tcBorders>
          </w:tcPr>
          <w:p>
            <w:pPr/>
          </w:p>
        </w:tc>
        <w:tc>
          <w:tcPr>
            <w:tcW w:w="561" w:type="dxa"/>
            <w:tcBorders>
              <w:top w:val="nil" w:sz="6" w:space="0" w:color="auto"/>
              <w:left w:val="single" w:sz="4" w:space="0" w:color="000000"/>
              <w:bottom w:val="single" w:sz="4" w:space="0" w:color="000000"/>
              <w:right w:val="single" w:sz="4" w:space="0" w:color="000000"/>
            </w:tcBorders>
          </w:tcPr>
          <w:p>
            <w:pPr/>
          </w:p>
        </w:tc>
        <w:tc>
          <w:tcPr>
            <w:tcW w:w="561" w:type="dxa"/>
            <w:tcBorders>
              <w:top w:val="nil" w:sz="6" w:space="0" w:color="auto"/>
              <w:left w:val="single" w:sz="4" w:space="0" w:color="000000"/>
              <w:bottom w:val="single" w:sz="4" w:space="0" w:color="000000"/>
              <w:right w:val="single" w:sz="4" w:space="0" w:color="000000"/>
            </w:tcBorders>
          </w:tcPr>
          <w:p>
            <w:pPr/>
          </w:p>
        </w:tc>
        <w:tc>
          <w:tcPr>
            <w:tcW w:w="561" w:type="dxa"/>
            <w:tcBorders>
              <w:top w:val="nil" w:sz="6" w:space="0" w:color="auto"/>
              <w:left w:val="single" w:sz="4" w:space="0" w:color="000000"/>
              <w:bottom w:val="single" w:sz="4" w:space="0" w:color="000000"/>
              <w:right w:val="single" w:sz="4" w:space="0" w:color="000000"/>
            </w:tcBorders>
          </w:tcPr>
          <w:p>
            <w:pPr/>
          </w:p>
        </w:tc>
        <w:tc>
          <w:tcPr>
            <w:tcW w:w="561" w:type="dxa"/>
            <w:tcBorders>
              <w:top w:val="nil" w:sz="6" w:space="0" w:color="auto"/>
              <w:left w:val="single" w:sz="4" w:space="0" w:color="000000"/>
              <w:bottom w:val="single" w:sz="4" w:space="0" w:color="000000"/>
              <w:right w:val="single" w:sz="4" w:space="0" w:color="000000"/>
            </w:tcBorders>
          </w:tcPr>
          <w:p>
            <w:pPr/>
          </w:p>
        </w:tc>
        <w:tc>
          <w:tcPr>
            <w:tcW w:w="561" w:type="dxa"/>
            <w:tcBorders>
              <w:top w:val="nil" w:sz="6" w:space="0" w:color="auto"/>
              <w:left w:val="single" w:sz="4" w:space="0" w:color="000000"/>
              <w:bottom w:val="single" w:sz="4" w:space="0" w:color="000000"/>
              <w:right w:val="single" w:sz="4" w:space="0" w:color="000000"/>
            </w:tcBorders>
          </w:tcPr>
          <w:p>
            <w:pPr/>
          </w:p>
        </w:tc>
        <w:tc>
          <w:tcPr>
            <w:tcW w:w="561" w:type="dxa"/>
            <w:tcBorders>
              <w:top w:val="nil" w:sz="6" w:space="0" w:color="auto"/>
              <w:left w:val="single" w:sz="4" w:space="0" w:color="000000"/>
              <w:bottom w:val="single" w:sz="4" w:space="0" w:color="000000"/>
              <w:right w:val="single" w:sz="4" w:space="0" w:color="000000"/>
            </w:tcBorders>
          </w:tcPr>
          <w:p>
            <w:pPr/>
          </w:p>
        </w:tc>
        <w:tc>
          <w:tcPr>
            <w:tcW w:w="561" w:type="dxa"/>
            <w:tcBorders>
              <w:top w:val="nil" w:sz="6" w:space="0" w:color="auto"/>
              <w:left w:val="single" w:sz="4" w:space="0" w:color="000000"/>
              <w:bottom w:val="single" w:sz="4" w:space="0" w:color="000000"/>
              <w:right w:val="single" w:sz="4" w:space="0" w:color="000000"/>
            </w:tcBorders>
          </w:tcPr>
          <w:p>
            <w:pPr/>
          </w:p>
        </w:tc>
        <w:tc>
          <w:tcPr>
            <w:tcW w:w="561" w:type="dxa"/>
            <w:tcBorders>
              <w:top w:val="nil" w:sz="6" w:space="0" w:color="auto"/>
              <w:left w:val="single" w:sz="4" w:space="0" w:color="000000"/>
              <w:bottom w:val="single" w:sz="4" w:space="0" w:color="000000"/>
              <w:right w:val="single" w:sz="4" w:space="0" w:color="000000"/>
            </w:tcBorders>
          </w:tcPr>
          <w:p>
            <w:pPr/>
          </w:p>
        </w:tc>
        <w:tc>
          <w:tcPr>
            <w:tcW w:w="561" w:type="dxa"/>
            <w:tcBorders>
              <w:top w:val="nil" w:sz="6" w:space="0" w:color="auto"/>
              <w:left w:val="single" w:sz="4" w:space="0" w:color="000000"/>
              <w:bottom w:val="single" w:sz="4" w:space="0" w:color="000000"/>
              <w:right w:val="single" w:sz="4" w:space="0" w:color="000000"/>
            </w:tcBorders>
          </w:tcPr>
          <w:p>
            <w:pPr/>
          </w:p>
        </w:tc>
        <w:tc>
          <w:tcPr>
            <w:tcW w:w="549" w:type="dxa"/>
            <w:vMerge/>
            <w:tcBorders>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38" w:type="dxa"/>
            <w:vMerge/>
            <w:tcBorders>
              <w:left w:val="single" w:sz="4" w:space="0" w:color="000000"/>
              <w:bottom w:val="single" w:sz="4" w:space="0" w:color="000000"/>
              <w:right w:val="single" w:sz="4" w:space="0" w:color="000000"/>
            </w:tcBorders>
          </w:tcPr>
          <w:p>
            <w:pPr/>
          </w:p>
        </w:tc>
      </w:tr>
      <w:tr>
        <w:trPr>
          <w:trHeight w:val="362" w:hRule="exact"/>
        </w:trPr>
        <w:tc>
          <w:tcPr>
            <w:tcW w:w="57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中国</w:t>
            </w:r>
          </w:p>
        </w:tc>
        <w:tc>
          <w:tcPr>
            <w:tcW w:w="59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银行理</w:t>
            </w:r>
          </w:p>
        </w:tc>
        <w:tc>
          <w:tcPr>
            <w:tcW w:w="57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10,000</w:t>
            </w:r>
          </w:p>
        </w:tc>
        <w:tc>
          <w:tcPr>
            <w:tcW w:w="5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right="94"/>
              <w:jc w:val="right"/>
              <w:rPr>
                <w:rFonts w:ascii="宋体" w:hAnsi="宋体" w:cs="宋体" w:eastAsia="宋体" w:hint="default"/>
                <w:sz w:val="18"/>
                <w:szCs w:val="18"/>
              </w:rPr>
            </w:pPr>
            <w:r>
              <w:rPr>
                <w:rFonts w:ascii="宋体" w:hAnsi="宋体" w:cs="宋体" w:eastAsia="宋体" w:hint="default"/>
                <w:sz w:val="18"/>
                <w:szCs w:val="18"/>
              </w:rPr>
              <w:t>募集</w:t>
            </w:r>
          </w:p>
        </w:tc>
        <w:tc>
          <w:tcPr>
            <w:tcW w:w="5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3"/>
              <w:ind w:left="95" w:right="0"/>
              <w:jc w:val="left"/>
              <w:rPr>
                <w:rFonts w:ascii="Times New Roman" w:hAnsi="Times New Roman" w:cs="Times New Roman" w:eastAsia="Times New Roman" w:hint="default"/>
                <w:sz w:val="18"/>
                <w:szCs w:val="18"/>
              </w:rPr>
            </w:pPr>
            <w:r>
              <w:rPr>
                <w:rFonts w:ascii="Times New Roman"/>
                <w:sz w:val="18"/>
              </w:rPr>
              <w:t>2019</w:t>
            </w:r>
          </w:p>
        </w:tc>
        <w:tc>
          <w:tcPr>
            <w:tcW w:w="5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3"/>
              <w:ind w:left="93" w:right="0"/>
              <w:jc w:val="left"/>
              <w:rPr>
                <w:rFonts w:ascii="Times New Roman" w:hAnsi="Times New Roman" w:cs="Times New Roman" w:eastAsia="Times New Roman" w:hint="default"/>
                <w:sz w:val="18"/>
                <w:szCs w:val="18"/>
              </w:rPr>
            </w:pPr>
            <w:r>
              <w:rPr>
                <w:rFonts w:ascii="Times New Roman"/>
                <w:sz w:val="18"/>
              </w:rPr>
              <w:t>2019</w:t>
            </w:r>
          </w:p>
        </w:tc>
        <w:tc>
          <w:tcPr>
            <w:tcW w:w="5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货币</w:t>
            </w:r>
          </w:p>
        </w:tc>
        <w:tc>
          <w:tcPr>
            <w:tcW w:w="5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95" w:right="0"/>
              <w:jc w:val="left"/>
              <w:rPr>
                <w:rFonts w:ascii="宋体" w:hAnsi="宋体" w:cs="宋体" w:eastAsia="宋体" w:hint="default"/>
                <w:sz w:val="18"/>
                <w:szCs w:val="18"/>
              </w:rPr>
            </w:pPr>
            <w:r>
              <w:rPr>
                <w:rFonts w:ascii="宋体" w:hAnsi="宋体" w:cs="宋体" w:eastAsia="宋体" w:hint="default"/>
                <w:sz w:val="18"/>
                <w:szCs w:val="18"/>
              </w:rPr>
              <w:t>浮动</w:t>
            </w:r>
          </w:p>
        </w:tc>
        <w:tc>
          <w:tcPr>
            <w:tcW w:w="5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3"/>
              <w:ind w:left="42" w:right="0"/>
              <w:jc w:val="left"/>
              <w:rPr>
                <w:rFonts w:ascii="Times New Roman" w:hAnsi="Times New Roman" w:cs="Times New Roman" w:eastAsia="Times New Roman" w:hint="default"/>
                <w:sz w:val="18"/>
                <w:szCs w:val="18"/>
              </w:rPr>
            </w:pPr>
            <w:r>
              <w:rPr>
                <w:rFonts w:ascii="Times New Roman"/>
                <w:sz w:val="18"/>
              </w:rPr>
              <w:t>3.64%</w:t>
            </w:r>
          </w:p>
        </w:tc>
        <w:tc>
          <w:tcPr>
            <w:tcW w:w="5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3"/>
              <w:ind w:left="72" w:right="0"/>
              <w:jc w:val="left"/>
              <w:rPr>
                <w:rFonts w:ascii="Times New Roman" w:hAnsi="Times New Roman" w:cs="Times New Roman" w:eastAsia="Times New Roman" w:hint="default"/>
                <w:sz w:val="18"/>
                <w:szCs w:val="18"/>
              </w:rPr>
            </w:pPr>
            <w:r>
              <w:rPr>
                <w:rFonts w:ascii="Times New Roman"/>
                <w:sz w:val="18"/>
              </w:rPr>
              <w:t>93.70</w:t>
            </w:r>
          </w:p>
        </w:tc>
        <w:tc>
          <w:tcPr>
            <w:tcW w:w="5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3"/>
              <w:ind w:right="69"/>
              <w:jc w:val="right"/>
              <w:rPr>
                <w:rFonts w:ascii="Times New Roman" w:hAnsi="Times New Roman" w:cs="Times New Roman" w:eastAsia="Times New Roman" w:hint="default"/>
                <w:sz w:val="18"/>
                <w:szCs w:val="18"/>
              </w:rPr>
            </w:pPr>
            <w:r>
              <w:rPr>
                <w:rFonts w:ascii="Times New Roman"/>
                <w:sz w:val="18"/>
              </w:rPr>
              <w:t>93.70</w:t>
            </w:r>
          </w:p>
        </w:tc>
        <w:tc>
          <w:tcPr>
            <w:tcW w:w="5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3"/>
              <w:ind w:right="69"/>
              <w:jc w:val="right"/>
              <w:rPr>
                <w:rFonts w:ascii="Times New Roman" w:hAnsi="Times New Roman" w:cs="Times New Roman" w:eastAsia="Times New Roman" w:hint="default"/>
                <w:sz w:val="18"/>
                <w:szCs w:val="18"/>
              </w:rPr>
            </w:pPr>
            <w:r>
              <w:rPr>
                <w:rFonts w:ascii="Times New Roman"/>
                <w:sz w:val="18"/>
              </w:rPr>
              <w:t>93.70</w:t>
            </w:r>
          </w:p>
        </w:tc>
        <w:tc>
          <w:tcPr>
            <w:tcW w:w="549" w:type="dxa"/>
            <w:vMerge w:val="restart"/>
            <w:tcBorders>
              <w:top w:val="single" w:sz="4" w:space="0" w:color="000000"/>
              <w:left w:val="single" w:sz="4" w:space="0" w:color="000000"/>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right="177"/>
              <w:jc w:val="righ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right="177"/>
              <w:jc w:val="right"/>
              <w:rPr>
                <w:rFonts w:ascii="宋体" w:hAnsi="宋体" w:cs="宋体" w:eastAsia="宋体" w:hint="default"/>
                <w:sz w:val="18"/>
                <w:szCs w:val="18"/>
              </w:rPr>
            </w:pPr>
            <w:r>
              <w:rPr>
                <w:rFonts w:ascii="宋体" w:hAnsi="宋体" w:cs="宋体" w:eastAsia="宋体" w:hint="default"/>
                <w:sz w:val="18"/>
                <w:szCs w:val="18"/>
              </w:rPr>
              <w:t>是</w:t>
            </w:r>
          </w:p>
        </w:tc>
        <w:tc>
          <w:tcPr>
            <w:tcW w:w="538" w:type="dxa"/>
            <w:vMerge w:val="restart"/>
            <w:tcBorders>
              <w:top w:val="single" w:sz="4" w:space="0" w:color="000000"/>
              <w:left w:val="single" w:sz="4" w:space="0" w:color="000000"/>
              <w:right w:val="single" w:sz="4" w:space="0" w:color="000000"/>
            </w:tcBorders>
          </w:tcPr>
          <w:p>
            <w:pPr/>
          </w:p>
        </w:tc>
      </w:tr>
      <w:tr>
        <w:trPr>
          <w:trHeight w:val="312" w:hRule="exact"/>
        </w:trPr>
        <w:tc>
          <w:tcPr>
            <w:tcW w:w="57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银行</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财产品</w:t>
            </w:r>
          </w:p>
        </w:tc>
        <w:tc>
          <w:tcPr>
            <w:tcW w:w="574"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0"/>
              <w:jc w:val="center"/>
              <w:rPr>
                <w:rFonts w:ascii="Times New Roman" w:hAnsi="Times New Roman" w:cs="Times New Roman" w:eastAsia="Times New Roman" w:hint="default"/>
                <w:sz w:val="18"/>
                <w:szCs w:val="18"/>
              </w:rPr>
            </w:pPr>
            <w:r>
              <w:rPr>
                <w:rFonts w:ascii="Times New Roman"/>
                <w:sz w:val="18"/>
              </w:rPr>
              <w:t>.00</w:t>
            </w: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94"/>
              <w:jc w:val="right"/>
              <w:rPr>
                <w:rFonts w:ascii="宋体" w:hAnsi="宋体" w:cs="宋体" w:eastAsia="宋体" w:hint="default"/>
                <w:sz w:val="18"/>
                <w:szCs w:val="18"/>
              </w:rPr>
            </w:pPr>
            <w:r>
              <w:rPr>
                <w:rFonts w:ascii="宋体" w:hAnsi="宋体" w:cs="宋体" w:eastAsia="宋体" w:hint="default"/>
                <w:sz w:val="18"/>
                <w:szCs w:val="18"/>
              </w:rPr>
              <w:t>资金</w:t>
            </w: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资金</w:t>
            </w: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95" w:right="0"/>
              <w:jc w:val="left"/>
              <w:rPr>
                <w:rFonts w:ascii="宋体" w:hAnsi="宋体" w:cs="宋体" w:eastAsia="宋体" w:hint="default"/>
                <w:sz w:val="18"/>
                <w:szCs w:val="18"/>
              </w:rPr>
            </w:pPr>
            <w:r>
              <w:rPr>
                <w:rFonts w:ascii="宋体" w:hAnsi="宋体" w:cs="宋体" w:eastAsia="宋体" w:hint="default"/>
                <w:sz w:val="18"/>
                <w:szCs w:val="18"/>
              </w:rPr>
              <w:t>收益</w:t>
            </w: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49" w:type="dxa"/>
            <w:vMerge/>
            <w:tcBorders>
              <w:left w:val="single" w:sz="4" w:space="0" w:color="000000"/>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股份</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1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1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市场</w:t>
            </w: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49" w:type="dxa"/>
            <w:vMerge/>
            <w:tcBorders>
              <w:left w:val="single" w:sz="4" w:space="0" w:color="000000"/>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07" w:hRule="exact"/>
        </w:trPr>
        <w:tc>
          <w:tcPr>
            <w:tcW w:w="57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有限</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49" w:type="dxa"/>
            <w:vMerge/>
            <w:tcBorders>
              <w:left w:val="single" w:sz="4" w:space="0" w:color="000000"/>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公司</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49" w:type="dxa"/>
            <w:vMerge/>
            <w:tcBorders>
              <w:left w:val="single" w:sz="4" w:space="0" w:color="000000"/>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广州</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49" w:type="dxa"/>
            <w:vMerge/>
            <w:tcBorders>
              <w:left w:val="single" w:sz="4" w:space="0" w:color="000000"/>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国贸</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49" w:type="dxa"/>
            <w:vMerge/>
            <w:tcBorders>
              <w:left w:val="single" w:sz="4" w:space="0" w:color="000000"/>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大厦</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49" w:type="dxa"/>
            <w:vMerge/>
            <w:tcBorders>
              <w:left w:val="single" w:sz="4" w:space="0" w:color="000000"/>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56" w:hRule="exact"/>
        </w:trPr>
        <w:tc>
          <w:tcPr>
            <w:tcW w:w="57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支行</w:t>
            </w:r>
          </w:p>
        </w:tc>
        <w:tc>
          <w:tcPr>
            <w:tcW w:w="590" w:type="dxa"/>
            <w:tcBorders>
              <w:top w:val="nil" w:sz="6" w:space="0" w:color="auto"/>
              <w:left w:val="single" w:sz="4" w:space="0" w:color="000000"/>
              <w:bottom w:val="single" w:sz="4" w:space="0" w:color="000000"/>
              <w:right w:val="single" w:sz="4" w:space="0" w:color="000000"/>
            </w:tcBorders>
          </w:tcPr>
          <w:p>
            <w:pPr/>
          </w:p>
        </w:tc>
        <w:tc>
          <w:tcPr>
            <w:tcW w:w="607" w:type="dxa"/>
            <w:tcBorders>
              <w:top w:val="nil" w:sz="6" w:space="0" w:color="auto"/>
              <w:left w:val="single" w:sz="4" w:space="0" w:color="000000"/>
              <w:bottom w:val="single" w:sz="4" w:space="0" w:color="000000"/>
              <w:right w:val="single" w:sz="4" w:space="0" w:color="000000"/>
            </w:tcBorders>
          </w:tcPr>
          <w:p>
            <w:pPr/>
          </w:p>
        </w:tc>
        <w:tc>
          <w:tcPr>
            <w:tcW w:w="574" w:type="dxa"/>
            <w:tcBorders>
              <w:top w:val="nil" w:sz="6" w:space="0" w:color="auto"/>
              <w:left w:val="single" w:sz="4" w:space="0" w:color="000000"/>
              <w:bottom w:val="single" w:sz="4" w:space="0" w:color="000000"/>
              <w:right w:val="single" w:sz="4" w:space="0" w:color="000000"/>
            </w:tcBorders>
          </w:tcPr>
          <w:p>
            <w:pPr/>
          </w:p>
        </w:tc>
        <w:tc>
          <w:tcPr>
            <w:tcW w:w="561" w:type="dxa"/>
            <w:tcBorders>
              <w:top w:val="nil" w:sz="6" w:space="0" w:color="auto"/>
              <w:left w:val="single" w:sz="4" w:space="0" w:color="000000"/>
              <w:bottom w:val="single" w:sz="4" w:space="0" w:color="000000"/>
              <w:right w:val="single" w:sz="4" w:space="0" w:color="000000"/>
            </w:tcBorders>
          </w:tcPr>
          <w:p>
            <w:pPr/>
          </w:p>
        </w:tc>
        <w:tc>
          <w:tcPr>
            <w:tcW w:w="561" w:type="dxa"/>
            <w:tcBorders>
              <w:top w:val="nil" w:sz="6" w:space="0" w:color="auto"/>
              <w:left w:val="single" w:sz="4" w:space="0" w:color="000000"/>
              <w:bottom w:val="single" w:sz="4" w:space="0" w:color="000000"/>
              <w:right w:val="single" w:sz="4" w:space="0" w:color="000000"/>
            </w:tcBorders>
          </w:tcPr>
          <w:p>
            <w:pPr/>
          </w:p>
        </w:tc>
        <w:tc>
          <w:tcPr>
            <w:tcW w:w="561" w:type="dxa"/>
            <w:tcBorders>
              <w:top w:val="nil" w:sz="6" w:space="0" w:color="auto"/>
              <w:left w:val="single" w:sz="4" w:space="0" w:color="000000"/>
              <w:bottom w:val="single" w:sz="4" w:space="0" w:color="000000"/>
              <w:right w:val="single" w:sz="4" w:space="0" w:color="000000"/>
            </w:tcBorders>
          </w:tcPr>
          <w:p>
            <w:pPr/>
          </w:p>
        </w:tc>
        <w:tc>
          <w:tcPr>
            <w:tcW w:w="561" w:type="dxa"/>
            <w:tcBorders>
              <w:top w:val="nil" w:sz="6" w:space="0" w:color="auto"/>
              <w:left w:val="single" w:sz="4" w:space="0" w:color="000000"/>
              <w:bottom w:val="single" w:sz="4" w:space="0" w:color="000000"/>
              <w:right w:val="single" w:sz="4" w:space="0" w:color="000000"/>
            </w:tcBorders>
          </w:tcPr>
          <w:p>
            <w:pPr/>
          </w:p>
        </w:tc>
        <w:tc>
          <w:tcPr>
            <w:tcW w:w="561" w:type="dxa"/>
            <w:tcBorders>
              <w:top w:val="nil" w:sz="6" w:space="0" w:color="auto"/>
              <w:left w:val="single" w:sz="4" w:space="0" w:color="000000"/>
              <w:bottom w:val="single" w:sz="4" w:space="0" w:color="000000"/>
              <w:right w:val="single" w:sz="4" w:space="0" w:color="000000"/>
            </w:tcBorders>
          </w:tcPr>
          <w:p>
            <w:pPr/>
          </w:p>
        </w:tc>
        <w:tc>
          <w:tcPr>
            <w:tcW w:w="561" w:type="dxa"/>
            <w:tcBorders>
              <w:top w:val="nil" w:sz="6" w:space="0" w:color="auto"/>
              <w:left w:val="single" w:sz="4" w:space="0" w:color="000000"/>
              <w:bottom w:val="single" w:sz="4" w:space="0" w:color="000000"/>
              <w:right w:val="single" w:sz="4" w:space="0" w:color="000000"/>
            </w:tcBorders>
          </w:tcPr>
          <w:p>
            <w:pPr/>
          </w:p>
        </w:tc>
        <w:tc>
          <w:tcPr>
            <w:tcW w:w="561" w:type="dxa"/>
            <w:tcBorders>
              <w:top w:val="nil" w:sz="6" w:space="0" w:color="auto"/>
              <w:left w:val="single" w:sz="4" w:space="0" w:color="000000"/>
              <w:bottom w:val="single" w:sz="4" w:space="0" w:color="000000"/>
              <w:right w:val="single" w:sz="4" w:space="0" w:color="000000"/>
            </w:tcBorders>
          </w:tcPr>
          <w:p>
            <w:pPr/>
          </w:p>
        </w:tc>
        <w:tc>
          <w:tcPr>
            <w:tcW w:w="561" w:type="dxa"/>
            <w:tcBorders>
              <w:top w:val="nil" w:sz="6" w:space="0" w:color="auto"/>
              <w:left w:val="single" w:sz="4" w:space="0" w:color="000000"/>
              <w:bottom w:val="single" w:sz="4" w:space="0" w:color="000000"/>
              <w:right w:val="single" w:sz="4" w:space="0" w:color="000000"/>
            </w:tcBorders>
          </w:tcPr>
          <w:p>
            <w:pPr/>
          </w:p>
        </w:tc>
        <w:tc>
          <w:tcPr>
            <w:tcW w:w="561" w:type="dxa"/>
            <w:tcBorders>
              <w:top w:val="nil" w:sz="6" w:space="0" w:color="auto"/>
              <w:left w:val="single" w:sz="4" w:space="0" w:color="000000"/>
              <w:bottom w:val="single" w:sz="4" w:space="0" w:color="000000"/>
              <w:right w:val="single" w:sz="4" w:space="0" w:color="000000"/>
            </w:tcBorders>
          </w:tcPr>
          <w:p>
            <w:pPr/>
          </w:p>
        </w:tc>
        <w:tc>
          <w:tcPr>
            <w:tcW w:w="549" w:type="dxa"/>
            <w:vMerge/>
            <w:tcBorders>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38" w:type="dxa"/>
            <w:vMerge/>
            <w:tcBorders>
              <w:left w:val="single" w:sz="4" w:space="0" w:color="000000"/>
              <w:bottom w:val="single" w:sz="4" w:space="0" w:color="000000"/>
              <w:right w:val="single" w:sz="4" w:space="0" w:color="000000"/>
            </w:tcBorders>
          </w:tcPr>
          <w:p>
            <w:pPr/>
          </w:p>
        </w:tc>
      </w:tr>
      <w:tr>
        <w:trPr>
          <w:trHeight w:val="361" w:hRule="exact"/>
        </w:trPr>
        <w:tc>
          <w:tcPr>
            <w:tcW w:w="57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中国</w:t>
            </w:r>
          </w:p>
        </w:tc>
        <w:tc>
          <w:tcPr>
            <w:tcW w:w="59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银行理</w:t>
            </w:r>
          </w:p>
        </w:tc>
        <w:tc>
          <w:tcPr>
            <w:tcW w:w="57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20,000</w:t>
            </w:r>
          </w:p>
        </w:tc>
        <w:tc>
          <w:tcPr>
            <w:tcW w:w="5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right="94"/>
              <w:jc w:val="right"/>
              <w:rPr>
                <w:rFonts w:ascii="宋体" w:hAnsi="宋体" w:cs="宋体" w:eastAsia="宋体" w:hint="default"/>
                <w:sz w:val="18"/>
                <w:szCs w:val="18"/>
              </w:rPr>
            </w:pPr>
            <w:r>
              <w:rPr>
                <w:rFonts w:ascii="宋体" w:hAnsi="宋体" w:cs="宋体" w:eastAsia="宋体" w:hint="default"/>
                <w:sz w:val="18"/>
                <w:szCs w:val="18"/>
              </w:rPr>
              <w:t>募集</w:t>
            </w:r>
          </w:p>
        </w:tc>
        <w:tc>
          <w:tcPr>
            <w:tcW w:w="5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2"/>
              <w:ind w:left="95" w:right="0"/>
              <w:jc w:val="left"/>
              <w:rPr>
                <w:rFonts w:ascii="Times New Roman" w:hAnsi="Times New Roman" w:cs="Times New Roman" w:eastAsia="Times New Roman" w:hint="default"/>
                <w:sz w:val="18"/>
                <w:szCs w:val="18"/>
              </w:rPr>
            </w:pPr>
            <w:r>
              <w:rPr>
                <w:rFonts w:ascii="Times New Roman"/>
                <w:sz w:val="18"/>
              </w:rPr>
              <w:t>2019</w:t>
            </w:r>
          </w:p>
        </w:tc>
        <w:tc>
          <w:tcPr>
            <w:tcW w:w="5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2"/>
              <w:ind w:left="93" w:right="0"/>
              <w:jc w:val="left"/>
              <w:rPr>
                <w:rFonts w:ascii="Times New Roman" w:hAnsi="Times New Roman" w:cs="Times New Roman" w:eastAsia="Times New Roman" w:hint="default"/>
                <w:sz w:val="18"/>
                <w:szCs w:val="18"/>
              </w:rPr>
            </w:pPr>
            <w:r>
              <w:rPr>
                <w:rFonts w:ascii="Times New Roman"/>
                <w:sz w:val="18"/>
              </w:rPr>
              <w:t>2019</w:t>
            </w:r>
          </w:p>
        </w:tc>
        <w:tc>
          <w:tcPr>
            <w:tcW w:w="5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货币</w:t>
            </w:r>
          </w:p>
        </w:tc>
        <w:tc>
          <w:tcPr>
            <w:tcW w:w="5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95" w:right="0"/>
              <w:jc w:val="left"/>
              <w:rPr>
                <w:rFonts w:ascii="宋体" w:hAnsi="宋体" w:cs="宋体" w:eastAsia="宋体" w:hint="default"/>
                <w:sz w:val="18"/>
                <w:szCs w:val="18"/>
              </w:rPr>
            </w:pPr>
            <w:r>
              <w:rPr>
                <w:rFonts w:ascii="宋体" w:hAnsi="宋体" w:cs="宋体" w:eastAsia="宋体" w:hint="default"/>
                <w:sz w:val="18"/>
                <w:szCs w:val="18"/>
              </w:rPr>
              <w:t>浮动</w:t>
            </w:r>
          </w:p>
        </w:tc>
        <w:tc>
          <w:tcPr>
            <w:tcW w:w="5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2"/>
              <w:ind w:left="42" w:right="0"/>
              <w:jc w:val="left"/>
              <w:rPr>
                <w:rFonts w:ascii="Times New Roman" w:hAnsi="Times New Roman" w:cs="Times New Roman" w:eastAsia="Times New Roman" w:hint="default"/>
                <w:sz w:val="18"/>
                <w:szCs w:val="18"/>
              </w:rPr>
            </w:pPr>
            <w:r>
              <w:rPr>
                <w:rFonts w:ascii="Times New Roman"/>
                <w:sz w:val="18"/>
              </w:rPr>
              <w:t>4.26%</w:t>
            </w:r>
          </w:p>
        </w:tc>
        <w:tc>
          <w:tcPr>
            <w:tcW w:w="5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2"/>
              <w:ind w:left="29" w:right="0"/>
              <w:jc w:val="left"/>
              <w:rPr>
                <w:rFonts w:ascii="Times New Roman" w:hAnsi="Times New Roman" w:cs="Times New Roman" w:eastAsia="Times New Roman" w:hint="default"/>
                <w:sz w:val="18"/>
                <w:szCs w:val="18"/>
              </w:rPr>
            </w:pPr>
            <w:r>
              <w:rPr>
                <w:rFonts w:ascii="Times New Roman"/>
                <w:sz w:val="18"/>
              </w:rPr>
              <w:t>280.00</w:t>
            </w:r>
          </w:p>
        </w:tc>
        <w:tc>
          <w:tcPr>
            <w:tcW w:w="5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2"/>
              <w:ind w:right="26"/>
              <w:jc w:val="right"/>
              <w:rPr>
                <w:rFonts w:ascii="Times New Roman" w:hAnsi="Times New Roman" w:cs="Times New Roman" w:eastAsia="Times New Roman" w:hint="default"/>
                <w:sz w:val="18"/>
                <w:szCs w:val="18"/>
              </w:rPr>
            </w:pPr>
            <w:r>
              <w:rPr>
                <w:rFonts w:ascii="Times New Roman"/>
                <w:spacing w:val="-1"/>
                <w:sz w:val="18"/>
              </w:rPr>
              <w:t>280.00</w:t>
            </w:r>
          </w:p>
        </w:tc>
        <w:tc>
          <w:tcPr>
            <w:tcW w:w="5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2"/>
              <w:ind w:right="25"/>
              <w:jc w:val="right"/>
              <w:rPr>
                <w:rFonts w:ascii="Times New Roman" w:hAnsi="Times New Roman" w:cs="Times New Roman" w:eastAsia="Times New Roman" w:hint="default"/>
                <w:sz w:val="18"/>
                <w:szCs w:val="18"/>
              </w:rPr>
            </w:pPr>
            <w:r>
              <w:rPr>
                <w:rFonts w:ascii="Times New Roman"/>
                <w:spacing w:val="-1"/>
                <w:sz w:val="18"/>
              </w:rPr>
              <w:t>280.00</w:t>
            </w:r>
          </w:p>
        </w:tc>
        <w:tc>
          <w:tcPr>
            <w:tcW w:w="549" w:type="dxa"/>
            <w:vMerge w:val="restart"/>
            <w:tcBorders>
              <w:top w:val="single" w:sz="4" w:space="0" w:color="000000"/>
              <w:left w:val="single" w:sz="4" w:space="0" w:color="000000"/>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right="177"/>
              <w:jc w:val="righ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right="177"/>
              <w:jc w:val="right"/>
              <w:rPr>
                <w:rFonts w:ascii="宋体" w:hAnsi="宋体" w:cs="宋体" w:eastAsia="宋体" w:hint="default"/>
                <w:sz w:val="18"/>
                <w:szCs w:val="18"/>
              </w:rPr>
            </w:pPr>
            <w:r>
              <w:rPr>
                <w:rFonts w:ascii="宋体" w:hAnsi="宋体" w:cs="宋体" w:eastAsia="宋体" w:hint="default"/>
                <w:sz w:val="18"/>
                <w:szCs w:val="18"/>
              </w:rPr>
              <w:t>是</w:t>
            </w:r>
          </w:p>
        </w:tc>
        <w:tc>
          <w:tcPr>
            <w:tcW w:w="538" w:type="dxa"/>
            <w:vMerge w:val="restart"/>
            <w:tcBorders>
              <w:top w:val="single" w:sz="4" w:space="0" w:color="000000"/>
              <w:left w:val="single" w:sz="4" w:space="0" w:color="000000"/>
              <w:right w:val="single" w:sz="4" w:space="0" w:color="000000"/>
            </w:tcBorders>
          </w:tcPr>
          <w:p>
            <w:pPr/>
          </w:p>
        </w:tc>
      </w:tr>
      <w:tr>
        <w:trPr>
          <w:trHeight w:val="312" w:hRule="exact"/>
        </w:trPr>
        <w:tc>
          <w:tcPr>
            <w:tcW w:w="57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民生</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财产品</w:t>
            </w:r>
          </w:p>
        </w:tc>
        <w:tc>
          <w:tcPr>
            <w:tcW w:w="574"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0"/>
              <w:jc w:val="center"/>
              <w:rPr>
                <w:rFonts w:ascii="Times New Roman" w:hAnsi="Times New Roman" w:cs="Times New Roman" w:eastAsia="Times New Roman" w:hint="default"/>
                <w:sz w:val="18"/>
                <w:szCs w:val="18"/>
              </w:rPr>
            </w:pPr>
            <w:r>
              <w:rPr>
                <w:rFonts w:ascii="Times New Roman"/>
                <w:sz w:val="18"/>
              </w:rPr>
              <w:t>.00</w:t>
            </w: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94"/>
              <w:jc w:val="right"/>
              <w:rPr>
                <w:rFonts w:ascii="宋体" w:hAnsi="宋体" w:cs="宋体" w:eastAsia="宋体" w:hint="default"/>
                <w:sz w:val="18"/>
                <w:szCs w:val="18"/>
              </w:rPr>
            </w:pPr>
            <w:r>
              <w:rPr>
                <w:rFonts w:ascii="宋体" w:hAnsi="宋体" w:cs="宋体" w:eastAsia="宋体" w:hint="default"/>
                <w:sz w:val="18"/>
                <w:szCs w:val="18"/>
              </w:rPr>
              <w:t>资金</w:t>
            </w: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资金</w:t>
            </w: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95" w:right="0"/>
              <w:jc w:val="left"/>
              <w:rPr>
                <w:rFonts w:ascii="宋体" w:hAnsi="宋体" w:cs="宋体" w:eastAsia="宋体" w:hint="default"/>
                <w:sz w:val="18"/>
                <w:szCs w:val="18"/>
              </w:rPr>
            </w:pPr>
            <w:r>
              <w:rPr>
                <w:rFonts w:ascii="宋体" w:hAnsi="宋体" w:cs="宋体" w:eastAsia="宋体" w:hint="default"/>
                <w:sz w:val="18"/>
                <w:szCs w:val="18"/>
              </w:rPr>
              <w:t>收益</w:t>
            </w: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49" w:type="dxa"/>
            <w:vMerge/>
            <w:tcBorders>
              <w:left w:val="single" w:sz="4" w:space="0" w:color="000000"/>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银行</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7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1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市场</w:t>
            </w: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49" w:type="dxa"/>
            <w:vMerge/>
            <w:tcBorders>
              <w:left w:val="single" w:sz="4" w:space="0" w:color="000000"/>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07" w:hRule="exact"/>
        </w:trPr>
        <w:tc>
          <w:tcPr>
            <w:tcW w:w="57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股份</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49" w:type="dxa"/>
            <w:vMerge/>
            <w:tcBorders>
              <w:left w:val="single" w:sz="4" w:space="0" w:color="000000"/>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有限</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49" w:type="dxa"/>
            <w:vMerge/>
            <w:tcBorders>
              <w:left w:val="single" w:sz="4" w:space="0" w:color="000000"/>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公司</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49" w:type="dxa"/>
            <w:vMerge/>
            <w:tcBorders>
              <w:left w:val="single" w:sz="4" w:space="0" w:color="000000"/>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广州</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49" w:type="dxa"/>
            <w:vMerge/>
            <w:tcBorders>
              <w:left w:val="single" w:sz="4" w:space="0" w:color="000000"/>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58" w:hRule="exact"/>
        </w:trPr>
        <w:tc>
          <w:tcPr>
            <w:tcW w:w="57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分行</w:t>
            </w:r>
          </w:p>
        </w:tc>
        <w:tc>
          <w:tcPr>
            <w:tcW w:w="590" w:type="dxa"/>
            <w:tcBorders>
              <w:top w:val="nil" w:sz="6" w:space="0" w:color="auto"/>
              <w:left w:val="single" w:sz="4" w:space="0" w:color="000000"/>
              <w:bottom w:val="single" w:sz="4" w:space="0" w:color="000000"/>
              <w:right w:val="single" w:sz="4" w:space="0" w:color="000000"/>
            </w:tcBorders>
          </w:tcPr>
          <w:p>
            <w:pPr/>
          </w:p>
        </w:tc>
        <w:tc>
          <w:tcPr>
            <w:tcW w:w="607" w:type="dxa"/>
            <w:tcBorders>
              <w:top w:val="nil" w:sz="6" w:space="0" w:color="auto"/>
              <w:left w:val="single" w:sz="4" w:space="0" w:color="000000"/>
              <w:bottom w:val="single" w:sz="4" w:space="0" w:color="000000"/>
              <w:right w:val="single" w:sz="4" w:space="0" w:color="000000"/>
            </w:tcBorders>
          </w:tcPr>
          <w:p>
            <w:pPr/>
          </w:p>
        </w:tc>
        <w:tc>
          <w:tcPr>
            <w:tcW w:w="574" w:type="dxa"/>
            <w:tcBorders>
              <w:top w:val="nil" w:sz="6" w:space="0" w:color="auto"/>
              <w:left w:val="single" w:sz="4" w:space="0" w:color="000000"/>
              <w:bottom w:val="single" w:sz="4" w:space="0" w:color="000000"/>
              <w:right w:val="single" w:sz="4" w:space="0" w:color="000000"/>
            </w:tcBorders>
          </w:tcPr>
          <w:p>
            <w:pPr/>
          </w:p>
        </w:tc>
        <w:tc>
          <w:tcPr>
            <w:tcW w:w="561" w:type="dxa"/>
            <w:tcBorders>
              <w:top w:val="nil" w:sz="6" w:space="0" w:color="auto"/>
              <w:left w:val="single" w:sz="4" w:space="0" w:color="000000"/>
              <w:bottom w:val="single" w:sz="4" w:space="0" w:color="000000"/>
              <w:right w:val="single" w:sz="4" w:space="0" w:color="000000"/>
            </w:tcBorders>
          </w:tcPr>
          <w:p>
            <w:pPr/>
          </w:p>
        </w:tc>
        <w:tc>
          <w:tcPr>
            <w:tcW w:w="561" w:type="dxa"/>
            <w:tcBorders>
              <w:top w:val="nil" w:sz="6" w:space="0" w:color="auto"/>
              <w:left w:val="single" w:sz="4" w:space="0" w:color="000000"/>
              <w:bottom w:val="single" w:sz="4" w:space="0" w:color="000000"/>
              <w:right w:val="single" w:sz="4" w:space="0" w:color="000000"/>
            </w:tcBorders>
          </w:tcPr>
          <w:p>
            <w:pPr/>
          </w:p>
        </w:tc>
        <w:tc>
          <w:tcPr>
            <w:tcW w:w="561" w:type="dxa"/>
            <w:tcBorders>
              <w:top w:val="nil" w:sz="6" w:space="0" w:color="auto"/>
              <w:left w:val="single" w:sz="4" w:space="0" w:color="000000"/>
              <w:bottom w:val="single" w:sz="4" w:space="0" w:color="000000"/>
              <w:right w:val="single" w:sz="4" w:space="0" w:color="000000"/>
            </w:tcBorders>
          </w:tcPr>
          <w:p>
            <w:pPr/>
          </w:p>
        </w:tc>
        <w:tc>
          <w:tcPr>
            <w:tcW w:w="561" w:type="dxa"/>
            <w:tcBorders>
              <w:top w:val="nil" w:sz="6" w:space="0" w:color="auto"/>
              <w:left w:val="single" w:sz="4" w:space="0" w:color="000000"/>
              <w:bottom w:val="single" w:sz="4" w:space="0" w:color="000000"/>
              <w:right w:val="single" w:sz="4" w:space="0" w:color="000000"/>
            </w:tcBorders>
          </w:tcPr>
          <w:p>
            <w:pPr/>
          </w:p>
        </w:tc>
        <w:tc>
          <w:tcPr>
            <w:tcW w:w="561" w:type="dxa"/>
            <w:tcBorders>
              <w:top w:val="nil" w:sz="6" w:space="0" w:color="auto"/>
              <w:left w:val="single" w:sz="4" w:space="0" w:color="000000"/>
              <w:bottom w:val="single" w:sz="4" w:space="0" w:color="000000"/>
              <w:right w:val="single" w:sz="4" w:space="0" w:color="000000"/>
            </w:tcBorders>
          </w:tcPr>
          <w:p>
            <w:pPr/>
          </w:p>
        </w:tc>
        <w:tc>
          <w:tcPr>
            <w:tcW w:w="561" w:type="dxa"/>
            <w:tcBorders>
              <w:top w:val="nil" w:sz="6" w:space="0" w:color="auto"/>
              <w:left w:val="single" w:sz="4" w:space="0" w:color="000000"/>
              <w:bottom w:val="single" w:sz="4" w:space="0" w:color="000000"/>
              <w:right w:val="single" w:sz="4" w:space="0" w:color="000000"/>
            </w:tcBorders>
          </w:tcPr>
          <w:p>
            <w:pPr/>
          </w:p>
        </w:tc>
        <w:tc>
          <w:tcPr>
            <w:tcW w:w="561" w:type="dxa"/>
            <w:tcBorders>
              <w:top w:val="nil" w:sz="6" w:space="0" w:color="auto"/>
              <w:left w:val="single" w:sz="4" w:space="0" w:color="000000"/>
              <w:bottom w:val="single" w:sz="4" w:space="0" w:color="000000"/>
              <w:right w:val="single" w:sz="4" w:space="0" w:color="000000"/>
            </w:tcBorders>
          </w:tcPr>
          <w:p>
            <w:pPr/>
          </w:p>
        </w:tc>
        <w:tc>
          <w:tcPr>
            <w:tcW w:w="561" w:type="dxa"/>
            <w:tcBorders>
              <w:top w:val="nil" w:sz="6" w:space="0" w:color="auto"/>
              <w:left w:val="single" w:sz="4" w:space="0" w:color="000000"/>
              <w:bottom w:val="single" w:sz="4" w:space="0" w:color="000000"/>
              <w:right w:val="single" w:sz="4" w:space="0" w:color="000000"/>
            </w:tcBorders>
          </w:tcPr>
          <w:p>
            <w:pPr/>
          </w:p>
        </w:tc>
        <w:tc>
          <w:tcPr>
            <w:tcW w:w="561" w:type="dxa"/>
            <w:tcBorders>
              <w:top w:val="nil" w:sz="6" w:space="0" w:color="auto"/>
              <w:left w:val="single" w:sz="4" w:space="0" w:color="000000"/>
              <w:bottom w:val="single" w:sz="4" w:space="0" w:color="000000"/>
              <w:right w:val="single" w:sz="4" w:space="0" w:color="000000"/>
            </w:tcBorders>
          </w:tcPr>
          <w:p>
            <w:pPr/>
          </w:p>
        </w:tc>
        <w:tc>
          <w:tcPr>
            <w:tcW w:w="549" w:type="dxa"/>
            <w:vMerge/>
            <w:tcBorders>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38" w:type="dxa"/>
            <w:vMerge/>
            <w:tcBorders>
              <w:left w:val="single" w:sz="4" w:space="0" w:color="000000"/>
              <w:bottom w:val="single" w:sz="4" w:space="0" w:color="000000"/>
              <w:right w:val="single" w:sz="4" w:space="0" w:color="000000"/>
            </w:tcBorders>
          </w:tcPr>
          <w:p>
            <w:pPr/>
          </w:p>
        </w:tc>
      </w:tr>
      <w:tr>
        <w:trPr>
          <w:trHeight w:val="362" w:hRule="exact"/>
        </w:trPr>
        <w:tc>
          <w:tcPr>
            <w:tcW w:w="57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中信</w:t>
            </w:r>
          </w:p>
        </w:tc>
        <w:tc>
          <w:tcPr>
            <w:tcW w:w="59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银行理</w:t>
            </w:r>
          </w:p>
        </w:tc>
        <w:tc>
          <w:tcPr>
            <w:tcW w:w="57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10,000</w:t>
            </w:r>
          </w:p>
        </w:tc>
        <w:tc>
          <w:tcPr>
            <w:tcW w:w="5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right="94"/>
              <w:jc w:val="right"/>
              <w:rPr>
                <w:rFonts w:ascii="宋体" w:hAnsi="宋体" w:cs="宋体" w:eastAsia="宋体" w:hint="default"/>
                <w:sz w:val="18"/>
                <w:szCs w:val="18"/>
              </w:rPr>
            </w:pPr>
            <w:r>
              <w:rPr>
                <w:rFonts w:ascii="宋体" w:hAnsi="宋体" w:cs="宋体" w:eastAsia="宋体" w:hint="default"/>
                <w:sz w:val="18"/>
                <w:szCs w:val="18"/>
              </w:rPr>
              <w:t>募集</w:t>
            </w:r>
          </w:p>
        </w:tc>
        <w:tc>
          <w:tcPr>
            <w:tcW w:w="5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3"/>
              <w:ind w:left="95" w:right="0"/>
              <w:jc w:val="left"/>
              <w:rPr>
                <w:rFonts w:ascii="Times New Roman" w:hAnsi="Times New Roman" w:cs="Times New Roman" w:eastAsia="Times New Roman" w:hint="default"/>
                <w:sz w:val="18"/>
                <w:szCs w:val="18"/>
              </w:rPr>
            </w:pPr>
            <w:r>
              <w:rPr>
                <w:rFonts w:ascii="Times New Roman"/>
                <w:sz w:val="18"/>
              </w:rPr>
              <w:t>2019</w:t>
            </w:r>
          </w:p>
        </w:tc>
        <w:tc>
          <w:tcPr>
            <w:tcW w:w="5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3"/>
              <w:ind w:left="93" w:right="0"/>
              <w:jc w:val="left"/>
              <w:rPr>
                <w:rFonts w:ascii="Times New Roman" w:hAnsi="Times New Roman" w:cs="Times New Roman" w:eastAsia="Times New Roman" w:hint="default"/>
                <w:sz w:val="18"/>
                <w:szCs w:val="18"/>
              </w:rPr>
            </w:pPr>
            <w:r>
              <w:rPr>
                <w:rFonts w:ascii="Times New Roman"/>
                <w:sz w:val="18"/>
              </w:rPr>
              <w:t>2019</w:t>
            </w:r>
          </w:p>
        </w:tc>
        <w:tc>
          <w:tcPr>
            <w:tcW w:w="5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货币</w:t>
            </w:r>
          </w:p>
        </w:tc>
        <w:tc>
          <w:tcPr>
            <w:tcW w:w="5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95" w:right="0"/>
              <w:jc w:val="left"/>
              <w:rPr>
                <w:rFonts w:ascii="宋体" w:hAnsi="宋体" w:cs="宋体" w:eastAsia="宋体" w:hint="default"/>
                <w:sz w:val="18"/>
                <w:szCs w:val="18"/>
              </w:rPr>
            </w:pPr>
            <w:r>
              <w:rPr>
                <w:rFonts w:ascii="宋体" w:hAnsi="宋体" w:cs="宋体" w:eastAsia="宋体" w:hint="default"/>
                <w:sz w:val="18"/>
                <w:szCs w:val="18"/>
              </w:rPr>
              <w:t>浮动</w:t>
            </w:r>
          </w:p>
        </w:tc>
        <w:tc>
          <w:tcPr>
            <w:tcW w:w="5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3"/>
              <w:ind w:left="42" w:right="0"/>
              <w:jc w:val="left"/>
              <w:rPr>
                <w:rFonts w:ascii="Times New Roman" w:hAnsi="Times New Roman" w:cs="Times New Roman" w:eastAsia="Times New Roman" w:hint="default"/>
                <w:sz w:val="18"/>
                <w:szCs w:val="18"/>
              </w:rPr>
            </w:pPr>
            <w:r>
              <w:rPr>
                <w:rFonts w:ascii="Times New Roman"/>
                <w:sz w:val="18"/>
              </w:rPr>
              <w:t>3.90%</w:t>
            </w:r>
          </w:p>
        </w:tc>
        <w:tc>
          <w:tcPr>
            <w:tcW w:w="5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3"/>
              <w:ind w:left="72" w:right="0"/>
              <w:jc w:val="left"/>
              <w:rPr>
                <w:rFonts w:ascii="Times New Roman" w:hAnsi="Times New Roman" w:cs="Times New Roman" w:eastAsia="Times New Roman" w:hint="default"/>
                <w:sz w:val="18"/>
                <w:szCs w:val="18"/>
              </w:rPr>
            </w:pPr>
            <w:r>
              <w:rPr>
                <w:rFonts w:ascii="Times New Roman"/>
                <w:sz w:val="18"/>
              </w:rPr>
              <w:t>98.30</w:t>
            </w:r>
          </w:p>
        </w:tc>
        <w:tc>
          <w:tcPr>
            <w:tcW w:w="5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3"/>
              <w:ind w:right="69"/>
              <w:jc w:val="right"/>
              <w:rPr>
                <w:rFonts w:ascii="Times New Roman" w:hAnsi="Times New Roman" w:cs="Times New Roman" w:eastAsia="Times New Roman" w:hint="default"/>
                <w:sz w:val="18"/>
                <w:szCs w:val="18"/>
              </w:rPr>
            </w:pPr>
            <w:r>
              <w:rPr>
                <w:rFonts w:ascii="Times New Roman"/>
                <w:sz w:val="18"/>
              </w:rPr>
              <w:t>98.30</w:t>
            </w:r>
          </w:p>
        </w:tc>
        <w:tc>
          <w:tcPr>
            <w:tcW w:w="5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3"/>
              <w:ind w:right="69"/>
              <w:jc w:val="right"/>
              <w:rPr>
                <w:rFonts w:ascii="Times New Roman" w:hAnsi="Times New Roman" w:cs="Times New Roman" w:eastAsia="Times New Roman" w:hint="default"/>
                <w:sz w:val="18"/>
                <w:szCs w:val="18"/>
              </w:rPr>
            </w:pPr>
            <w:r>
              <w:rPr>
                <w:rFonts w:ascii="Times New Roman"/>
                <w:sz w:val="18"/>
              </w:rPr>
              <w:t>98.30</w:t>
            </w:r>
          </w:p>
        </w:tc>
        <w:tc>
          <w:tcPr>
            <w:tcW w:w="549" w:type="dxa"/>
            <w:vMerge w:val="restart"/>
            <w:tcBorders>
              <w:top w:val="single" w:sz="4" w:space="0" w:color="000000"/>
              <w:left w:val="single" w:sz="4" w:space="0" w:color="000000"/>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right="177"/>
              <w:jc w:val="righ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right="177"/>
              <w:jc w:val="right"/>
              <w:rPr>
                <w:rFonts w:ascii="宋体" w:hAnsi="宋体" w:cs="宋体" w:eastAsia="宋体" w:hint="default"/>
                <w:sz w:val="18"/>
                <w:szCs w:val="18"/>
              </w:rPr>
            </w:pPr>
            <w:r>
              <w:rPr>
                <w:rFonts w:ascii="宋体" w:hAnsi="宋体" w:cs="宋体" w:eastAsia="宋体" w:hint="default"/>
                <w:sz w:val="18"/>
                <w:szCs w:val="18"/>
              </w:rPr>
              <w:t>是</w:t>
            </w:r>
          </w:p>
        </w:tc>
        <w:tc>
          <w:tcPr>
            <w:tcW w:w="538" w:type="dxa"/>
            <w:vMerge w:val="restart"/>
            <w:tcBorders>
              <w:top w:val="single" w:sz="4" w:space="0" w:color="000000"/>
              <w:left w:val="single" w:sz="4" w:space="0" w:color="000000"/>
              <w:right w:val="single" w:sz="4" w:space="0" w:color="000000"/>
            </w:tcBorders>
          </w:tcPr>
          <w:p>
            <w:pPr/>
          </w:p>
        </w:tc>
      </w:tr>
      <w:tr>
        <w:trPr>
          <w:trHeight w:val="312" w:hRule="exact"/>
        </w:trPr>
        <w:tc>
          <w:tcPr>
            <w:tcW w:w="57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银行</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财产品</w:t>
            </w:r>
          </w:p>
        </w:tc>
        <w:tc>
          <w:tcPr>
            <w:tcW w:w="574"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0"/>
              <w:jc w:val="center"/>
              <w:rPr>
                <w:rFonts w:ascii="Times New Roman" w:hAnsi="Times New Roman" w:cs="Times New Roman" w:eastAsia="Times New Roman" w:hint="default"/>
                <w:sz w:val="18"/>
                <w:szCs w:val="18"/>
              </w:rPr>
            </w:pPr>
            <w:r>
              <w:rPr>
                <w:rFonts w:ascii="Times New Roman"/>
                <w:sz w:val="18"/>
              </w:rPr>
              <w:t>.00</w:t>
            </w: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94"/>
              <w:jc w:val="right"/>
              <w:rPr>
                <w:rFonts w:ascii="宋体" w:hAnsi="宋体" w:cs="宋体" w:eastAsia="宋体" w:hint="default"/>
                <w:sz w:val="18"/>
                <w:szCs w:val="18"/>
              </w:rPr>
            </w:pPr>
            <w:r>
              <w:rPr>
                <w:rFonts w:ascii="宋体" w:hAnsi="宋体" w:cs="宋体" w:eastAsia="宋体" w:hint="default"/>
                <w:sz w:val="18"/>
                <w:szCs w:val="18"/>
              </w:rPr>
              <w:t>资金</w:t>
            </w: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7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资金</w:t>
            </w: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95" w:right="0"/>
              <w:jc w:val="left"/>
              <w:rPr>
                <w:rFonts w:ascii="宋体" w:hAnsi="宋体" w:cs="宋体" w:eastAsia="宋体" w:hint="default"/>
                <w:sz w:val="18"/>
                <w:szCs w:val="18"/>
              </w:rPr>
            </w:pPr>
            <w:r>
              <w:rPr>
                <w:rFonts w:ascii="宋体" w:hAnsi="宋体" w:cs="宋体" w:eastAsia="宋体" w:hint="default"/>
                <w:sz w:val="18"/>
                <w:szCs w:val="18"/>
              </w:rPr>
              <w:t>收益</w:t>
            </w: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49" w:type="dxa"/>
            <w:vMerge/>
            <w:tcBorders>
              <w:left w:val="single" w:sz="4" w:space="0" w:color="000000"/>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股份</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7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7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11</w:t>
            </w: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市场</w:t>
            </w: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49" w:type="dxa"/>
            <w:vMerge/>
            <w:tcBorders>
              <w:left w:val="single" w:sz="4" w:space="0" w:color="000000"/>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07" w:hRule="exact"/>
        </w:trPr>
        <w:tc>
          <w:tcPr>
            <w:tcW w:w="57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有限</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49" w:type="dxa"/>
            <w:vMerge/>
            <w:tcBorders>
              <w:left w:val="single" w:sz="4" w:space="0" w:color="000000"/>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公司</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49" w:type="dxa"/>
            <w:vMerge/>
            <w:tcBorders>
              <w:left w:val="single" w:sz="4" w:space="0" w:color="000000"/>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广州</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49" w:type="dxa"/>
            <w:vMerge/>
            <w:tcBorders>
              <w:left w:val="single" w:sz="4" w:space="0" w:color="000000"/>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天河</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49" w:type="dxa"/>
            <w:vMerge/>
            <w:tcBorders>
              <w:left w:val="single" w:sz="4" w:space="0" w:color="000000"/>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56" w:hRule="exact"/>
        </w:trPr>
        <w:tc>
          <w:tcPr>
            <w:tcW w:w="57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支行</w:t>
            </w:r>
          </w:p>
        </w:tc>
        <w:tc>
          <w:tcPr>
            <w:tcW w:w="590" w:type="dxa"/>
            <w:tcBorders>
              <w:top w:val="nil" w:sz="6" w:space="0" w:color="auto"/>
              <w:left w:val="single" w:sz="4" w:space="0" w:color="000000"/>
              <w:bottom w:val="single" w:sz="4" w:space="0" w:color="000000"/>
              <w:right w:val="single" w:sz="4" w:space="0" w:color="000000"/>
            </w:tcBorders>
          </w:tcPr>
          <w:p>
            <w:pPr/>
          </w:p>
        </w:tc>
        <w:tc>
          <w:tcPr>
            <w:tcW w:w="607" w:type="dxa"/>
            <w:tcBorders>
              <w:top w:val="nil" w:sz="6" w:space="0" w:color="auto"/>
              <w:left w:val="single" w:sz="4" w:space="0" w:color="000000"/>
              <w:bottom w:val="single" w:sz="4" w:space="0" w:color="000000"/>
              <w:right w:val="single" w:sz="4" w:space="0" w:color="000000"/>
            </w:tcBorders>
          </w:tcPr>
          <w:p>
            <w:pPr/>
          </w:p>
        </w:tc>
        <w:tc>
          <w:tcPr>
            <w:tcW w:w="574" w:type="dxa"/>
            <w:tcBorders>
              <w:top w:val="nil" w:sz="6" w:space="0" w:color="auto"/>
              <w:left w:val="single" w:sz="4" w:space="0" w:color="000000"/>
              <w:bottom w:val="single" w:sz="4" w:space="0" w:color="000000"/>
              <w:right w:val="single" w:sz="4" w:space="0" w:color="000000"/>
            </w:tcBorders>
          </w:tcPr>
          <w:p>
            <w:pPr/>
          </w:p>
        </w:tc>
        <w:tc>
          <w:tcPr>
            <w:tcW w:w="561" w:type="dxa"/>
            <w:tcBorders>
              <w:top w:val="nil" w:sz="6" w:space="0" w:color="auto"/>
              <w:left w:val="single" w:sz="4" w:space="0" w:color="000000"/>
              <w:bottom w:val="single" w:sz="4" w:space="0" w:color="000000"/>
              <w:right w:val="single" w:sz="4" w:space="0" w:color="000000"/>
            </w:tcBorders>
          </w:tcPr>
          <w:p>
            <w:pPr/>
          </w:p>
        </w:tc>
        <w:tc>
          <w:tcPr>
            <w:tcW w:w="561" w:type="dxa"/>
            <w:tcBorders>
              <w:top w:val="nil" w:sz="6" w:space="0" w:color="auto"/>
              <w:left w:val="single" w:sz="4" w:space="0" w:color="000000"/>
              <w:bottom w:val="single" w:sz="4" w:space="0" w:color="000000"/>
              <w:right w:val="single" w:sz="4" w:space="0" w:color="000000"/>
            </w:tcBorders>
          </w:tcPr>
          <w:p>
            <w:pPr/>
          </w:p>
        </w:tc>
        <w:tc>
          <w:tcPr>
            <w:tcW w:w="561" w:type="dxa"/>
            <w:tcBorders>
              <w:top w:val="nil" w:sz="6" w:space="0" w:color="auto"/>
              <w:left w:val="single" w:sz="4" w:space="0" w:color="000000"/>
              <w:bottom w:val="single" w:sz="4" w:space="0" w:color="000000"/>
              <w:right w:val="single" w:sz="4" w:space="0" w:color="000000"/>
            </w:tcBorders>
          </w:tcPr>
          <w:p>
            <w:pPr/>
          </w:p>
        </w:tc>
        <w:tc>
          <w:tcPr>
            <w:tcW w:w="561" w:type="dxa"/>
            <w:tcBorders>
              <w:top w:val="nil" w:sz="6" w:space="0" w:color="auto"/>
              <w:left w:val="single" w:sz="4" w:space="0" w:color="000000"/>
              <w:bottom w:val="single" w:sz="4" w:space="0" w:color="000000"/>
              <w:right w:val="single" w:sz="4" w:space="0" w:color="000000"/>
            </w:tcBorders>
          </w:tcPr>
          <w:p>
            <w:pPr/>
          </w:p>
        </w:tc>
        <w:tc>
          <w:tcPr>
            <w:tcW w:w="561" w:type="dxa"/>
            <w:tcBorders>
              <w:top w:val="nil" w:sz="6" w:space="0" w:color="auto"/>
              <w:left w:val="single" w:sz="4" w:space="0" w:color="000000"/>
              <w:bottom w:val="single" w:sz="4" w:space="0" w:color="000000"/>
              <w:right w:val="single" w:sz="4" w:space="0" w:color="000000"/>
            </w:tcBorders>
          </w:tcPr>
          <w:p>
            <w:pPr/>
          </w:p>
        </w:tc>
        <w:tc>
          <w:tcPr>
            <w:tcW w:w="561" w:type="dxa"/>
            <w:tcBorders>
              <w:top w:val="nil" w:sz="6" w:space="0" w:color="auto"/>
              <w:left w:val="single" w:sz="4" w:space="0" w:color="000000"/>
              <w:bottom w:val="single" w:sz="4" w:space="0" w:color="000000"/>
              <w:right w:val="single" w:sz="4" w:space="0" w:color="000000"/>
            </w:tcBorders>
          </w:tcPr>
          <w:p>
            <w:pPr/>
          </w:p>
        </w:tc>
        <w:tc>
          <w:tcPr>
            <w:tcW w:w="561" w:type="dxa"/>
            <w:tcBorders>
              <w:top w:val="nil" w:sz="6" w:space="0" w:color="auto"/>
              <w:left w:val="single" w:sz="4" w:space="0" w:color="000000"/>
              <w:bottom w:val="single" w:sz="4" w:space="0" w:color="000000"/>
              <w:right w:val="single" w:sz="4" w:space="0" w:color="000000"/>
            </w:tcBorders>
          </w:tcPr>
          <w:p>
            <w:pPr/>
          </w:p>
        </w:tc>
        <w:tc>
          <w:tcPr>
            <w:tcW w:w="561" w:type="dxa"/>
            <w:tcBorders>
              <w:top w:val="nil" w:sz="6" w:space="0" w:color="auto"/>
              <w:left w:val="single" w:sz="4" w:space="0" w:color="000000"/>
              <w:bottom w:val="single" w:sz="4" w:space="0" w:color="000000"/>
              <w:right w:val="single" w:sz="4" w:space="0" w:color="000000"/>
            </w:tcBorders>
          </w:tcPr>
          <w:p>
            <w:pPr/>
          </w:p>
        </w:tc>
        <w:tc>
          <w:tcPr>
            <w:tcW w:w="561" w:type="dxa"/>
            <w:tcBorders>
              <w:top w:val="nil" w:sz="6" w:space="0" w:color="auto"/>
              <w:left w:val="single" w:sz="4" w:space="0" w:color="000000"/>
              <w:bottom w:val="single" w:sz="4" w:space="0" w:color="000000"/>
              <w:right w:val="single" w:sz="4" w:space="0" w:color="000000"/>
            </w:tcBorders>
          </w:tcPr>
          <w:p>
            <w:pPr/>
          </w:p>
        </w:tc>
        <w:tc>
          <w:tcPr>
            <w:tcW w:w="549" w:type="dxa"/>
            <w:vMerge/>
            <w:tcBorders>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38" w:type="dxa"/>
            <w:vMerge/>
            <w:tcBorders>
              <w:left w:val="single" w:sz="4" w:space="0" w:color="000000"/>
              <w:bottom w:val="single" w:sz="4" w:space="0" w:color="000000"/>
              <w:right w:val="single" w:sz="4" w:space="0" w:color="000000"/>
            </w:tcBorders>
          </w:tcPr>
          <w:p>
            <w:pPr/>
          </w:p>
        </w:tc>
      </w:tr>
      <w:tr>
        <w:trPr>
          <w:trHeight w:val="361" w:hRule="exact"/>
        </w:trPr>
        <w:tc>
          <w:tcPr>
            <w:tcW w:w="57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中国</w:t>
            </w:r>
          </w:p>
        </w:tc>
        <w:tc>
          <w:tcPr>
            <w:tcW w:w="59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银行理</w:t>
            </w:r>
          </w:p>
        </w:tc>
        <w:tc>
          <w:tcPr>
            <w:tcW w:w="57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10,000</w:t>
            </w:r>
          </w:p>
        </w:tc>
        <w:tc>
          <w:tcPr>
            <w:tcW w:w="5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right="94"/>
              <w:jc w:val="right"/>
              <w:rPr>
                <w:rFonts w:ascii="宋体" w:hAnsi="宋体" w:cs="宋体" w:eastAsia="宋体" w:hint="default"/>
                <w:sz w:val="18"/>
                <w:szCs w:val="18"/>
              </w:rPr>
            </w:pPr>
            <w:r>
              <w:rPr>
                <w:rFonts w:ascii="宋体" w:hAnsi="宋体" w:cs="宋体" w:eastAsia="宋体" w:hint="default"/>
                <w:sz w:val="18"/>
                <w:szCs w:val="18"/>
              </w:rPr>
              <w:t>募集</w:t>
            </w:r>
          </w:p>
        </w:tc>
        <w:tc>
          <w:tcPr>
            <w:tcW w:w="5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2"/>
              <w:ind w:left="95" w:right="0"/>
              <w:jc w:val="left"/>
              <w:rPr>
                <w:rFonts w:ascii="Times New Roman" w:hAnsi="Times New Roman" w:cs="Times New Roman" w:eastAsia="Times New Roman" w:hint="default"/>
                <w:sz w:val="18"/>
                <w:szCs w:val="18"/>
              </w:rPr>
            </w:pPr>
            <w:r>
              <w:rPr>
                <w:rFonts w:ascii="Times New Roman"/>
                <w:sz w:val="18"/>
              </w:rPr>
              <w:t>2019</w:t>
            </w:r>
          </w:p>
        </w:tc>
        <w:tc>
          <w:tcPr>
            <w:tcW w:w="5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2"/>
              <w:ind w:left="93" w:right="0"/>
              <w:jc w:val="left"/>
              <w:rPr>
                <w:rFonts w:ascii="Times New Roman" w:hAnsi="Times New Roman" w:cs="Times New Roman" w:eastAsia="Times New Roman" w:hint="default"/>
                <w:sz w:val="18"/>
                <w:szCs w:val="18"/>
              </w:rPr>
            </w:pPr>
            <w:r>
              <w:rPr>
                <w:rFonts w:ascii="Times New Roman"/>
                <w:sz w:val="18"/>
              </w:rPr>
              <w:t>2019</w:t>
            </w:r>
          </w:p>
        </w:tc>
        <w:tc>
          <w:tcPr>
            <w:tcW w:w="5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货币</w:t>
            </w:r>
          </w:p>
        </w:tc>
        <w:tc>
          <w:tcPr>
            <w:tcW w:w="5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95" w:right="0"/>
              <w:jc w:val="left"/>
              <w:rPr>
                <w:rFonts w:ascii="宋体" w:hAnsi="宋体" w:cs="宋体" w:eastAsia="宋体" w:hint="default"/>
                <w:sz w:val="18"/>
                <w:szCs w:val="18"/>
              </w:rPr>
            </w:pPr>
            <w:r>
              <w:rPr>
                <w:rFonts w:ascii="宋体" w:hAnsi="宋体" w:cs="宋体" w:eastAsia="宋体" w:hint="default"/>
                <w:sz w:val="18"/>
                <w:szCs w:val="18"/>
              </w:rPr>
              <w:t>浮动</w:t>
            </w:r>
          </w:p>
        </w:tc>
        <w:tc>
          <w:tcPr>
            <w:tcW w:w="5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2"/>
              <w:ind w:left="42" w:right="0"/>
              <w:jc w:val="left"/>
              <w:rPr>
                <w:rFonts w:ascii="Times New Roman" w:hAnsi="Times New Roman" w:cs="Times New Roman" w:eastAsia="Times New Roman" w:hint="default"/>
                <w:sz w:val="18"/>
                <w:szCs w:val="18"/>
              </w:rPr>
            </w:pPr>
            <w:r>
              <w:rPr>
                <w:rFonts w:ascii="Times New Roman"/>
                <w:sz w:val="18"/>
              </w:rPr>
              <w:t>4.06%</w:t>
            </w:r>
          </w:p>
        </w:tc>
        <w:tc>
          <w:tcPr>
            <w:tcW w:w="5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2"/>
              <w:ind w:left="72" w:right="0"/>
              <w:jc w:val="left"/>
              <w:rPr>
                <w:rFonts w:ascii="Times New Roman" w:hAnsi="Times New Roman" w:cs="Times New Roman" w:eastAsia="Times New Roman" w:hint="default"/>
                <w:sz w:val="18"/>
                <w:szCs w:val="18"/>
              </w:rPr>
            </w:pPr>
            <w:r>
              <w:rPr>
                <w:rFonts w:ascii="Times New Roman"/>
                <w:sz w:val="18"/>
              </w:rPr>
              <w:t>97.78</w:t>
            </w:r>
          </w:p>
        </w:tc>
        <w:tc>
          <w:tcPr>
            <w:tcW w:w="5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2"/>
              <w:ind w:right="69"/>
              <w:jc w:val="right"/>
              <w:rPr>
                <w:rFonts w:ascii="Times New Roman" w:hAnsi="Times New Roman" w:cs="Times New Roman" w:eastAsia="Times New Roman" w:hint="default"/>
                <w:sz w:val="18"/>
                <w:szCs w:val="18"/>
              </w:rPr>
            </w:pPr>
            <w:r>
              <w:rPr>
                <w:rFonts w:ascii="Times New Roman"/>
                <w:sz w:val="18"/>
              </w:rPr>
              <w:t>97.78</w:t>
            </w:r>
          </w:p>
        </w:tc>
        <w:tc>
          <w:tcPr>
            <w:tcW w:w="5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2"/>
              <w:ind w:right="69"/>
              <w:jc w:val="right"/>
              <w:rPr>
                <w:rFonts w:ascii="Times New Roman" w:hAnsi="Times New Roman" w:cs="Times New Roman" w:eastAsia="Times New Roman" w:hint="default"/>
                <w:sz w:val="18"/>
                <w:szCs w:val="18"/>
              </w:rPr>
            </w:pPr>
            <w:r>
              <w:rPr>
                <w:rFonts w:ascii="Times New Roman"/>
                <w:sz w:val="18"/>
              </w:rPr>
              <w:t>97.78</w:t>
            </w:r>
          </w:p>
        </w:tc>
        <w:tc>
          <w:tcPr>
            <w:tcW w:w="549" w:type="dxa"/>
            <w:vMerge w:val="restart"/>
            <w:tcBorders>
              <w:top w:val="single" w:sz="4" w:space="0" w:color="000000"/>
              <w:left w:val="single" w:sz="4" w:space="0" w:color="000000"/>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right="177"/>
              <w:jc w:val="righ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right="177"/>
              <w:jc w:val="right"/>
              <w:rPr>
                <w:rFonts w:ascii="宋体" w:hAnsi="宋体" w:cs="宋体" w:eastAsia="宋体" w:hint="default"/>
                <w:sz w:val="18"/>
                <w:szCs w:val="18"/>
              </w:rPr>
            </w:pPr>
            <w:r>
              <w:rPr>
                <w:rFonts w:ascii="宋体" w:hAnsi="宋体" w:cs="宋体" w:eastAsia="宋体" w:hint="default"/>
                <w:sz w:val="18"/>
                <w:szCs w:val="18"/>
              </w:rPr>
              <w:t>是</w:t>
            </w:r>
          </w:p>
        </w:tc>
        <w:tc>
          <w:tcPr>
            <w:tcW w:w="538" w:type="dxa"/>
            <w:vMerge w:val="restart"/>
            <w:tcBorders>
              <w:top w:val="single" w:sz="4" w:space="0" w:color="000000"/>
              <w:left w:val="single" w:sz="4" w:space="0" w:color="000000"/>
              <w:right w:val="single" w:sz="4" w:space="0" w:color="000000"/>
            </w:tcBorders>
          </w:tcPr>
          <w:p>
            <w:pPr/>
          </w:p>
        </w:tc>
      </w:tr>
      <w:tr>
        <w:trPr>
          <w:trHeight w:val="312" w:hRule="exact"/>
        </w:trPr>
        <w:tc>
          <w:tcPr>
            <w:tcW w:w="57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民生</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财产品</w:t>
            </w:r>
          </w:p>
        </w:tc>
        <w:tc>
          <w:tcPr>
            <w:tcW w:w="574"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0"/>
              <w:jc w:val="center"/>
              <w:rPr>
                <w:rFonts w:ascii="Times New Roman" w:hAnsi="Times New Roman" w:cs="Times New Roman" w:eastAsia="Times New Roman" w:hint="default"/>
                <w:sz w:val="18"/>
                <w:szCs w:val="18"/>
              </w:rPr>
            </w:pPr>
            <w:r>
              <w:rPr>
                <w:rFonts w:ascii="Times New Roman"/>
                <w:sz w:val="18"/>
              </w:rPr>
              <w:t>.00</w:t>
            </w: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94"/>
              <w:jc w:val="right"/>
              <w:rPr>
                <w:rFonts w:ascii="宋体" w:hAnsi="宋体" w:cs="宋体" w:eastAsia="宋体" w:hint="default"/>
                <w:sz w:val="18"/>
                <w:szCs w:val="18"/>
              </w:rPr>
            </w:pPr>
            <w:r>
              <w:rPr>
                <w:rFonts w:ascii="宋体" w:hAnsi="宋体" w:cs="宋体" w:eastAsia="宋体" w:hint="default"/>
                <w:sz w:val="18"/>
                <w:szCs w:val="18"/>
              </w:rPr>
              <w:t>资金</w:t>
            </w: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7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资金</w:t>
            </w: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95" w:right="0"/>
              <w:jc w:val="left"/>
              <w:rPr>
                <w:rFonts w:ascii="宋体" w:hAnsi="宋体" w:cs="宋体" w:eastAsia="宋体" w:hint="default"/>
                <w:sz w:val="18"/>
                <w:szCs w:val="18"/>
              </w:rPr>
            </w:pPr>
            <w:r>
              <w:rPr>
                <w:rFonts w:ascii="宋体" w:hAnsi="宋体" w:cs="宋体" w:eastAsia="宋体" w:hint="default"/>
                <w:sz w:val="18"/>
                <w:szCs w:val="18"/>
              </w:rPr>
              <w:t>收益</w:t>
            </w: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49" w:type="dxa"/>
            <w:vMerge/>
            <w:tcBorders>
              <w:left w:val="single" w:sz="4" w:space="0" w:color="000000"/>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银行</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7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7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25</w:t>
            </w: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市场</w:t>
            </w: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49" w:type="dxa"/>
            <w:vMerge/>
            <w:tcBorders>
              <w:left w:val="single" w:sz="4" w:space="0" w:color="000000"/>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07" w:hRule="exact"/>
        </w:trPr>
        <w:tc>
          <w:tcPr>
            <w:tcW w:w="57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股份</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49" w:type="dxa"/>
            <w:vMerge/>
            <w:tcBorders>
              <w:left w:val="single" w:sz="4" w:space="0" w:color="000000"/>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有限</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49" w:type="dxa"/>
            <w:vMerge/>
            <w:tcBorders>
              <w:left w:val="single" w:sz="4" w:space="0" w:color="000000"/>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公司</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49" w:type="dxa"/>
            <w:vMerge/>
            <w:tcBorders>
              <w:left w:val="single" w:sz="4" w:space="0" w:color="000000"/>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广州</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49" w:type="dxa"/>
            <w:vMerge/>
            <w:tcBorders>
              <w:left w:val="single" w:sz="4" w:space="0" w:color="000000"/>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56" w:hRule="exact"/>
        </w:trPr>
        <w:tc>
          <w:tcPr>
            <w:tcW w:w="57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分行</w:t>
            </w:r>
          </w:p>
        </w:tc>
        <w:tc>
          <w:tcPr>
            <w:tcW w:w="590" w:type="dxa"/>
            <w:tcBorders>
              <w:top w:val="nil" w:sz="6" w:space="0" w:color="auto"/>
              <w:left w:val="single" w:sz="4" w:space="0" w:color="000000"/>
              <w:bottom w:val="single" w:sz="4" w:space="0" w:color="000000"/>
              <w:right w:val="single" w:sz="4" w:space="0" w:color="000000"/>
            </w:tcBorders>
          </w:tcPr>
          <w:p>
            <w:pPr/>
          </w:p>
        </w:tc>
        <w:tc>
          <w:tcPr>
            <w:tcW w:w="607" w:type="dxa"/>
            <w:tcBorders>
              <w:top w:val="nil" w:sz="6" w:space="0" w:color="auto"/>
              <w:left w:val="single" w:sz="4" w:space="0" w:color="000000"/>
              <w:bottom w:val="single" w:sz="4" w:space="0" w:color="000000"/>
              <w:right w:val="single" w:sz="4" w:space="0" w:color="000000"/>
            </w:tcBorders>
          </w:tcPr>
          <w:p>
            <w:pPr/>
          </w:p>
        </w:tc>
        <w:tc>
          <w:tcPr>
            <w:tcW w:w="574" w:type="dxa"/>
            <w:tcBorders>
              <w:top w:val="nil" w:sz="6" w:space="0" w:color="auto"/>
              <w:left w:val="single" w:sz="4" w:space="0" w:color="000000"/>
              <w:bottom w:val="single" w:sz="4" w:space="0" w:color="000000"/>
              <w:right w:val="single" w:sz="4" w:space="0" w:color="000000"/>
            </w:tcBorders>
          </w:tcPr>
          <w:p>
            <w:pPr/>
          </w:p>
        </w:tc>
        <w:tc>
          <w:tcPr>
            <w:tcW w:w="561" w:type="dxa"/>
            <w:tcBorders>
              <w:top w:val="nil" w:sz="6" w:space="0" w:color="auto"/>
              <w:left w:val="single" w:sz="4" w:space="0" w:color="000000"/>
              <w:bottom w:val="single" w:sz="4" w:space="0" w:color="000000"/>
              <w:right w:val="single" w:sz="4" w:space="0" w:color="000000"/>
            </w:tcBorders>
          </w:tcPr>
          <w:p>
            <w:pPr/>
          </w:p>
        </w:tc>
        <w:tc>
          <w:tcPr>
            <w:tcW w:w="561" w:type="dxa"/>
            <w:tcBorders>
              <w:top w:val="nil" w:sz="6" w:space="0" w:color="auto"/>
              <w:left w:val="single" w:sz="4" w:space="0" w:color="000000"/>
              <w:bottom w:val="single" w:sz="4" w:space="0" w:color="000000"/>
              <w:right w:val="single" w:sz="4" w:space="0" w:color="000000"/>
            </w:tcBorders>
          </w:tcPr>
          <w:p>
            <w:pPr/>
          </w:p>
        </w:tc>
        <w:tc>
          <w:tcPr>
            <w:tcW w:w="561" w:type="dxa"/>
            <w:tcBorders>
              <w:top w:val="nil" w:sz="6" w:space="0" w:color="auto"/>
              <w:left w:val="single" w:sz="4" w:space="0" w:color="000000"/>
              <w:bottom w:val="single" w:sz="4" w:space="0" w:color="000000"/>
              <w:right w:val="single" w:sz="4" w:space="0" w:color="000000"/>
            </w:tcBorders>
          </w:tcPr>
          <w:p>
            <w:pPr/>
          </w:p>
        </w:tc>
        <w:tc>
          <w:tcPr>
            <w:tcW w:w="561" w:type="dxa"/>
            <w:tcBorders>
              <w:top w:val="nil" w:sz="6" w:space="0" w:color="auto"/>
              <w:left w:val="single" w:sz="4" w:space="0" w:color="000000"/>
              <w:bottom w:val="single" w:sz="4" w:space="0" w:color="000000"/>
              <w:right w:val="single" w:sz="4" w:space="0" w:color="000000"/>
            </w:tcBorders>
          </w:tcPr>
          <w:p>
            <w:pPr/>
          </w:p>
        </w:tc>
        <w:tc>
          <w:tcPr>
            <w:tcW w:w="561" w:type="dxa"/>
            <w:tcBorders>
              <w:top w:val="nil" w:sz="6" w:space="0" w:color="auto"/>
              <w:left w:val="single" w:sz="4" w:space="0" w:color="000000"/>
              <w:bottom w:val="single" w:sz="4" w:space="0" w:color="000000"/>
              <w:right w:val="single" w:sz="4" w:space="0" w:color="000000"/>
            </w:tcBorders>
          </w:tcPr>
          <w:p>
            <w:pPr/>
          </w:p>
        </w:tc>
        <w:tc>
          <w:tcPr>
            <w:tcW w:w="561" w:type="dxa"/>
            <w:tcBorders>
              <w:top w:val="nil" w:sz="6" w:space="0" w:color="auto"/>
              <w:left w:val="single" w:sz="4" w:space="0" w:color="000000"/>
              <w:bottom w:val="single" w:sz="4" w:space="0" w:color="000000"/>
              <w:right w:val="single" w:sz="4" w:space="0" w:color="000000"/>
            </w:tcBorders>
          </w:tcPr>
          <w:p>
            <w:pPr/>
          </w:p>
        </w:tc>
        <w:tc>
          <w:tcPr>
            <w:tcW w:w="561" w:type="dxa"/>
            <w:tcBorders>
              <w:top w:val="nil" w:sz="6" w:space="0" w:color="auto"/>
              <w:left w:val="single" w:sz="4" w:space="0" w:color="000000"/>
              <w:bottom w:val="single" w:sz="4" w:space="0" w:color="000000"/>
              <w:right w:val="single" w:sz="4" w:space="0" w:color="000000"/>
            </w:tcBorders>
          </w:tcPr>
          <w:p>
            <w:pPr/>
          </w:p>
        </w:tc>
        <w:tc>
          <w:tcPr>
            <w:tcW w:w="561" w:type="dxa"/>
            <w:tcBorders>
              <w:top w:val="nil" w:sz="6" w:space="0" w:color="auto"/>
              <w:left w:val="single" w:sz="4" w:space="0" w:color="000000"/>
              <w:bottom w:val="single" w:sz="4" w:space="0" w:color="000000"/>
              <w:right w:val="single" w:sz="4" w:space="0" w:color="000000"/>
            </w:tcBorders>
          </w:tcPr>
          <w:p>
            <w:pPr/>
          </w:p>
        </w:tc>
        <w:tc>
          <w:tcPr>
            <w:tcW w:w="561" w:type="dxa"/>
            <w:tcBorders>
              <w:top w:val="nil" w:sz="6" w:space="0" w:color="auto"/>
              <w:left w:val="single" w:sz="4" w:space="0" w:color="000000"/>
              <w:bottom w:val="single" w:sz="4" w:space="0" w:color="000000"/>
              <w:right w:val="single" w:sz="4" w:space="0" w:color="000000"/>
            </w:tcBorders>
          </w:tcPr>
          <w:p>
            <w:pPr/>
          </w:p>
        </w:tc>
        <w:tc>
          <w:tcPr>
            <w:tcW w:w="549" w:type="dxa"/>
            <w:vMerge/>
            <w:tcBorders>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38" w:type="dxa"/>
            <w:vMerge/>
            <w:tcBorders>
              <w:left w:val="single" w:sz="4" w:space="0" w:color="000000"/>
              <w:bottom w:val="single" w:sz="4" w:space="0" w:color="000000"/>
              <w:right w:val="single" w:sz="4" w:space="0" w:color="000000"/>
            </w:tcBorders>
          </w:tcPr>
          <w:p>
            <w:pPr/>
          </w:p>
        </w:tc>
      </w:tr>
    </w:tbl>
    <w:p>
      <w:pPr>
        <w:spacing w:after="0"/>
        <w:sectPr>
          <w:pgSz w:w="11910" w:h="16840"/>
          <w:pgMar w:header="878" w:footer="978" w:top="1100" w:bottom="1160" w:left="102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09" w:type="dxa"/>
        <w:tblLayout w:type="fixed"/>
        <w:tblCellMar>
          <w:top w:w="0" w:type="dxa"/>
          <w:left w:w="0" w:type="dxa"/>
          <w:bottom w:w="0" w:type="dxa"/>
          <w:right w:w="0" w:type="dxa"/>
        </w:tblCellMar>
        <w:tblLook w:val="01E0"/>
      </w:tblPr>
      <w:tblGrid>
        <w:gridCol w:w="571"/>
        <w:gridCol w:w="590"/>
        <w:gridCol w:w="607"/>
        <w:gridCol w:w="574"/>
        <w:gridCol w:w="561"/>
        <w:gridCol w:w="561"/>
        <w:gridCol w:w="561"/>
        <w:gridCol w:w="561"/>
        <w:gridCol w:w="561"/>
        <w:gridCol w:w="561"/>
        <w:gridCol w:w="561"/>
        <w:gridCol w:w="561"/>
        <w:gridCol w:w="561"/>
        <w:gridCol w:w="549"/>
        <w:gridCol w:w="547"/>
        <w:gridCol w:w="547"/>
        <w:gridCol w:w="538"/>
      </w:tblGrid>
      <w:tr>
        <w:trPr>
          <w:trHeight w:val="361" w:hRule="exact"/>
        </w:trPr>
        <w:tc>
          <w:tcPr>
            <w:tcW w:w="57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中国</w:t>
            </w:r>
          </w:p>
        </w:tc>
        <w:tc>
          <w:tcPr>
            <w:tcW w:w="59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银行理</w:t>
            </w:r>
          </w:p>
        </w:tc>
        <w:tc>
          <w:tcPr>
            <w:tcW w:w="57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10,000</w:t>
            </w:r>
          </w:p>
        </w:tc>
        <w:tc>
          <w:tcPr>
            <w:tcW w:w="5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right="94"/>
              <w:jc w:val="right"/>
              <w:rPr>
                <w:rFonts w:ascii="宋体" w:hAnsi="宋体" w:cs="宋体" w:eastAsia="宋体" w:hint="default"/>
                <w:sz w:val="18"/>
                <w:szCs w:val="18"/>
              </w:rPr>
            </w:pPr>
            <w:r>
              <w:rPr>
                <w:rFonts w:ascii="宋体" w:hAnsi="宋体" w:cs="宋体" w:eastAsia="宋体" w:hint="default"/>
                <w:sz w:val="18"/>
                <w:szCs w:val="18"/>
              </w:rPr>
              <w:t>募集</w:t>
            </w:r>
          </w:p>
        </w:tc>
        <w:tc>
          <w:tcPr>
            <w:tcW w:w="5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2"/>
              <w:ind w:left="95" w:right="0"/>
              <w:jc w:val="left"/>
              <w:rPr>
                <w:rFonts w:ascii="Times New Roman" w:hAnsi="Times New Roman" w:cs="Times New Roman" w:eastAsia="Times New Roman" w:hint="default"/>
                <w:sz w:val="18"/>
                <w:szCs w:val="18"/>
              </w:rPr>
            </w:pPr>
            <w:r>
              <w:rPr>
                <w:rFonts w:ascii="Times New Roman"/>
                <w:sz w:val="18"/>
              </w:rPr>
              <w:t>2019</w:t>
            </w:r>
          </w:p>
        </w:tc>
        <w:tc>
          <w:tcPr>
            <w:tcW w:w="5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2"/>
              <w:ind w:left="93" w:right="0"/>
              <w:jc w:val="left"/>
              <w:rPr>
                <w:rFonts w:ascii="Times New Roman" w:hAnsi="Times New Roman" w:cs="Times New Roman" w:eastAsia="Times New Roman" w:hint="default"/>
                <w:sz w:val="18"/>
                <w:szCs w:val="18"/>
              </w:rPr>
            </w:pPr>
            <w:r>
              <w:rPr>
                <w:rFonts w:ascii="Times New Roman"/>
                <w:sz w:val="18"/>
              </w:rPr>
              <w:t>2019</w:t>
            </w:r>
          </w:p>
        </w:tc>
        <w:tc>
          <w:tcPr>
            <w:tcW w:w="5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货币</w:t>
            </w:r>
          </w:p>
        </w:tc>
        <w:tc>
          <w:tcPr>
            <w:tcW w:w="5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95" w:right="0"/>
              <w:jc w:val="left"/>
              <w:rPr>
                <w:rFonts w:ascii="宋体" w:hAnsi="宋体" w:cs="宋体" w:eastAsia="宋体" w:hint="default"/>
                <w:sz w:val="18"/>
                <w:szCs w:val="18"/>
              </w:rPr>
            </w:pPr>
            <w:r>
              <w:rPr>
                <w:rFonts w:ascii="宋体" w:hAnsi="宋体" w:cs="宋体" w:eastAsia="宋体" w:hint="default"/>
                <w:sz w:val="18"/>
                <w:szCs w:val="18"/>
              </w:rPr>
              <w:t>浮动</w:t>
            </w:r>
          </w:p>
        </w:tc>
        <w:tc>
          <w:tcPr>
            <w:tcW w:w="5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2"/>
              <w:ind w:left="42" w:right="0"/>
              <w:jc w:val="left"/>
              <w:rPr>
                <w:rFonts w:ascii="Times New Roman" w:hAnsi="Times New Roman" w:cs="Times New Roman" w:eastAsia="Times New Roman" w:hint="default"/>
                <w:sz w:val="18"/>
                <w:szCs w:val="18"/>
              </w:rPr>
            </w:pPr>
            <w:r>
              <w:rPr>
                <w:rFonts w:ascii="Times New Roman"/>
                <w:sz w:val="18"/>
              </w:rPr>
              <w:t>3.00%</w:t>
            </w:r>
          </w:p>
        </w:tc>
        <w:tc>
          <w:tcPr>
            <w:tcW w:w="5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2"/>
              <w:ind w:left="72" w:right="0"/>
              <w:jc w:val="left"/>
              <w:rPr>
                <w:rFonts w:ascii="Times New Roman" w:hAnsi="Times New Roman" w:cs="Times New Roman" w:eastAsia="Times New Roman" w:hint="default"/>
                <w:sz w:val="18"/>
                <w:szCs w:val="18"/>
              </w:rPr>
            </w:pPr>
            <w:r>
              <w:rPr>
                <w:rFonts w:ascii="Times New Roman"/>
                <w:sz w:val="18"/>
              </w:rPr>
              <w:t>52.60</w:t>
            </w:r>
          </w:p>
        </w:tc>
        <w:tc>
          <w:tcPr>
            <w:tcW w:w="5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2"/>
              <w:ind w:right="69"/>
              <w:jc w:val="right"/>
              <w:rPr>
                <w:rFonts w:ascii="Times New Roman" w:hAnsi="Times New Roman" w:cs="Times New Roman" w:eastAsia="Times New Roman" w:hint="default"/>
                <w:sz w:val="18"/>
                <w:szCs w:val="18"/>
              </w:rPr>
            </w:pPr>
            <w:r>
              <w:rPr>
                <w:rFonts w:ascii="Times New Roman"/>
                <w:sz w:val="18"/>
              </w:rPr>
              <w:t>52.60</w:t>
            </w:r>
          </w:p>
        </w:tc>
        <w:tc>
          <w:tcPr>
            <w:tcW w:w="5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2"/>
              <w:ind w:right="69"/>
              <w:jc w:val="right"/>
              <w:rPr>
                <w:rFonts w:ascii="Times New Roman" w:hAnsi="Times New Roman" w:cs="Times New Roman" w:eastAsia="Times New Roman" w:hint="default"/>
                <w:sz w:val="18"/>
                <w:szCs w:val="18"/>
              </w:rPr>
            </w:pPr>
            <w:r>
              <w:rPr>
                <w:rFonts w:ascii="Times New Roman"/>
                <w:sz w:val="18"/>
              </w:rPr>
              <w:t>52.60</w:t>
            </w:r>
          </w:p>
        </w:tc>
        <w:tc>
          <w:tcPr>
            <w:tcW w:w="549" w:type="dxa"/>
            <w:vMerge w:val="restart"/>
            <w:tcBorders>
              <w:top w:val="single" w:sz="4" w:space="0" w:color="000000"/>
              <w:left w:val="single" w:sz="4" w:space="0" w:color="000000"/>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right="177"/>
              <w:jc w:val="righ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right="177"/>
              <w:jc w:val="right"/>
              <w:rPr>
                <w:rFonts w:ascii="宋体" w:hAnsi="宋体" w:cs="宋体" w:eastAsia="宋体" w:hint="default"/>
                <w:sz w:val="18"/>
                <w:szCs w:val="18"/>
              </w:rPr>
            </w:pPr>
            <w:r>
              <w:rPr>
                <w:rFonts w:ascii="宋体" w:hAnsi="宋体" w:cs="宋体" w:eastAsia="宋体" w:hint="default"/>
                <w:sz w:val="18"/>
                <w:szCs w:val="18"/>
              </w:rPr>
              <w:t>是</w:t>
            </w:r>
          </w:p>
        </w:tc>
        <w:tc>
          <w:tcPr>
            <w:tcW w:w="538" w:type="dxa"/>
            <w:vMerge w:val="restart"/>
            <w:tcBorders>
              <w:top w:val="single" w:sz="4" w:space="0" w:color="000000"/>
              <w:left w:val="single" w:sz="4" w:space="0" w:color="000000"/>
              <w:right w:val="single" w:sz="4" w:space="0" w:color="000000"/>
            </w:tcBorders>
          </w:tcPr>
          <w:p>
            <w:pPr/>
          </w:p>
        </w:tc>
      </w:tr>
      <w:tr>
        <w:trPr>
          <w:trHeight w:val="312" w:hRule="exact"/>
        </w:trPr>
        <w:tc>
          <w:tcPr>
            <w:tcW w:w="57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银行</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财产品</w:t>
            </w:r>
          </w:p>
        </w:tc>
        <w:tc>
          <w:tcPr>
            <w:tcW w:w="574"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0"/>
              <w:jc w:val="center"/>
              <w:rPr>
                <w:rFonts w:ascii="Times New Roman" w:hAnsi="Times New Roman" w:cs="Times New Roman" w:eastAsia="Times New Roman" w:hint="default"/>
                <w:sz w:val="18"/>
                <w:szCs w:val="18"/>
              </w:rPr>
            </w:pPr>
            <w:r>
              <w:rPr>
                <w:rFonts w:ascii="Times New Roman"/>
                <w:sz w:val="18"/>
              </w:rPr>
              <w:t>.00</w:t>
            </w: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94"/>
              <w:jc w:val="right"/>
              <w:rPr>
                <w:rFonts w:ascii="宋体" w:hAnsi="宋体" w:cs="宋体" w:eastAsia="宋体" w:hint="default"/>
                <w:sz w:val="18"/>
                <w:szCs w:val="18"/>
              </w:rPr>
            </w:pPr>
            <w:r>
              <w:rPr>
                <w:rFonts w:ascii="宋体" w:hAnsi="宋体" w:cs="宋体" w:eastAsia="宋体" w:hint="default"/>
                <w:sz w:val="18"/>
                <w:szCs w:val="18"/>
              </w:rPr>
              <w:t>资金</w:t>
            </w: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7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11</w:t>
            </w: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资金</w:t>
            </w: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95" w:right="0"/>
              <w:jc w:val="left"/>
              <w:rPr>
                <w:rFonts w:ascii="宋体" w:hAnsi="宋体" w:cs="宋体" w:eastAsia="宋体" w:hint="default"/>
                <w:sz w:val="18"/>
                <w:szCs w:val="18"/>
              </w:rPr>
            </w:pPr>
            <w:r>
              <w:rPr>
                <w:rFonts w:ascii="宋体" w:hAnsi="宋体" w:cs="宋体" w:eastAsia="宋体" w:hint="default"/>
                <w:sz w:val="18"/>
                <w:szCs w:val="18"/>
              </w:rPr>
              <w:t>收益</w:t>
            </w: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49" w:type="dxa"/>
            <w:vMerge/>
            <w:tcBorders>
              <w:left w:val="single" w:sz="4" w:space="0" w:color="000000"/>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股份</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7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7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市场</w:t>
            </w: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49" w:type="dxa"/>
            <w:vMerge/>
            <w:tcBorders>
              <w:left w:val="single" w:sz="4" w:space="0" w:color="000000"/>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07" w:hRule="exact"/>
        </w:trPr>
        <w:tc>
          <w:tcPr>
            <w:tcW w:w="57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有限</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49" w:type="dxa"/>
            <w:vMerge/>
            <w:tcBorders>
              <w:left w:val="single" w:sz="4" w:space="0" w:color="000000"/>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公司</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49" w:type="dxa"/>
            <w:vMerge/>
            <w:tcBorders>
              <w:left w:val="single" w:sz="4" w:space="0" w:color="000000"/>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广州</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49" w:type="dxa"/>
            <w:vMerge/>
            <w:tcBorders>
              <w:left w:val="single" w:sz="4" w:space="0" w:color="000000"/>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国贸</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49" w:type="dxa"/>
            <w:vMerge/>
            <w:tcBorders>
              <w:left w:val="single" w:sz="4" w:space="0" w:color="000000"/>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大厦</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49" w:type="dxa"/>
            <w:vMerge/>
            <w:tcBorders>
              <w:left w:val="single" w:sz="4" w:space="0" w:color="000000"/>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58" w:hRule="exact"/>
        </w:trPr>
        <w:tc>
          <w:tcPr>
            <w:tcW w:w="57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支行</w:t>
            </w:r>
          </w:p>
        </w:tc>
        <w:tc>
          <w:tcPr>
            <w:tcW w:w="590" w:type="dxa"/>
            <w:tcBorders>
              <w:top w:val="nil" w:sz="6" w:space="0" w:color="auto"/>
              <w:left w:val="single" w:sz="4" w:space="0" w:color="000000"/>
              <w:bottom w:val="single" w:sz="4" w:space="0" w:color="000000"/>
              <w:right w:val="single" w:sz="4" w:space="0" w:color="000000"/>
            </w:tcBorders>
          </w:tcPr>
          <w:p>
            <w:pPr/>
          </w:p>
        </w:tc>
        <w:tc>
          <w:tcPr>
            <w:tcW w:w="607" w:type="dxa"/>
            <w:tcBorders>
              <w:top w:val="nil" w:sz="6" w:space="0" w:color="auto"/>
              <w:left w:val="single" w:sz="4" w:space="0" w:color="000000"/>
              <w:bottom w:val="single" w:sz="4" w:space="0" w:color="000000"/>
              <w:right w:val="single" w:sz="4" w:space="0" w:color="000000"/>
            </w:tcBorders>
          </w:tcPr>
          <w:p>
            <w:pPr/>
          </w:p>
        </w:tc>
        <w:tc>
          <w:tcPr>
            <w:tcW w:w="574" w:type="dxa"/>
            <w:tcBorders>
              <w:top w:val="nil" w:sz="6" w:space="0" w:color="auto"/>
              <w:left w:val="single" w:sz="4" w:space="0" w:color="000000"/>
              <w:bottom w:val="single" w:sz="4" w:space="0" w:color="000000"/>
              <w:right w:val="single" w:sz="4" w:space="0" w:color="000000"/>
            </w:tcBorders>
          </w:tcPr>
          <w:p>
            <w:pPr/>
          </w:p>
        </w:tc>
        <w:tc>
          <w:tcPr>
            <w:tcW w:w="561" w:type="dxa"/>
            <w:tcBorders>
              <w:top w:val="nil" w:sz="6" w:space="0" w:color="auto"/>
              <w:left w:val="single" w:sz="4" w:space="0" w:color="000000"/>
              <w:bottom w:val="single" w:sz="4" w:space="0" w:color="000000"/>
              <w:right w:val="single" w:sz="4" w:space="0" w:color="000000"/>
            </w:tcBorders>
          </w:tcPr>
          <w:p>
            <w:pPr/>
          </w:p>
        </w:tc>
        <w:tc>
          <w:tcPr>
            <w:tcW w:w="561" w:type="dxa"/>
            <w:tcBorders>
              <w:top w:val="nil" w:sz="6" w:space="0" w:color="auto"/>
              <w:left w:val="single" w:sz="4" w:space="0" w:color="000000"/>
              <w:bottom w:val="single" w:sz="4" w:space="0" w:color="000000"/>
              <w:right w:val="single" w:sz="4" w:space="0" w:color="000000"/>
            </w:tcBorders>
          </w:tcPr>
          <w:p>
            <w:pPr/>
          </w:p>
        </w:tc>
        <w:tc>
          <w:tcPr>
            <w:tcW w:w="561" w:type="dxa"/>
            <w:tcBorders>
              <w:top w:val="nil" w:sz="6" w:space="0" w:color="auto"/>
              <w:left w:val="single" w:sz="4" w:space="0" w:color="000000"/>
              <w:bottom w:val="single" w:sz="4" w:space="0" w:color="000000"/>
              <w:right w:val="single" w:sz="4" w:space="0" w:color="000000"/>
            </w:tcBorders>
          </w:tcPr>
          <w:p>
            <w:pPr/>
          </w:p>
        </w:tc>
        <w:tc>
          <w:tcPr>
            <w:tcW w:w="561" w:type="dxa"/>
            <w:tcBorders>
              <w:top w:val="nil" w:sz="6" w:space="0" w:color="auto"/>
              <w:left w:val="single" w:sz="4" w:space="0" w:color="000000"/>
              <w:bottom w:val="single" w:sz="4" w:space="0" w:color="000000"/>
              <w:right w:val="single" w:sz="4" w:space="0" w:color="000000"/>
            </w:tcBorders>
          </w:tcPr>
          <w:p>
            <w:pPr/>
          </w:p>
        </w:tc>
        <w:tc>
          <w:tcPr>
            <w:tcW w:w="561" w:type="dxa"/>
            <w:tcBorders>
              <w:top w:val="nil" w:sz="6" w:space="0" w:color="auto"/>
              <w:left w:val="single" w:sz="4" w:space="0" w:color="000000"/>
              <w:bottom w:val="single" w:sz="4" w:space="0" w:color="000000"/>
              <w:right w:val="single" w:sz="4" w:space="0" w:color="000000"/>
            </w:tcBorders>
          </w:tcPr>
          <w:p>
            <w:pPr/>
          </w:p>
        </w:tc>
        <w:tc>
          <w:tcPr>
            <w:tcW w:w="561" w:type="dxa"/>
            <w:tcBorders>
              <w:top w:val="nil" w:sz="6" w:space="0" w:color="auto"/>
              <w:left w:val="single" w:sz="4" w:space="0" w:color="000000"/>
              <w:bottom w:val="single" w:sz="4" w:space="0" w:color="000000"/>
              <w:right w:val="single" w:sz="4" w:space="0" w:color="000000"/>
            </w:tcBorders>
          </w:tcPr>
          <w:p>
            <w:pPr/>
          </w:p>
        </w:tc>
        <w:tc>
          <w:tcPr>
            <w:tcW w:w="561" w:type="dxa"/>
            <w:tcBorders>
              <w:top w:val="nil" w:sz="6" w:space="0" w:color="auto"/>
              <w:left w:val="single" w:sz="4" w:space="0" w:color="000000"/>
              <w:bottom w:val="single" w:sz="4" w:space="0" w:color="000000"/>
              <w:right w:val="single" w:sz="4" w:space="0" w:color="000000"/>
            </w:tcBorders>
          </w:tcPr>
          <w:p>
            <w:pPr/>
          </w:p>
        </w:tc>
        <w:tc>
          <w:tcPr>
            <w:tcW w:w="561" w:type="dxa"/>
            <w:tcBorders>
              <w:top w:val="nil" w:sz="6" w:space="0" w:color="auto"/>
              <w:left w:val="single" w:sz="4" w:space="0" w:color="000000"/>
              <w:bottom w:val="single" w:sz="4" w:space="0" w:color="000000"/>
              <w:right w:val="single" w:sz="4" w:space="0" w:color="000000"/>
            </w:tcBorders>
          </w:tcPr>
          <w:p>
            <w:pPr/>
          </w:p>
        </w:tc>
        <w:tc>
          <w:tcPr>
            <w:tcW w:w="561" w:type="dxa"/>
            <w:tcBorders>
              <w:top w:val="nil" w:sz="6" w:space="0" w:color="auto"/>
              <w:left w:val="single" w:sz="4" w:space="0" w:color="000000"/>
              <w:bottom w:val="single" w:sz="4" w:space="0" w:color="000000"/>
              <w:right w:val="single" w:sz="4" w:space="0" w:color="000000"/>
            </w:tcBorders>
          </w:tcPr>
          <w:p>
            <w:pPr/>
          </w:p>
        </w:tc>
        <w:tc>
          <w:tcPr>
            <w:tcW w:w="549" w:type="dxa"/>
            <w:vMerge/>
            <w:tcBorders>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38" w:type="dxa"/>
            <w:vMerge/>
            <w:tcBorders>
              <w:left w:val="single" w:sz="4" w:space="0" w:color="000000"/>
              <w:bottom w:val="single" w:sz="4" w:space="0" w:color="000000"/>
              <w:right w:val="single" w:sz="4" w:space="0" w:color="000000"/>
            </w:tcBorders>
          </w:tcPr>
          <w:p>
            <w:pPr/>
          </w:p>
        </w:tc>
      </w:tr>
      <w:tr>
        <w:trPr>
          <w:trHeight w:val="362" w:hRule="exact"/>
        </w:trPr>
        <w:tc>
          <w:tcPr>
            <w:tcW w:w="57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中信</w:t>
            </w:r>
          </w:p>
        </w:tc>
        <w:tc>
          <w:tcPr>
            <w:tcW w:w="59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银行理</w:t>
            </w:r>
          </w:p>
        </w:tc>
        <w:tc>
          <w:tcPr>
            <w:tcW w:w="57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10,000</w:t>
            </w:r>
          </w:p>
        </w:tc>
        <w:tc>
          <w:tcPr>
            <w:tcW w:w="5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right="94"/>
              <w:jc w:val="right"/>
              <w:rPr>
                <w:rFonts w:ascii="宋体" w:hAnsi="宋体" w:cs="宋体" w:eastAsia="宋体" w:hint="default"/>
                <w:sz w:val="18"/>
                <w:szCs w:val="18"/>
              </w:rPr>
            </w:pPr>
            <w:r>
              <w:rPr>
                <w:rFonts w:ascii="宋体" w:hAnsi="宋体" w:cs="宋体" w:eastAsia="宋体" w:hint="default"/>
                <w:sz w:val="18"/>
                <w:szCs w:val="18"/>
              </w:rPr>
              <w:t>募集</w:t>
            </w:r>
          </w:p>
        </w:tc>
        <w:tc>
          <w:tcPr>
            <w:tcW w:w="5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3"/>
              <w:ind w:left="95" w:right="0"/>
              <w:jc w:val="left"/>
              <w:rPr>
                <w:rFonts w:ascii="Times New Roman" w:hAnsi="Times New Roman" w:cs="Times New Roman" w:eastAsia="Times New Roman" w:hint="default"/>
                <w:sz w:val="18"/>
                <w:szCs w:val="18"/>
              </w:rPr>
            </w:pPr>
            <w:r>
              <w:rPr>
                <w:rFonts w:ascii="Times New Roman"/>
                <w:sz w:val="18"/>
              </w:rPr>
              <w:t>2019</w:t>
            </w:r>
          </w:p>
        </w:tc>
        <w:tc>
          <w:tcPr>
            <w:tcW w:w="5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3"/>
              <w:ind w:left="93" w:right="0"/>
              <w:jc w:val="left"/>
              <w:rPr>
                <w:rFonts w:ascii="Times New Roman" w:hAnsi="Times New Roman" w:cs="Times New Roman" w:eastAsia="Times New Roman" w:hint="default"/>
                <w:sz w:val="18"/>
                <w:szCs w:val="18"/>
              </w:rPr>
            </w:pPr>
            <w:r>
              <w:rPr>
                <w:rFonts w:ascii="Times New Roman"/>
                <w:sz w:val="18"/>
              </w:rPr>
              <w:t>2020</w:t>
            </w:r>
          </w:p>
        </w:tc>
        <w:tc>
          <w:tcPr>
            <w:tcW w:w="5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货币</w:t>
            </w:r>
          </w:p>
        </w:tc>
        <w:tc>
          <w:tcPr>
            <w:tcW w:w="5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95" w:right="0"/>
              <w:jc w:val="left"/>
              <w:rPr>
                <w:rFonts w:ascii="宋体" w:hAnsi="宋体" w:cs="宋体" w:eastAsia="宋体" w:hint="default"/>
                <w:sz w:val="18"/>
                <w:szCs w:val="18"/>
              </w:rPr>
            </w:pPr>
            <w:r>
              <w:rPr>
                <w:rFonts w:ascii="宋体" w:hAnsi="宋体" w:cs="宋体" w:eastAsia="宋体" w:hint="default"/>
                <w:sz w:val="18"/>
                <w:szCs w:val="18"/>
              </w:rPr>
              <w:t>浮动</w:t>
            </w:r>
          </w:p>
        </w:tc>
        <w:tc>
          <w:tcPr>
            <w:tcW w:w="5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3"/>
              <w:ind w:left="42" w:right="0"/>
              <w:jc w:val="left"/>
              <w:rPr>
                <w:rFonts w:ascii="Times New Roman" w:hAnsi="Times New Roman" w:cs="Times New Roman" w:eastAsia="Times New Roman" w:hint="default"/>
                <w:sz w:val="18"/>
                <w:szCs w:val="18"/>
              </w:rPr>
            </w:pPr>
            <w:r>
              <w:rPr>
                <w:rFonts w:ascii="Times New Roman"/>
                <w:sz w:val="18"/>
              </w:rPr>
              <w:t>3.85%</w:t>
            </w:r>
          </w:p>
        </w:tc>
        <w:tc>
          <w:tcPr>
            <w:tcW w:w="5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3"/>
              <w:ind w:left="72" w:right="0"/>
              <w:jc w:val="left"/>
              <w:rPr>
                <w:rFonts w:ascii="Times New Roman" w:hAnsi="Times New Roman" w:cs="Times New Roman" w:eastAsia="Times New Roman" w:hint="default"/>
                <w:sz w:val="18"/>
                <w:szCs w:val="18"/>
              </w:rPr>
            </w:pPr>
            <w:r>
              <w:rPr>
                <w:rFonts w:ascii="Times New Roman"/>
                <w:sz w:val="18"/>
              </w:rPr>
              <w:t>95.99</w:t>
            </w:r>
          </w:p>
        </w:tc>
        <w:tc>
          <w:tcPr>
            <w:tcW w:w="5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49" w:type="dxa"/>
            <w:vMerge w:val="restart"/>
            <w:tcBorders>
              <w:top w:val="single" w:sz="4" w:space="0" w:color="000000"/>
              <w:left w:val="single" w:sz="4" w:space="0" w:color="000000"/>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right="177"/>
              <w:jc w:val="righ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right="177"/>
              <w:jc w:val="right"/>
              <w:rPr>
                <w:rFonts w:ascii="宋体" w:hAnsi="宋体" w:cs="宋体" w:eastAsia="宋体" w:hint="default"/>
                <w:sz w:val="18"/>
                <w:szCs w:val="18"/>
              </w:rPr>
            </w:pPr>
            <w:r>
              <w:rPr>
                <w:rFonts w:ascii="宋体" w:hAnsi="宋体" w:cs="宋体" w:eastAsia="宋体" w:hint="default"/>
                <w:sz w:val="18"/>
                <w:szCs w:val="18"/>
              </w:rPr>
              <w:t>是</w:t>
            </w:r>
          </w:p>
        </w:tc>
        <w:tc>
          <w:tcPr>
            <w:tcW w:w="538" w:type="dxa"/>
            <w:vMerge w:val="restart"/>
            <w:tcBorders>
              <w:top w:val="single" w:sz="4" w:space="0" w:color="000000"/>
              <w:left w:val="single" w:sz="4" w:space="0" w:color="000000"/>
              <w:right w:val="single" w:sz="4" w:space="0" w:color="000000"/>
            </w:tcBorders>
          </w:tcPr>
          <w:p>
            <w:pPr/>
          </w:p>
        </w:tc>
      </w:tr>
      <w:tr>
        <w:trPr>
          <w:trHeight w:val="312" w:hRule="exact"/>
        </w:trPr>
        <w:tc>
          <w:tcPr>
            <w:tcW w:w="57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银行</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财产品</w:t>
            </w:r>
          </w:p>
        </w:tc>
        <w:tc>
          <w:tcPr>
            <w:tcW w:w="574"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0"/>
              <w:jc w:val="center"/>
              <w:rPr>
                <w:rFonts w:ascii="Times New Roman" w:hAnsi="Times New Roman" w:cs="Times New Roman" w:eastAsia="Times New Roman" w:hint="default"/>
                <w:sz w:val="18"/>
                <w:szCs w:val="18"/>
              </w:rPr>
            </w:pPr>
            <w:r>
              <w:rPr>
                <w:rFonts w:ascii="Times New Roman"/>
                <w:sz w:val="18"/>
              </w:rPr>
              <w:t>.00</w:t>
            </w: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94"/>
              <w:jc w:val="right"/>
              <w:rPr>
                <w:rFonts w:ascii="宋体" w:hAnsi="宋体" w:cs="宋体" w:eastAsia="宋体" w:hint="default"/>
                <w:sz w:val="18"/>
                <w:szCs w:val="18"/>
              </w:rPr>
            </w:pPr>
            <w:r>
              <w:rPr>
                <w:rFonts w:ascii="宋体" w:hAnsi="宋体" w:cs="宋体" w:eastAsia="宋体" w:hint="default"/>
                <w:sz w:val="18"/>
                <w:szCs w:val="18"/>
              </w:rPr>
              <w:t>资金</w:t>
            </w: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7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资金</w:t>
            </w: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95" w:right="0"/>
              <w:jc w:val="left"/>
              <w:rPr>
                <w:rFonts w:ascii="宋体" w:hAnsi="宋体" w:cs="宋体" w:eastAsia="宋体" w:hint="default"/>
                <w:sz w:val="18"/>
                <w:szCs w:val="18"/>
              </w:rPr>
            </w:pPr>
            <w:r>
              <w:rPr>
                <w:rFonts w:ascii="宋体" w:hAnsi="宋体" w:cs="宋体" w:eastAsia="宋体" w:hint="default"/>
                <w:sz w:val="18"/>
                <w:szCs w:val="18"/>
              </w:rPr>
              <w:t>收益</w:t>
            </w: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49" w:type="dxa"/>
            <w:vMerge/>
            <w:tcBorders>
              <w:left w:val="single" w:sz="4" w:space="0" w:color="000000"/>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股份</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7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市场</w:t>
            </w: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49" w:type="dxa"/>
            <w:vMerge/>
            <w:tcBorders>
              <w:left w:val="single" w:sz="4" w:space="0" w:color="000000"/>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07" w:hRule="exact"/>
        </w:trPr>
        <w:tc>
          <w:tcPr>
            <w:tcW w:w="57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有限</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49" w:type="dxa"/>
            <w:vMerge/>
            <w:tcBorders>
              <w:left w:val="single" w:sz="4" w:space="0" w:color="000000"/>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公司</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49" w:type="dxa"/>
            <w:vMerge/>
            <w:tcBorders>
              <w:left w:val="single" w:sz="4" w:space="0" w:color="000000"/>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广州</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49" w:type="dxa"/>
            <w:vMerge/>
            <w:tcBorders>
              <w:left w:val="single" w:sz="4" w:space="0" w:color="000000"/>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天河</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49" w:type="dxa"/>
            <w:vMerge/>
            <w:tcBorders>
              <w:left w:val="single" w:sz="4" w:space="0" w:color="000000"/>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56" w:hRule="exact"/>
        </w:trPr>
        <w:tc>
          <w:tcPr>
            <w:tcW w:w="57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支行</w:t>
            </w:r>
          </w:p>
        </w:tc>
        <w:tc>
          <w:tcPr>
            <w:tcW w:w="590" w:type="dxa"/>
            <w:tcBorders>
              <w:top w:val="nil" w:sz="6" w:space="0" w:color="auto"/>
              <w:left w:val="single" w:sz="4" w:space="0" w:color="000000"/>
              <w:bottom w:val="single" w:sz="4" w:space="0" w:color="000000"/>
              <w:right w:val="single" w:sz="4" w:space="0" w:color="000000"/>
            </w:tcBorders>
          </w:tcPr>
          <w:p>
            <w:pPr/>
          </w:p>
        </w:tc>
        <w:tc>
          <w:tcPr>
            <w:tcW w:w="607" w:type="dxa"/>
            <w:tcBorders>
              <w:top w:val="nil" w:sz="6" w:space="0" w:color="auto"/>
              <w:left w:val="single" w:sz="4" w:space="0" w:color="000000"/>
              <w:bottom w:val="single" w:sz="4" w:space="0" w:color="000000"/>
              <w:right w:val="single" w:sz="4" w:space="0" w:color="000000"/>
            </w:tcBorders>
          </w:tcPr>
          <w:p>
            <w:pPr/>
          </w:p>
        </w:tc>
        <w:tc>
          <w:tcPr>
            <w:tcW w:w="574" w:type="dxa"/>
            <w:tcBorders>
              <w:top w:val="nil" w:sz="6" w:space="0" w:color="auto"/>
              <w:left w:val="single" w:sz="4" w:space="0" w:color="000000"/>
              <w:bottom w:val="single" w:sz="4" w:space="0" w:color="000000"/>
              <w:right w:val="single" w:sz="4" w:space="0" w:color="000000"/>
            </w:tcBorders>
          </w:tcPr>
          <w:p>
            <w:pPr/>
          </w:p>
        </w:tc>
        <w:tc>
          <w:tcPr>
            <w:tcW w:w="561" w:type="dxa"/>
            <w:tcBorders>
              <w:top w:val="nil" w:sz="6" w:space="0" w:color="auto"/>
              <w:left w:val="single" w:sz="4" w:space="0" w:color="000000"/>
              <w:bottom w:val="single" w:sz="4" w:space="0" w:color="000000"/>
              <w:right w:val="single" w:sz="4" w:space="0" w:color="000000"/>
            </w:tcBorders>
          </w:tcPr>
          <w:p>
            <w:pPr/>
          </w:p>
        </w:tc>
        <w:tc>
          <w:tcPr>
            <w:tcW w:w="561" w:type="dxa"/>
            <w:tcBorders>
              <w:top w:val="nil" w:sz="6" w:space="0" w:color="auto"/>
              <w:left w:val="single" w:sz="4" w:space="0" w:color="000000"/>
              <w:bottom w:val="single" w:sz="4" w:space="0" w:color="000000"/>
              <w:right w:val="single" w:sz="4" w:space="0" w:color="000000"/>
            </w:tcBorders>
          </w:tcPr>
          <w:p>
            <w:pPr/>
          </w:p>
        </w:tc>
        <w:tc>
          <w:tcPr>
            <w:tcW w:w="561" w:type="dxa"/>
            <w:tcBorders>
              <w:top w:val="nil" w:sz="6" w:space="0" w:color="auto"/>
              <w:left w:val="single" w:sz="4" w:space="0" w:color="000000"/>
              <w:bottom w:val="single" w:sz="4" w:space="0" w:color="000000"/>
              <w:right w:val="single" w:sz="4" w:space="0" w:color="000000"/>
            </w:tcBorders>
          </w:tcPr>
          <w:p>
            <w:pPr/>
          </w:p>
        </w:tc>
        <w:tc>
          <w:tcPr>
            <w:tcW w:w="561" w:type="dxa"/>
            <w:tcBorders>
              <w:top w:val="nil" w:sz="6" w:space="0" w:color="auto"/>
              <w:left w:val="single" w:sz="4" w:space="0" w:color="000000"/>
              <w:bottom w:val="single" w:sz="4" w:space="0" w:color="000000"/>
              <w:right w:val="single" w:sz="4" w:space="0" w:color="000000"/>
            </w:tcBorders>
          </w:tcPr>
          <w:p>
            <w:pPr/>
          </w:p>
        </w:tc>
        <w:tc>
          <w:tcPr>
            <w:tcW w:w="561" w:type="dxa"/>
            <w:tcBorders>
              <w:top w:val="nil" w:sz="6" w:space="0" w:color="auto"/>
              <w:left w:val="single" w:sz="4" w:space="0" w:color="000000"/>
              <w:bottom w:val="single" w:sz="4" w:space="0" w:color="000000"/>
              <w:right w:val="single" w:sz="4" w:space="0" w:color="000000"/>
            </w:tcBorders>
          </w:tcPr>
          <w:p>
            <w:pPr/>
          </w:p>
        </w:tc>
        <w:tc>
          <w:tcPr>
            <w:tcW w:w="561" w:type="dxa"/>
            <w:tcBorders>
              <w:top w:val="nil" w:sz="6" w:space="0" w:color="auto"/>
              <w:left w:val="single" w:sz="4" w:space="0" w:color="000000"/>
              <w:bottom w:val="single" w:sz="4" w:space="0" w:color="000000"/>
              <w:right w:val="single" w:sz="4" w:space="0" w:color="000000"/>
            </w:tcBorders>
          </w:tcPr>
          <w:p>
            <w:pPr/>
          </w:p>
        </w:tc>
        <w:tc>
          <w:tcPr>
            <w:tcW w:w="561" w:type="dxa"/>
            <w:tcBorders>
              <w:top w:val="nil" w:sz="6" w:space="0" w:color="auto"/>
              <w:left w:val="single" w:sz="4" w:space="0" w:color="000000"/>
              <w:bottom w:val="single" w:sz="4" w:space="0" w:color="000000"/>
              <w:right w:val="single" w:sz="4" w:space="0" w:color="000000"/>
            </w:tcBorders>
          </w:tcPr>
          <w:p>
            <w:pPr/>
          </w:p>
        </w:tc>
        <w:tc>
          <w:tcPr>
            <w:tcW w:w="561" w:type="dxa"/>
            <w:tcBorders>
              <w:top w:val="nil" w:sz="6" w:space="0" w:color="auto"/>
              <w:left w:val="single" w:sz="4" w:space="0" w:color="000000"/>
              <w:bottom w:val="single" w:sz="4" w:space="0" w:color="000000"/>
              <w:right w:val="single" w:sz="4" w:space="0" w:color="000000"/>
            </w:tcBorders>
          </w:tcPr>
          <w:p>
            <w:pPr/>
          </w:p>
        </w:tc>
        <w:tc>
          <w:tcPr>
            <w:tcW w:w="561" w:type="dxa"/>
            <w:tcBorders>
              <w:top w:val="nil" w:sz="6" w:space="0" w:color="auto"/>
              <w:left w:val="single" w:sz="4" w:space="0" w:color="000000"/>
              <w:bottom w:val="single" w:sz="4" w:space="0" w:color="000000"/>
              <w:right w:val="single" w:sz="4" w:space="0" w:color="000000"/>
            </w:tcBorders>
          </w:tcPr>
          <w:p>
            <w:pPr/>
          </w:p>
        </w:tc>
        <w:tc>
          <w:tcPr>
            <w:tcW w:w="549" w:type="dxa"/>
            <w:vMerge/>
            <w:tcBorders>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38" w:type="dxa"/>
            <w:vMerge/>
            <w:tcBorders>
              <w:left w:val="single" w:sz="4" w:space="0" w:color="000000"/>
              <w:bottom w:val="single" w:sz="4" w:space="0" w:color="000000"/>
              <w:right w:val="single" w:sz="4" w:space="0" w:color="000000"/>
            </w:tcBorders>
          </w:tcPr>
          <w:p>
            <w:pPr/>
          </w:p>
        </w:tc>
      </w:tr>
      <w:tr>
        <w:trPr>
          <w:trHeight w:val="361" w:hRule="exact"/>
        </w:trPr>
        <w:tc>
          <w:tcPr>
            <w:tcW w:w="57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中国</w:t>
            </w:r>
          </w:p>
        </w:tc>
        <w:tc>
          <w:tcPr>
            <w:tcW w:w="59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银行理</w:t>
            </w:r>
          </w:p>
        </w:tc>
        <w:tc>
          <w:tcPr>
            <w:tcW w:w="57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10,000</w:t>
            </w:r>
          </w:p>
        </w:tc>
        <w:tc>
          <w:tcPr>
            <w:tcW w:w="5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right="94"/>
              <w:jc w:val="right"/>
              <w:rPr>
                <w:rFonts w:ascii="宋体" w:hAnsi="宋体" w:cs="宋体" w:eastAsia="宋体" w:hint="default"/>
                <w:sz w:val="18"/>
                <w:szCs w:val="18"/>
              </w:rPr>
            </w:pPr>
            <w:r>
              <w:rPr>
                <w:rFonts w:ascii="宋体" w:hAnsi="宋体" w:cs="宋体" w:eastAsia="宋体" w:hint="default"/>
                <w:sz w:val="18"/>
                <w:szCs w:val="18"/>
              </w:rPr>
              <w:t>募集</w:t>
            </w:r>
          </w:p>
        </w:tc>
        <w:tc>
          <w:tcPr>
            <w:tcW w:w="5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2"/>
              <w:ind w:left="95" w:right="0"/>
              <w:jc w:val="left"/>
              <w:rPr>
                <w:rFonts w:ascii="Times New Roman" w:hAnsi="Times New Roman" w:cs="Times New Roman" w:eastAsia="Times New Roman" w:hint="default"/>
                <w:sz w:val="18"/>
                <w:szCs w:val="18"/>
              </w:rPr>
            </w:pPr>
            <w:r>
              <w:rPr>
                <w:rFonts w:ascii="Times New Roman"/>
                <w:sz w:val="18"/>
              </w:rPr>
              <w:t>2019</w:t>
            </w:r>
          </w:p>
        </w:tc>
        <w:tc>
          <w:tcPr>
            <w:tcW w:w="5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2"/>
              <w:ind w:left="93" w:right="0"/>
              <w:jc w:val="left"/>
              <w:rPr>
                <w:rFonts w:ascii="Times New Roman" w:hAnsi="Times New Roman" w:cs="Times New Roman" w:eastAsia="Times New Roman" w:hint="default"/>
                <w:sz w:val="18"/>
                <w:szCs w:val="18"/>
              </w:rPr>
            </w:pPr>
            <w:r>
              <w:rPr>
                <w:rFonts w:ascii="Times New Roman"/>
                <w:sz w:val="18"/>
              </w:rPr>
              <w:t>2020</w:t>
            </w:r>
          </w:p>
        </w:tc>
        <w:tc>
          <w:tcPr>
            <w:tcW w:w="5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货币</w:t>
            </w:r>
          </w:p>
        </w:tc>
        <w:tc>
          <w:tcPr>
            <w:tcW w:w="5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95" w:right="0"/>
              <w:jc w:val="left"/>
              <w:rPr>
                <w:rFonts w:ascii="宋体" w:hAnsi="宋体" w:cs="宋体" w:eastAsia="宋体" w:hint="default"/>
                <w:sz w:val="18"/>
                <w:szCs w:val="18"/>
              </w:rPr>
            </w:pPr>
            <w:r>
              <w:rPr>
                <w:rFonts w:ascii="宋体" w:hAnsi="宋体" w:cs="宋体" w:eastAsia="宋体" w:hint="default"/>
                <w:sz w:val="18"/>
                <w:szCs w:val="18"/>
              </w:rPr>
              <w:t>浮动</w:t>
            </w:r>
          </w:p>
        </w:tc>
        <w:tc>
          <w:tcPr>
            <w:tcW w:w="5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2"/>
              <w:ind w:left="42" w:right="0"/>
              <w:jc w:val="left"/>
              <w:rPr>
                <w:rFonts w:ascii="Times New Roman" w:hAnsi="Times New Roman" w:cs="Times New Roman" w:eastAsia="Times New Roman" w:hint="default"/>
                <w:sz w:val="18"/>
                <w:szCs w:val="18"/>
              </w:rPr>
            </w:pPr>
            <w:r>
              <w:rPr>
                <w:rFonts w:ascii="Times New Roman"/>
                <w:sz w:val="18"/>
              </w:rPr>
              <w:t>4.00%</w:t>
            </w:r>
          </w:p>
        </w:tc>
        <w:tc>
          <w:tcPr>
            <w:tcW w:w="5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2"/>
              <w:ind w:left="29" w:right="0"/>
              <w:jc w:val="left"/>
              <w:rPr>
                <w:rFonts w:ascii="Times New Roman" w:hAnsi="Times New Roman" w:cs="Times New Roman" w:eastAsia="Times New Roman" w:hint="default"/>
                <w:sz w:val="18"/>
                <w:szCs w:val="18"/>
              </w:rPr>
            </w:pPr>
            <w:r>
              <w:rPr>
                <w:rFonts w:ascii="Times New Roman"/>
                <w:sz w:val="18"/>
              </w:rPr>
              <w:t>106.30</w:t>
            </w:r>
          </w:p>
        </w:tc>
        <w:tc>
          <w:tcPr>
            <w:tcW w:w="5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49" w:type="dxa"/>
            <w:vMerge w:val="restart"/>
            <w:tcBorders>
              <w:top w:val="single" w:sz="4" w:space="0" w:color="000000"/>
              <w:left w:val="single" w:sz="4" w:space="0" w:color="000000"/>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right="177"/>
              <w:jc w:val="righ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right="177"/>
              <w:jc w:val="right"/>
              <w:rPr>
                <w:rFonts w:ascii="宋体" w:hAnsi="宋体" w:cs="宋体" w:eastAsia="宋体" w:hint="default"/>
                <w:sz w:val="18"/>
                <w:szCs w:val="18"/>
              </w:rPr>
            </w:pPr>
            <w:r>
              <w:rPr>
                <w:rFonts w:ascii="宋体" w:hAnsi="宋体" w:cs="宋体" w:eastAsia="宋体" w:hint="default"/>
                <w:sz w:val="18"/>
                <w:szCs w:val="18"/>
              </w:rPr>
              <w:t>是</w:t>
            </w:r>
          </w:p>
        </w:tc>
        <w:tc>
          <w:tcPr>
            <w:tcW w:w="538" w:type="dxa"/>
            <w:vMerge w:val="restart"/>
            <w:tcBorders>
              <w:top w:val="single" w:sz="4" w:space="0" w:color="000000"/>
              <w:left w:val="single" w:sz="4" w:space="0" w:color="000000"/>
              <w:right w:val="single" w:sz="4" w:space="0" w:color="000000"/>
            </w:tcBorders>
          </w:tcPr>
          <w:p>
            <w:pPr/>
          </w:p>
        </w:tc>
      </w:tr>
      <w:tr>
        <w:trPr>
          <w:trHeight w:val="312" w:hRule="exact"/>
        </w:trPr>
        <w:tc>
          <w:tcPr>
            <w:tcW w:w="57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民生</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财产品</w:t>
            </w:r>
          </w:p>
        </w:tc>
        <w:tc>
          <w:tcPr>
            <w:tcW w:w="574"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0"/>
              <w:jc w:val="center"/>
              <w:rPr>
                <w:rFonts w:ascii="Times New Roman" w:hAnsi="Times New Roman" w:cs="Times New Roman" w:eastAsia="Times New Roman" w:hint="default"/>
                <w:sz w:val="18"/>
                <w:szCs w:val="18"/>
              </w:rPr>
            </w:pPr>
            <w:r>
              <w:rPr>
                <w:rFonts w:ascii="Times New Roman"/>
                <w:sz w:val="18"/>
              </w:rPr>
              <w:t>.00</w:t>
            </w: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94"/>
              <w:jc w:val="right"/>
              <w:rPr>
                <w:rFonts w:ascii="宋体" w:hAnsi="宋体" w:cs="宋体" w:eastAsia="宋体" w:hint="default"/>
                <w:sz w:val="18"/>
                <w:szCs w:val="18"/>
              </w:rPr>
            </w:pPr>
            <w:r>
              <w:rPr>
                <w:rFonts w:ascii="宋体" w:hAnsi="宋体" w:cs="宋体" w:eastAsia="宋体" w:hint="default"/>
                <w:sz w:val="18"/>
                <w:szCs w:val="18"/>
              </w:rPr>
              <w:t>资金</w:t>
            </w: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7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资金</w:t>
            </w: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95" w:right="0"/>
              <w:jc w:val="left"/>
              <w:rPr>
                <w:rFonts w:ascii="宋体" w:hAnsi="宋体" w:cs="宋体" w:eastAsia="宋体" w:hint="default"/>
                <w:sz w:val="18"/>
                <w:szCs w:val="18"/>
              </w:rPr>
            </w:pPr>
            <w:r>
              <w:rPr>
                <w:rFonts w:ascii="宋体" w:hAnsi="宋体" w:cs="宋体" w:eastAsia="宋体" w:hint="default"/>
                <w:sz w:val="18"/>
                <w:szCs w:val="18"/>
              </w:rPr>
              <w:t>收益</w:t>
            </w: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49" w:type="dxa"/>
            <w:vMerge/>
            <w:tcBorders>
              <w:left w:val="single" w:sz="4" w:space="0" w:color="000000"/>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银行</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7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1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市场</w:t>
            </w: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49" w:type="dxa"/>
            <w:vMerge/>
            <w:tcBorders>
              <w:left w:val="single" w:sz="4" w:space="0" w:color="000000"/>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07" w:hRule="exact"/>
        </w:trPr>
        <w:tc>
          <w:tcPr>
            <w:tcW w:w="57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股份</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49" w:type="dxa"/>
            <w:vMerge/>
            <w:tcBorders>
              <w:left w:val="single" w:sz="4" w:space="0" w:color="000000"/>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有限</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49" w:type="dxa"/>
            <w:vMerge/>
            <w:tcBorders>
              <w:left w:val="single" w:sz="4" w:space="0" w:color="000000"/>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公司</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49" w:type="dxa"/>
            <w:vMerge/>
            <w:tcBorders>
              <w:left w:val="single" w:sz="4" w:space="0" w:color="000000"/>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广州</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49" w:type="dxa"/>
            <w:vMerge/>
            <w:tcBorders>
              <w:left w:val="single" w:sz="4" w:space="0" w:color="000000"/>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58" w:hRule="exact"/>
        </w:trPr>
        <w:tc>
          <w:tcPr>
            <w:tcW w:w="57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分行</w:t>
            </w:r>
          </w:p>
        </w:tc>
        <w:tc>
          <w:tcPr>
            <w:tcW w:w="590" w:type="dxa"/>
            <w:tcBorders>
              <w:top w:val="nil" w:sz="6" w:space="0" w:color="auto"/>
              <w:left w:val="single" w:sz="4" w:space="0" w:color="000000"/>
              <w:bottom w:val="single" w:sz="4" w:space="0" w:color="000000"/>
              <w:right w:val="single" w:sz="4" w:space="0" w:color="000000"/>
            </w:tcBorders>
          </w:tcPr>
          <w:p>
            <w:pPr/>
          </w:p>
        </w:tc>
        <w:tc>
          <w:tcPr>
            <w:tcW w:w="607" w:type="dxa"/>
            <w:tcBorders>
              <w:top w:val="nil" w:sz="6" w:space="0" w:color="auto"/>
              <w:left w:val="single" w:sz="4" w:space="0" w:color="000000"/>
              <w:bottom w:val="single" w:sz="4" w:space="0" w:color="000000"/>
              <w:right w:val="single" w:sz="4" w:space="0" w:color="000000"/>
            </w:tcBorders>
          </w:tcPr>
          <w:p>
            <w:pPr/>
          </w:p>
        </w:tc>
        <w:tc>
          <w:tcPr>
            <w:tcW w:w="574" w:type="dxa"/>
            <w:tcBorders>
              <w:top w:val="nil" w:sz="6" w:space="0" w:color="auto"/>
              <w:left w:val="single" w:sz="4" w:space="0" w:color="000000"/>
              <w:bottom w:val="single" w:sz="4" w:space="0" w:color="000000"/>
              <w:right w:val="single" w:sz="4" w:space="0" w:color="000000"/>
            </w:tcBorders>
          </w:tcPr>
          <w:p>
            <w:pPr/>
          </w:p>
        </w:tc>
        <w:tc>
          <w:tcPr>
            <w:tcW w:w="561" w:type="dxa"/>
            <w:tcBorders>
              <w:top w:val="nil" w:sz="6" w:space="0" w:color="auto"/>
              <w:left w:val="single" w:sz="4" w:space="0" w:color="000000"/>
              <w:bottom w:val="single" w:sz="4" w:space="0" w:color="000000"/>
              <w:right w:val="single" w:sz="4" w:space="0" w:color="000000"/>
            </w:tcBorders>
          </w:tcPr>
          <w:p>
            <w:pPr/>
          </w:p>
        </w:tc>
        <w:tc>
          <w:tcPr>
            <w:tcW w:w="561" w:type="dxa"/>
            <w:tcBorders>
              <w:top w:val="nil" w:sz="6" w:space="0" w:color="auto"/>
              <w:left w:val="single" w:sz="4" w:space="0" w:color="000000"/>
              <w:bottom w:val="single" w:sz="4" w:space="0" w:color="000000"/>
              <w:right w:val="single" w:sz="4" w:space="0" w:color="000000"/>
            </w:tcBorders>
          </w:tcPr>
          <w:p>
            <w:pPr/>
          </w:p>
        </w:tc>
        <w:tc>
          <w:tcPr>
            <w:tcW w:w="561" w:type="dxa"/>
            <w:tcBorders>
              <w:top w:val="nil" w:sz="6" w:space="0" w:color="auto"/>
              <w:left w:val="single" w:sz="4" w:space="0" w:color="000000"/>
              <w:bottom w:val="single" w:sz="4" w:space="0" w:color="000000"/>
              <w:right w:val="single" w:sz="4" w:space="0" w:color="000000"/>
            </w:tcBorders>
          </w:tcPr>
          <w:p>
            <w:pPr/>
          </w:p>
        </w:tc>
        <w:tc>
          <w:tcPr>
            <w:tcW w:w="561" w:type="dxa"/>
            <w:tcBorders>
              <w:top w:val="nil" w:sz="6" w:space="0" w:color="auto"/>
              <w:left w:val="single" w:sz="4" w:space="0" w:color="000000"/>
              <w:bottom w:val="single" w:sz="4" w:space="0" w:color="000000"/>
              <w:right w:val="single" w:sz="4" w:space="0" w:color="000000"/>
            </w:tcBorders>
          </w:tcPr>
          <w:p>
            <w:pPr/>
          </w:p>
        </w:tc>
        <w:tc>
          <w:tcPr>
            <w:tcW w:w="561" w:type="dxa"/>
            <w:tcBorders>
              <w:top w:val="nil" w:sz="6" w:space="0" w:color="auto"/>
              <w:left w:val="single" w:sz="4" w:space="0" w:color="000000"/>
              <w:bottom w:val="single" w:sz="4" w:space="0" w:color="000000"/>
              <w:right w:val="single" w:sz="4" w:space="0" w:color="000000"/>
            </w:tcBorders>
          </w:tcPr>
          <w:p>
            <w:pPr/>
          </w:p>
        </w:tc>
        <w:tc>
          <w:tcPr>
            <w:tcW w:w="561" w:type="dxa"/>
            <w:tcBorders>
              <w:top w:val="nil" w:sz="6" w:space="0" w:color="auto"/>
              <w:left w:val="single" w:sz="4" w:space="0" w:color="000000"/>
              <w:bottom w:val="single" w:sz="4" w:space="0" w:color="000000"/>
              <w:right w:val="single" w:sz="4" w:space="0" w:color="000000"/>
            </w:tcBorders>
          </w:tcPr>
          <w:p>
            <w:pPr/>
          </w:p>
        </w:tc>
        <w:tc>
          <w:tcPr>
            <w:tcW w:w="561" w:type="dxa"/>
            <w:tcBorders>
              <w:top w:val="nil" w:sz="6" w:space="0" w:color="auto"/>
              <w:left w:val="single" w:sz="4" w:space="0" w:color="000000"/>
              <w:bottom w:val="single" w:sz="4" w:space="0" w:color="000000"/>
              <w:right w:val="single" w:sz="4" w:space="0" w:color="000000"/>
            </w:tcBorders>
          </w:tcPr>
          <w:p>
            <w:pPr/>
          </w:p>
        </w:tc>
        <w:tc>
          <w:tcPr>
            <w:tcW w:w="561" w:type="dxa"/>
            <w:tcBorders>
              <w:top w:val="nil" w:sz="6" w:space="0" w:color="auto"/>
              <w:left w:val="single" w:sz="4" w:space="0" w:color="000000"/>
              <w:bottom w:val="single" w:sz="4" w:space="0" w:color="000000"/>
              <w:right w:val="single" w:sz="4" w:space="0" w:color="000000"/>
            </w:tcBorders>
          </w:tcPr>
          <w:p>
            <w:pPr/>
          </w:p>
        </w:tc>
        <w:tc>
          <w:tcPr>
            <w:tcW w:w="561" w:type="dxa"/>
            <w:tcBorders>
              <w:top w:val="nil" w:sz="6" w:space="0" w:color="auto"/>
              <w:left w:val="single" w:sz="4" w:space="0" w:color="000000"/>
              <w:bottom w:val="single" w:sz="4" w:space="0" w:color="000000"/>
              <w:right w:val="single" w:sz="4" w:space="0" w:color="000000"/>
            </w:tcBorders>
          </w:tcPr>
          <w:p>
            <w:pPr/>
          </w:p>
        </w:tc>
        <w:tc>
          <w:tcPr>
            <w:tcW w:w="549" w:type="dxa"/>
            <w:vMerge/>
            <w:tcBorders>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38" w:type="dxa"/>
            <w:vMerge/>
            <w:tcBorders>
              <w:left w:val="single" w:sz="4" w:space="0" w:color="000000"/>
              <w:bottom w:val="single" w:sz="4" w:space="0" w:color="000000"/>
              <w:right w:val="single" w:sz="4" w:space="0" w:color="000000"/>
            </w:tcBorders>
          </w:tcPr>
          <w:p>
            <w:pPr/>
          </w:p>
        </w:tc>
      </w:tr>
      <w:tr>
        <w:trPr>
          <w:trHeight w:val="362" w:hRule="exact"/>
        </w:trPr>
        <w:tc>
          <w:tcPr>
            <w:tcW w:w="57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中国</w:t>
            </w:r>
          </w:p>
        </w:tc>
        <w:tc>
          <w:tcPr>
            <w:tcW w:w="59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银行理</w:t>
            </w:r>
          </w:p>
        </w:tc>
        <w:tc>
          <w:tcPr>
            <w:tcW w:w="57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50,000</w:t>
            </w:r>
          </w:p>
        </w:tc>
        <w:tc>
          <w:tcPr>
            <w:tcW w:w="5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right="94"/>
              <w:jc w:val="right"/>
              <w:rPr>
                <w:rFonts w:ascii="宋体" w:hAnsi="宋体" w:cs="宋体" w:eastAsia="宋体" w:hint="default"/>
                <w:sz w:val="18"/>
                <w:szCs w:val="18"/>
              </w:rPr>
            </w:pPr>
            <w:r>
              <w:rPr>
                <w:rFonts w:ascii="宋体" w:hAnsi="宋体" w:cs="宋体" w:eastAsia="宋体" w:hint="default"/>
                <w:sz w:val="18"/>
                <w:szCs w:val="18"/>
              </w:rPr>
              <w:t>募集</w:t>
            </w:r>
          </w:p>
        </w:tc>
        <w:tc>
          <w:tcPr>
            <w:tcW w:w="5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3"/>
              <w:ind w:left="95" w:right="0"/>
              <w:jc w:val="left"/>
              <w:rPr>
                <w:rFonts w:ascii="Times New Roman" w:hAnsi="Times New Roman" w:cs="Times New Roman" w:eastAsia="Times New Roman" w:hint="default"/>
                <w:sz w:val="18"/>
                <w:szCs w:val="18"/>
              </w:rPr>
            </w:pPr>
            <w:r>
              <w:rPr>
                <w:rFonts w:ascii="Times New Roman"/>
                <w:sz w:val="18"/>
              </w:rPr>
              <w:t>2019</w:t>
            </w:r>
          </w:p>
        </w:tc>
        <w:tc>
          <w:tcPr>
            <w:tcW w:w="5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3"/>
              <w:ind w:left="93" w:right="0"/>
              <w:jc w:val="left"/>
              <w:rPr>
                <w:rFonts w:ascii="Times New Roman" w:hAnsi="Times New Roman" w:cs="Times New Roman" w:eastAsia="Times New Roman" w:hint="default"/>
                <w:sz w:val="18"/>
                <w:szCs w:val="18"/>
              </w:rPr>
            </w:pPr>
            <w:r>
              <w:rPr>
                <w:rFonts w:ascii="Times New Roman"/>
                <w:sz w:val="18"/>
              </w:rPr>
              <w:t>2020</w:t>
            </w:r>
          </w:p>
        </w:tc>
        <w:tc>
          <w:tcPr>
            <w:tcW w:w="5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货币</w:t>
            </w:r>
          </w:p>
        </w:tc>
        <w:tc>
          <w:tcPr>
            <w:tcW w:w="5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95" w:right="0"/>
              <w:jc w:val="left"/>
              <w:rPr>
                <w:rFonts w:ascii="宋体" w:hAnsi="宋体" w:cs="宋体" w:eastAsia="宋体" w:hint="default"/>
                <w:sz w:val="18"/>
                <w:szCs w:val="18"/>
              </w:rPr>
            </w:pPr>
            <w:r>
              <w:rPr>
                <w:rFonts w:ascii="宋体" w:hAnsi="宋体" w:cs="宋体" w:eastAsia="宋体" w:hint="default"/>
                <w:sz w:val="18"/>
                <w:szCs w:val="18"/>
              </w:rPr>
              <w:t>浮动</w:t>
            </w:r>
          </w:p>
        </w:tc>
        <w:tc>
          <w:tcPr>
            <w:tcW w:w="5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3"/>
              <w:ind w:left="42" w:right="0"/>
              <w:jc w:val="left"/>
              <w:rPr>
                <w:rFonts w:ascii="Times New Roman" w:hAnsi="Times New Roman" w:cs="Times New Roman" w:eastAsia="Times New Roman" w:hint="default"/>
                <w:sz w:val="18"/>
                <w:szCs w:val="18"/>
              </w:rPr>
            </w:pPr>
            <w:r>
              <w:rPr>
                <w:rFonts w:ascii="Times New Roman"/>
                <w:sz w:val="18"/>
              </w:rPr>
              <w:t>2.85%</w:t>
            </w:r>
          </w:p>
        </w:tc>
        <w:tc>
          <w:tcPr>
            <w:tcW w:w="5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3"/>
              <w:ind w:left="29" w:right="0"/>
              <w:jc w:val="left"/>
              <w:rPr>
                <w:rFonts w:ascii="Times New Roman" w:hAnsi="Times New Roman" w:cs="Times New Roman" w:eastAsia="Times New Roman" w:hint="default"/>
                <w:sz w:val="18"/>
                <w:szCs w:val="18"/>
              </w:rPr>
            </w:pPr>
            <w:r>
              <w:rPr>
                <w:rFonts w:ascii="Times New Roman"/>
                <w:sz w:val="18"/>
              </w:rPr>
              <w:t>363.08</w:t>
            </w:r>
          </w:p>
        </w:tc>
        <w:tc>
          <w:tcPr>
            <w:tcW w:w="5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49" w:type="dxa"/>
            <w:vMerge w:val="restart"/>
            <w:tcBorders>
              <w:top w:val="single" w:sz="4" w:space="0" w:color="000000"/>
              <w:left w:val="single" w:sz="4" w:space="0" w:color="000000"/>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right="177"/>
              <w:jc w:val="righ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right="177"/>
              <w:jc w:val="right"/>
              <w:rPr>
                <w:rFonts w:ascii="宋体" w:hAnsi="宋体" w:cs="宋体" w:eastAsia="宋体" w:hint="default"/>
                <w:sz w:val="18"/>
                <w:szCs w:val="18"/>
              </w:rPr>
            </w:pPr>
            <w:r>
              <w:rPr>
                <w:rFonts w:ascii="宋体" w:hAnsi="宋体" w:cs="宋体" w:eastAsia="宋体" w:hint="default"/>
                <w:sz w:val="18"/>
                <w:szCs w:val="18"/>
              </w:rPr>
              <w:t>是</w:t>
            </w:r>
          </w:p>
        </w:tc>
        <w:tc>
          <w:tcPr>
            <w:tcW w:w="538" w:type="dxa"/>
            <w:vMerge w:val="restart"/>
            <w:tcBorders>
              <w:top w:val="single" w:sz="4" w:space="0" w:color="000000"/>
              <w:left w:val="single" w:sz="4" w:space="0" w:color="000000"/>
              <w:right w:val="single" w:sz="4" w:space="0" w:color="000000"/>
            </w:tcBorders>
          </w:tcPr>
          <w:p>
            <w:pPr/>
          </w:p>
        </w:tc>
      </w:tr>
      <w:tr>
        <w:trPr>
          <w:trHeight w:val="312" w:hRule="exact"/>
        </w:trPr>
        <w:tc>
          <w:tcPr>
            <w:tcW w:w="57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建设</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财产品</w:t>
            </w:r>
          </w:p>
        </w:tc>
        <w:tc>
          <w:tcPr>
            <w:tcW w:w="574"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0"/>
              <w:jc w:val="center"/>
              <w:rPr>
                <w:rFonts w:ascii="Times New Roman" w:hAnsi="Times New Roman" w:cs="Times New Roman" w:eastAsia="Times New Roman" w:hint="default"/>
                <w:sz w:val="18"/>
                <w:szCs w:val="18"/>
              </w:rPr>
            </w:pPr>
            <w:r>
              <w:rPr>
                <w:rFonts w:ascii="Times New Roman"/>
                <w:sz w:val="18"/>
              </w:rPr>
              <w:t>.00</w:t>
            </w: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94"/>
              <w:jc w:val="right"/>
              <w:rPr>
                <w:rFonts w:ascii="宋体" w:hAnsi="宋体" w:cs="宋体" w:eastAsia="宋体" w:hint="default"/>
                <w:sz w:val="18"/>
                <w:szCs w:val="18"/>
              </w:rPr>
            </w:pPr>
            <w:r>
              <w:rPr>
                <w:rFonts w:ascii="宋体" w:hAnsi="宋体" w:cs="宋体" w:eastAsia="宋体" w:hint="default"/>
                <w:sz w:val="18"/>
                <w:szCs w:val="18"/>
              </w:rPr>
              <w:t>资金</w:t>
            </w: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7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资金</w:t>
            </w: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95" w:right="0"/>
              <w:jc w:val="left"/>
              <w:rPr>
                <w:rFonts w:ascii="宋体" w:hAnsi="宋体" w:cs="宋体" w:eastAsia="宋体" w:hint="default"/>
                <w:sz w:val="18"/>
                <w:szCs w:val="18"/>
              </w:rPr>
            </w:pPr>
            <w:r>
              <w:rPr>
                <w:rFonts w:ascii="宋体" w:hAnsi="宋体" w:cs="宋体" w:eastAsia="宋体" w:hint="default"/>
                <w:sz w:val="18"/>
                <w:szCs w:val="18"/>
              </w:rPr>
              <w:t>收益</w:t>
            </w: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49" w:type="dxa"/>
            <w:vMerge/>
            <w:tcBorders>
              <w:left w:val="single" w:sz="4" w:space="0" w:color="000000"/>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银行</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7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市场</w:t>
            </w: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49" w:type="dxa"/>
            <w:vMerge/>
            <w:tcBorders>
              <w:left w:val="single" w:sz="4" w:space="0" w:color="000000"/>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07" w:hRule="exact"/>
        </w:trPr>
        <w:tc>
          <w:tcPr>
            <w:tcW w:w="57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股份</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49" w:type="dxa"/>
            <w:vMerge/>
            <w:tcBorders>
              <w:left w:val="single" w:sz="4" w:space="0" w:color="000000"/>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有限</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49" w:type="dxa"/>
            <w:vMerge/>
            <w:tcBorders>
              <w:left w:val="single" w:sz="4" w:space="0" w:color="000000"/>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公司</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49" w:type="dxa"/>
            <w:vMerge/>
            <w:tcBorders>
              <w:left w:val="single" w:sz="4" w:space="0" w:color="000000"/>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广东</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49" w:type="dxa"/>
            <w:vMerge/>
            <w:tcBorders>
              <w:left w:val="single" w:sz="4" w:space="0" w:color="000000"/>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省分</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49" w:type="dxa"/>
            <w:vMerge/>
            <w:tcBorders>
              <w:left w:val="single" w:sz="4" w:space="0" w:color="000000"/>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56" w:hRule="exact"/>
        </w:trPr>
        <w:tc>
          <w:tcPr>
            <w:tcW w:w="57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行</w:t>
            </w:r>
          </w:p>
        </w:tc>
        <w:tc>
          <w:tcPr>
            <w:tcW w:w="590" w:type="dxa"/>
            <w:tcBorders>
              <w:top w:val="nil" w:sz="6" w:space="0" w:color="auto"/>
              <w:left w:val="single" w:sz="4" w:space="0" w:color="000000"/>
              <w:bottom w:val="single" w:sz="4" w:space="0" w:color="000000"/>
              <w:right w:val="single" w:sz="4" w:space="0" w:color="000000"/>
            </w:tcBorders>
          </w:tcPr>
          <w:p>
            <w:pPr/>
          </w:p>
        </w:tc>
        <w:tc>
          <w:tcPr>
            <w:tcW w:w="607" w:type="dxa"/>
            <w:tcBorders>
              <w:top w:val="nil" w:sz="6" w:space="0" w:color="auto"/>
              <w:left w:val="single" w:sz="4" w:space="0" w:color="000000"/>
              <w:bottom w:val="single" w:sz="4" w:space="0" w:color="000000"/>
              <w:right w:val="single" w:sz="4" w:space="0" w:color="000000"/>
            </w:tcBorders>
          </w:tcPr>
          <w:p>
            <w:pPr/>
          </w:p>
        </w:tc>
        <w:tc>
          <w:tcPr>
            <w:tcW w:w="574" w:type="dxa"/>
            <w:tcBorders>
              <w:top w:val="nil" w:sz="6" w:space="0" w:color="auto"/>
              <w:left w:val="single" w:sz="4" w:space="0" w:color="000000"/>
              <w:bottom w:val="single" w:sz="4" w:space="0" w:color="000000"/>
              <w:right w:val="single" w:sz="4" w:space="0" w:color="000000"/>
            </w:tcBorders>
          </w:tcPr>
          <w:p>
            <w:pPr/>
          </w:p>
        </w:tc>
        <w:tc>
          <w:tcPr>
            <w:tcW w:w="561" w:type="dxa"/>
            <w:tcBorders>
              <w:top w:val="nil" w:sz="6" w:space="0" w:color="auto"/>
              <w:left w:val="single" w:sz="4" w:space="0" w:color="000000"/>
              <w:bottom w:val="single" w:sz="4" w:space="0" w:color="000000"/>
              <w:right w:val="single" w:sz="4" w:space="0" w:color="000000"/>
            </w:tcBorders>
          </w:tcPr>
          <w:p>
            <w:pPr/>
          </w:p>
        </w:tc>
        <w:tc>
          <w:tcPr>
            <w:tcW w:w="561" w:type="dxa"/>
            <w:tcBorders>
              <w:top w:val="nil" w:sz="6" w:space="0" w:color="auto"/>
              <w:left w:val="single" w:sz="4" w:space="0" w:color="000000"/>
              <w:bottom w:val="single" w:sz="4" w:space="0" w:color="000000"/>
              <w:right w:val="single" w:sz="4" w:space="0" w:color="000000"/>
            </w:tcBorders>
          </w:tcPr>
          <w:p>
            <w:pPr/>
          </w:p>
        </w:tc>
        <w:tc>
          <w:tcPr>
            <w:tcW w:w="561" w:type="dxa"/>
            <w:tcBorders>
              <w:top w:val="nil" w:sz="6" w:space="0" w:color="auto"/>
              <w:left w:val="single" w:sz="4" w:space="0" w:color="000000"/>
              <w:bottom w:val="single" w:sz="4" w:space="0" w:color="000000"/>
              <w:right w:val="single" w:sz="4" w:space="0" w:color="000000"/>
            </w:tcBorders>
          </w:tcPr>
          <w:p>
            <w:pPr/>
          </w:p>
        </w:tc>
        <w:tc>
          <w:tcPr>
            <w:tcW w:w="561" w:type="dxa"/>
            <w:tcBorders>
              <w:top w:val="nil" w:sz="6" w:space="0" w:color="auto"/>
              <w:left w:val="single" w:sz="4" w:space="0" w:color="000000"/>
              <w:bottom w:val="single" w:sz="4" w:space="0" w:color="000000"/>
              <w:right w:val="single" w:sz="4" w:space="0" w:color="000000"/>
            </w:tcBorders>
          </w:tcPr>
          <w:p>
            <w:pPr/>
          </w:p>
        </w:tc>
        <w:tc>
          <w:tcPr>
            <w:tcW w:w="561" w:type="dxa"/>
            <w:tcBorders>
              <w:top w:val="nil" w:sz="6" w:space="0" w:color="auto"/>
              <w:left w:val="single" w:sz="4" w:space="0" w:color="000000"/>
              <w:bottom w:val="single" w:sz="4" w:space="0" w:color="000000"/>
              <w:right w:val="single" w:sz="4" w:space="0" w:color="000000"/>
            </w:tcBorders>
          </w:tcPr>
          <w:p>
            <w:pPr/>
          </w:p>
        </w:tc>
        <w:tc>
          <w:tcPr>
            <w:tcW w:w="561" w:type="dxa"/>
            <w:tcBorders>
              <w:top w:val="nil" w:sz="6" w:space="0" w:color="auto"/>
              <w:left w:val="single" w:sz="4" w:space="0" w:color="000000"/>
              <w:bottom w:val="single" w:sz="4" w:space="0" w:color="000000"/>
              <w:right w:val="single" w:sz="4" w:space="0" w:color="000000"/>
            </w:tcBorders>
          </w:tcPr>
          <w:p>
            <w:pPr/>
          </w:p>
        </w:tc>
        <w:tc>
          <w:tcPr>
            <w:tcW w:w="561" w:type="dxa"/>
            <w:tcBorders>
              <w:top w:val="nil" w:sz="6" w:space="0" w:color="auto"/>
              <w:left w:val="single" w:sz="4" w:space="0" w:color="000000"/>
              <w:bottom w:val="single" w:sz="4" w:space="0" w:color="000000"/>
              <w:right w:val="single" w:sz="4" w:space="0" w:color="000000"/>
            </w:tcBorders>
          </w:tcPr>
          <w:p>
            <w:pPr/>
          </w:p>
        </w:tc>
        <w:tc>
          <w:tcPr>
            <w:tcW w:w="561" w:type="dxa"/>
            <w:tcBorders>
              <w:top w:val="nil" w:sz="6" w:space="0" w:color="auto"/>
              <w:left w:val="single" w:sz="4" w:space="0" w:color="000000"/>
              <w:bottom w:val="single" w:sz="4" w:space="0" w:color="000000"/>
              <w:right w:val="single" w:sz="4" w:space="0" w:color="000000"/>
            </w:tcBorders>
          </w:tcPr>
          <w:p>
            <w:pPr/>
          </w:p>
        </w:tc>
        <w:tc>
          <w:tcPr>
            <w:tcW w:w="561" w:type="dxa"/>
            <w:tcBorders>
              <w:top w:val="nil" w:sz="6" w:space="0" w:color="auto"/>
              <w:left w:val="single" w:sz="4" w:space="0" w:color="000000"/>
              <w:bottom w:val="single" w:sz="4" w:space="0" w:color="000000"/>
              <w:right w:val="single" w:sz="4" w:space="0" w:color="000000"/>
            </w:tcBorders>
          </w:tcPr>
          <w:p>
            <w:pPr/>
          </w:p>
        </w:tc>
        <w:tc>
          <w:tcPr>
            <w:tcW w:w="549" w:type="dxa"/>
            <w:vMerge/>
            <w:tcBorders>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38" w:type="dxa"/>
            <w:vMerge/>
            <w:tcBorders>
              <w:left w:val="single" w:sz="4" w:space="0" w:color="000000"/>
              <w:bottom w:val="single" w:sz="4" w:space="0" w:color="000000"/>
              <w:right w:val="single" w:sz="4" w:space="0" w:color="000000"/>
            </w:tcBorders>
          </w:tcPr>
          <w:p>
            <w:pPr/>
          </w:p>
        </w:tc>
      </w:tr>
      <w:tr>
        <w:trPr>
          <w:trHeight w:val="361" w:hRule="exact"/>
        </w:trPr>
        <w:tc>
          <w:tcPr>
            <w:tcW w:w="57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中国</w:t>
            </w:r>
          </w:p>
        </w:tc>
        <w:tc>
          <w:tcPr>
            <w:tcW w:w="59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银行理</w:t>
            </w:r>
          </w:p>
        </w:tc>
        <w:tc>
          <w:tcPr>
            <w:tcW w:w="57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10,000</w:t>
            </w:r>
          </w:p>
        </w:tc>
        <w:tc>
          <w:tcPr>
            <w:tcW w:w="5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right="94"/>
              <w:jc w:val="right"/>
              <w:rPr>
                <w:rFonts w:ascii="宋体" w:hAnsi="宋体" w:cs="宋体" w:eastAsia="宋体" w:hint="default"/>
                <w:sz w:val="18"/>
                <w:szCs w:val="18"/>
              </w:rPr>
            </w:pPr>
            <w:r>
              <w:rPr>
                <w:rFonts w:ascii="宋体" w:hAnsi="宋体" w:cs="宋体" w:eastAsia="宋体" w:hint="default"/>
                <w:sz w:val="18"/>
                <w:szCs w:val="18"/>
              </w:rPr>
              <w:t>自有</w:t>
            </w:r>
          </w:p>
        </w:tc>
        <w:tc>
          <w:tcPr>
            <w:tcW w:w="5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2"/>
              <w:ind w:left="95" w:right="0"/>
              <w:jc w:val="left"/>
              <w:rPr>
                <w:rFonts w:ascii="Times New Roman" w:hAnsi="Times New Roman" w:cs="Times New Roman" w:eastAsia="Times New Roman" w:hint="default"/>
                <w:sz w:val="18"/>
                <w:szCs w:val="18"/>
              </w:rPr>
            </w:pPr>
            <w:r>
              <w:rPr>
                <w:rFonts w:ascii="Times New Roman"/>
                <w:sz w:val="18"/>
              </w:rPr>
              <w:t>2019</w:t>
            </w:r>
          </w:p>
        </w:tc>
        <w:tc>
          <w:tcPr>
            <w:tcW w:w="5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2"/>
              <w:ind w:left="93" w:right="0"/>
              <w:jc w:val="left"/>
              <w:rPr>
                <w:rFonts w:ascii="Times New Roman" w:hAnsi="Times New Roman" w:cs="Times New Roman" w:eastAsia="Times New Roman" w:hint="default"/>
                <w:sz w:val="18"/>
                <w:szCs w:val="18"/>
              </w:rPr>
            </w:pPr>
            <w:r>
              <w:rPr>
                <w:rFonts w:ascii="Times New Roman"/>
                <w:sz w:val="18"/>
              </w:rPr>
              <w:t>2019</w:t>
            </w:r>
          </w:p>
        </w:tc>
        <w:tc>
          <w:tcPr>
            <w:tcW w:w="5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货币</w:t>
            </w:r>
          </w:p>
        </w:tc>
        <w:tc>
          <w:tcPr>
            <w:tcW w:w="5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95" w:right="0"/>
              <w:jc w:val="left"/>
              <w:rPr>
                <w:rFonts w:ascii="宋体" w:hAnsi="宋体" w:cs="宋体" w:eastAsia="宋体" w:hint="default"/>
                <w:sz w:val="18"/>
                <w:szCs w:val="18"/>
              </w:rPr>
            </w:pPr>
            <w:r>
              <w:rPr>
                <w:rFonts w:ascii="宋体" w:hAnsi="宋体" w:cs="宋体" w:eastAsia="宋体" w:hint="default"/>
                <w:sz w:val="18"/>
                <w:szCs w:val="18"/>
              </w:rPr>
              <w:t>浮动</w:t>
            </w:r>
          </w:p>
        </w:tc>
        <w:tc>
          <w:tcPr>
            <w:tcW w:w="5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2"/>
              <w:ind w:left="42" w:right="0"/>
              <w:jc w:val="left"/>
              <w:rPr>
                <w:rFonts w:ascii="Times New Roman" w:hAnsi="Times New Roman" w:cs="Times New Roman" w:eastAsia="Times New Roman" w:hint="default"/>
                <w:sz w:val="18"/>
                <w:szCs w:val="18"/>
              </w:rPr>
            </w:pPr>
            <w:r>
              <w:rPr>
                <w:rFonts w:ascii="Times New Roman"/>
                <w:sz w:val="18"/>
              </w:rPr>
              <w:t>3.91%</w:t>
            </w:r>
          </w:p>
        </w:tc>
        <w:tc>
          <w:tcPr>
            <w:tcW w:w="5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2"/>
              <w:ind w:left="29" w:right="0"/>
              <w:jc w:val="left"/>
              <w:rPr>
                <w:rFonts w:ascii="Times New Roman" w:hAnsi="Times New Roman" w:cs="Times New Roman" w:eastAsia="Times New Roman" w:hint="default"/>
                <w:sz w:val="18"/>
                <w:szCs w:val="18"/>
              </w:rPr>
            </w:pPr>
            <w:r>
              <w:rPr>
                <w:rFonts w:ascii="Times New Roman"/>
                <w:sz w:val="18"/>
              </w:rPr>
              <w:t>101.73</w:t>
            </w:r>
          </w:p>
        </w:tc>
        <w:tc>
          <w:tcPr>
            <w:tcW w:w="5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2"/>
              <w:ind w:right="26"/>
              <w:jc w:val="right"/>
              <w:rPr>
                <w:rFonts w:ascii="Times New Roman" w:hAnsi="Times New Roman" w:cs="Times New Roman" w:eastAsia="Times New Roman" w:hint="default"/>
                <w:sz w:val="18"/>
                <w:szCs w:val="18"/>
              </w:rPr>
            </w:pPr>
            <w:r>
              <w:rPr>
                <w:rFonts w:ascii="Times New Roman"/>
                <w:spacing w:val="-1"/>
                <w:sz w:val="18"/>
              </w:rPr>
              <w:t>101.73</w:t>
            </w:r>
          </w:p>
        </w:tc>
        <w:tc>
          <w:tcPr>
            <w:tcW w:w="5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2"/>
              <w:ind w:right="25"/>
              <w:jc w:val="right"/>
              <w:rPr>
                <w:rFonts w:ascii="Times New Roman" w:hAnsi="Times New Roman" w:cs="Times New Roman" w:eastAsia="Times New Roman" w:hint="default"/>
                <w:sz w:val="18"/>
                <w:szCs w:val="18"/>
              </w:rPr>
            </w:pPr>
            <w:r>
              <w:rPr>
                <w:rFonts w:ascii="Times New Roman"/>
                <w:spacing w:val="-1"/>
                <w:sz w:val="18"/>
              </w:rPr>
              <w:t>101.73</w:t>
            </w:r>
          </w:p>
        </w:tc>
        <w:tc>
          <w:tcPr>
            <w:tcW w:w="549" w:type="dxa"/>
            <w:vMerge w:val="restart"/>
            <w:tcBorders>
              <w:top w:val="single" w:sz="4" w:space="0" w:color="000000"/>
              <w:left w:val="single" w:sz="4" w:space="0" w:color="000000"/>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right="177"/>
              <w:jc w:val="righ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right="177"/>
              <w:jc w:val="right"/>
              <w:rPr>
                <w:rFonts w:ascii="宋体" w:hAnsi="宋体" w:cs="宋体" w:eastAsia="宋体" w:hint="default"/>
                <w:sz w:val="18"/>
                <w:szCs w:val="18"/>
              </w:rPr>
            </w:pPr>
            <w:r>
              <w:rPr>
                <w:rFonts w:ascii="宋体" w:hAnsi="宋体" w:cs="宋体" w:eastAsia="宋体" w:hint="default"/>
                <w:sz w:val="18"/>
                <w:szCs w:val="18"/>
              </w:rPr>
              <w:t>是</w:t>
            </w:r>
          </w:p>
        </w:tc>
        <w:tc>
          <w:tcPr>
            <w:tcW w:w="538" w:type="dxa"/>
            <w:vMerge w:val="restart"/>
            <w:tcBorders>
              <w:top w:val="single" w:sz="4" w:space="0" w:color="000000"/>
              <w:left w:val="single" w:sz="4" w:space="0" w:color="000000"/>
              <w:right w:val="single" w:sz="4" w:space="0" w:color="000000"/>
            </w:tcBorders>
          </w:tcPr>
          <w:p>
            <w:pPr/>
          </w:p>
        </w:tc>
      </w:tr>
      <w:tr>
        <w:trPr>
          <w:trHeight w:val="312" w:hRule="exact"/>
        </w:trPr>
        <w:tc>
          <w:tcPr>
            <w:tcW w:w="57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农业</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财产品</w:t>
            </w:r>
          </w:p>
        </w:tc>
        <w:tc>
          <w:tcPr>
            <w:tcW w:w="574"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0"/>
              <w:jc w:val="center"/>
              <w:rPr>
                <w:rFonts w:ascii="Times New Roman" w:hAnsi="Times New Roman" w:cs="Times New Roman" w:eastAsia="Times New Roman" w:hint="default"/>
                <w:sz w:val="18"/>
                <w:szCs w:val="18"/>
              </w:rPr>
            </w:pPr>
            <w:r>
              <w:rPr>
                <w:rFonts w:ascii="Times New Roman"/>
                <w:sz w:val="18"/>
              </w:rPr>
              <w:t>.00</w:t>
            </w: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94"/>
              <w:jc w:val="right"/>
              <w:rPr>
                <w:rFonts w:ascii="宋体" w:hAnsi="宋体" w:cs="宋体" w:eastAsia="宋体" w:hint="default"/>
                <w:sz w:val="18"/>
                <w:szCs w:val="18"/>
              </w:rPr>
            </w:pPr>
            <w:r>
              <w:rPr>
                <w:rFonts w:ascii="宋体" w:hAnsi="宋体" w:cs="宋体" w:eastAsia="宋体" w:hint="default"/>
                <w:sz w:val="18"/>
                <w:szCs w:val="18"/>
              </w:rPr>
              <w:t>资金</w:t>
            </w: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资金</w:t>
            </w: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95" w:right="0"/>
              <w:jc w:val="left"/>
              <w:rPr>
                <w:rFonts w:ascii="宋体" w:hAnsi="宋体" w:cs="宋体" w:eastAsia="宋体" w:hint="default"/>
                <w:sz w:val="18"/>
                <w:szCs w:val="18"/>
              </w:rPr>
            </w:pPr>
            <w:r>
              <w:rPr>
                <w:rFonts w:ascii="宋体" w:hAnsi="宋体" w:cs="宋体" w:eastAsia="宋体" w:hint="default"/>
                <w:sz w:val="18"/>
                <w:szCs w:val="18"/>
              </w:rPr>
              <w:t>收益</w:t>
            </w: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49" w:type="dxa"/>
            <w:vMerge/>
            <w:tcBorders>
              <w:left w:val="single" w:sz="4" w:space="0" w:color="000000"/>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银行</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1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1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市场</w:t>
            </w: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49" w:type="dxa"/>
            <w:vMerge/>
            <w:tcBorders>
              <w:left w:val="single" w:sz="4" w:space="0" w:color="000000"/>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07" w:hRule="exact"/>
        </w:trPr>
        <w:tc>
          <w:tcPr>
            <w:tcW w:w="57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股份</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49" w:type="dxa"/>
            <w:vMerge/>
            <w:tcBorders>
              <w:left w:val="single" w:sz="4" w:space="0" w:color="000000"/>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有限</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49" w:type="dxa"/>
            <w:vMerge/>
            <w:tcBorders>
              <w:left w:val="single" w:sz="4" w:space="0" w:color="000000"/>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公司</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49" w:type="dxa"/>
            <w:vMerge/>
            <w:tcBorders>
              <w:left w:val="single" w:sz="4" w:space="0" w:color="000000"/>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员村</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
        </w:tc>
        <w:tc>
          <w:tcPr>
            <w:tcW w:w="549" w:type="dxa"/>
            <w:vMerge/>
            <w:tcBorders>
              <w:left w:val="single" w:sz="4" w:space="0" w:color="000000"/>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56" w:hRule="exact"/>
        </w:trPr>
        <w:tc>
          <w:tcPr>
            <w:tcW w:w="57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支行</w:t>
            </w:r>
          </w:p>
        </w:tc>
        <w:tc>
          <w:tcPr>
            <w:tcW w:w="590" w:type="dxa"/>
            <w:tcBorders>
              <w:top w:val="nil" w:sz="6" w:space="0" w:color="auto"/>
              <w:left w:val="single" w:sz="4" w:space="0" w:color="000000"/>
              <w:bottom w:val="single" w:sz="4" w:space="0" w:color="000000"/>
              <w:right w:val="single" w:sz="4" w:space="0" w:color="000000"/>
            </w:tcBorders>
          </w:tcPr>
          <w:p>
            <w:pPr/>
          </w:p>
        </w:tc>
        <w:tc>
          <w:tcPr>
            <w:tcW w:w="607" w:type="dxa"/>
            <w:tcBorders>
              <w:top w:val="nil" w:sz="6" w:space="0" w:color="auto"/>
              <w:left w:val="single" w:sz="4" w:space="0" w:color="000000"/>
              <w:bottom w:val="single" w:sz="4" w:space="0" w:color="000000"/>
              <w:right w:val="single" w:sz="4" w:space="0" w:color="000000"/>
            </w:tcBorders>
          </w:tcPr>
          <w:p>
            <w:pPr/>
          </w:p>
        </w:tc>
        <w:tc>
          <w:tcPr>
            <w:tcW w:w="574" w:type="dxa"/>
            <w:tcBorders>
              <w:top w:val="nil" w:sz="6" w:space="0" w:color="auto"/>
              <w:left w:val="single" w:sz="4" w:space="0" w:color="000000"/>
              <w:bottom w:val="single" w:sz="4" w:space="0" w:color="000000"/>
              <w:right w:val="single" w:sz="4" w:space="0" w:color="000000"/>
            </w:tcBorders>
          </w:tcPr>
          <w:p>
            <w:pPr/>
          </w:p>
        </w:tc>
        <w:tc>
          <w:tcPr>
            <w:tcW w:w="561" w:type="dxa"/>
            <w:tcBorders>
              <w:top w:val="nil" w:sz="6" w:space="0" w:color="auto"/>
              <w:left w:val="single" w:sz="4" w:space="0" w:color="000000"/>
              <w:bottom w:val="single" w:sz="4" w:space="0" w:color="000000"/>
              <w:right w:val="single" w:sz="4" w:space="0" w:color="000000"/>
            </w:tcBorders>
          </w:tcPr>
          <w:p>
            <w:pPr/>
          </w:p>
        </w:tc>
        <w:tc>
          <w:tcPr>
            <w:tcW w:w="561" w:type="dxa"/>
            <w:tcBorders>
              <w:top w:val="nil" w:sz="6" w:space="0" w:color="auto"/>
              <w:left w:val="single" w:sz="4" w:space="0" w:color="000000"/>
              <w:bottom w:val="single" w:sz="4" w:space="0" w:color="000000"/>
              <w:right w:val="single" w:sz="4" w:space="0" w:color="000000"/>
            </w:tcBorders>
          </w:tcPr>
          <w:p>
            <w:pPr/>
          </w:p>
        </w:tc>
        <w:tc>
          <w:tcPr>
            <w:tcW w:w="561" w:type="dxa"/>
            <w:tcBorders>
              <w:top w:val="nil" w:sz="6" w:space="0" w:color="auto"/>
              <w:left w:val="single" w:sz="4" w:space="0" w:color="000000"/>
              <w:bottom w:val="single" w:sz="4" w:space="0" w:color="000000"/>
              <w:right w:val="single" w:sz="4" w:space="0" w:color="000000"/>
            </w:tcBorders>
          </w:tcPr>
          <w:p>
            <w:pPr/>
          </w:p>
        </w:tc>
        <w:tc>
          <w:tcPr>
            <w:tcW w:w="561" w:type="dxa"/>
            <w:tcBorders>
              <w:top w:val="nil" w:sz="6" w:space="0" w:color="auto"/>
              <w:left w:val="single" w:sz="4" w:space="0" w:color="000000"/>
              <w:bottom w:val="single" w:sz="4" w:space="0" w:color="000000"/>
              <w:right w:val="single" w:sz="4" w:space="0" w:color="000000"/>
            </w:tcBorders>
          </w:tcPr>
          <w:p>
            <w:pPr/>
          </w:p>
        </w:tc>
        <w:tc>
          <w:tcPr>
            <w:tcW w:w="561" w:type="dxa"/>
            <w:tcBorders>
              <w:top w:val="nil" w:sz="6" w:space="0" w:color="auto"/>
              <w:left w:val="single" w:sz="4" w:space="0" w:color="000000"/>
              <w:bottom w:val="single" w:sz="4" w:space="0" w:color="000000"/>
              <w:right w:val="single" w:sz="4" w:space="0" w:color="000000"/>
            </w:tcBorders>
          </w:tcPr>
          <w:p>
            <w:pPr/>
          </w:p>
        </w:tc>
        <w:tc>
          <w:tcPr>
            <w:tcW w:w="561" w:type="dxa"/>
            <w:tcBorders>
              <w:top w:val="nil" w:sz="6" w:space="0" w:color="auto"/>
              <w:left w:val="single" w:sz="4" w:space="0" w:color="000000"/>
              <w:bottom w:val="single" w:sz="4" w:space="0" w:color="000000"/>
              <w:right w:val="single" w:sz="4" w:space="0" w:color="000000"/>
            </w:tcBorders>
          </w:tcPr>
          <w:p>
            <w:pPr/>
          </w:p>
        </w:tc>
        <w:tc>
          <w:tcPr>
            <w:tcW w:w="561" w:type="dxa"/>
            <w:tcBorders>
              <w:top w:val="nil" w:sz="6" w:space="0" w:color="auto"/>
              <w:left w:val="single" w:sz="4" w:space="0" w:color="000000"/>
              <w:bottom w:val="single" w:sz="4" w:space="0" w:color="000000"/>
              <w:right w:val="single" w:sz="4" w:space="0" w:color="000000"/>
            </w:tcBorders>
          </w:tcPr>
          <w:p>
            <w:pPr/>
          </w:p>
        </w:tc>
        <w:tc>
          <w:tcPr>
            <w:tcW w:w="561" w:type="dxa"/>
            <w:tcBorders>
              <w:top w:val="nil" w:sz="6" w:space="0" w:color="auto"/>
              <w:left w:val="single" w:sz="4" w:space="0" w:color="000000"/>
              <w:bottom w:val="single" w:sz="4" w:space="0" w:color="000000"/>
              <w:right w:val="single" w:sz="4" w:space="0" w:color="000000"/>
            </w:tcBorders>
          </w:tcPr>
          <w:p>
            <w:pPr/>
          </w:p>
        </w:tc>
        <w:tc>
          <w:tcPr>
            <w:tcW w:w="561" w:type="dxa"/>
            <w:tcBorders>
              <w:top w:val="nil" w:sz="6" w:space="0" w:color="auto"/>
              <w:left w:val="single" w:sz="4" w:space="0" w:color="000000"/>
              <w:bottom w:val="single" w:sz="4" w:space="0" w:color="000000"/>
              <w:right w:val="single" w:sz="4" w:space="0" w:color="000000"/>
            </w:tcBorders>
          </w:tcPr>
          <w:p>
            <w:pPr/>
          </w:p>
        </w:tc>
        <w:tc>
          <w:tcPr>
            <w:tcW w:w="549" w:type="dxa"/>
            <w:vMerge/>
            <w:tcBorders>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38" w:type="dxa"/>
            <w:vMerge/>
            <w:tcBorders>
              <w:left w:val="single" w:sz="4" w:space="0" w:color="000000"/>
              <w:bottom w:val="single" w:sz="4" w:space="0" w:color="000000"/>
              <w:right w:val="single" w:sz="4" w:space="0" w:color="000000"/>
            </w:tcBorders>
          </w:tcPr>
          <w:p>
            <w:pPr/>
          </w:p>
        </w:tc>
      </w:tr>
    </w:tbl>
    <w:p>
      <w:pPr>
        <w:spacing w:after="0"/>
        <w:sectPr>
          <w:pgSz w:w="11910" w:h="16840"/>
          <w:pgMar w:header="878" w:footer="978" w:top="1100" w:bottom="1160" w:left="102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209" w:type="dxa"/>
        <w:tblLayout w:type="fixed"/>
        <w:tblCellMar>
          <w:top w:w="0" w:type="dxa"/>
          <w:left w:w="0" w:type="dxa"/>
          <w:bottom w:w="0" w:type="dxa"/>
          <w:right w:w="0" w:type="dxa"/>
        </w:tblCellMar>
        <w:tblLook w:val="01E0"/>
      </w:tblPr>
      <w:tblGrid>
        <w:gridCol w:w="1768"/>
        <w:gridCol w:w="574"/>
        <w:gridCol w:w="561"/>
        <w:gridCol w:w="561"/>
        <w:gridCol w:w="561"/>
        <w:gridCol w:w="561"/>
        <w:gridCol w:w="561"/>
        <w:gridCol w:w="561"/>
        <w:gridCol w:w="561"/>
        <w:gridCol w:w="561"/>
        <w:gridCol w:w="561"/>
        <w:gridCol w:w="549"/>
        <w:gridCol w:w="547"/>
        <w:gridCol w:w="547"/>
        <w:gridCol w:w="538"/>
      </w:tblGrid>
      <w:tr>
        <w:trPr>
          <w:trHeight w:val="714" w:hRule="exact"/>
        </w:trPr>
        <w:tc>
          <w:tcPr>
            <w:tcW w:w="1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3" w:right="0"/>
              <w:jc w:val="left"/>
              <w:rPr>
                <w:rFonts w:ascii="Times New Roman" w:hAnsi="Times New Roman" w:cs="Times New Roman" w:eastAsia="Times New Roman" w:hint="default"/>
                <w:sz w:val="18"/>
                <w:szCs w:val="18"/>
              </w:rPr>
            </w:pPr>
            <w:r>
              <w:rPr>
                <w:rFonts w:ascii="Times New Roman"/>
                <w:sz w:val="18"/>
              </w:rPr>
              <w:t>250,00</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0.00</w:t>
            </w:r>
          </w:p>
        </w:tc>
        <w:tc>
          <w:tcPr>
            <w:tcW w:w="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2,301.</w:t>
            </w:r>
          </w:p>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11</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1,735.</w:t>
            </w:r>
          </w:p>
          <w:p>
            <w:pPr>
              <w:pStyle w:val="TableParagraph"/>
              <w:spacing w:line="240" w:lineRule="auto" w:before="105"/>
              <w:ind w:left="1" w:right="0"/>
              <w:jc w:val="center"/>
              <w:rPr>
                <w:rFonts w:ascii="Times New Roman" w:hAnsi="Times New Roman" w:cs="Times New Roman" w:eastAsia="Times New Roman" w:hint="default"/>
                <w:sz w:val="18"/>
                <w:szCs w:val="18"/>
              </w:rPr>
            </w:pPr>
            <w:r>
              <w:rPr>
                <w:rFonts w:ascii="Times New Roman"/>
                <w:sz w:val="18"/>
              </w:rPr>
              <w:t>74</w:t>
            </w:r>
          </w:p>
        </w:tc>
        <w:tc>
          <w:tcPr>
            <w:tcW w:w="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549"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212" w:right="0"/>
        <w:jc w:val="left"/>
      </w:pPr>
      <w:r>
        <w:rPr/>
        <w:t>委托理财出现预期无法收回本金或存在其他可能导致减值的情形</w:t>
      </w:r>
    </w:p>
    <w:p>
      <w:pPr>
        <w:pStyle w:val="BodyText"/>
        <w:spacing w:line="240" w:lineRule="auto" w:before="117"/>
        <w:ind w:left="21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6"/>
        <w:rPr>
          <w:rFonts w:ascii="宋体" w:hAnsi="宋体" w:cs="宋体" w:eastAsia="宋体" w:hint="default"/>
          <w:sz w:val="26"/>
          <w:szCs w:val="26"/>
        </w:rPr>
      </w:pPr>
    </w:p>
    <w:p>
      <w:pPr>
        <w:pStyle w:val="Heading5"/>
        <w:spacing w:line="240" w:lineRule="auto"/>
        <w:ind w:left="212" w:right="0"/>
        <w:jc w:val="left"/>
        <w:rPr>
          <w:b w:val="0"/>
          <w:bCs w:val="0"/>
        </w:rPr>
      </w:pPr>
      <w:bookmarkStart w:name="（2）委托贷款情况" w:id="96"/>
      <w:bookmarkEnd w:id="96"/>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11"/>
        <w:rPr>
          <w:rFonts w:ascii="宋体" w:hAnsi="宋体" w:cs="宋体" w:eastAsia="宋体" w:hint="default"/>
          <w:b/>
          <w:bCs/>
          <w:sz w:val="26"/>
          <w:szCs w:val="26"/>
        </w:rPr>
      </w:pPr>
    </w:p>
    <w:p>
      <w:pPr>
        <w:pStyle w:val="BodyText"/>
        <w:spacing w:line="340" w:lineRule="auto"/>
        <w:ind w:left="212"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 公司报告期不存在委托贷款。</w:t>
      </w:r>
    </w:p>
    <w:p>
      <w:pPr>
        <w:spacing w:line="240" w:lineRule="auto" w:before="10"/>
        <w:rPr>
          <w:rFonts w:ascii="宋体" w:hAnsi="宋体" w:cs="宋体" w:eastAsia="宋体" w:hint="default"/>
          <w:sz w:val="21"/>
          <w:szCs w:val="21"/>
        </w:rPr>
      </w:pPr>
    </w:p>
    <w:p>
      <w:pPr>
        <w:pStyle w:val="Heading5"/>
        <w:spacing w:line="240" w:lineRule="auto"/>
        <w:ind w:left="212" w:right="0"/>
        <w:jc w:val="left"/>
        <w:rPr>
          <w:b w:val="0"/>
          <w:bCs w:val="0"/>
        </w:rPr>
      </w:pPr>
      <w:bookmarkStart w:name="4、其他重大合同" w:id="97"/>
      <w:bookmarkEnd w:id="97"/>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left="21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2"/>
        <w:rPr>
          <w:rFonts w:ascii="宋体" w:hAnsi="宋体" w:cs="宋体" w:eastAsia="宋体" w:hint="default"/>
          <w:sz w:val="7"/>
          <w:szCs w:val="7"/>
        </w:rPr>
      </w:pPr>
    </w:p>
    <w:tbl>
      <w:tblPr>
        <w:tblW w:w="0" w:type="auto"/>
        <w:jc w:val="left"/>
        <w:tblInd w:w="101" w:type="dxa"/>
        <w:tblLayout w:type="fixed"/>
        <w:tblCellMar>
          <w:top w:w="0" w:type="dxa"/>
          <w:left w:w="0" w:type="dxa"/>
          <w:bottom w:w="0" w:type="dxa"/>
          <w:right w:w="0" w:type="dxa"/>
        </w:tblCellMar>
        <w:tblLook w:val="01E0"/>
      </w:tblPr>
      <w:tblGrid>
        <w:gridCol w:w="496"/>
        <w:gridCol w:w="639"/>
        <w:gridCol w:w="639"/>
        <w:gridCol w:w="639"/>
        <w:gridCol w:w="638"/>
        <w:gridCol w:w="639"/>
        <w:gridCol w:w="639"/>
        <w:gridCol w:w="638"/>
        <w:gridCol w:w="638"/>
        <w:gridCol w:w="740"/>
        <w:gridCol w:w="536"/>
        <w:gridCol w:w="638"/>
        <w:gridCol w:w="638"/>
        <w:gridCol w:w="638"/>
        <w:gridCol w:w="1156"/>
      </w:tblGrid>
      <w:tr>
        <w:trPr>
          <w:trHeight w:val="357" w:hRule="exact"/>
        </w:trPr>
        <w:tc>
          <w:tcPr>
            <w:tcW w:w="49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52" w:right="152"/>
              <w:jc w:val="both"/>
              <w:rPr>
                <w:rFonts w:ascii="宋体" w:hAnsi="宋体" w:cs="宋体" w:eastAsia="宋体" w:hint="default"/>
                <w:sz w:val="18"/>
                <w:szCs w:val="18"/>
              </w:rPr>
            </w:pPr>
            <w:r>
              <w:rPr>
                <w:rFonts w:ascii="宋体" w:hAnsi="宋体" w:cs="宋体" w:eastAsia="宋体" w:hint="default"/>
                <w:sz w:val="18"/>
                <w:szCs w:val="18"/>
              </w:rPr>
              <w:t>合 同 订 立 公 司 方 名 称</w:t>
            </w:r>
          </w:p>
        </w:tc>
        <w:tc>
          <w:tcPr>
            <w:tcW w:w="639"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合同</w:t>
            </w:r>
          </w:p>
        </w:tc>
        <w:tc>
          <w:tcPr>
            <w:tcW w:w="639"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合同</w:t>
            </w:r>
          </w:p>
        </w:tc>
        <w:tc>
          <w:tcPr>
            <w:tcW w:w="639"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1"/>
              <w:ind w:right="132"/>
              <w:jc w:val="right"/>
              <w:rPr>
                <w:rFonts w:ascii="宋体" w:hAnsi="宋体" w:cs="宋体" w:eastAsia="宋体" w:hint="default"/>
                <w:sz w:val="18"/>
                <w:szCs w:val="18"/>
              </w:rPr>
            </w:pPr>
            <w:r>
              <w:rPr>
                <w:rFonts w:ascii="宋体" w:hAnsi="宋体" w:cs="宋体" w:eastAsia="宋体" w:hint="default"/>
                <w:sz w:val="18"/>
                <w:szCs w:val="18"/>
              </w:rPr>
              <w:t>合同</w:t>
            </w:r>
          </w:p>
        </w:tc>
        <w:tc>
          <w:tcPr>
            <w:tcW w:w="638"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合同</w:t>
            </w:r>
          </w:p>
        </w:tc>
        <w:tc>
          <w:tcPr>
            <w:tcW w:w="639"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合同</w:t>
            </w:r>
          </w:p>
        </w:tc>
        <w:tc>
          <w:tcPr>
            <w:tcW w:w="639"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评估</w:t>
            </w:r>
          </w:p>
        </w:tc>
        <w:tc>
          <w:tcPr>
            <w:tcW w:w="638"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评估</w:t>
            </w:r>
          </w:p>
        </w:tc>
        <w:tc>
          <w:tcPr>
            <w:tcW w:w="638"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定价</w:t>
            </w:r>
          </w:p>
        </w:tc>
        <w:tc>
          <w:tcPr>
            <w:tcW w:w="740"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交易</w:t>
            </w:r>
          </w:p>
        </w:tc>
        <w:tc>
          <w:tcPr>
            <w:tcW w:w="53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72" w:right="172"/>
              <w:jc w:val="both"/>
              <w:rPr>
                <w:rFonts w:ascii="宋体" w:hAnsi="宋体" w:cs="宋体" w:eastAsia="宋体" w:hint="default"/>
                <w:sz w:val="18"/>
                <w:szCs w:val="18"/>
              </w:rPr>
            </w:pPr>
            <w:r>
              <w:rPr>
                <w:rFonts w:ascii="宋体" w:hAnsi="宋体" w:cs="宋体" w:eastAsia="宋体" w:hint="default"/>
                <w:sz w:val="18"/>
                <w:szCs w:val="18"/>
              </w:rPr>
              <w:t>是 否 关 联 交 易</w:t>
            </w:r>
          </w:p>
        </w:tc>
        <w:tc>
          <w:tcPr>
            <w:tcW w:w="638"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w:t>
            </w:r>
          </w:p>
        </w:tc>
        <w:tc>
          <w:tcPr>
            <w:tcW w:w="638"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截至</w:t>
            </w:r>
          </w:p>
        </w:tc>
        <w:tc>
          <w:tcPr>
            <w:tcW w:w="638"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披露</w:t>
            </w:r>
          </w:p>
        </w:tc>
        <w:tc>
          <w:tcPr>
            <w:tcW w:w="1156"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312" w:hRule="exact"/>
        </w:trPr>
        <w:tc>
          <w:tcPr>
            <w:tcW w:w="496" w:type="dxa"/>
            <w:vMerge/>
            <w:tcBorders>
              <w:left w:val="single" w:sz="4" w:space="0" w:color="000000"/>
              <w:right w:val="single" w:sz="4" w:space="0" w:color="000000"/>
            </w:tcBorders>
            <w:shd w:val="clear" w:color="auto" w:fill="D2D2D2"/>
          </w:tcPr>
          <w:p>
            <w:pPr/>
          </w:p>
        </w:tc>
        <w:tc>
          <w:tcPr>
            <w:tcW w:w="63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订立</w:t>
            </w:r>
          </w:p>
        </w:tc>
        <w:tc>
          <w:tcPr>
            <w:tcW w:w="63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标的</w:t>
            </w:r>
          </w:p>
        </w:tc>
        <w:tc>
          <w:tcPr>
            <w:tcW w:w="63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132"/>
              <w:jc w:val="right"/>
              <w:rPr>
                <w:rFonts w:ascii="宋体" w:hAnsi="宋体" w:cs="宋体" w:eastAsia="宋体" w:hint="default"/>
                <w:sz w:val="18"/>
                <w:szCs w:val="18"/>
              </w:rPr>
            </w:pPr>
            <w:r>
              <w:rPr>
                <w:rFonts w:ascii="宋体" w:hAnsi="宋体" w:cs="宋体" w:eastAsia="宋体" w:hint="default"/>
                <w:sz w:val="18"/>
                <w:szCs w:val="18"/>
              </w:rPr>
              <w:t>签订</w:t>
            </w:r>
          </w:p>
        </w:tc>
        <w:tc>
          <w:tcPr>
            <w:tcW w:w="6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涉及</w:t>
            </w:r>
          </w:p>
        </w:tc>
        <w:tc>
          <w:tcPr>
            <w:tcW w:w="63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涉及</w:t>
            </w:r>
          </w:p>
        </w:tc>
        <w:tc>
          <w:tcPr>
            <w:tcW w:w="63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6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基准</w:t>
            </w:r>
          </w:p>
        </w:tc>
        <w:tc>
          <w:tcPr>
            <w:tcW w:w="6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原则</w:t>
            </w:r>
          </w:p>
        </w:tc>
        <w:tc>
          <w:tcPr>
            <w:tcW w:w="74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价格</w:t>
            </w:r>
          </w:p>
        </w:tc>
        <w:tc>
          <w:tcPr>
            <w:tcW w:w="536" w:type="dxa"/>
            <w:vMerge/>
            <w:tcBorders>
              <w:left w:val="single" w:sz="4" w:space="0" w:color="000000"/>
              <w:right w:val="single" w:sz="4" w:space="0" w:color="000000"/>
            </w:tcBorders>
            <w:shd w:val="clear" w:color="auto" w:fill="D2D2D2"/>
          </w:tcPr>
          <w:p>
            <w:pPr/>
          </w:p>
        </w:tc>
        <w:tc>
          <w:tcPr>
            <w:tcW w:w="6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关系</w:t>
            </w:r>
          </w:p>
        </w:tc>
        <w:tc>
          <w:tcPr>
            <w:tcW w:w="6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报告</w:t>
            </w:r>
          </w:p>
        </w:tc>
        <w:tc>
          <w:tcPr>
            <w:tcW w:w="6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1156" w:type="dxa"/>
            <w:tcBorders>
              <w:top w:val="nil" w:sz="6" w:space="0" w:color="auto"/>
              <w:left w:val="single" w:sz="4" w:space="0" w:color="000000"/>
              <w:bottom w:val="nil" w:sz="6" w:space="0" w:color="auto"/>
              <w:right w:val="single" w:sz="4" w:space="0" w:color="000000"/>
            </w:tcBorders>
            <w:shd w:val="clear" w:color="auto" w:fill="D2D2D2"/>
          </w:tcPr>
          <w:p>
            <w:pPr/>
          </w:p>
        </w:tc>
      </w:tr>
      <w:tr>
        <w:trPr>
          <w:trHeight w:val="312" w:hRule="exact"/>
        </w:trPr>
        <w:tc>
          <w:tcPr>
            <w:tcW w:w="496" w:type="dxa"/>
            <w:vMerge/>
            <w:tcBorders>
              <w:left w:val="single" w:sz="4" w:space="0" w:color="000000"/>
              <w:right w:val="single" w:sz="4" w:space="0" w:color="000000"/>
            </w:tcBorders>
            <w:shd w:val="clear" w:color="auto" w:fill="D2D2D2"/>
          </w:tcPr>
          <w:p>
            <w:pPr/>
          </w:p>
        </w:tc>
        <w:tc>
          <w:tcPr>
            <w:tcW w:w="63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对方</w:t>
            </w:r>
          </w:p>
        </w:tc>
        <w:tc>
          <w:tcPr>
            <w:tcW w:w="639" w:type="dxa"/>
            <w:tcBorders>
              <w:top w:val="nil" w:sz="6" w:space="0" w:color="auto"/>
              <w:left w:val="single" w:sz="4" w:space="0" w:color="000000"/>
              <w:bottom w:val="nil" w:sz="6" w:space="0" w:color="auto"/>
              <w:right w:val="single" w:sz="4" w:space="0" w:color="000000"/>
            </w:tcBorders>
            <w:shd w:val="clear" w:color="auto" w:fill="D2D2D2"/>
          </w:tcPr>
          <w:p>
            <w:pPr/>
          </w:p>
        </w:tc>
        <w:tc>
          <w:tcPr>
            <w:tcW w:w="63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132"/>
              <w:jc w:val="right"/>
              <w:rPr>
                <w:rFonts w:ascii="宋体" w:hAnsi="宋体" w:cs="宋体" w:eastAsia="宋体" w:hint="default"/>
                <w:sz w:val="18"/>
                <w:szCs w:val="18"/>
              </w:rPr>
            </w:pPr>
            <w:r>
              <w:rPr>
                <w:rFonts w:ascii="宋体" w:hAnsi="宋体" w:cs="宋体" w:eastAsia="宋体" w:hint="default"/>
                <w:sz w:val="18"/>
                <w:szCs w:val="18"/>
              </w:rPr>
              <w:t>日期</w:t>
            </w:r>
          </w:p>
        </w:tc>
        <w:tc>
          <w:tcPr>
            <w:tcW w:w="6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资产</w:t>
            </w:r>
          </w:p>
        </w:tc>
        <w:tc>
          <w:tcPr>
            <w:tcW w:w="63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资产</w:t>
            </w:r>
          </w:p>
        </w:tc>
        <w:tc>
          <w:tcPr>
            <w:tcW w:w="63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6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638" w:type="dxa"/>
            <w:tcBorders>
              <w:top w:val="nil" w:sz="6" w:space="0" w:color="auto"/>
              <w:left w:val="single" w:sz="4" w:space="0" w:color="000000"/>
              <w:bottom w:val="nil" w:sz="6" w:space="0" w:color="auto"/>
              <w:right w:val="single" w:sz="4" w:space="0" w:color="000000"/>
            </w:tcBorders>
            <w:shd w:val="clear" w:color="auto" w:fill="D2D2D2"/>
          </w:tcPr>
          <w:p>
            <w:pPr/>
          </w:p>
        </w:tc>
        <w:tc>
          <w:tcPr>
            <w:tcW w:w="74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（万</w:t>
            </w:r>
          </w:p>
        </w:tc>
        <w:tc>
          <w:tcPr>
            <w:tcW w:w="536" w:type="dxa"/>
            <w:vMerge/>
            <w:tcBorders>
              <w:left w:val="single" w:sz="4" w:space="0" w:color="000000"/>
              <w:right w:val="single" w:sz="4" w:space="0" w:color="000000"/>
            </w:tcBorders>
            <w:shd w:val="clear" w:color="auto" w:fill="D2D2D2"/>
          </w:tcPr>
          <w:p>
            <w:pPr/>
          </w:p>
        </w:tc>
        <w:tc>
          <w:tcPr>
            <w:tcW w:w="638" w:type="dxa"/>
            <w:tcBorders>
              <w:top w:val="nil" w:sz="6" w:space="0" w:color="auto"/>
              <w:left w:val="single" w:sz="4" w:space="0" w:color="000000"/>
              <w:bottom w:val="nil" w:sz="6" w:space="0" w:color="auto"/>
              <w:right w:val="single" w:sz="4" w:space="0" w:color="000000"/>
            </w:tcBorders>
            <w:shd w:val="clear" w:color="auto" w:fill="D2D2D2"/>
          </w:tcPr>
          <w:p>
            <w:pPr/>
          </w:p>
        </w:tc>
        <w:tc>
          <w:tcPr>
            <w:tcW w:w="6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期末</w:t>
            </w:r>
          </w:p>
        </w:tc>
        <w:tc>
          <w:tcPr>
            <w:tcW w:w="638" w:type="dxa"/>
            <w:tcBorders>
              <w:top w:val="nil" w:sz="6" w:space="0" w:color="auto"/>
              <w:left w:val="single" w:sz="4" w:space="0" w:color="000000"/>
              <w:bottom w:val="nil" w:sz="6" w:space="0" w:color="auto"/>
              <w:right w:val="single" w:sz="4" w:space="0" w:color="000000"/>
            </w:tcBorders>
            <w:shd w:val="clear" w:color="auto" w:fill="D2D2D2"/>
          </w:tcPr>
          <w:p>
            <w:pPr/>
          </w:p>
        </w:tc>
        <w:tc>
          <w:tcPr>
            <w:tcW w:w="1156" w:type="dxa"/>
            <w:tcBorders>
              <w:top w:val="nil" w:sz="6" w:space="0" w:color="auto"/>
              <w:left w:val="single" w:sz="4" w:space="0" w:color="000000"/>
              <w:bottom w:val="nil" w:sz="6" w:space="0" w:color="auto"/>
              <w:right w:val="single" w:sz="4" w:space="0" w:color="000000"/>
            </w:tcBorders>
            <w:shd w:val="clear" w:color="auto" w:fill="D2D2D2"/>
          </w:tcPr>
          <w:p>
            <w:pPr/>
          </w:p>
        </w:tc>
      </w:tr>
      <w:tr>
        <w:trPr>
          <w:trHeight w:val="312" w:hRule="exact"/>
        </w:trPr>
        <w:tc>
          <w:tcPr>
            <w:tcW w:w="496" w:type="dxa"/>
            <w:vMerge/>
            <w:tcBorders>
              <w:left w:val="single" w:sz="4" w:space="0" w:color="000000"/>
              <w:right w:val="single" w:sz="4" w:space="0" w:color="000000"/>
            </w:tcBorders>
            <w:shd w:val="clear" w:color="auto" w:fill="D2D2D2"/>
          </w:tcPr>
          <w:p>
            <w:pPr/>
          </w:p>
        </w:tc>
        <w:tc>
          <w:tcPr>
            <w:tcW w:w="63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639" w:type="dxa"/>
            <w:tcBorders>
              <w:top w:val="nil" w:sz="6" w:space="0" w:color="auto"/>
              <w:left w:val="single" w:sz="4" w:space="0" w:color="000000"/>
              <w:bottom w:val="nil" w:sz="6" w:space="0" w:color="auto"/>
              <w:right w:val="single" w:sz="4" w:space="0" w:color="000000"/>
            </w:tcBorders>
            <w:shd w:val="clear" w:color="auto" w:fill="D2D2D2"/>
          </w:tcPr>
          <w:p>
            <w:pPr/>
          </w:p>
        </w:tc>
        <w:tc>
          <w:tcPr>
            <w:tcW w:w="639" w:type="dxa"/>
            <w:tcBorders>
              <w:top w:val="nil" w:sz="6" w:space="0" w:color="auto"/>
              <w:left w:val="single" w:sz="4" w:space="0" w:color="000000"/>
              <w:bottom w:val="nil" w:sz="6" w:space="0" w:color="auto"/>
              <w:right w:val="single" w:sz="4" w:space="0" w:color="000000"/>
            </w:tcBorders>
            <w:shd w:val="clear" w:color="auto" w:fill="D2D2D2"/>
          </w:tcPr>
          <w:p>
            <w:pPr/>
          </w:p>
        </w:tc>
        <w:tc>
          <w:tcPr>
            <w:tcW w:w="6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的账</w:t>
            </w:r>
          </w:p>
        </w:tc>
        <w:tc>
          <w:tcPr>
            <w:tcW w:w="63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的评</w:t>
            </w:r>
          </w:p>
        </w:tc>
        <w:tc>
          <w:tcPr>
            <w:tcW w:w="639" w:type="dxa"/>
            <w:tcBorders>
              <w:top w:val="nil" w:sz="6" w:space="0" w:color="auto"/>
              <w:left w:val="single" w:sz="4" w:space="0" w:color="000000"/>
              <w:bottom w:val="nil" w:sz="6" w:space="0" w:color="auto"/>
              <w:right w:val="single" w:sz="4" w:space="0" w:color="000000"/>
            </w:tcBorders>
            <w:shd w:val="clear" w:color="auto" w:fill="D2D2D2"/>
          </w:tcPr>
          <w:p>
            <w:pPr/>
          </w:p>
        </w:tc>
        <w:tc>
          <w:tcPr>
            <w:tcW w:w="638" w:type="dxa"/>
            <w:tcBorders>
              <w:top w:val="nil" w:sz="6" w:space="0" w:color="auto"/>
              <w:left w:val="single" w:sz="4" w:space="0" w:color="000000"/>
              <w:bottom w:val="nil" w:sz="6" w:space="0" w:color="auto"/>
              <w:right w:val="single" w:sz="4" w:space="0" w:color="000000"/>
            </w:tcBorders>
            <w:shd w:val="clear" w:color="auto" w:fill="D2D2D2"/>
          </w:tcPr>
          <w:p>
            <w:pPr/>
          </w:p>
        </w:tc>
        <w:tc>
          <w:tcPr>
            <w:tcW w:w="638" w:type="dxa"/>
            <w:tcBorders>
              <w:top w:val="nil" w:sz="6" w:space="0" w:color="auto"/>
              <w:left w:val="single" w:sz="4" w:space="0" w:color="000000"/>
              <w:bottom w:val="nil" w:sz="6" w:space="0" w:color="auto"/>
              <w:right w:val="single" w:sz="4" w:space="0" w:color="000000"/>
            </w:tcBorders>
            <w:shd w:val="clear" w:color="auto" w:fill="D2D2D2"/>
          </w:tcPr>
          <w:p>
            <w:pPr/>
          </w:p>
        </w:tc>
        <w:tc>
          <w:tcPr>
            <w:tcW w:w="74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元）</w:t>
            </w:r>
          </w:p>
        </w:tc>
        <w:tc>
          <w:tcPr>
            <w:tcW w:w="536" w:type="dxa"/>
            <w:vMerge/>
            <w:tcBorders>
              <w:left w:val="single" w:sz="4" w:space="0" w:color="000000"/>
              <w:right w:val="single" w:sz="4" w:space="0" w:color="000000"/>
            </w:tcBorders>
            <w:shd w:val="clear" w:color="auto" w:fill="D2D2D2"/>
          </w:tcPr>
          <w:p>
            <w:pPr/>
          </w:p>
        </w:tc>
        <w:tc>
          <w:tcPr>
            <w:tcW w:w="638" w:type="dxa"/>
            <w:tcBorders>
              <w:top w:val="nil" w:sz="6" w:space="0" w:color="auto"/>
              <w:left w:val="single" w:sz="4" w:space="0" w:color="000000"/>
              <w:bottom w:val="nil" w:sz="6" w:space="0" w:color="auto"/>
              <w:right w:val="single" w:sz="4" w:space="0" w:color="000000"/>
            </w:tcBorders>
            <w:shd w:val="clear" w:color="auto" w:fill="D2D2D2"/>
          </w:tcPr>
          <w:p>
            <w:pPr/>
          </w:p>
        </w:tc>
        <w:tc>
          <w:tcPr>
            <w:tcW w:w="6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的执</w:t>
            </w:r>
          </w:p>
        </w:tc>
        <w:tc>
          <w:tcPr>
            <w:tcW w:w="638" w:type="dxa"/>
            <w:tcBorders>
              <w:top w:val="nil" w:sz="6" w:space="0" w:color="auto"/>
              <w:left w:val="single" w:sz="4" w:space="0" w:color="000000"/>
              <w:bottom w:val="nil" w:sz="6" w:space="0" w:color="auto"/>
              <w:right w:val="single" w:sz="4" w:space="0" w:color="000000"/>
            </w:tcBorders>
            <w:shd w:val="clear" w:color="auto" w:fill="D2D2D2"/>
          </w:tcPr>
          <w:p>
            <w:pPr/>
          </w:p>
        </w:tc>
        <w:tc>
          <w:tcPr>
            <w:tcW w:w="1156" w:type="dxa"/>
            <w:tcBorders>
              <w:top w:val="nil" w:sz="6" w:space="0" w:color="auto"/>
              <w:left w:val="single" w:sz="4" w:space="0" w:color="000000"/>
              <w:bottom w:val="nil" w:sz="6" w:space="0" w:color="auto"/>
              <w:right w:val="single" w:sz="4" w:space="0" w:color="000000"/>
            </w:tcBorders>
            <w:shd w:val="clear" w:color="auto" w:fill="D2D2D2"/>
          </w:tcPr>
          <w:p>
            <w:pPr/>
          </w:p>
        </w:tc>
      </w:tr>
      <w:tr>
        <w:trPr>
          <w:trHeight w:val="312" w:hRule="exact"/>
        </w:trPr>
        <w:tc>
          <w:tcPr>
            <w:tcW w:w="496" w:type="dxa"/>
            <w:vMerge/>
            <w:tcBorders>
              <w:left w:val="single" w:sz="4" w:space="0" w:color="000000"/>
              <w:right w:val="single" w:sz="4" w:space="0" w:color="000000"/>
            </w:tcBorders>
            <w:shd w:val="clear" w:color="auto" w:fill="D2D2D2"/>
          </w:tcPr>
          <w:p>
            <w:pPr/>
          </w:p>
        </w:tc>
        <w:tc>
          <w:tcPr>
            <w:tcW w:w="639" w:type="dxa"/>
            <w:tcBorders>
              <w:top w:val="nil" w:sz="6" w:space="0" w:color="auto"/>
              <w:left w:val="single" w:sz="4" w:space="0" w:color="000000"/>
              <w:bottom w:val="nil" w:sz="6" w:space="0" w:color="auto"/>
              <w:right w:val="single" w:sz="4" w:space="0" w:color="000000"/>
            </w:tcBorders>
            <w:shd w:val="clear" w:color="auto" w:fill="D2D2D2"/>
          </w:tcPr>
          <w:p>
            <w:pPr/>
          </w:p>
        </w:tc>
        <w:tc>
          <w:tcPr>
            <w:tcW w:w="639" w:type="dxa"/>
            <w:tcBorders>
              <w:top w:val="nil" w:sz="6" w:space="0" w:color="auto"/>
              <w:left w:val="single" w:sz="4" w:space="0" w:color="000000"/>
              <w:bottom w:val="nil" w:sz="6" w:space="0" w:color="auto"/>
              <w:right w:val="single" w:sz="4" w:space="0" w:color="000000"/>
            </w:tcBorders>
            <w:shd w:val="clear" w:color="auto" w:fill="D2D2D2"/>
          </w:tcPr>
          <w:p>
            <w:pPr/>
          </w:p>
        </w:tc>
        <w:tc>
          <w:tcPr>
            <w:tcW w:w="639" w:type="dxa"/>
            <w:tcBorders>
              <w:top w:val="nil" w:sz="6" w:space="0" w:color="auto"/>
              <w:left w:val="single" w:sz="4" w:space="0" w:color="000000"/>
              <w:bottom w:val="nil" w:sz="6" w:space="0" w:color="auto"/>
              <w:right w:val="single" w:sz="4" w:space="0" w:color="000000"/>
            </w:tcBorders>
            <w:shd w:val="clear" w:color="auto" w:fill="D2D2D2"/>
          </w:tcPr>
          <w:p>
            <w:pPr/>
          </w:p>
        </w:tc>
        <w:tc>
          <w:tcPr>
            <w:tcW w:w="6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面价</w:t>
            </w:r>
          </w:p>
        </w:tc>
        <w:tc>
          <w:tcPr>
            <w:tcW w:w="63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估价</w:t>
            </w:r>
          </w:p>
        </w:tc>
        <w:tc>
          <w:tcPr>
            <w:tcW w:w="639" w:type="dxa"/>
            <w:tcBorders>
              <w:top w:val="nil" w:sz="6" w:space="0" w:color="auto"/>
              <w:left w:val="single" w:sz="4" w:space="0" w:color="000000"/>
              <w:bottom w:val="nil" w:sz="6" w:space="0" w:color="auto"/>
              <w:right w:val="single" w:sz="4" w:space="0" w:color="000000"/>
            </w:tcBorders>
            <w:shd w:val="clear" w:color="auto" w:fill="D2D2D2"/>
          </w:tcPr>
          <w:p>
            <w:pPr/>
          </w:p>
        </w:tc>
        <w:tc>
          <w:tcPr>
            <w:tcW w:w="638" w:type="dxa"/>
            <w:tcBorders>
              <w:top w:val="nil" w:sz="6" w:space="0" w:color="auto"/>
              <w:left w:val="single" w:sz="4" w:space="0" w:color="000000"/>
              <w:bottom w:val="nil" w:sz="6" w:space="0" w:color="auto"/>
              <w:right w:val="single" w:sz="4" w:space="0" w:color="000000"/>
            </w:tcBorders>
            <w:shd w:val="clear" w:color="auto" w:fill="D2D2D2"/>
          </w:tcPr>
          <w:p>
            <w:pPr/>
          </w:p>
        </w:tc>
        <w:tc>
          <w:tcPr>
            <w:tcW w:w="638" w:type="dxa"/>
            <w:tcBorders>
              <w:top w:val="nil" w:sz="6" w:space="0" w:color="auto"/>
              <w:left w:val="single" w:sz="4" w:space="0" w:color="000000"/>
              <w:bottom w:val="nil" w:sz="6" w:space="0" w:color="auto"/>
              <w:right w:val="single" w:sz="4" w:space="0" w:color="000000"/>
            </w:tcBorders>
            <w:shd w:val="clear" w:color="auto" w:fill="D2D2D2"/>
          </w:tcPr>
          <w:p>
            <w:pPr/>
          </w:p>
        </w:tc>
        <w:tc>
          <w:tcPr>
            <w:tcW w:w="740" w:type="dxa"/>
            <w:tcBorders>
              <w:top w:val="nil" w:sz="6" w:space="0" w:color="auto"/>
              <w:left w:val="single" w:sz="4" w:space="0" w:color="000000"/>
              <w:bottom w:val="nil" w:sz="6" w:space="0" w:color="auto"/>
              <w:right w:val="single" w:sz="4" w:space="0" w:color="000000"/>
            </w:tcBorders>
            <w:shd w:val="clear" w:color="auto" w:fill="D2D2D2"/>
          </w:tcPr>
          <w:p>
            <w:pPr/>
          </w:p>
        </w:tc>
        <w:tc>
          <w:tcPr>
            <w:tcW w:w="536" w:type="dxa"/>
            <w:vMerge/>
            <w:tcBorders>
              <w:left w:val="single" w:sz="4" w:space="0" w:color="000000"/>
              <w:right w:val="single" w:sz="4" w:space="0" w:color="000000"/>
            </w:tcBorders>
            <w:shd w:val="clear" w:color="auto" w:fill="D2D2D2"/>
          </w:tcPr>
          <w:p>
            <w:pPr/>
          </w:p>
        </w:tc>
        <w:tc>
          <w:tcPr>
            <w:tcW w:w="638" w:type="dxa"/>
            <w:tcBorders>
              <w:top w:val="nil" w:sz="6" w:space="0" w:color="auto"/>
              <w:left w:val="single" w:sz="4" w:space="0" w:color="000000"/>
              <w:bottom w:val="nil" w:sz="6" w:space="0" w:color="auto"/>
              <w:right w:val="single" w:sz="4" w:space="0" w:color="000000"/>
            </w:tcBorders>
            <w:shd w:val="clear" w:color="auto" w:fill="D2D2D2"/>
          </w:tcPr>
          <w:p>
            <w:pPr/>
          </w:p>
        </w:tc>
        <w:tc>
          <w:tcPr>
            <w:tcW w:w="6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行情</w:t>
            </w:r>
          </w:p>
        </w:tc>
        <w:tc>
          <w:tcPr>
            <w:tcW w:w="638" w:type="dxa"/>
            <w:tcBorders>
              <w:top w:val="nil" w:sz="6" w:space="0" w:color="auto"/>
              <w:left w:val="single" w:sz="4" w:space="0" w:color="000000"/>
              <w:bottom w:val="nil" w:sz="6" w:space="0" w:color="auto"/>
              <w:right w:val="single" w:sz="4" w:space="0" w:color="000000"/>
            </w:tcBorders>
            <w:shd w:val="clear" w:color="auto" w:fill="D2D2D2"/>
          </w:tcPr>
          <w:p>
            <w:pPr/>
          </w:p>
        </w:tc>
        <w:tc>
          <w:tcPr>
            <w:tcW w:w="1156" w:type="dxa"/>
            <w:tcBorders>
              <w:top w:val="nil" w:sz="6" w:space="0" w:color="auto"/>
              <w:left w:val="single" w:sz="4" w:space="0" w:color="000000"/>
              <w:bottom w:val="nil" w:sz="6" w:space="0" w:color="auto"/>
              <w:right w:val="single" w:sz="4" w:space="0" w:color="000000"/>
            </w:tcBorders>
            <w:shd w:val="clear" w:color="auto" w:fill="D2D2D2"/>
          </w:tcPr>
          <w:p>
            <w:pPr/>
          </w:p>
        </w:tc>
      </w:tr>
      <w:tr>
        <w:trPr>
          <w:trHeight w:val="312" w:hRule="exact"/>
        </w:trPr>
        <w:tc>
          <w:tcPr>
            <w:tcW w:w="496" w:type="dxa"/>
            <w:vMerge/>
            <w:tcBorders>
              <w:left w:val="single" w:sz="4" w:space="0" w:color="000000"/>
              <w:right w:val="single" w:sz="4" w:space="0" w:color="000000"/>
            </w:tcBorders>
            <w:shd w:val="clear" w:color="auto" w:fill="D2D2D2"/>
          </w:tcPr>
          <w:p>
            <w:pPr/>
          </w:p>
        </w:tc>
        <w:tc>
          <w:tcPr>
            <w:tcW w:w="639" w:type="dxa"/>
            <w:tcBorders>
              <w:top w:val="nil" w:sz="6" w:space="0" w:color="auto"/>
              <w:left w:val="single" w:sz="4" w:space="0" w:color="000000"/>
              <w:bottom w:val="nil" w:sz="6" w:space="0" w:color="auto"/>
              <w:right w:val="single" w:sz="4" w:space="0" w:color="000000"/>
            </w:tcBorders>
            <w:shd w:val="clear" w:color="auto" w:fill="D2D2D2"/>
          </w:tcPr>
          <w:p>
            <w:pPr/>
          </w:p>
        </w:tc>
        <w:tc>
          <w:tcPr>
            <w:tcW w:w="639" w:type="dxa"/>
            <w:tcBorders>
              <w:top w:val="nil" w:sz="6" w:space="0" w:color="auto"/>
              <w:left w:val="single" w:sz="4" w:space="0" w:color="000000"/>
              <w:bottom w:val="nil" w:sz="6" w:space="0" w:color="auto"/>
              <w:right w:val="single" w:sz="4" w:space="0" w:color="000000"/>
            </w:tcBorders>
            <w:shd w:val="clear" w:color="auto" w:fill="D2D2D2"/>
          </w:tcPr>
          <w:p>
            <w:pPr/>
          </w:p>
        </w:tc>
        <w:tc>
          <w:tcPr>
            <w:tcW w:w="639" w:type="dxa"/>
            <w:tcBorders>
              <w:top w:val="nil" w:sz="6" w:space="0" w:color="auto"/>
              <w:left w:val="single" w:sz="4" w:space="0" w:color="000000"/>
              <w:bottom w:val="nil" w:sz="6" w:space="0" w:color="auto"/>
              <w:right w:val="single" w:sz="4" w:space="0" w:color="000000"/>
            </w:tcBorders>
            <w:shd w:val="clear" w:color="auto" w:fill="D2D2D2"/>
          </w:tcPr>
          <w:p>
            <w:pPr/>
          </w:p>
        </w:tc>
        <w:tc>
          <w:tcPr>
            <w:tcW w:w="6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值</w:t>
            </w:r>
          </w:p>
        </w:tc>
        <w:tc>
          <w:tcPr>
            <w:tcW w:w="63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值</w:t>
            </w:r>
          </w:p>
        </w:tc>
        <w:tc>
          <w:tcPr>
            <w:tcW w:w="639" w:type="dxa"/>
            <w:tcBorders>
              <w:top w:val="nil" w:sz="6" w:space="0" w:color="auto"/>
              <w:left w:val="single" w:sz="4" w:space="0" w:color="000000"/>
              <w:bottom w:val="nil" w:sz="6" w:space="0" w:color="auto"/>
              <w:right w:val="single" w:sz="4" w:space="0" w:color="000000"/>
            </w:tcBorders>
            <w:shd w:val="clear" w:color="auto" w:fill="D2D2D2"/>
          </w:tcPr>
          <w:p>
            <w:pPr/>
          </w:p>
        </w:tc>
        <w:tc>
          <w:tcPr>
            <w:tcW w:w="638" w:type="dxa"/>
            <w:tcBorders>
              <w:top w:val="nil" w:sz="6" w:space="0" w:color="auto"/>
              <w:left w:val="single" w:sz="4" w:space="0" w:color="000000"/>
              <w:bottom w:val="nil" w:sz="6" w:space="0" w:color="auto"/>
              <w:right w:val="single" w:sz="4" w:space="0" w:color="000000"/>
            </w:tcBorders>
            <w:shd w:val="clear" w:color="auto" w:fill="D2D2D2"/>
          </w:tcPr>
          <w:p>
            <w:pPr/>
          </w:p>
        </w:tc>
        <w:tc>
          <w:tcPr>
            <w:tcW w:w="638" w:type="dxa"/>
            <w:tcBorders>
              <w:top w:val="nil" w:sz="6" w:space="0" w:color="auto"/>
              <w:left w:val="single" w:sz="4" w:space="0" w:color="000000"/>
              <w:bottom w:val="nil" w:sz="6" w:space="0" w:color="auto"/>
              <w:right w:val="single" w:sz="4" w:space="0" w:color="000000"/>
            </w:tcBorders>
            <w:shd w:val="clear" w:color="auto" w:fill="D2D2D2"/>
          </w:tcPr>
          <w:p>
            <w:pPr/>
          </w:p>
        </w:tc>
        <w:tc>
          <w:tcPr>
            <w:tcW w:w="740" w:type="dxa"/>
            <w:tcBorders>
              <w:top w:val="nil" w:sz="6" w:space="0" w:color="auto"/>
              <w:left w:val="single" w:sz="4" w:space="0" w:color="000000"/>
              <w:bottom w:val="nil" w:sz="6" w:space="0" w:color="auto"/>
              <w:right w:val="single" w:sz="4" w:space="0" w:color="000000"/>
            </w:tcBorders>
            <w:shd w:val="clear" w:color="auto" w:fill="D2D2D2"/>
          </w:tcPr>
          <w:p>
            <w:pPr/>
          </w:p>
        </w:tc>
        <w:tc>
          <w:tcPr>
            <w:tcW w:w="536" w:type="dxa"/>
            <w:vMerge/>
            <w:tcBorders>
              <w:left w:val="single" w:sz="4" w:space="0" w:color="000000"/>
              <w:right w:val="single" w:sz="4" w:space="0" w:color="000000"/>
            </w:tcBorders>
            <w:shd w:val="clear" w:color="auto" w:fill="D2D2D2"/>
          </w:tcPr>
          <w:p>
            <w:pPr/>
          </w:p>
        </w:tc>
        <w:tc>
          <w:tcPr>
            <w:tcW w:w="638" w:type="dxa"/>
            <w:tcBorders>
              <w:top w:val="nil" w:sz="6" w:space="0" w:color="auto"/>
              <w:left w:val="single" w:sz="4" w:space="0" w:color="000000"/>
              <w:bottom w:val="nil" w:sz="6" w:space="0" w:color="auto"/>
              <w:right w:val="single" w:sz="4" w:space="0" w:color="000000"/>
            </w:tcBorders>
            <w:shd w:val="clear" w:color="auto" w:fill="D2D2D2"/>
          </w:tcPr>
          <w:p>
            <w:pPr/>
          </w:p>
        </w:tc>
        <w:tc>
          <w:tcPr>
            <w:tcW w:w="6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况</w:t>
            </w:r>
          </w:p>
        </w:tc>
        <w:tc>
          <w:tcPr>
            <w:tcW w:w="638" w:type="dxa"/>
            <w:tcBorders>
              <w:top w:val="nil" w:sz="6" w:space="0" w:color="auto"/>
              <w:left w:val="single" w:sz="4" w:space="0" w:color="000000"/>
              <w:bottom w:val="nil" w:sz="6" w:space="0" w:color="auto"/>
              <w:right w:val="single" w:sz="4" w:space="0" w:color="000000"/>
            </w:tcBorders>
            <w:shd w:val="clear" w:color="auto" w:fill="D2D2D2"/>
          </w:tcPr>
          <w:p>
            <w:pPr/>
          </w:p>
        </w:tc>
        <w:tc>
          <w:tcPr>
            <w:tcW w:w="1156" w:type="dxa"/>
            <w:tcBorders>
              <w:top w:val="nil" w:sz="6" w:space="0" w:color="auto"/>
              <w:left w:val="single" w:sz="4" w:space="0" w:color="000000"/>
              <w:bottom w:val="nil" w:sz="6" w:space="0" w:color="auto"/>
              <w:right w:val="single" w:sz="4" w:space="0" w:color="000000"/>
            </w:tcBorders>
            <w:shd w:val="clear" w:color="auto" w:fill="D2D2D2"/>
          </w:tcPr>
          <w:p>
            <w:pPr/>
          </w:p>
        </w:tc>
      </w:tr>
      <w:tr>
        <w:trPr>
          <w:trHeight w:val="312" w:hRule="exact"/>
        </w:trPr>
        <w:tc>
          <w:tcPr>
            <w:tcW w:w="496" w:type="dxa"/>
            <w:vMerge/>
            <w:tcBorders>
              <w:left w:val="single" w:sz="4" w:space="0" w:color="000000"/>
              <w:right w:val="single" w:sz="4" w:space="0" w:color="000000"/>
            </w:tcBorders>
            <w:shd w:val="clear" w:color="auto" w:fill="D2D2D2"/>
          </w:tcPr>
          <w:p>
            <w:pPr/>
          </w:p>
        </w:tc>
        <w:tc>
          <w:tcPr>
            <w:tcW w:w="639" w:type="dxa"/>
            <w:tcBorders>
              <w:top w:val="nil" w:sz="6" w:space="0" w:color="auto"/>
              <w:left w:val="single" w:sz="4" w:space="0" w:color="000000"/>
              <w:bottom w:val="nil" w:sz="6" w:space="0" w:color="auto"/>
              <w:right w:val="single" w:sz="4" w:space="0" w:color="000000"/>
            </w:tcBorders>
            <w:shd w:val="clear" w:color="auto" w:fill="D2D2D2"/>
          </w:tcPr>
          <w:p>
            <w:pPr/>
          </w:p>
        </w:tc>
        <w:tc>
          <w:tcPr>
            <w:tcW w:w="639" w:type="dxa"/>
            <w:tcBorders>
              <w:top w:val="nil" w:sz="6" w:space="0" w:color="auto"/>
              <w:left w:val="single" w:sz="4" w:space="0" w:color="000000"/>
              <w:bottom w:val="nil" w:sz="6" w:space="0" w:color="auto"/>
              <w:right w:val="single" w:sz="4" w:space="0" w:color="000000"/>
            </w:tcBorders>
            <w:shd w:val="clear" w:color="auto" w:fill="D2D2D2"/>
          </w:tcPr>
          <w:p>
            <w:pPr/>
          </w:p>
        </w:tc>
        <w:tc>
          <w:tcPr>
            <w:tcW w:w="639" w:type="dxa"/>
            <w:tcBorders>
              <w:top w:val="nil" w:sz="6" w:space="0" w:color="auto"/>
              <w:left w:val="single" w:sz="4" w:space="0" w:color="000000"/>
              <w:bottom w:val="nil" w:sz="6" w:space="0" w:color="auto"/>
              <w:right w:val="single" w:sz="4" w:space="0" w:color="000000"/>
            </w:tcBorders>
            <w:shd w:val="clear" w:color="auto" w:fill="D2D2D2"/>
          </w:tcPr>
          <w:p>
            <w:pPr/>
          </w:p>
        </w:tc>
        <w:tc>
          <w:tcPr>
            <w:tcW w:w="6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（万</w:t>
            </w:r>
          </w:p>
        </w:tc>
        <w:tc>
          <w:tcPr>
            <w:tcW w:w="63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（万</w:t>
            </w:r>
          </w:p>
        </w:tc>
        <w:tc>
          <w:tcPr>
            <w:tcW w:w="639" w:type="dxa"/>
            <w:tcBorders>
              <w:top w:val="nil" w:sz="6" w:space="0" w:color="auto"/>
              <w:left w:val="single" w:sz="4" w:space="0" w:color="000000"/>
              <w:bottom w:val="nil" w:sz="6" w:space="0" w:color="auto"/>
              <w:right w:val="single" w:sz="4" w:space="0" w:color="000000"/>
            </w:tcBorders>
            <w:shd w:val="clear" w:color="auto" w:fill="D2D2D2"/>
          </w:tcPr>
          <w:p>
            <w:pPr/>
          </w:p>
        </w:tc>
        <w:tc>
          <w:tcPr>
            <w:tcW w:w="638" w:type="dxa"/>
            <w:tcBorders>
              <w:top w:val="nil" w:sz="6" w:space="0" w:color="auto"/>
              <w:left w:val="single" w:sz="4" w:space="0" w:color="000000"/>
              <w:bottom w:val="nil" w:sz="6" w:space="0" w:color="auto"/>
              <w:right w:val="single" w:sz="4" w:space="0" w:color="000000"/>
            </w:tcBorders>
            <w:shd w:val="clear" w:color="auto" w:fill="D2D2D2"/>
          </w:tcPr>
          <w:p>
            <w:pPr/>
          </w:p>
        </w:tc>
        <w:tc>
          <w:tcPr>
            <w:tcW w:w="638" w:type="dxa"/>
            <w:tcBorders>
              <w:top w:val="nil" w:sz="6" w:space="0" w:color="auto"/>
              <w:left w:val="single" w:sz="4" w:space="0" w:color="000000"/>
              <w:bottom w:val="nil" w:sz="6" w:space="0" w:color="auto"/>
              <w:right w:val="single" w:sz="4" w:space="0" w:color="000000"/>
            </w:tcBorders>
            <w:shd w:val="clear" w:color="auto" w:fill="D2D2D2"/>
          </w:tcPr>
          <w:p>
            <w:pPr/>
          </w:p>
        </w:tc>
        <w:tc>
          <w:tcPr>
            <w:tcW w:w="740" w:type="dxa"/>
            <w:tcBorders>
              <w:top w:val="nil" w:sz="6" w:space="0" w:color="auto"/>
              <w:left w:val="single" w:sz="4" w:space="0" w:color="000000"/>
              <w:bottom w:val="nil" w:sz="6" w:space="0" w:color="auto"/>
              <w:right w:val="single" w:sz="4" w:space="0" w:color="000000"/>
            </w:tcBorders>
            <w:shd w:val="clear" w:color="auto" w:fill="D2D2D2"/>
          </w:tcPr>
          <w:p>
            <w:pPr/>
          </w:p>
        </w:tc>
        <w:tc>
          <w:tcPr>
            <w:tcW w:w="536" w:type="dxa"/>
            <w:vMerge/>
            <w:tcBorders>
              <w:left w:val="single" w:sz="4" w:space="0" w:color="000000"/>
              <w:right w:val="single" w:sz="4" w:space="0" w:color="000000"/>
            </w:tcBorders>
            <w:shd w:val="clear" w:color="auto" w:fill="D2D2D2"/>
          </w:tcPr>
          <w:p>
            <w:pPr/>
          </w:p>
        </w:tc>
        <w:tc>
          <w:tcPr>
            <w:tcW w:w="638" w:type="dxa"/>
            <w:tcBorders>
              <w:top w:val="nil" w:sz="6" w:space="0" w:color="auto"/>
              <w:left w:val="single" w:sz="4" w:space="0" w:color="000000"/>
              <w:bottom w:val="nil" w:sz="6" w:space="0" w:color="auto"/>
              <w:right w:val="single" w:sz="4" w:space="0" w:color="000000"/>
            </w:tcBorders>
            <w:shd w:val="clear" w:color="auto" w:fill="D2D2D2"/>
          </w:tcPr>
          <w:p>
            <w:pPr/>
          </w:p>
        </w:tc>
        <w:tc>
          <w:tcPr>
            <w:tcW w:w="638" w:type="dxa"/>
            <w:tcBorders>
              <w:top w:val="nil" w:sz="6" w:space="0" w:color="auto"/>
              <w:left w:val="single" w:sz="4" w:space="0" w:color="000000"/>
              <w:bottom w:val="nil" w:sz="6" w:space="0" w:color="auto"/>
              <w:right w:val="single" w:sz="4" w:space="0" w:color="000000"/>
            </w:tcBorders>
            <w:shd w:val="clear" w:color="auto" w:fill="D2D2D2"/>
          </w:tcPr>
          <w:p>
            <w:pPr/>
          </w:p>
        </w:tc>
        <w:tc>
          <w:tcPr>
            <w:tcW w:w="638" w:type="dxa"/>
            <w:tcBorders>
              <w:top w:val="nil" w:sz="6" w:space="0" w:color="auto"/>
              <w:left w:val="single" w:sz="4" w:space="0" w:color="000000"/>
              <w:bottom w:val="nil" w:sz="6" w:space="0" w:color="auto"/>
              <w:right w:val="single" w:sz="4" w:space="0" w:color="000000"/>
            </w:tcBorders>
            <w:shd w:val="clear" w:color="auto" w:fill="D2D2D2"/>
          </w:tcPr>
          <w:p>
            <w:pPr/>
          </w:p>
        </w:tc>
        <w:tc>
          <w:tcPr>
            <w:tcW w:w="1156" w:type="dxa"/>
            <w:tcBorders>
              <w:top w:val="nil" w:sz="6" w:space="0" w:color="auto"/>
              <w:left w:val="single" w:sz="4" w:space="0" w:color="000000"/>
              <w:bottom w:val="nil" w:sz="6" w:space="0" w:color="auto"/>
              <w:right w:val="single" w:sz="4" w:space="0" w:color="000000"/>
            </w:tcBorders>
            <w:shd w:val="clear" w:color="auto" w:fill="D2D2D2"/>
          </w:tcPr>
          <w:p>
            <w:pPr/>
          </w:p>
        </w:tc>
      </w:tr>
      <w:tr>
        <w:trPr>
          <w:trHeight w:val="669" w:hRule="exact"/>
        </w:trPr>
        <w:tc>
          <w:tcPr>
            <w:tcW w:w="496" w:type="dxa"/>
            <w:vMerge/>
            <w:tcBorders>
              <w:left w:val="single" w:sz="4" w:space="0" w:color="000000"/>
              <w:bottom w:val="single" w:sz="4" w:space="0" w:color="000000"/>
              <w:right w:val="single" w:sz="4" w:space="0" w:color="000000"/>
            </w:tcBorders>
            <w:shd w:val="clear" w:color="auto" w:fill="D2D2D2"/>
          </w:tcPr>
          <w:p>
            <w:pPr/>
          </w:p>
        </w:tc>
        <w:tc>
          <w:tcPr>
            <w:tcW w:w="639" w:type="dxa"/>
            <w:tcBorders>
              <w:top w:val="nil" w:sz="6" w:space="0" w:color="auto"/>
              <w:left w:val="single" w:sz="4" w:space="0" w:color="000000"/>
              <w:bottom w:val="single" w:sz="4" w:space="0" w:color="000000"/>
              <w:right w:val="single" w:sz="4" w:space="0" w:color="000000"/>
            </w:tcBorders>
            <w:shd w:val="clear" w:color="auto" w:fill="D2D2D2"/>
          </w:tcPr>
          <w:p>
            <w:pPr/>
          </w:p>
        </w:tc>
        <w:tc>
          <w:tcPr>
            <w:tcW w:w="639" w:type="dxa"/>
            <w:tcBorders>
              <w:top w:val="nil" w:sz="6" w:space="0" w:color="auto"/>
              <w:left w:val="single" w:sz="4" w:space="0" w:color="000000"/>
              <w:bottom w:val="single" w:sz="4" w:space="0" w:color="000000"/>
              <w:right w:val="single" w:sz="4" w:space="0" w:color="000000"/>
            </w:tcBorders>
            <w:shd w:val="clear" w:color="auto" w:fill="D2D2D2"/>
          </w:tcPr>
          <w:p>
            <w:pPr/>
          </w:p>
        </w:tc>
        <w:tc>
          <w:tcPr>
            <w:tcW w:w="639" w:type="dxa"/>
            <w:tcBorders>
              <w:top w:val="nil" w:sz="6" w:space="0" w:color="auto"/>
              <w:left w:val="single" w:sz="4" w:space="0" w:color="000000"/>
              <w:bottom w:val="single" w:sz="4" w:space="0" w:color="000000"/>
              <w:right w:val="single" w:sz="4" w:space="0" w:color="000000"/>
            </w:tcBorders>
            <w:shd w:val="clear" w:color="auto" w:fill="D2D2D2"/>
          </w:tcPr>
          <w:p>
            <w:pPr/>
          </w:p>
        </w:tc>
        <w:tc>
          <w:tcPr>
            <w:tcW w:w="638"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元）</w:t>
            </w:r>
          </w:p>
        </w:tc>
        <w:tc>
          <w:tcPr>
            <w:tcW w:w="6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元）</w:t>
            </w:r>
          </w:p>
        </w:tc>
        <w:tc>
          <w:tcPr>
            <w:tcW w:w="639" w:type="dxa"/>
            <w:tcBorders>
              <w:top w:val="nil" w:sz="6" w:space="0" w:color="auto"/>
              <w:left w:val="single" w:sz="4" w:space="0" w:color="000000"/>
              <w:bottom w:val="single" w:sz="4" w:space="0" w:color="000000"/>
              <w:right w:val="single" w:sz="4" w:space="0" w:color="000000"/>
            </w:tcBorders>
            <w:shd w:val="clear" w:color="auto" w:fill="D2D2D2"/>
          </w:tcPr>
          <w:p>
            <w:pPr/>
          </w:p>
        </w:tc>
        <w:tc>
          <w:tcPr>
            <w:tcW w:w="638" w:type="dxa"/>
            <w:tcBorders>
              <w:top w:val="nil" w:sz="6" w:space="0" w:color="auto"/>
              <w:left w:val="single" w:sz="4" w:space="0" w:color="000000"/>
              <w:bottom w:val="single" w:sz="4" w:space="0" w:color="000000"/>
              <w:right w:val="single" w:sz="4" w:space="0" w:color="000000"/>
            </w:tcBorders>
            <w:shd w:val="clear" w:color="auto" w:fill="D2D2D2"/>
          </w:tcPr>
          <w:p>
            <w:pPr/>
          </w:p>
        </w:tc>
        <w:tc>
          <w:tcPr>
            <w:tcW w:w="638" w:type="dxa"/>
            <w:tcBorders>
              <w:top w:val="nil" w:sz="6" w:space="0" w:color="auto"/>
              <w:left w:val="single" w:sz="4" w:space="0" w:color="000000"/>
              <w:bottom w:val="single" w:sz="4" w:space="0" w:color="000000"/>
              <w:right w:val="single" w:sz="4" w:space="0" w:color="000000"/>
            </w:tcBorders>
            <w:shd w:val="clear" w:color="auto" w:fill="D2D2D2"/>
          </w:tcPr>
          <w:p>
            <w:pPr/>
          </w:p>
        </w:tc>
        <w:tc>
          <w:tcPr>
            <w:tcW w:w="740" w:type="dxa"/>
            <w:tcBorders>
              <w:top w:val="nil" w:sz="6" w:space="0" w:color="auto"/>
              <w:left w:val="single" w:sz="4" w:space="0" w:color="000000"/>
              <w:bottom w:val="single" w:sz="4" w:space="0" w:color="000000"/>
              <w:right w:val="single" w:sz="4" w:space="0" w:color="000000"/>
            </w:tcBorders>
            <w:shd w:val="clear" w:color="auto" w:fill="D2D2D2"/>
          </w:tcPr>
          <w:p>
            <w:pPr/>
          </w:p>
        </w:tc>
        <w:tc>
          <w:tcPr>
            <w:tcW w:w="536" w:type="dxa"/>
            <w:vMerge/>
            <w:tcBorders>
              <w:left w:val="single" w:sz="4" w:space="0" w:color="000000"/>
              <w:bottom w:val="single" w:sz="4" w:space="0" w:color="000000"/>
              <w:right w:val="single" w:sz="4" w:space="0" w:color="000000"/>
            </w:tcBorders>
            <w:shd w:val="clear" w:color="auto" w:fill="D2D2D2"/>
          </w:tcPr>
          <w:p>
            <w:pPr/>
          </w:p>
        </w:tc>
        <w:tc>
          <w:tcPr>
            <w:tcW w:w="638" w:type="dxa"/>
            <w:tcBorders>
              <w:top w:val="nil" w:sz="6" w:space="0" w:color="auto"/>
              <w:left w:val="single" w:sz="4" w:space="0" w:color="000000"/>
              <w:bottom w:val="single" w:sz="4" w:space="0" w:color="000000"/>
              <w:right w:val="single" w:sz="4" w:space="0" w:color="000000"/>
            </w:tcBorders>
            <w:shd w:val="clear" w:color="auto" w:fill="D2D2D2"/>
          </w:tcPr>
          <w:p>
            <w:pPr/>
          </w:p>
        </w:tc>
        <w:tc>
          <w:tcPr>
            <w:tcW w:w="638" w:type="dxa"/>
            <w:tcBorders>
              <w:top w:val="nil" w:sz="6" w:space="0" w:color="auto"/>
              <w:left w:val="single" w:sz="4" w:space="0" w:color="000000"/>
              <w:bottom w:val="single" w:sz="4" w:space="0" w:color="000000"/>
              <w:right w:val="single" w:sz="4" w:space="0" w:color="000000"/>
            </w:tcBorders>
            <w:shd w:val="clear" w:color="auto" w:fill="D2D2D2"/>
          </w:tcPr>
          <w:p>
            <w:pPr/>
          </w:p>
        </w:tc>
        <w:tc>
          <w:tcPr>
            <w:tcW w:w="63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5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61" w:hRule="exact"/>
        </w:trPr>
        <w:tc>
          <w:tcPr>
            <w:tcW w:w="496" w:type="dxa"/>
            <w:vMerge w:val="restart"/>
            <w:tcBorders>
              <w:top w:val="single" w:sz="4" w:space="0" w:color="000000"/>
              <w:left w:val="single" w:sz="4" w:space="0" w:color="000000"/>
              <w:right w:val="single" w:sz="4" w:space="0" w:color="000000"/>
            </w:tcBorders>
          </w:tcPr>
          <w:p>
            <w:pPr>
              <w:pStyle w:val="TableParagraph"/>
              <w:spacing w:line="316" w:lineRule="auto" w:before="49"/>
              <w:ind w:left="152" w:right="152"/>
              <w:jc w:val="both"/>
              <w:rPr>
                <w:rFonts w:ascii="宋体" w:hAnsi="宋体" w:cs="宋体" w:eastAsia="宋体" w:hint="default"/>
                <w:sz w:val="18"/>
                <w:szCs w:val="18"/>
              </w:rPr>
            </w:pPr>
            <w:r>
              <w:rPr>
                <w:rFonts w:ascii="宋体" w:hAnsi="宋体" w:cs="宋体" w:eastAsia="宋体" w:hint="default"/>
                <w:sz w:val="18"/>
                <w:szCs w:val="18"/>
              </w:rPr>
              <w:t>信 义 科 技</w:t>
            </w:r>
          </w:p>
        </w:tc>
        <w:tc>
          <w:tcPr>
            <w:tcW w:w="63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深圳</w:t>
            </w:r>
          </w:p>
        </w:tc>
        <w:tc>
          <w:tcPr>
            <w:tcW w:w="63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南山</w:t>
            </w:r>
          </w:p>
        </w:tc>
        <w:tc>
          <w:tcPr>
            <w:tcW w:w="63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2"/>
              <w:ind w:right="133"/>
              <w:jc w:val="right"/>
              <w:rPr>
                <w:rFonts w:ascii="Times New Roman" w:hAnsi="Times New Roman" w:cs="Times New Roman" w:eastAsia="Times New Roman" w:hint="default"/>
                <w:sz w:val="18"/>
                <w:szCs w:val="18"/>
              </w:rPr>
            </w:pPr>
            <w:r>
              <w:rPr>
                <w:rFonts w:ascii="Times New Roman"/>
                <w:spacing w:val="-1"/>
                <w:sz w:val="18"/>
              </w:rPr>
              <w:t>2019</w:t>
            </w:r>
          </w:p>
        </w:tc>
        <w:tc>
          <w:tcPr>
            <w:tcW w:w="63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0</w:t>
            </w:r>
          </w:p>
        </w:tc>
        <w:tc>
          <w:tcPr>
            <w:tcW w:w="63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0</w:t>
            </w:r>
          </w:p>
        </w:tc>
        <w:tc>
          <w:tcPr>
            <w:tcW w:w="63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无</w:t>
            </w:r>
          </w:p>
        </w:tc>
        <w:tc>
          <w:tcPr>
            <w:tcW w:w="63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63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招投</w:t>
            </w:r>
          </w:p>
        </w:tc>
        <w:tc>
          <w:tcPr>
            <w:tcW w:w="74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19,866</w:t>
            </w:r>
          </w:p>
        </w:tc>
        <w:tc>
          <w:tcPr>
            <w:tcW w:w="5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不适</w:t>
            </w:r>
          </w:p>
        </w:tc>
        <w:tc>
          <w:tcPr>
            <w:tcW w:w="63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正常</w:t>
            </w:r>
          </w:p>
        </w:tc>
        <w:tc>
          <w:tcPr>
            <w:tcW w:w="63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2019</w:t>
            </w:r>
          </w:p>
        </w:tc>
        <w:tc>
          <w:tcPr>
            <w:tcW w:w="115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刊登在《证</w:t>
            </w:r>
          </w:p>
        </w:tc>
      </w:tr>
      <w:tr>
        <w:trPr>
          <w:trHeight w:val="331" w:hRule="exact"/>
        </w:trPr>
        <w:tc>
          <w:tcPr>
            <w:tcW w:w="496" w:type="dxa"/>
            <w:vMerge/>
            <w:tcBorders>
              <w:left w:val="single" w:sz="4" w:space="0" w:color="000000"/>
              <w:right w:val="single" w:sz="4" w:space="0" w:color="000000"/>
            </w:tcBorders>
          </w:tcPr>
          <w:p>
            <w:pPr/>
          </w:p>
        </w:tc>
        <w:tc>
          <w:tcPr>
            <w:tcW w:w="63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
              <w:jc w:val="center"/>
              <w:rPr>
                <w:rFonts w:ascii="宋体" w:hAnsi="宋体" w:cs="宋体" w:eastAsia="宋体" w:hint="default"/>
                <w:sz w:val="18"/>
                <w:szCs w:val="18"/>
              </w:rPr>
            </w:pPr>
            <w:r>
              <w:rPr>
                <w:rFonts w:ascii="宋体" w:hAnsi="宋体" w:cs="宋体" w:eastAsia="宋体" w:hint="default"/>
                <w:sz w:val="18"/>
                <w:szCs w:val="18"/>
              </w:rPr>
              <w:t>市公</w:t>
            </w:r>
          </w:p>
        </w:tc>
        <w:tc>
          <w:tcPr>
            <w:tcW w:w="63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区平</w:t>
            </w:r>
          </w:p>
        </w:tc>
        <w:tc>
          <w:tcPr>
            <w:tcW w:w="63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55"/>
              <w:jc w:val="righ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638" w:type="dxa"/>
            <w:tcBorders>
              <w:top w:val="nil" w:sz="6" w:space="0" w:color="auto"/>
              <w:left w:val="single" w:sz="4" w:space="0" w:color="000000"/>
              <w:bottom w:val="nil" w:sz="6" w:space="0" w:color="auto"/>
              <w:right w:val="single" w:sz="4" w:space="0" w:color="000000"/>
            </w:tcBorders>
          </w:tcPr>
          <w:p>
            <w:pPr/>
          </w:p>
        </w:tc>
        <w:tc>
          <w:tcPr>
            <w:tcW w:w="639" w:type="dxa"/>
            <w:tcBorders>
              <w:top w:val="nil" w:sz="6" w:space="0" w:color="auto"/>
              <w:left w:val="single" w:sz="4" w:space="0" w:color="000000"/>
              <w:bottom w:val="nil" w:sz="6" w:space="0" w:color="auto"/>
              <w:right w:val="single" w:sz="4" w:space="0" w:color="000000"/>
            </w:tcBorders>
          </w:tcPr>
          <w:p>
            <w:pPr/>
          </w:p>
        </w:tc>
        <w:tc>
          <w:tcPr>
            <w:tcW w:w="639"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标</w:t>
            </w:r>
          </w:p>
        </w:tc>
        <w:tc>
          <w:tcPr>
            <w:tcW w:w="740" w:type="dxa"/>
            <w:tcBorders>
              <w:top w:val="nil" w:sz="6" w:space="0" w:color="auto"/>
              <w:left w:val="single" w:sz="4" w:space="0" w:color="000000"/>
              <w:bottom w:val="nil" w:sz="6" w:space="0" w:color="auto"/>
              <w:right w:val="single" w:sz="4" w:space="0" w:color="000000"/>
            </w:tcBorders>
          </w:tcPr>
          <w:p>
            <w:pPr>
              <w:pStyle w:val="TableParagraph"/>
              <w:spacing w:line="240" w:lineRule="auto" w:before="86"/>
              <w:ind w:right="0"/>
              <w:jc w:val="center"/>
              <w:rPr>
                <w:rFonts w:ascii="Times New Roman" w:hAnsi="Times New Roman" w:cs="Times New Roman" w:eastAsia="Times New Roman" w:hint="default"/>
                <w:sz w:val="18"/>
                <w:szCs w:val="18"/>
              </w:rPr>
            </w:pPr>
            <w:r>
              <w:rPr>
                <w:rFonts w:ascii="Times New Roman"/>
                <w:sz w:val="18"/>
              </w:rPr>
              <w:t>.00</w:t>
            </w:r>
          </w:p>
        </w:tc>
        <w:tc>
          <w:tcPr>
            <w:tcW w:w="536"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用</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
              <w:jc w:val="center"/>
              <w:rPr>
                <w:rFonts w:ascii="宋体" w:hAnsi="宋体" w:cs="宋体" w:eastAsia="宋体" w:hint="default"/>
                <w:sz w:val="18"/>
                <w:szCs w:val="18"/>
              </w:rPr>
            </w:pPr>
            <w:r>
              <w:rPr>
                <w:rFonts w:ascii="宋体" w:hAnsi="宋体" w:cs="宋体" w:eastAsia="宋体" w:hint="default"/>
                <w:sz w:val="18"/>
                <w:szCs w:val="18"/>
              </w:rPr>
              <w:t>履行</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115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券时报</w:t>
            </w:r>
            <w:r>
              <w:rPr>
                <w:rFonts w:ascii="宋体" w:hAnsi="宋体" w:cs="宋体" w:eastAsia="宋体" w:hint="default"/>
                <w:spacing w:val="-140"/>
                <w:sz w:val="18"/>
                <w:szCs w:val="18"/>
              </w:rPr>
              <w:t>》</w:t>
            </w:r>
            <w:r>
              <w:rPr>
                <w:rFonts w:ascii="宋体" w:hAnsi="宋体" w:cs="宋体" w:eastAsia="宋体" w:hint="default"/>
                <w:sz w:val="18"/>
                <w:szCs w:val="18"/>
              </w:rPr>
              <w:t>《中</w:t>
            </w:r>
          </w:p>
        </w:tc>
      </w:tr>
      <w:tr>
        <w:trPr>
          <w:trHeight w:val="293" w:hRule="exact"/>
        </w:trPr>
        <w:tc>
          <w:tcPr>
            <w:tcW w:w="496" w:type="dxa"/>
            <w:vMerge/>
            <w:tcBorders>
              <w:left w:val="single" w:sz="4" w:space="0" w:color="000000"/>
              <w:right w:val="single" w:sz="4" w:space="0" w:color="000000"/>
            </w:tcBorders>
          </w:tcPr>
          <w:p>
            <w:pPr/>
          </w:p>
        </w:tc>
        <w:tc>
          <w:tcPr>
            <w:tcW w:w="639" w:type="dxa"/>
            <w:tcBorders>
              <w:top w:val="nil" w:sz="6" w:space="0" w:color="auto"/>
              <w:left w:val="single" w:sz="4" w:space="0" w:color="000000"/>
              <w:bottom w:val="nil" w:sz="6" w:space="0" w:color="auto"/>
              <w:right w:val="single" w:sz="4" w:space="0" w:color="000000"/>
            </w:tcBorders>
          </w:tcPr>
          <w:p>
            <w:pPr>
              <w:pStyle w:val="TableParagraph"/>
              <w:spacing w:line="222" w:lineRule="exact"/>
              <w:ind w:right="1"/>
              <w:jc w:val="center"/>
              <w:rPr>
                <w:rFonts w:ascii="宋体" w:hAnsi="宋体" w:cs="宋体" w:eastAsia="宋体" w:hint="default"/>
                <w:sz w:val="18"/>
                <w:szCs w:val="18"/>
              </w:rPr>
            </w:pPr>
            <w:r>
              <w:rPr>
                <w:rFonts w:ascii="宋体" w:hAnsi="宋体" w:cs="宋体" w:eastAsia="宋体" w:hint="default"/>
                <w:sz w:val="18"/>
                <w:szCs w:val="18"/>
              </w:rPr>
              <w:t>安局</w:t>
            </w:r>
          </w:p>
        </w:tc>
        <w:tc>
          <w:tcPr>
            <w:tcW w:w="639" w:type="dxa"/>
            <w:tcBorders>
              <w:top w:val="nil" w:sz="6" w:space="0" w:color="auto"/>
              <w:left w:val="single" w:sz="4" w:space="0" w:color="000000"/>
              <w:bottom w:val="nil" w:sz="6" w:space="0" w:color="auto"/>
              <w:right w:val="single" w:sz="4" w:space="0" w:color="000000"/>
            </w:tcBorders>
          </w:tcPr>
          <w:p>
            <w:pPr>
              <w:pStyle w:val="TableParagraph"/>
              <w:spacing w:line="222" w:lineRule="exact"/>
              <w:ind w:right="0"/>
              <w:jc w:val="center"/>
              <w:rPr>
                <w:rFonts w:ascii="宋体" w:hAnsi="宋体" w:cs="宋体" w:eastAsia="宋体" w:hint="default"/>
                <w:sz w:val="18"/>
                <w:szCs w:val="18"/>
              </w:rPr>
            </w:pPr>
            <w:r>
              <w:rPr>
                <w:rFonts w:ascii="宋体" w:hAnsi="宋体" w:cs="宋体" w:eastAsia="宋体" w:hint="default"/>
                <w:sz w:val="18"/>
                <w:szCs w:val="18"/>
              </w:rPr>
              <w:t>安城</w:t>
            </w:r>
          </w:p>
        </w:tc>
        <w:tc>
          <w:tcPr>
            <w:tcW w:w="639" w:type="dxa"/>
            <w:tcBorders>
              <w:top w:val="nil" w:sz="6" w:space="0" w:color="auto"/>
              <w:left w:val="single" w:sz="4" w:space="0" w:color="000000"/>
              <w:bottom w:val="nil" w:sz="6" w:space="0" w:color="auto"/>
              <w:right w:val="single" w:sz="4" w:space="0" w:color="000000"/>
            </w:tcBorders>
          </w:tcPr>
          <w:p>
            <w:pPr>
              <w:pStyle w:val="TableParagraph"/>
              <w:spacing w:line="236" w:lineRule="exact"/>
              <w:ind w:right="119"/>
              <w:jc w:val="righ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p>
        </w:tc>
        <w:tc>
          <w:tcPr>
            <w:tcW w:w="638" w:type="dxa"/>
            <w:tcBorders>
              <w:top w:val="nil" w:sz="6" w:space="0" w:color="auto"/>
              <w:left w:val="single" w:sz="4" w:space="0" w:color="000000"/>
              <w:bottom w:val="nil" w:sz="6" w:space="0" w:color="auto"/>
              <w:right w:val="single" w:sz="4" w:space="0" w:color="000000"/>
            </w:tcBorders>
          </w:tcPr>
          <w:p>
            <w:pPr/>
          </w:p>
        </w:tc>
        <w:tc>
          <w:tcPr>
            <w:tcW w:w="639" w:type="dxa"/>
            <w:tcBorders>
              <w:top w:val="nil" w:sz="6" w:space="0" w:color="auto"/>
              <w:left w:val="single" w:sz="4" w:space="0" w:color="000000"/>
              <w:bottom w:val="nil" w:sz="6" w:space="0" w:color="auto"/>
              <w:right w:val="single" w:sz="4" w:space="0" w:color="000000"/>
            </w:tcBorders>
          </w:tcPr>
          <w:p>
            <w:pPr/>
          </w:p>
        </w:tc>
        <w:tc>
          <w:tcPr>
            <w:tcW w:w="639"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740" w:type="dxa"/>
            <w:tcBorders>
              <w:top w:val="nil" w:sz="6" w:space="0" w:color="auto"/>
              <w:left w:val="single" w:sz="4" w:space="0" w:color="000000"/>
              <w:bottom w:val="nil" w:sz="6" w:space="0" w:color="auto"/>
              <w:right w:val="single" w:sz="4" w:space="0" w:color="000000"/>
            </w:tcBorders>
          </w:tcPr>
          <w:p>
            <w:pPr/>
          </w:p>
        </w:tc>
        <w:tc>
          <w:tcPr>
            <w:tcW w:w="536"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36" w:lineRule="exact"/>
              <w:ind w:right="16"/>
              <w:jc w:val="center"/>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tc>
        <w:tc>
          <w:tcPr>
            <w:tcW w:w="1156" w:type="dxa"/>
            <w:tcBorders>
              <w:top w:val="nil" w:sz="6" w:space="0" w:color="auto"/>
              <w:left w:val="single" w:sz="4" w:space="0" w:color="000000"/>
              <w:bottom w:val="nil" w:sz="6" w:space="0" w:color="auto"/>
              <w:right w:val="single" w:sz="4" w:space="0" w:color="000000"/>
            </w:tcBorders>
          </w:tcPr>
          <w:p>
            <w:pPr>
              <w:pStyle w:val="TableParagraph"/>
              <w:spacing w:line="222" w:lineRule="exact"/>
              <w:ind w:right="1"/>
              <w:jc w:val="center"/>
              <w:rPr>
                <w:rFonts w:ascii="宋体" w:hAnsi="宋体" w:cs="宋体" w:eastAsia="宋体" w:hint="default"/>
                <w:sz w:val="18"/>
                <w:szCs w:val="18"/>
              </w:rPr>
            </w:pPr>
            <w:r>
              <w:rPr>
                <w:rFonts w:ascii="宋体" w:hAnsi="宋体" w:cs="宋体" w:eastAsia="宋体" w:hint="default"/>
                <w:sz w:val="18"/>
                <w:szCs w:val="18"/>
              </w:rPr>
              <w:t>国证券报》</w:t>
            </w:r>
          </w:p>
        </w:tc>
      </w:tr>
      <w:tr>
        <w:trPr>
          <w:trHeight w:val="307" w:hRule="exact"/>
        </w:trPr>
        <w:tc>
          <w:tcPr>
            <w:tcW w:w="496" w:type="dxa"/>
            <w:vMerge/>
            <w:tcBorders>
              <w:left w:val="single" w:sz="4" w:space="0" w:color="000000"/>
              <w:right w:val="single" w:sz="4" w:space="0" w:color="000000"/>
            </w:tcBorders>
          </w:tcPr>
          <w:p>
            <w:pPr/>
          </w:p>
        </w:tc>
        <w:tc>
          <w:tcPr>
            <w:tcW w:w="63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
              <w:jc w:val="center"/>
              <w:rPr>
                <w:rFonts w:ascii="宋体" w:hAnsi="宋体" w:cs="宋体" w:eastAsia="宋体" w:hint="default"/>
                <w:sz w:val="18"/>
                <w:szCs w:val="18"/>
              </w:rPr>
            </w:pPr>
            <w:r>
              <w:rPr>
                <w:rFonts w:ascii="宋体" w:hAnsi="宋体" w:cs="宋体" w:eastAsia="宋体" w:hint="default"/>
                <w:sz w:val="18"/>
                <w:szCs w:val="18"/>
              </w:rPr>
              <w:t>南山</w:t>
            </w:r>
          </w:p>
        </w:tc>
        <w:tc>
          <w:tcPr>
            <w:tcW w:w="63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市一</w:t>
            </w:r>
          </w:p>
        </w:tc>
        <w:tc>
          <w:tcPr>
            <w:tcW w:w="63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
              <w:jc w:val="center"/>
              <w:rPr>
                <w:rFonts w:ascii="宋体" w:hAnsi="宋体" w:cs="宋体" w:eastAsia="宋体" w:hint="default"/>
                <w:sz w:val="18"/>
                <w:szCs w:val="18"/>
              </w:rPr>
            </w:pPr>
            <w:r>
              <w:rPr>
                <w:rFonts w:ascii="宋体" w:hAnsi="宋体" w:cs="宋体" w:eastAsia="宋体" w:hint="default"/>
                <w:sz w:val="18"/>
                <w:szCs w:val="18"/>
              </w:rPr>
              <w:t>日</w:t>
            </w:r>
          </w:p>
        </w:tc>
        <w:tc>
          <w:tcPr>
            <w:tcW w:w="638" w:type="dxa"/>
            <w:tcBorders>
              <w:top w:val="nil" w:sz="6" w:space="0" w:color="auto"/>
              <w:left w:val="single" w:sz="4" w:space="0" w:color="000000"/>
              <w:bottom w:val="nil" w:sz="6" w:space="0" w:color="auto"/>
              <w:right w:val="single" w:sz="4" w:space="0" w:color="000000"/>
            </w:tcBorders>
          </w:tcPr>
          <w:p>
            <w:pPr/>
          </w:p>
        </w:tc>
        <w:tc>
          <w:tcPr>
            <w:tcW w:w="639" w:type="dxa"/>
            <w:tcBorders>
              <w:top w:val="nil" w:sz="6" w:space="0" w:color="auto"/>
              <w:left w:val="single" w:sz="4" w:space="0" w:color="000000"/>
              <w:bottom w:val="nil" w:sz="6" w:space="0" w:color="auto"/>
              <w:right w:val="single" w:sz="4" w:space="0" w:color="000000"/>
            </w:tcBorders>
          </w:tcPr>
          <w:p>
            <w:pPr/>
          </w:p>
        </w:tc>
        <w:tc>
          <w:tcPr>
            <w:tcW w:w="639"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740" w:type="dxa"/>
            <w:tcBorders>
              <w:top w:val="nil" w:sz="6" w:space="0" w:color="auto"/>
              <w:left w:val="single" w:sz="4" w:space="0" w:color="000000"/>
              <w:bottom w:val="nil" w:sz="6" w:space="0" w:color="auto"/>
              <w:right w:val="single" w:sz="4" w:space="0" w:color="000000"/>
            </w:tcBorders>
          </w:tcPr>
          <w:p>
            <w:pPr/>
          </w:p>
        </w:tc>
        <w:tc>
          <w:tcPr>
            <w:tcW w:w="536"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115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
              <w:jc w:val="center"/>
              <w:rPr>
                <w:rFonts w:ascii="宋体" w:hAnsi="宋体" w:cs="宋体" w:eastAsia="宋体" w:hint="default"/>
                <w:sz w:val="18"/>
                <w:szCs w:val="18"/>
              </w:rPr>
            </w:pPr>
            <w:r>
              <w:rPr>
                <w:rFonts w:ascii="宋体" w:hAnsi="宋体" w:cs="宋体" w:eastAsia="宋体" w:hint="default"/>
                <w:sz w:val="18"/>
                <w:szCs w:val="18"/>
              </w:rPr>
              <w:t>及巨潮资讯</w:t>
            </w:r>
          </w:p>
        </w:tc>
      </w:tr>
      <w:tr>
        <w:trPr>
          <w:trHeight w:val="312" w:hRule="exact"/>
        </w:trPr>
        <w:tc>
          <w:tcPr>
            <w:tcW w:w="496" w:type="dxa"/>
            <w:vMerge/>
            <w:tcBorders>
              <w:left w:val="single" w:sz="4" w:space="0" w:color="000000"/>
              <w:right w:val="single" w:sz="4" w:space="0" w:color="000000"/>
            </w:tcBorders>
          </w:tcPr>
          <w:p>
            <w:pPr/>
          </w:p>
        </w:tc>
        <w:tc>
          <w:tcPr>
            <w:tcW w:w="63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分局</w:t>
            </w:r>
          </w:p>
        </w:tc>
        <w:tc>
          <w:tcPr>
            <w:tcW w:w="63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类点</w:t>
            </w:r>
          </w:p>
        </w:tc>
        <w:tc>
          <w:tcPr>
            <w:tcW w:w="639"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9" w:type="dxa"/>
            <w:tcBorders>
              <w:top w:val="nil" w:sz="6" w:space="0" w:color="auto"/>
              <w:left w:val="single" w:sz="4" w:space="0" w:color="000000"/>
              <w:bottom w:val="nil" w:sz="6" w:space="0" w:color="auto"/>
              <w:right w:val="single" w:sz="4" w:space="0" w:color="000000"/>
            </w:tcBorders>
          </w:tcPr>
          <w:p>
            <w:pPr/>
          </w:p>
        </w:tc>
        <w:tc>
          <w:tcPr>
            <w:tcW w:w="639"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740" w:type="dxa"/>
            <w:tcBorders>
              <w:top w:val="nil" w:sz="6" w:space="0" w:color="auto"/>
              <w:left w:val="single" w:sz="4" w:space="0" w:color="000000"/>
              <w:bottom w:val="nil" w:sz="6" w:space="0" w:color="auto"/>
              <w:right w:val="single" w:sz="4" w:space="0" w:color="000000"/>
            </w:tcBorders>
          </w:tcPr>
          <w:p>
            <w:pPr/>
          </w:p>
        </w:tc>
        <w:tc>
          <w:tcPr>
            <w:tcW w:w="536"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115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46" w:right="0"/>
              <w:jc w:val="center"/>
              <w:rPr>
                <w:rFonts w:ascii="宋体" w:hAnsi="宋体" w:cs="宋体" w:eastAsia="宋体" w:hint="default"/>
                <w:sz w:val="18"/>
                <w:szCs w:val="18"/>
              </w:rPr>
            </w:pPr>
            <w:r>
              <w:rPr>
                <w:rFonts w:ascii="宋体" w:hAnsi="宋体" w:cs="宋体" w:eastAsia="宋体" w:hint="default"/>
                <w:sz w:val="18"/>
                <w:szCs w:val="18"/>
              </w:rPr>
              <w:t>网</w:t>
            </w:r>
          </w:p>
        </w:tc>
      </w:tr>
      <w:tr>
        <w:trPr>
          <w:trHeight w:val="317" w:hRule="exact"/>
        </w:trPr>
        <w:tc>
          <w:tcPr>
            <w:tcW w:w="496" w:type="dxa"/>
            <w:vMerge/>
            <w:tcBorders>
              <w:left w:val="single" w:sz="4" w:space="0" w:color="000000"/>
              <w:right w:val="single" w:sz="4" w:space="0" w:color="000000"/>
            </w:tcBorders>
          </w:tcPr>
          <w:p>
            <w:pPr/>
          </w:p>
        </w:tc>
        <w:tc>
          <w:tcPr>
            <w:tcW w:w="639" w:type="dxa"/>
            <w:tcBorders>
              <w:top w:val="nil" w:sz="6" w:space="0" w:color="auto"/>
              <w:left w:val="single" w:sz="4" w:space="0" w:color="000000"/>
              <w:bottom w:val="nil" w:sz="6" w:space="0" w:color="auto"/>
              <w:right w:val="single" w:sz="4" w:space="0" w:color="000000"/>
            </w:tcBorders>
          </w:tcPr>
          <w:p>
            <w:pPr/>
          </w:p>
        </w:tc>
        <w:tc>
          <w:tcPr>
            <w:tcW w:w="63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高清</w:t>
            </w:r>
          </w:p>
        </w:tc>
        <w:tc>
          <w:tcPr>
            <w:tcW w:w="639"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9" w:type="dxa"/>
            <w:tcBorders>
              <w:top w:val="nil" w:sz="6" w:space="0" w:color="auto"/>
              <w:left w:val="single" w:sz="4" w:space="0" w:color="000000"/>
              <w:bottom w:val="nil" w:sz="6" w:space="0" w:color="auto"/>
              <w:right w:val="single" w:sz="4" w:space="0" w:color="000000"/>
            </w:tcBorders>
          </w:tcPr>
          <w:p>
            <w:pPr/>
          </w:p>
        </w:tc>
        <w:tc>
          <w:tcPr>
            <w:tcW w:w="639"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740" w:type="dxa"/>
            <w:tcBorders>
              <w:top w:val="nil" w:sz="6" w:space="0" w:color="auto"/>
              <w:left w:val="single" w:sz="4" w:space="0" w:color="000000"/>
              <w:bottom w:val="nil" w:sz="6" w:space="0" w:color="auto"/>
              <w:right w:val="single" w:sz="4" w:space="0" w:color="000000"/>
            </w:tcBorders>
          </w:tcPr>
          <w:p>
            <w:pPr/>
          </w:p>
        </w:tc>
        <w:tc>
          <w:tcPr>
            <w:tcW w:w="536"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115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4" w:right="0"/>
              <w:jc w:val="center"/>
              <w:rPr>
                <w:rFonts w:ascii="Times New Roman" w:hAnsi="Times New Roman" w:cs="Times New Roman" w:eastAsia="Times New Roman" w:hint="default"/>
                <w:sz w:val="18"/>
                <w:szCs w:val="18"/>
              </w:rPr>
            </w:pPr>
            <w:r>
              <w:rPr>
                <w:rFonts w:ascii="Times New Roman"/>
                <w:sz w:val="18"/>
              </w:rPr>
              <w:t>www.cninfo.</w:t>
            </w:r>
          </w:p>
        </w:tc>
      </w:tr>
      <w:tr>
        <w:trPr>
          <w:trHeight w:val="312" w:hRule="exact"/>
        </w:trPr>
        <w:tc>
          <w:tcPr>
            <w:tcW w:w="496" w:type="dxa"/>
            <w:vMerge/>
            <w:tcBorders>
              <w:left w:val="single" w:sz="4" w:space="0" w:color="000000"/>
              <w:right w:val="single" w:sz="4" w:space="0" w:color="000000"/>
            </w:tcBorders>
          </w:tcPr>
          <w:p>
            <w:pPr/>
          </w:p>
        </w:tc>
        <w:tc>
          <w:tcPr>
            <w:tcW w:w="639" w:type="dxa"/>
            <w:tcBorders>
              <w:top w:val="nil" w:sz="6" w:space="0" w:color="auto"/>
              <w:left w:val="single" w:sz="4" w:space="0" w:color="000000"/>
              <w:bottom w:val="nil" w:sz="6" w:space="0" w:color="auto"/>
              <w:right w:val="single" w:sz="4" w:space="0" w:color="000000"/>
            </w:tcBorders>
          </w:tcPr>
          <w:p>
            <w:pPr/>
          </w:p>
        </w:tc>
        <w:tc>
          <w:tcPr>
            <w:tcW w:w="63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视频</w:t>
            </w:r>
          </w:p>
        </w:tc>
        <w:tc>
          <w:tcPr>
            <w:tcW w:w="639"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9" w:type="dxa"/>
            <w:tcBorders>
              <w:top w:val="nil" w:sz="6" w:space="0" w:color="auto"/>
              <w:left w:val="single" w:sz="4" w:space="0" w:color="000000"/>
              <w:bottom w:val="nil" w:sz="6" w:space="0" w:color="auto"/>
              <w:right w:val="single" w:sz="4" w:space="0" w:color="000000"/>
            </w:tcBorders>
          </w:tcPr>
          <w:p>
            <w:pPr/>
          </w:p>
        </w:tc>
        <w:tc>
          <w:tcPr>
            <w:tcW w:w="639"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740" w:type="dxa"/>
            <w:tcBorders>
              <w:top w:val="nil" w:sz="6" w:space="0" w:color="auto"/>
              <w:left w:val="single" w:sz="4" w:space="0" w:color="000000"/>
              <w:bottom w:val="nil" w:sz="6" w:space="0" w:color="auto"/>
              <w:right w:val="single" w:sz="4" w:space="0" w:color="000000"/>
            </w:tcBorders>
          </w:tcPr>
          <w:p>
            <w:pPr/>
          </w:p>
        </w:tc>
        <w:tc>
          <w:tcPr>
            <w:tcW w:w="536"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115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com.cn</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上的</w:t>
            </w:r>
          </w:p>
        </w:tc>
      </w:tr>
      <w:tr>
        <w:trPr>
          <w:trHeight w:val="312" w:hRule="exact"/>
        </w:trPr>
        <w:tc>
          <w:tcPr>
            <w:tcW w:w="496" w:type="dxa"/>
            <w:vMerge/>
            <w:tcBorders>
              <w:left w:val="single" w:sz="4" w:space="0" w:color="000000"/>
              <w:right w:val="single" w:sz="4" w:space="0" w:color="000000"/>
            </w:tcBorders>
          </w:tcPr>
          <w:p>
            <w:pPr/>
          </w:p>
        </w:tc>
        <w:tc>
          <w:tcPr>
            <w:tcW w:w="639" w:type="dxa"/>
            <w:tcBorders>
              <w:top w:val="nil" w:sz="6" w:space="0" w:color="auto"/>
              <w:left w:val="single" w:sz="4" w:space="0" w:color="000000"/>
              <w:bottom w:val="nil" w:sz="6" w:space="0" w:color="auto"/>
              <w:right w:val="single" w:sz="4" w:space="0" w:color="000000"/>
            </w:tcBorders>
          </w:tcPr>
          <w:p>
            <w:pPr/>
          </w:p>
        </w:tc>
        <w:tc>
          <w:tcPr>
            <w:tcW w:w="63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监控</w:t>
            </w:r>
          </w:p>
        </w:tc>
        <w:tc>
          <w:tcPr>
            <w:tcW w:w="639"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9" w:type="dxa"/>
            <w:tcBorders>
              <w:top w:val="nil" w:sz="6" w:space="0" w:color="auto"/>
              <w:left w:val="single" w:sz="4" w:space="0" w:color="000000"/>
              <w:bottom w:val="nil" w:sz="6" w:space="0" w:color="auto"/>
              <w:right w:val="single" w:sz="4" w:space="0" w:color="000000"/>
            </w:tcBorders>
          </w:tcPr>
          <w:p>
            <w:pPr/>
          </w:p>
        </w:tc>
        <w:tc>
          <w:tcPr>
            <w:tcW w:w="639"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740" w:type="dxa"/>
            <w:tcBorders>
              <w:top w:val="nil" w:sz="6" w:space="0" w:color="auto"/>
              <w:left w:val="single" w:sz="4" w:space="0" w:color="000000"/>
              <w:bottom w:val="nil" w:sz="6" w:space="0" w:color="auto"/>
              <w:right w:val="single" w:sz="4" w:space="0" w:color="000000"/>
            </w:tcBorders>
          </w:tcPr>
          <w:p>
            <w:pPr/>
          </w:p>
        </w:tc>
        <w:tc>
          <w:tcPr>
            <w:tcW w:w="536"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115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25"/>
              <w:jc w:val="center"/>
              <w:rPr>
                <w:rFonts w:ascii="Times New Roman" w:hAnsi="Times New Roman" w:cs="Times New Roman" w:eastAsia="Times New Roman" w:hint="default"/>
                <w:sz w:val="18"/>
                <w:szCs w:val="18"/>
              </w:rPr>
            </w:pPr>
            <w:r>
              <w:rPr>
                <w:rFonts w:ascii="宋体" w:hAnsi="宋体" w:cs="宋体" w:eastAsia="宋体" w:hint="default"/>
                <w:sz w:val="18"/>
                <w:szCs w:val="18"/>
              </w:rPr>
              <w:t>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2019-007</w:t>
            </w:r>
          </w:p>
        </w:tc>
      </w:tr>
      <w:tr>
        <w:trPr>
          <w:trHeight w:val="307" w:hRule="exact"/>
        </w:trPr>
        <w:tc>
          <w:tcPr>
            <w:tcW w:w="496" w:type="dxa"/>
            <w:vMerge/>
            <w:tcBorders>
              <w:left w:val="single" w:sz="4" w:space="0" w:color="000000"/>
              <w:right w:val="single" w:sz="4" w:space="0" w:color="000000"/>
            </w:tcBorders>
          </w:tcPr>
          <w:p>
            <w:pPr/>
          </w:p>
        </w:tc>
        <w:tc>
          <w:tcPr>
            <w:tcW w:w="639" w:type="dxa"/>
            <w:tcBorders>
              <w:top w:val="nil" w:sz="6" w:space="0" w:color="auto"/>
              <w:left w:val="single" w:sz="4" w:space="0" w:color="000000"/>
              <w:bottom w:val="nil" w:sz="6" w:space="0" w:color="auto"/>
              <w:right w:val="single" w:sz="4" w:space="0" w:color="000000"/>
            </w:tcBorders>
          </w:tcPr>
          <w:p>
            <w:pPr/>
          </w:p>
        </w:tc>
        <w:tc>
          <w:tcPr>
            <w:tcW w:w="63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二期</w:t>
            </w:r>
          </w:p>
        </w:tc>
        <w:tc>
          <w:tcPr>
            <w:tcW w:w="639"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9" w:type="dxa"/>
            <w:tcBorders>
              <w:top w:val="nil" w:sz="6" w:space="0" w:color="auto"/>
              <w:left w:val="single" w:sz="4" w:space="0" w:color="000000"/>
              <w:bottom w:val="nil" w:sz="6" w:space="0" w:color="auto"/>
              <w:right w:val="single" w:sz="4" w:space="0" w:color="000000"/>
            </w:tcBorders>
          </w:tcPr>
          <w:p>
            <w:pPr/>
          </w:p>
        </w:tc>
        <w:tc>
          <w:tcPr>
            <w:tcW w:w="639"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740" w:type="dxa"/>
            <w:tcBorders>
              <w:top w:val="nil" w:sz="6" w:space="0" w:color="auto"/>
              <w:left w:val="single" w:sz="4" w:space="0" w:color="000000"/>
              <w:bottom w:val="nil" w:sz="6" w:space="0" w:color="auto"/>
              <w:right w:val="single" w:sz="4" w:space="0" w:color="000000"/>
            </w:tcBorders>
          </w:tcPr>
          <w:p>
            <w:pPr/>
          </w:p>
        </w:tc>
        <w:tc>
          <w:tcPr>
            <w:tcW w:w="536"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115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
              <w:jc w:val="center"/>
              <w:rPr>
                <w:rFonts w:ascii="宋体" w:hAnsi="宋体" w:cs="宋体" w:eastAsia="宋体" w:hint="default"/>
                <w:sz w:val="18"/>
                <w:szCs w:val="18"/>
              </w:rPr>
            </w:pPr>
            <w:r>
              <w:rPr>
                <w:rFonts w:ascii="宋体" w:hAnsi="宋体" w:cs="宋体" w:eastAsia="宋体" w:hint="default"/>
                <w:sz w:val="18"/>
                <w:szCs w:val="18"/>
              </w:rPr>
              <w:t>号公告</w:t>
            </w:r>
          </w:p>
        </w:tc>
      </w:tr>
      <w:tr>
        <w:trPr>
          <w:trHeight w:val="358" w:hRule="exact"/>
        </w:trPr>
        <w:tc>
          <w:tcPr>
            <w:tcW w:w="496" w:type="dxa"/>
            <w:vMerge/>
            <w:tcBorders>
              <w:left w:val="single" w:sz="4" w:space="0" w:color="000000"/>
              <w:bottom w:val="single" w:sz="4" w:space="0" w:color="000000"/>
              <w:right w:val="single" w:sz="4" w:space="0" w:color="000000"/>
            </w:tcBorders>
          </w:tcPr>
          <w:p>
            <w:pPr/>
          </w:p>
        </w:tc>
        <w:tc>
          <w:tcPr>
            <w:tcW w:w="639" w:type="dxa"/>
            <w:tcBorders>
              <w:top w:val="nil" w:sz="6" w:space="0" w:color="auto"/>
              <w:left w:val="single" w:sz="4" w:space="0" w:color="000000"/>
              <w:bottom w:val="single" w:sz="4" w:space="0" w:color="000000"/>
              <w:right w:val="single" w:sz="4" w:space="0" w:color="000000"/>
            </w:tcBorders>
          </w:tcPr>
          <w:p>
            <w:pPr/>
          </w:p>
        </w:tc>
        <w:tc>
          <w:tcPr>
            <w:tcW w:w="63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39"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639" w:type="dxa"/>
            <w:tcBorders>
              <w:top w:val="nil" w:sz="6" w:space="0" w:color="auto"/>
              <w:left w:val="single" w:sz="4" w:space="0" w:color="000000"/>
              <w:bottom w:val="single" w:sz="4" w:space="0" w:color="000000"/>
              <w:right w:val="single" w:sz="4" w:space="0" w:color="000000"/>
            </w:tcBorders>
          </w:tcPr>
          <w:p>
            <w:pPr/>
          </w:p>
        </w:tc>
        <w:tc>
          <w:tcPr>
            <w:tcW w:w="639"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740" w:type="dxa"/>
            <w:tcBorders>
              <w:top w:val="nil" w:sz="6" w:space="0" w:color="auto"/>
              <w:left w:val="single" w:sz="4" w:space="0" w:color="000000"/>
              <w:bottom w:val="single" w:sz="4" w:space="0" w:color="000000"/>
              <w:right w:val="single" w:sz="4" w:space="0" w:color="000000"/>
            </w:tcBorders>
          </w:tcPr>
          <w:p>
            <w:pPr/>
          </w:p>
        </w:tc>
        <w:tc>
          <w:tcPr>
            <w:tcW w:w="536"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1156" w:type="dxa"/>
            <w:tcBorders>
              <w:top w:val="nil" w:sz="6" w:space="0" w:color="auto"/>
              <w:left w:val="single" w:sz="4" w:space="0" w:color="000000"/>
              <w:bottom w:val="single" w:sz="4" w:space="0" w:color="000000"/>
              <w:right w:val="single" w:sz="4" w:space="0" w:color="000000"/>
            </w:tcBorders>
          </w:tcPr>
          <w:p>
            <w:pPr/>
          </w:p>
        </w:tc>
      </w:tr>
      <w:tr>
        <w:trPr>
          <w:trHeight w:val="361" w:hRule="exact"/>
        </w:trPr>
        <w:tc>
          <w:tcPr>
            <w:tcW w:w="496" w:type="dxa"/>
            <w:vMerge w:val="restart"/>
            <w:tcBorders>
              <w:top w:val="single" w:sz="4" w:space="0" w:color="000000"/>
              <w:left w:val="single" w:sz="4" w:space="0" w:color="000000"/>
              <w:right w:val="single" w:sz="4" w:space="0" w:color="000000"/>
            </w:tcBorders>
          </w:tcPr>
          <w:p>
            <w:pPr>
              <w:pStyle w:val="TableParagraph"/>
              <w:spacing w:line="316" w:lineRule="auto" w:before="51"/>
              <w:ind w:left="152" w:right="152"/>
              <w:jc w:val="both"/>
              <w:rPr>
                <w:rFonts w:ascii="宋体" w:hAnsi="宋体" w:cs="宋体" w:eastAsia="宋体" w:hint="default"/>
                <w:sz w:val="18"/>
                <w:szCs w:val="18"/>
              </w:rPr>
            </w:pPr>
            <w:r>
              <w:rPr>
                <w:rFonts w:ascii="宋体" w:hAnsi="宋体" w:cs="宋体" w:eastAsia="宋体" w:hint="default"/>
                <w:sz w:val="18"/>
                <w:szCs w:val="18"/>
              </w:rPr>
              <w:t>广 电 运 通</w:t>
            </w:r>
          </w:p>
        </w:tc>
        <w:tc>
          <w:tcPr>
            <w:tcW w:w="63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高新</w:t>
            </w:r>
          </w:p>
        </w:tc>
        <w:tc>
          <w:tcPr>
            <w:tcW w:w="63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成都</w:t>
            </w:r>
          </w:p>
        </w:tc>
        <w:tc>
          <w:tcPr>
            <w:tcW w:w="63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0"/>
              <w:ind w:right="133"/>
              <w:jc w:val="right"/>
              <w:rPr>
                <w:rFonts w:ascii="Times New Roman" w:hAnsi="Times New Roman" w:cs="Times New Roman" w:eastAsia="Times New Roman" w:hint="default"/>
                <w:sz w:val="18"/>
                <w:szCs w:val="18"/>
              </w:rPr>
            </w:pPr>
            <w:r>
              <w:rPr>
                <w:rFonts w:ascii="Times New Roman"/>
                <w:spacing w:val="-1"/>
                <w:sz w:val="18"/>
              </w:rPr>
              <w:t>2019</w:t>
            </w:r>
          </w:p>
        </w:tc>
        <w:tc>
          <w:tcPr>
            <w:tcW w:w="63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0</w:t>
            </w:r>
          </w:p>
        </w:tc>
        <w:tc>
          <w:tcPr>
            <w:tcW w:w="63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0</w:t>
            </w:r>
          </w:p>
        </w:tc>
        <w:tc>
          <w:tcPr>
            <w:tcW w:w="63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无</w:t>
            </w:r>
          </w:p>
        </w:tc>
        <w:tc>
          <w:tcPr>
            <w:tcW w:w="63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63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招投</w:t>
            </w:r>
          </w:p>
        </w:tc>
        <w:tc>
          <w:tcPr>
            <w:tcW w:w="74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14,076</w:t>
            </w:r>
          </w:p>
        </w:tc>
        <w:tc>
          <w:tcPr>
            <w:tcW w:w="5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不适</w:t>
            </w:r>
          </w:p>
        </w:tc>
        <w:tc>
          <w:tcPr>
            <w:tcW w:w="63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正常</w:t>
            </w:r>
          </w:p>
        </w:tc>
        <w:tc>
          <w:tcPr>
            <w:tcW w:w="63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2019</w:t>
            </w:r>
          </w:p>
        </w:tc>
        <w:tc>
          <w:tcPr>
            <w:tcW w:w="115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刊登在《证</w:t>
            </w:r>
          </w:p>
        </w:tc>
      </w:tr>
      <w:tr>
        <w:trPr>
          <w:trHeight w:val="312" w:hRule="exact"/>
        </w:trPr>
        <w:tc>
          <w:tcPr>
            <w:tcW w:w="496" w:type="dxa"/>
            <w:vMerge/>
            <w:tcBorders>
              <w:left w:val="single" w:sz="4" w:space="0" w:color="000000"/>
              <w:right w:val="single" w:sz="4" w:space="0" w:color="000000"/>
            </w:tcBorders>
          </w:tcPr>
          <w:p>
            <w:pPr/>
          </w:p>
        </w:tc>
        <w:tc>
          <w:tcPr>
            <w:tcW w:w="63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
              <w:jc w:val="center"/>
              <w:rPr>
                <w:rFonts w:ascii="宋体" w:hAnsi="宋体" w:cs="宋体" w:eastAsia="宋体" w:hint="default"/>
                <w:sz w:val="18"/>
                <w:szCs w:val="18"/>
              </w:rPr>
            </w:pPr>
            <w:r>
              <w:rPr>
                <w:rFonts w:ascii="宋体" w:hAnsi="宋体" w:cs="宋体" w:eastAsia="宋体" w:hint="default"/>
                <w:sz w:val="18"/>
                <w:szCs w:val="18"/>
              </w:rPr>
              <w:t>现代</w:t>
            </w:r>
          </w:p>
        </w:tc>
        <w:tc>
          <w:tcPr>
            <w:tcW w:w="63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center"/>
              <w:rPr>
                <w:rFonts w:ascii="宋体" w:hAnsi="宋体" w:cs="宋体" w:eastAsia="宋体" w:hint="default"/>
                <w:sz w:val="18"/>
                <w:szCs w:val="18"/>
              </w:rPr>
            </w:pPr>
            <w:r>
              <w:rPr>
                <w:rFonts w:ascii="宋体" w:hAnsi="宋体" w:cs="宋体" w:eastAsia="宋体" w:hint="default"/>
                <w:sz w:val="18"/>
                <w:szCs w:val="18"/>
              </w:rPr>
              <w:t>轨道</w:t>
            </w:r>
          </w:p>
        </w:tc>
        <w:tc>
          <w:tcPr>
            <w:tcW w:w="63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55"/>
              <w:jc w:val="righ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638" w:type="dxa"/>
            <w:tcBorders>
              <w:top w:val="nil" w:sz="6" w:space="0" w:color="auto"/>
              <w:left w:val="single" w:sz="4" w:space="0" w:color="000000"/>
              <w:bottom w:val="nil" w:sz="6" w:space="0" w:color="auto"/>
              <w:right w:val="single" w:sz="4" w:space="0" w:color="000000"/>
            </w:tcBorders>
          </w:tcPr>
          <w:p>
            <w:pPr/>
          </w:p>
        </w:tc>
        <w:tc>
          <w:tcPr>
            <w:tcW w:w="639" w:type="dxa"/>
            <w:tcBorders>
              <w:top w:val="nil" w:sz="6" w:space="0" w:color="auto"/>
              <w:left w:val="single" w:sz="4" w:space="0" w:color="000000"/>
              <w:bottom w:val="nil" w:sz="6" w:space="0" w:color="auto"/>
              <w:right w:val="single" w:sz="4" w:space="0" w:color="000000"/>
            </w:tcBorders>
          </w:tcPr>
          <w:p>
            <w:pPr/>
          </w:p>
        </w:tc>
        <w:tc>
          <w:tcPr>
            <w:tcW w:w="639"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center"/>
              <w:rPr>
                <w:rFonts w:ascii="宋体" w:hAnsi="宋体" w:cs="宋体" w:eastAsia="宋体" w:hint="default"/>
                <w:sz w:val="18"/>
                <w:szCs w:val="18"/>
              </w:rPr>
            </w:pPr>
            <w:r>
              <w:rPr>
                <w:rFonts w:ascii="宋体" w:hAnsi="宋体" w:cs="宋体" w:eastAsia="宋体" w:hint="default"/>
                <w:sz w:val="18"/>
                <w:szCs w:val="18"/>
              </w:rPr>
              <w:t>标</w:t>
            </w:r>
          </w:p>
        </w:tc>
        <w:tc>
          <w:tcPr>
            <w:tcW w:w="740"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0"/>
              <w:jc w:val="center"/>
              <w:rPr>
                <w:rFonts w:ascii="Times New Roman" w:hAnsi="Times New Roman" w:cs="Times New Roman" w:eastAsia="Times New Roman" w:hint="default"/>
                <w:sz w:val="18"/>
                <w:szCs w:val="18"/>
              </w:rPr>
            </w:pPr>
            <w:r>
              <w:rPr>
                <w:rFonts w:ascii="Times New Roman"/>
                <w:sz w:val="18"/>
              </w:rPr>
              <w:t>.24</w:t>
            </w:r>
          </w:p>
        </w:tc>
        <w:tc>
          <w:tcPr>
            <w:tcW w:w="536"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center"/>
              <w:rPr>
                <w:rFonts w:ascii="宋体" w:hAnsi="宋体" w:cs="宋体" w:eastAsia="宋体" w:hint="default"/>
                <w:sz w:val="18"/>
                <w:szCs w:val="18"/>
              </w:rPr>
            </w:pPr>
            <w:r>
              <w:rPr>
                <w:rFonts w:ascii="宋体" w:hAnsi="宋体" w:cs="宋体" w:eastAsia="宋体" w:hint="default"/>
                <w:sz w:val="18"/>
                <w:szCs w:val="18"/>
              </w:rPr>
              <w:t>用</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
              <w:jc w:val="center"/>
              <w:rPr>
                <w:rFonts w:ascii="宋体" w:hAnsi="宋体" w:cs="宋体" w:eastAsia="宋体" w:hint="default"/>
                <w:sz w:val="18"/>
                <w:szCs w:val="18"/>
              </w:rPr>
            </w:pPr>
            <w:r>
              <w:rPr>
                <w:rFonts w:ascii="宋体" w:hAnsi="宋体" w:cs="宋体" w:eastAsia="宋体" w:hint="default"/>
                <w:sz w:val="18"/>
                <w:szCs w:val="18"/>
              </w:rPr>
              <w:t>履行</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115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center"/>
              <w:rPr>
                <w:rFonts w:ascii="宋体" w:hAnsi="宋体" w:cs="宋体" w:eastAsia="宋体" w:hint="default"/>
                <w:sz w:val="18"/>
                <w:szCs w:val="18"/>
              </w:rPr>
            </w:pPr>
            <w:r>
              <w:rPr>
                <w:rFonts w:ascii="宋体" w:hAnsi="宋体" w:cs="宋体" w:eastAsia="宋体" w:hint="default"/>
                <w:sz w:val="18"/>
                <w:szCs w:val="18"/>
              </w:rPr>
              <w:t>券时报</w:t>
            </w:r>
            <w:r>
              <w:rPr>
                <w:rFonts w:ascii="宋体" w:hAnsi="宋体" w:cs="宋体" w:eastAsia="宋体" w:hint="default"/>
                <w:spacing w:val="-140"/>
                <w:sz w:val="18"/>
                <w:szCs w:val="18"/>
              </w:rPr>
              <w:t>》</w:t>
            </w:r>
            <w:r>
              <w:rPr>
                <w:rFonts w:ascii="宋体" w:hAnsi="宋体" w:cs="宋体" w:eastAsia="宋体" w:hint="default"/>
                <w:sz w:val="18"/>
                <w:szCs w:val="18"/>
              </w:rPr>
              <w:t>《中</w:t>
            </w:r>
          </w:p>
        </w:tc>
      </w:tr>
      <w:tr>
        <w:trPr>
          <w:trHeight w:val="312" w:hRule="exact"/>
        </w:trPr>
        <w:tc>
          <w:tcPr>
            <w:tcW w:w="496" w:type="dxa"/>
            <w:vMerge/>
            <w:tcBorders>
              <w:left w:val="single" w:sz="4" w:space="0" w:color="000000"/>
              <w:right w:val="single" w:sz="4" w:space="0" w:color="000000"/>
            </w:tcBorders>
          </w:tcPr>
          <w:p>
            <w:pPr/>
          </w:p>
        </w:tc>
        <w:tc>
          <w:tcPr>
            <w:tcW w:w="63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
              <w:jc w:val="center"/>
              <w:rPr>
                <w:rFonts w:ascii="宋体" w:hAnsi="宋体" w:cs="宋体" w:eastAsia="宋体" w:hint="default"/>
                <w:sz w:val="18"/>
                <w:szCs w:val="18"/>
              </w:rPr>
            </w:pPr>
            <w:r>
              <w:rPr>
                <w:rFonts w:ascii="宋体" w:hAnsi="宋体" w:cs="宋体" w:eastAsia="宋体" w:hint="default"/>
                <w:sz w:val="18"/>
                <w:szCs w:val="18"/>
              </w:rPr>
              <w:t>智能</w:t>
            </w:r>
          </w:p>
        </w:tc>
        <w:tc>
          <w:tcPr>
            <w:tcW w:w="63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center"/>
              <w:rPr>
                <w:rFonts w:ascii="宋体" w:hAnsi="宋体" w:cs="宋体" w:eastAsia="宋体" w:hint="default"/>
                <w:sz w:val="18"/>
                <w:szCs w:val="18"/>
              </w:rPr>
            </w:pPr>
            <w:r>
              <w:rPr>
                <w:rFonts w:ascii="宋体" w:hAnsi="宋体" w:cs="宋体" w:eastAsia="宋体" w:hint="default"/>
                <w:sz w:val="18"/>
                <w:szCs w:val="18"/>
              </w:rPr>
              <w:t>交通</w:t>
            </w:r>
          </w:p>
        </w:tc>
        <w:tc>
          <w:tcPr>
            <w:tcW w:w="63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
              <w:jc w:val="center"/>
              <w:rPr>
                <w:rFonts w:ascii="宋体" w:hAnsi="宋体" w:cs="宋体" w:eastAsia="宋体" w:hint="default"/>
                <w:sz w:val="18"/>
                <w:szCs w:val="18"/>
              </w:rPr>
            </w:pPr>
            <w:r>
              <w:rPr>
                <w:rFonts w:ascii="宋体" w:hAnsi="宋体" w:cs="宋体" w:eastAsia="宋体" w:hint="default"/>
                <w:sz w:val="18"/>
                <w:szCs w:val="18"/>
              </w:rPr>
              <w:t>月</w:t>
            </w:r>
          </w:p>
        </w:tc>
        <w:tc>
          <w:tcPr>
            <w:tcW w:w="638" w:type="dxa"/>
            <w:tcBorders>
              <w:top w:val="nil" w:sz="6" w:space="0" w:color="auto"/>
              <w:left w:val="single" w:sz="4" w:space="0" w:color="000000"/>
              <w:bottom w:val="nil" w:sz="6" w:space="0" w:color="auto"/>
              <w:right w:val="single" w:sz="4" w:space="0" w:color="000000"/>
            </w:tcBorders>
          </w:tcPr>
          <w:p>
            <w:pPr/>
          </w:p>
        </w:tc>
        <w:tc>
          <w:tcPr>
            <w:tcW w:w="639" w:type="dxa"/>
            <w:tcBorders>
              <w:top w:val="nil" w:sz="6" w:space="0" w:color="auto"/>
              <w:left w:val="single" w:sz="4" w:space="0" w:color="000000"/>
              <w:bottom w:val="nil" w:sz="6" w:space="0" w:color="auto"/>
              <w:right w:val="single" w:sz="4" w:space="0" w:color="000000"/>
            </w:tcBorders>
          </w:tcPr>
          <w:p>
            <w:pPr/>
          </w:p>
        </w:tc>
        <w:tc>
          <w:tcPr>
            <w:tcW w:w="639"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740" w:type="dxa"/>
            <w:tcBorders>
              <w:top w:val="nil" w:sz="6" w:space="0" w:color="auto"/>
              <w:left w:val="single" w:sz="4" w:space="0" w:color="000000"/>
              <w:bottom w:val="nil" w:sz="6" w:space="0" w:color="auto"/>
              <w:right w:val="single" w:sz="4" w:space="0" w:color="000000"/>
            </w:tcBorders>
          </w:tcPr>
          <w:p>
            <w:pPr/>
          </w:p>
        </w:tc>
        <w:tc>
          <w:tcPr>
            <w:tcW w:w="536"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6"/>
              <w:jc w:val="center"/>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tc>
        <w:tc>
          <w:tcPr>
            <w:tcW w:w="115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
              <w:jc w:val="center"/>
              <w:rPr>
                <w:rFonts w:ascii="宋体" w:hAnsi="宋体" w:cs="宋体" w:eastAsia="宋体" w:hint="default"/>
                <w:sz w:val="18"/>
                <w:szCs w:val="18"/>
              </w:rPr>
            </w:pPr>
            <w:r>
              <w:rPr>
                <w:rFonts w:ascii="宋体" w:hAnsi="宋体" w:cs="宋体" w:eastAsia="宋体" w:hint="default"/>
                <w:sz w:val="18"/>
                <w:szCs w:val="18"/>
              </w:rPr>
              <w:t>国证券报》</w:t>
            </w:r>
          </w:p>
        </w:tc>
      </w:tr>
      <w:tr>
        <w:trPr>
          <w:trHeight w:val="312" w:hRule="exact"/>
        </w:trPr>
        <w:tc>
          <w:tcPr>
            <w:tcW w:w="496" w:type="dxa"/>
            <w:vMerge/>
            <w:tcBorders>
              <w:left w:val="single" w:sz="4" w:space="0" w:color="000000"/>
              <w:right w:val="single" w:sz="4" w:space="0" w:color="000000"/>
            </w:tcBorders>
          </w:tcPr>
          <w:p>
            <w:pPr/>
          </w:p>
        </w:tc>
        <w:tc>
          <w:tcPr>
            <w:tcW w:w="63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
              <w:jc w:val="center"/>
              <w:rPr>
                <w:rFonts w:ascii="宋体" w:hAnsi="宋体" w:cs="宋体" w:eastAsia="宋体" w:hint="default"/>
                <w:sz w:val="18"/>
                <w:szCs w:val="18"/>
              </w:rPr>
            </w:pPr>
            <w:r>
              <w:rPr>
                <w:rFonts w:ascii="宋体" w:hAnsi="宋体" w:cs="宋体" w:eastAsia="宋体" w:hint="default"/>
                <w:sz w:val="18"/>
                <w:szCs w:val="18"/>
              </w:rPr>
              <w:t>系统</w:t>
            </w:r>
          </w:p>
        </w:tc>
        <w:tc>
          <w:tcPr>
            <w:tcW w:w="63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w:t>
            </w:r>
          </w:p>
        </w:tc>
        <w:tc>
          <w:tcPr>
            <w:tcW w:w="639"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9" w:type="dxa"/>
            <w:tcBorders>
              <w:top w:val="nil" w:sz="6" w:space="0" w:color="auto"/>
              <w:left w:val="single" w:sz="4" w:space="0" w:color="000000"/>
              <w:bottom w:val="nil" w:sz="6" w:space="0" w:color="auto"/>
              <w:right w:val="single" w:sz="4" w:space="0" w:color="000000"/>
            </w:tcBorders>
          </w:tcPr>
          <w:p>
            <w:pPr/>
          </w:p>
        </w:tc>
        <w:tc>
          <w:tcPr>
            <w:tcW w:w="639"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740" w:type="dxa"/>
            <w:tcBorders>
              <w:top w:val="nil" w:sz="6" w:space="0" w:color="auto"/>
              <w:left w:val="single" w:sz="4" w:space="0" w:color="000000"/>
              <w:bottom w:val="nil" w:sz="6" w:space="0" w:color="auto"/>
              <w:right w:val="single" w:sz="4" w:space="0" w:color="000000"/>
            </w:tcBorders>
          </w:tcPr>
          <w:p>
            <w:pPr/>
          </w:p>
        </w:tc>
        <w:tc>
          <w:tcPr>
            <w:tcW w:w="536"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115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
              <w:jc w:val="center"/>
              <w:rPr>
                <w:rFonts w:ascii="宋体" w:hAnsi="宋体" w:cs="宋体" w:eastAsia="宋体" w:hint="default"/>
                <w:sz w:val="18"/>
                <w:szCs w:val="18"/>
              </w:rPr>
            </w:pPr>
            <w:r>
              <w:rPr>
                <w:rFonts w:ascii="宋体" w:hAnsi="宋体" w:cs="宋体" w:eastAsia="宋体" w:hint="default"/>
                <w:sz w:val="18"/>
                <w:szCs w:val="18"/>
              </w:rPr>
              <w:t>及巨潮资讯</w:t>
            </w:r>
          </w:p>
        </w:tc>
      </w:tr>
      <w:tr>
        <w:trPr>
          <w:trHeight w:val="312" w:hRule="exact"/>
        </w:trPr>
        <w:tc>
          <w:tcPr>
            <w:tcW w:w="496" w:type="dxa"/>
            <w:vMerge/>
            <w:tcBorders>
              <w:left w:val="single" w:sz="4" w:space="0" w:color="000000"/>
              <w:right w:val="single" w:sz="4" w:space="0" w:color="000000"/>
            </w:tcBorders>
          </w:tcPr>
          <w:p>
            <w:pPr/>
          </w:p>
        </w:tc>
        <w:tc>
          <w:tcPr>
            <w:tcW w:w="63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
              <w:jc w:val="center"/>
              <w:rPr>
                <w:rFonts w:ascii="宋体" w:hAnsi="宋体" w:cs="宋体" w:eastAsia="宋体" w:hint="default"/>
                <w:sz w:val="18"/>
                <w:szCs w:val="18"/>
              </w:rPr>
            </w:pPr>
            <w:r>
              <w:rPr>
                <w:rFonts w:ascii="宋体" w:hAnsi="宋体" w:cs="宋体" w:eastAsia="宋体" w:hint="default"/>
                <w:sz w:val="18"/>
                <w:szCs w:val="18"/>
              </w:rPr>
              <w:t>股份</w:t>
            </w:r>
          </w:p>
        </w:tc>
        <w:tc>
          <w:tcPr>
            <w:tcW w:w="63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w:t>
            </w:r>
          </w:p>
        </w:tc>
        <w:tc>
          <w:tcPr>
            <w:tcW w:w="639"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9" w:type="dxa"/>
            <w:tcBorders>
              <w:top w:val="nil" w:sz="6" w:space="0" w:color="auto"/>
              <w:left w:val="single" w:sz="4" w:space="0" w:color="000000"/>
              <w:bottom w:val="nil" w:sz="6" w:space="0" w:color="auto"/>
              <w:right w:val="single" w:sz="4" w:space="0" w:color="000000"/>
            </w:tcBorders>
          </w:tcPr>
          <w:p>
            <w:pPr/>
          </w:p>
        </w:tc>
        <w:tc>
          <w:tcPr>
            <w:tcW w:w="639"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740" w:type="dxa"/>
            <w:tcBorders>
              <w:top w:val="nil" w:sz="6" w:space="0" w:color="auto"/>
              <w:left w:val="single" w:sz="4" w:space="0" w:color="000000"/>
              <w:bottom w:val="nil" w:sz="6" w:space="0" w:color="auto"/>
              <w:right w:val="single" w:sz="4" w:space="0" w:color="000000"/>
            </w:tcBorders>
          </w:tcPr>
          <w:p>
            <w:pPr/>
          </w:p>
        </w:tc>
        <w:tc>
          <w:tcPr>
            <w:tcW w:w="536"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115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46" w:right="0"/>
              <w:jc w:val="center"/>
              <w:rPr>
                <w:rFonts w:ascii="宋体" w:hAnsi="宋体" w:cs="宋体" w:eastAsia="宋体" w:hint="default"/>
                <w:sz w:val="18"/>
                <w:szCs w:val="18"/>
              </w:rPr>
            </w:pPr>
            <w:r>
              <w:rPr>
                <w:rFonts w:ascii="宋体" w:hAnsi="宋体" w:cs="宋体" w:eastAsia="宋体" w:hint="default"/>
                <w:sz w:val="18"/>
                <w:szCs w:val="18"/>
              </w:rPr>
              <w:t>网</w:t>
            </w:r>
          </w:p>
        </w:tc>
      </w:tr>
      <w:tr>
        <w:trPr>
          <w:trHeight w:val="312" w:hRule="exact"/>
        </w:trPr>
        <w:tc>
          <w:tcPr>
            <w:tcW w:w="496" w:type="dxa"/>
            <w:vMerge/>
            <w:tcBorders>
              <w:left w:val="single" w:sz="4" w:space="0" w:color="000000"/>
              <w:right w:val="single" w:sz="4" w:space="0" w:color="000000"/>
            </w:tcBorders>
          </w:tcPr>
          <w:p>
            <w:pPr/>
          </w:p>
        </w:tc>
        <w:tc>
          <w:tcPr>
            <w:tcW w:w="63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
              <w:jc w:val="center"/>
              <w:rPr>
                <w:rFonts w:ascii="宋体" w:hAnsi="宋体" w:cs="宋体" w:eastAsia="宋体" w:hint="default"/>
                <w:sz w:val="18"/>
                <w:szCs w:val="18"/>
              </w:rPr>
            </w:pPr>
            <w:r>
              <w:rPr>
                <w:rFonts w:ascii="宋体" w:hAnsi="宋体" w:cs="宋体" w:eastAsia="宋体" w:hint="default"/>
                <w:sz w:val="18"/>
                <w:szCs w:val="18"/>
              </w:rPr>
              <w:t>有限</w:t>
            </w:r>
          </w:p>
        </w:tc>
        <w:tc>
          <w:tcPr>
            <w:tcW w:w="639"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0"/>
              <w:jc w:val="center"/>
              <w:rPr>
                <w:rFonts w:ascii="Times New Roman" w:hAnsi="Times New Roman" w:cs="Times New Roman" w:eastAsia="Times New Roman" w:hint="default"/>
                <w:sz w:val="18"/>
                <w:szCs w:val="18"/>
              </w:rPr>
            </w:pPr>
            <w:r>
              <w:rPr>
                <w:rFonts w:ascii="Times New Roman"/>
                <w:sz w:val="18"/>
              </w:rPr>
              <w:t>11</w:t>
            </w:r>
          </w:p>
        </w:tc>
        <w:tc>
          <w:tcPr>
            <w:tcW w:w="639"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9" w:type="dxa"/>
            <w:tcBorders>
              <w:top w:val="nil" w:sz="6" w:space="0" w:color="auto"/>
              <w:left w:val="single" w:sz="4" w:space="0" w:color="000000"/>
              <w:bottom w:val="nil" w:sz="6" w:space="0" w:color="auto"/>
              <w:right w:val="single" w:sz="4" w:space="0" w:color="000000"/>
            </w:tcBorders>
          </w:tcPr>
          <w:p>
            <w:pPr/>
          </w:p>
        </w:tc>
        <w:tc>
          <w:tcPr>
            <w:tcW w:w="639"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740" w:type="dxa"/>
            <w:tcBorders>
              <w:top w:val="nil" w:sz="6" w:space="0" w:color="auto"/>
              <w:left w:val="single" w:sz="4" w:space="0" w:color="000000"/>
              <w:bottom w:val="nil" w:sz="6" w:space="0" w:color="auto"/>
              <w:right w:val="single" w:sz="4" w:space="0" w:color="000000"/>
            </w:tcBorders>
          </w:tcPr>
          <w:p>
            <w:pPr/>
          </w:p>
        </w:tc>
        <w:tc>
          <w:tcPr>
            <w:tcW w:w="536"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1156"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4" w:right="0"/>
              <w:jc w:val="center"/>
              <w:rPr>
                <w:rFonts w:ascii="Times New Roman" w:hAnsi="Times New Roman" w:cs="Times New Roman" w:eastAsia="Times New Roman" w:hint="default"/>
                <w:sz w:val="18"/>
                <w:szCs w:val="18"/>
              </w:rPr>
            </w:pPr>
            <w:r>
              <w:rPr>
                <w:rFonts w:ascii="Times New Roman"/>
                <w:sz w:val="18"/>
              </w:rPr>
              <w:t>www.cninfo.</w:t>
            </w:r>
          </w:p>
        </w:tc>
      </w:tr>
      <w:tr>
        <w:trPr>
          <w:trHeight w:val="312" w:hRule="exact"/>
        </w:trPr>
        <w:tc>
          <w:tcPr>
            <w:tcW w:w="496" w:type="dxa"/>
            <w:vMerge/>
            <w:tcBorders>
              <w:left w:val="single" w:sz="4" w:space="0" w:color="000000"/>
              <w:right w:val="single" w:sz="4" w:space="0" w:color="000000"/>
            </w:tcBorders>
          </w:tcPr>
          <w:p>
            <w:pPr/>
          </w:p>
        </w:tc>
        <w:tc>
          <w:tcPr>
            <w:tcW w:w="63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
              <w:jc w:val="center"/>
              <w:rPr>
                <w:rFonts w:ascii="宋体" w:hAnsi="宋体" w:cs="宋体" w:eastAsia="宋体" w:hint="default"/>
                <w:sz w:val="18"/>
                <w:szCs w:val="18"/>
              </w:rPr>
            </w:pPr>
            <w:r>
              <w:rPr>
                <w:rFonts w:ascii="宋体" w:hAnsi="宋体" w:cs="宋体" w:eastAsia="宋体" w:hint="default"/>
                <w:sz w:val="18"/>
                <w:szCs w:val="18"/>
              </w:rPr>
              <w:t>公司</w:t>
            </w:r>
          </w:p>
        </w:tc>
        <w:tc>
          <w:tcPr>
            <w:tcW w:w="63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center"/>
              <w:rPr>
                <w:rFonts w:ascii="宋体" w:hAnsi="宋体" w:cs="宋体" w:eastAsia="宋体" w:hint="default"/>
                <w:sz w:val="18"/>
                <w:szCs w:val="18"/>
              </w:rPr>
            </w:pPr>
            <w:r>
              <w:rPr>
                <w:rFonts w:ascii="宋体" w:hAnsi="宋体" w:cs="宋体" w:eastAsia="宋体" w:hint="default"/>
                <w:sz w:val="18"/>
                <w:szCs w:val="18"/>
              </w:rPr>
              <w:t>号线</w:t>
            </w:r>
          </w:p>
        </w:tc>
        <w:tc>
          <w:tcPr>
            <w:tcW w:w="639"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9" w:type="dxa"/>
            <w:tcBorders>
              <w:top w:val="nil" w:sz="6" w:space="0" w:color="auto"/>
              <w:left w:val="single" w:sz="4" w:space="0" w:color="000000"/>
              <w:bottom w:val="nil" w:sz="6" w:space="0" w:color="auto"/>
              <w:right w:val="single" w:sz="4" w:space="0" w:color="000000"/>
            </w:tcBorders>
          </w:tcPr>
          <w:p>
            <w:pPr/>
          </w:p>
        </w:tc>
        <w:tc>
          <w:tcPr>
            <w:tcW w:w="639"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740" w:type="dxa"/>
            <w:tcBorders>
              <w:top w:val="nil" w:sz="6" w:space="0" w:color="auto"/>
              <w:left w:val="single" w:sz="4" w:space="0" w:color="000000"/>
              <w:bottom w:val="nil" w:sz="6" w:space="0" w:color="auto"/>
              <w:right w:val="single" w:sz="4" w:space="0" w:color="000000"/>
            </w:tcBorders>
          </w:tcPr>
          <w:p>
            <w:pPr/>
          </w:p>
        </w:tc>
        <w:tc>
          <w:tcPr>
            <w:tcW w:w="536"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115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com.cn</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上的</w:t>
            </w:r>
          </w:p>
        </w:tc>
      </w:tr>
      <w:tr>
        <w:trPr>
          <w:trHeight w:val="312" w:hRule="exact"/>
        </w:trPr>
        <w:tc>
          <w:tcPr>
            <w:tcW w:w="496" w:type="dxa"/>
            <w:vMerge/>
            <w:tcBorders>
              <w:left w:val="single" w:sz="4" w:space="0" w:color="000000"/>
              <w:right w:val="single" w:sz="4" w:space="0" w:color="000000"/>
            </w:tcBorders>
          </w:tcPr>
          <w:p>
            <w:pPr/>
          </w:p>
        </w:tc>
        <w:tc>
          <w:tcPr>
            <w:tcW w:w="639" w:type="dxa"/>
            <w:tcBorders>
              <w:top w:val="nil" w:sz="6" w:space="0" w:color="auto"/>
              <w:left w:val="single" w:sz="4" w:space="0" w:color="000000"/>
              <w:bottom w:val="nil" w:sz="6" w:space="0" w:color="auto"/>
              <w:right w:val="single" w:sz="4" w:space="0" w:color="000000"/>
            </w:tcBorders>
          </w:tcPr>
          <w:p>
            <w:pPr/>
          </w:p>
        </w:tc>
        <w:tc>
          <w:tcPr>
            <w:tcW w:w="63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center"/>
              <w:rPr>
                <w:rFonts w:ascii="宋体" w:hAnsi="宋体" w:cs="宋体" w:eastAsia="宋体" w:hint="default"/>
                <w:sz w:val="18"/>
                <w:szCs w:val="18"/>
              </w:rPr>
            </w:pPr>
            <w:r>
              <w:rPr>
                <w:rFonts w:ascii="宋体" w:hAnsi="宋体" w:cs="宋体" w:eastAsia="宋体" w:hint="default"/>
                <w:sz w:val="18"/>
                <w:szCs w:val="18"/>
              </w:rPr>
              <w:t>自动</w:t>
            </w:r>
          </w:p>
        </w:tc>
        <w:tc>
          <w:tcPr>
            <w:tcW w:w="639"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9" w:type="dxa"/>
            <w:tcBorders>
              <w:top w:val="nil" w:sz="6" w:space="0" w:color="auto"/>
              <w:left w:val="single" w:sz="4" w:space="0" w:color="000000"/>
              <w:bottom w:val="nil" w:sz="6" w:space="0" w:color="auto"/>
              <w:right w:val="single" w:sz="4" w:space="0" w:color="000000"/>
            </w:tcBorders>
          </w:tcPr>
          <w:p>
            <w:pPr/>
          </w:p>
        </w:tc>
        <w:tc>
          <w:tcPr>
            <w:tcW w:w="639"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740" w:type="dxa"/>
            <w:tcBorders>
              <w:top w:val="nil" w:sz="6" w:space="0" w:color="auto"/>
              <w:left w:val="single" w:sz="4" w:space="0" w:color="000000"/>
              <w:bottom w:val="nil" w:sz="6" w:space="0" w:color="auto"/>
              <w:right w:val="single" w:sz="4" w:space="0" w:color="000000"/>
            </w:tcBorders>
          </w:tcPr>
          <w:p>
            <w:pPr/>
          </w:p>
        </w:tc>
        <w:tc>
          <w:tcPr>
            <w:tcW w:w="536"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115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25"/>
              <w:jc w:val="center"/>
              <w:rPr>
                <w:rFonts w:ascii="Times New Roman" w:hAnsi="Times New Roman" w:cs="Times New Roman" w:eastAsia="Times New Roman" w:hint="default"/>
                <w:sz w:val="18"/>
                <w:szCs w:val="18"/>
              </w:rPr>
            </w:pPr>
            <w:r>
              <w:rPr>
                <w:rFonts w:ascii="宋体" w:hAnsi="宋体" w:cs="宋体" w:eastAsia="宋体" w:hint="default"/>
                <w:sz w:val="18"/>
                <w:szCs w:val="18"/>
              </w:rPr>
              <w:t>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2019-005</w:t>
            </w:r>
          </w:p>
        </w:tc>
      </w:tr>
      <w:tr>
        <w:trPr>
          <w:trHeight w:val="308" w:hRule="exact"/>
        </w:trPr>
        <w:tc>
          <w:tcPr>
            <w:tcW w:w="496" w:type="dxa"/>
            <w:vMerge/>
            <w:tcBorders>
              <w:left w:val="single" w:sz="4" w:space="0" w:color="000000"/>
              <w:right w:val="single" w:sz="4" w:space="0" w:color="000000"/>
            </w:tcBorders>
          </w:tcPr>
          <w:p>
            <w:pPr/>
          </w:p>
        </w:tc>
        <w:tc>
          <w:tcPr>
            <w:tcW w:w="639" w:type="dxa"/>
            <w:tcBorders>
              <w:top w:val="nil" w:sz="6" w:space="0" w:color="auto"/>
              <w:left w:val="single" w:sz="4" w:space="0" w:color="000000"/>
              <w:bottom w:val="nil" w:sz="6" w:space="0" w:color="auto"/>
              <w:right w:val="single" w:sz="4" w:space="0" w:color="000000"/>
            </w:tcBorders>
          </w:tcPr>
          <w:p>
            <w:pPr/>
          </w:p>
        </w:tc>
        <w:tc>
          <w:tcPr>
            <w:tcW w:w="63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center"/>
              <w:rPr>
                <w:rFonts w:ascii="宋体" w:hAnsi="宋体" w:cs="宋体" w:eastAsia="宋体" w:hint="default"/>
                <w:sz w:val="18"/>
                <w:szCs w:val="18"/>
              </w:rPr>
            </w:pPr>
            <w:r>
              <w:rPr>
                <w:rFonts w:ascii="宋体" w:hAnsi="宋体" w:cs="宋体" w:eastAsia="宋体" w:hint="default"/>
                <w:sz w:val="18"/>
                <w:szCs w:val="18"/>
              </w:rPr>
              <w:t>售检</w:t>
            </w:r>
          </w:p>
        </w:tc>
        <w:tc>
          <w:tcPr>
            <w:tcW w:w="639"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9" w:type="dxa"/>
            <w:tcBorders>
              <w:top w:val="nil" w:sz="6" w:space="0" w:color="auto"/>
              <w:left w:val="single" w:sz="4" w:space="0" w:color="000000"/>
              <w:bottom w:val="nil" w:sz="6" w:space="0" w:color="auto"/>
              <w:right w:val="single" w:sz="4" w:space="0" w:color="000000"/>
            </w:tcBorders>
          </w:tcPr>
          <w:p>
            <w:pPr/>
          </w:p>
        </w:tc>
        <w:tc>
          <w:tcPr>
            <w:tcW w:w="639"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740" w:type="dxa"/>
            <w:tcBorders>
              <w:top w:val="nil" w:sz="6" w:space="0" w:color="auto"/>
              <w:left w:val="single" w:sz="4" w:space="0" w:color="000000"/>
              <w:bottom w:val="nil" w:sz="6" w:space="0" w:color="auto"/>
              <w:right w:val="single" w:sz="4" w:space="0" w:color="000000"/>
            </w:tcBorders>
          </w:tcPr>
          <w:p>
            <w:pPr/>
          </w:p>
        </w:tc>
        <w:tc>
          <w:tcPr>
            <w:tcW w:w="536"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115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
              <w:jc w:val="center"/>
              <w:rPr>
                <w:rFonts w:ascii="宋体" w:hAnsi="宋体" w:cs="宋体" w:eastAsia="宋体" w:hint="default"/>
                <w:sz w:val="18"/>
                <w:szCs w:val="18"/>
              </w:rPr>
            </w:pPr>
            <w:r>
              <w:rPr>
                <w:rFonts w:ascii="宋体" w:hAnsi="宋体" w:cs="宋体" w:eastAsia="宋体" w:hint="default"/>
                <w:sz w:val="18"/>
                <w:szCs w:val="18"/>
              </w:rPr>
              <w:t>号公告</w:t>
            </w:r>
          </w:p>
        </w:tc>
      </w:tr>
      <w:tr>
        <w:trPr>
          <w:trHeight w:val="312" w:hRule="exact"/>
        </w:trPr>
        <w:tc>
          <w:tcPr>
            <w:tcW w:w="496" w:type="dxa"/>
            <w:vMerge/>
            <w:tcBorders>
              <w:left w:val="single" w:sz="4" w:space="0" w:color="000000"/>
              <w:right w:val="single" w:sz="4" w:space="0" w:color="000000"/>
            </w:tcBorders>
          </w:tcPr>
          <w:p>
            <w:pPr/>
          </w:p>
        </w:tc>
        <w:tc>
          <w:tcPr>
            <w:tcW w:w="639" w:type="dxa"/>
            <w:tcBorders>
              <w:top w:val="nil" w:sz="6" w:space="0" w:color="auto"/>
              <w:left w:val="single" w:sz="4" w:space="0" w:color="000000"/>
              <w:bottom w:val="nil" w:sz="6" w:space="0" w:color="auto"/>
              <w:right w:val="single" w:sz="4" w:space="0" w:color="000000"/>
            </w:tcBorders>
          </w:tcPr>
          <w:p>
            <w:pPr/>
          </w:p>
        </w:tc>
        <w:tc>
          <w:tcPr>
            <w:tcW w:w="63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票系</w:t>
            </w:r>
          </w:p>
        </w:tc>
        <w:tc>
          <w:tcPr>
            <w:tcW w:w="639"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9" w:type="dxa"/>
            <w:tcBorders>
              <w:top w:val="nil" w:sz="6" w:space="0" w:color="auto"/>
              <w:left w:val="single" w:sz="4" w:space="0" w:color="000000"/>
              <w:bottom w:val="nil" w:sz="6" w:space="0" w:color="auto"/>
              <w:right w:val="single" w:sz="4" w:space="0" w:color="000000"/>
            </w:tcBorders>
          </w:tcPr>
          <w:p>
            <w:pPr/>
          </w:p>
        </w:tc>
        <w:tc>
          <w:tcPr>
            <w:tcW w:w="639"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740" w:type="dxa"/>
            <w:tcBorders>
              <w:top w:val="nil" w:sz="6" w:space="0" w:color="auto"/>
              <w:left w:val="single" w:sz="4" w:space="0" w:color="000000"/>
              <w:bottom w:val="nil" w:sz="6" w:space="0" w:color="auto"/>
              <w:right w:val="single" w:sz="4" w:space="0" w:color="000000"/>
            </w:tcBorders>
          </w:tcPr>
          <w:p>
            <w:pPr/>
          </w:p>
        </w:tc>
        <w:tc>
          <w:tcPr>
            <w:tcW w:w="536"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1156" w:type="dxa"/>
            <w:tcBorders>
              <w:top w:val="nil" w:sz="6" w:space="0" w:color="auto"/>
              <w:left w:val="single" w:sz="4" w:space="0" w:color="000000"/>
              <w:bottom w:val="nil" w:sz="6" w:space="0" w:color="auto"/>
              <w:right w:val="single" w:sz="4" w:space="0" w:color="000000"/>
            </w:tcBorders>
          </w:tcPr>
          <w:p>
            <w:pPr/>
          </w:p>
        </w:tc>
      </w:tr>
      <w:tr>
        <w:trPr>
          <w:trHeight w:val="365" w:hRule="exact"/>
        </w:trPr>
        <w:tc>
          <w:tcPr>
            <w:tcW w:w="496" w:type="dxa"/>
            <w:vMerge/>
            <w:tcBorders>
              <w:left w:val="single" w:sz="4" w:space="0" w:color="000000"/>
              <w:bottom w:val="single" w:sz="4" w:space="0" w:color="000000"/>
              <w:right w:val="single" w:sz="4" w:space="0" w:color="000000"/>
            </w:tcBorders>
          </w:tcPr>
          <w:p>
            <w:pPr/>
          </w:p>
        </w:tc>
        <w:tc>
          <w:tcPr>
            <w:tcW w:w="639" w:type="dxa"/>
            <w:tcBorders>
              <w:top w:val="nil" w:sz="6" w:space="0" w:color="auto"/>
              <w:left w:val="single" w:sz="4" w:space="0" w:color="000000"/>
              <w:bottom w:val="single" w:sz="4" w:space="0" w:color="000000"/>
              <w:right w:val="single" w:sz="4" w:space="0" w:color="000000"/>
            </w:tcBorders>
          </w:tcPr>
          <w:p>
            <w:pPr/>
          </w:p>
        </w:tc>
        <w:tc>
          <w:tcPr>
            <w:tcW w:w="63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统车</w:t>
            </w:r>
          </w:p>
        </w:tc>
        <w:tc>
          <w:tcPr>
            <w:tcW w:w="639"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639" w:type="dxa"/>
            <w:tcBorders>
              <w:top w:val="nil" w:sz="6" w:space="0" w:color="auto"/>
              <w:left w:val="single" w:sz="4" w:space="0" w:color="000000"/>
              <w:bottom w:val="single" w:sz="4" w:space="0" w:color="000000"/>
              <w:right w:val="single" w:sz="4" w:space="0" w:color="000000"/>
            </w:tcBorders>
          </w:tcPr>
          <w:p>
            <w:pPr/>
          </w:p>
        </w:tc>
        <w:tc>
          <w:tcPr>
            <w:tcW w:w="639"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740" w:type="dxa"/>
            <w:tcBorders>
              <w:top w:val="nil" w:sz="6" w:space="0" w:color="auto"/>
              <w:left w:val="single" w:sz="4" w:space="0" w:color="000000"/>
              <w:bottom w:val="single" w:sz="4" w:space="0" w:color="000000"/>
              <w:right w:val="single" w:sz="4" w:space="0" w:color="000000"/>
            </w:tcBorders>
          </w:tcPr>
          <w:p>
            <w:pPr/>
          </w:p>
        </w:tc>
        <w:tc>
          <w:tcPr>
            <w:tcW w:w="536"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1156"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878" w:footer="978" w:top="1100" w:bottom="1160" w:left="920" w:right="0"/>
        </w:sectPr>
      </w:pPr>
    </w:p>
    <w:p>
      <w:pPr>
        <w:spacing w:line="240" w:lineRule="auto" w:before="8"/>
        <w:rPr>
          <w:rFonts w:ascii="宋体" w:hAnsi="宋体" w:cs="宋体" w:eastAsia="宋体" w:hint="default"/>
          <w:sz w:val="24"/>
          <w:szCs w:val="24"/>
        </w:rPr>
      </w:pPr>
    </w:p>
    <w:tbl>
      <w:tblPr>
        <w:tblW w:w="0" w:type="auto"/>
        <w:jc w:val="left"/>
        <w:tblInd w:w="101" w:type="dxa"/>
        <w:tblLayout w:type="fixed"/>
        <w:tblCellMar>
          <w:top w:w="0" w:type="dxa"/>
          <w:left w:w="0" w:type="dxa"/>
          <w:bottom w:w="0" w:type="dxa"/>
          <w:right w:w="0" w:type="dxa"/>
        </w:tblCellMar>
        <w:tblLook w:val="01E0"/>
      </w:tblPr>
      <w:tblGrid>
        <w:gridCol w:w="496"/>
        <w:gridCol w:w="639"/>
        <w:gridCol w:w="639"/>
        <w:gridCol w:w="639"/>
        <w:gridCol w:w="638"/>
        <w:gridCol w:w="639"/>
        <w:gridCol w:w="639"/>
        <w:gridCol w:w="638"/>
        <w:gridCol w:w="638"/>
        <w:gridCol w:w="740"/>
        <w:gridCol w:w="536"/>
        <w:gridCol w:w="638"/>
        <w:gridCol w:w="638"/>
        <w:gridCol w:w="638"/>
        <w:gridCol w:w="1156"/>
      </w:tblGrid>
      <w:tr>
        <w:trPr>
          <w:trHeight w:val="986" w:hRule="exact"/>
        </w:trPr>
        <w:tc>
          <w:tcPr>
            <w:tcW w:w="496"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33" w:right="134"/>
              <w:jc w:val="both"/>
              <w:rPr>
                <w:rFonts w:ascii="宋体" w:hAnsi="宋体" w:cs="宋体" w:eastAsia="宋体" w:hint="default"/>
                <w:sz w:val="18"/>
                <w:szCs w:val="18"/>
              </w:rPr>
            </w:pPr>
            <w:r>
              <w:rPr>
                <w:rFonts w:ascii="宋体" w:hAnsi="宋体" w:cs="宋体" w:eastAsia="宋体" w:hint="default"/>
                <w:sz w:val="18"/>
                <w:szCs w:val="18"/>
              </w:rPr>
              <w:t>站专 用设 备</w:t>
            </w:r>
          </w:p>
        </w:tc>
        <w:tc>
          <w:tcPr>
            <w:tcW w:w="639"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536"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15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4"/>
          <w:szCs w:val="24"/>
        </w:rPr>
      </w:pPr>
    </w:p>
    <w:p>
      <w:pPr>
        <w:pStyle w:val="Heading2"/>
        <w:spacing w:line="240" w:lineRule="auto" w:before="26"/>
        <w:ind w:left="212" w:right="0"/>
        <w:jc w:val="both"/>
        <w:rPr>
          <w:b w:val="0"/>
          <w:bCs w:val="0"/>
        </w:rPr>
      </w:pPr>
      <w:bookmarkStart w:name="十八、社会责任情况" w:id="98"/>
      <w:bookmarkEnd w:id="98"/>
      <w:r>
        <w:rPr>
          <w:b w:val="0"/>
          <w:bCs w:val="0"/>
        </w:rPr>
      </w:r>
      <w:r>
        <w:rPr/>
        <w:t>十八、社会责任情况</w:t>
      </w:r>
      <w:r>
        <w:rPr>
          <w:b w:val="0"/>
          <w:bCs w:val="0"/>
        </w:rPr>
      </w:r>
    </w:p>
    <w:p>
      <w:pPr>
        <w:spacing w:line="240" w:lineRule="auto" w:before="6"/>
        <w:rPr>
          <w:rFonts w:ascii="宋体" w:hAnsi="宋体" w:cs="宋体" w:eastAsia="宋体" w:hint="default"/>
          <w:b/>
          <w:bCs/>
          <w:sz w:val="25"/>
          <w:szCs w:val="25"/>
        </w:rPr>
      </w:pPr>
    </w:p>
    <w:p>
      <w:pPr>
        <w:pStyle w:val="Heading5"/>
        <w:spacing w:line="240" w:lineRule="auto"/>
        <w:ind w:left="212" w:right="0"/>
        <w:jc w:val="both"/>
        <w:rPr>
          <w:b w:val="0"/>
          <w:bCs w:val="0"/>
        </w:rPr>
      </w:pPr>
      <w:bookmarkStart w:name="1、履行社会责任情况" w:id="99"/>
      <w:bookmarkEnd w:id="99"/>
      <w:r>
        <w:rPr>
          <w:b w:val="0"/>
          <w:bCs w:val="0"/>
        </w:rPr>
      </w:r>
      <w:r>
        <w:rPr>
          <w:rFonts w:ascii="Times New Roman" w:hAnsi="Times New Roman" w:cs="Times New Roman" w:eastAsia="Times New Roman" w:hint="default"/>
        </w:rPr>
        <w:t>1</w:t>
      </w:r>
      <w:r>
        <w:rPr/>
        <w:t>、履行社会责任情况</w:t>
      </w:r>
      <w:r>
        <w:rPr>
          <w:b w:val="0"/>
          <w:bCs w:val="0"/>
        </w:rPr>
      </w:r>
    </w:p>
    <w:p>
      <w:pPr>
        <w:spacing w:line="240" w:lineRule="auto" w:before="11"/>
        <w:rPr>
          <w:rFonts w:ascii="宋体" w:hAnsi="宋体" w:cs="宋体" w:eastAsia="宋体" w:hint="default"/>
          <w:b/>
          <w:bCs/>
          <w:sz w:val="26"/>
          <w:szCs w:val="26"/>
        </w:rPr>
      </w:pPr>
    </w:p>
    <w:p>
      <w:pPr>
        <w:pStyle w:val="BodyText"/>
        <w:spacing w:line="309" w:lineRule="auto"/>
        <w:ind w:left="212" w:right="1129" w:firstLine="360"/>
        <w:jc w:val="both"/>
      </w:pPr>
      <w:r>
        <w:rPr/>
        <w:t>作为一家上市公司，公司在发展壮大的过程中，始终坚持积极履行社会责任。</w:t>
      </w:r>
      <w:r>
        <w:rPr>
          <w:rFonts w:ascii="Times New Roman" w:hAnsi="Times New Roman" w:cs="Times New Roman" w:eastAsia="Times New Roman" w:hint="default"/>
        </w:rPr>
        <w:t>2019</w:t>
      </w:r>
      <w:r>
        <w:rPr>
          <w:rFonts w:ascii="Times New Roman" w:hAnsi="Times New Roman" w:cs="Times New Roman" w:eastAsia="Times New Roman" w:hint="default"/>
          <w:spacing w:val="-22"/>
        </w:rPr>
        <w:t> </w:t>
      </w:r>
      <w:r>
        <w:rPr/>
        <w:t>年，公司按照</w:t>
      </w:r>
      <w:r>
        <w:rPr>
          <w:rFonts w:ascii="Times New Roman" w:hAnsi="Times New Roman" w:cs="Times New Roman" w:eastAsia="Times New Roman" w:hint="default"/>
        </w:rPr>
        <w:t>“</w:t>
      </w:r>
      <w:r>
        <w:rPr/>
        <w:t>为社会、客户、合作 伙伴、投资者和企业员工创造价值</w:t>
      </w:r>
      <w:r>
        <w:rPr>
          <w:rFonts w:ascii="Times New Roman" w:hAnsi="Times New Roman" w:cs="Times New Roman" w:eastAsia="Times New Roman" w:hint="default"/>
        </w:rPr>
        <w:t>”</w:t>
      </w:r>
      <w:r>
        <w:rPr/>
        <w:t>的企业责任理念，在创造经济价值的同时，重视与股东、债权人、员工、客户、供应商</w:t>
      </w:r>
      <w:r>
        <w:rPr>
          <w:spacing w:val="-74"/>
        </w:rPr>
        <w:t> </w:t>
      </w:r>
      <w:r>
        <w:rPr>
          <w:spacing w:val="-74"/>
        </w:rPr>
      </w:r>
      <w:r>
        <w:rPr>
          <w:spacing w:val="-2"/>
        </w:rPr>
        <w:t>等利益相关方及时沟通，在合作过程中做到重信誉、重承诺、重合同、守信用，与利益相关方保持健康良好、合作共赢的关</w:t>
      </w:r>
      <w:r>
        <w:rPr>
          <w:spacing w:val="-64"/>
        </w:rPr>
        <w:t> </w:t>
      </w:r>
      <w:r>
        <w:rPr>
          <w:spacing w:val="-64"/>
        </w:rPr>
      </w:r>
      <w:r>
        <w:rPr>
          <w:spacing w:val="-2"/>
        </w:rPr>
        <w:t>系；秉承绿色经营理念，提供安全优质产品，保护员工合法权益，积极参与社会公益，促进公司与员工、社会与自然的和谐</w:t>
      </w:r>
      <w:r>
        <w:rPr>
          <w:spacing w:val="-64"/>
        </w:rPr>
        <w:t> </w:t>
      </w:r>
      <w:r>
        <w:rPr>
          <w:spacing w:val="-64"/>
        </w:rPr>
      </w:r>
      <w:r>
        <w:rPr/>
        <w:t>发展。</w:t>
      </w:r>
    </w:p>
    <w:p>
      <w:pPr>
        <w:pStyle w:val="BodyText"/>
        <w:spacing w:line="338" w:lineRule="auto" w:before="65"/>
        <w:ind w:left="572" w:right="0"/>
        <w:jc w:val="left"/>
      </w:pPr>
      <w:r>
        <w:rPr/>
        <w:t>（</w:t>
      </w:r>
      <w:r>
        <w:rPr>
          <w:rFonts w:ascii="Times New Roman" w:hAnsi="Times New Roman" w:cs="Times New Roman" w:eastAsia="Times New Roman" w:hint="default"/>
        </w:rPr>
        <w:t>1</w:t>
      </w:r>
      <w:r>
        <w:rPr/>
        <w:t>）股东权益责任 </w:t>
      </w:r>
      <w:r>
        <w:rPr>
          <w:spacing w:val="-4"/>
        </w:rPr>
        <w:t>保障股东特别是中小股东的权益，是公司最基本的社会责任。报告期内，公司召开的股东大会均按要求开通了网络投票，</w:t>
      </w:r>
    </w:p>
    <w:p>
      <w:pPr>
        <w:pStyle w:val="BodyText"/>
        <w:spacing w:line="307" w:lineRule="auto" w:before="2"/>
        <w:ind w:left="212" w:right="1130"/>
        <w:jc w:val="both"/>
      </w:pPr>
      <w:r>
        <w:rPr>
          <w:spacing w:val="-2"/>
        </w:rPr>
        <w:t>保障了股东基本的参与权和表决权。公司严格按照《公司章程》等有关规定，在征求独立董事的意见后制定年度权益分派方</w:t>
      </w:r>
      <w:r>
        <w:rPr>
          <w:spacing w:val="-65"/>
        </w:rPr>
        <w:t> </w:t>
      </w:r>
      <w:r>
        <w:rPr>
          <w:spacing w:val="-65"/>
        </w:rPr>
      </w:r>
      <w:r>
        <w:rPr/>
        <w:t>案并经董事会和股东大会审议通过。</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月，公司</w:t>
      </w:r>
      <w:r>
        <w:rPr>
          <w:rFonts w:ascii="Times New Roman" w:hAnsi="Times New Roman" w:cs="Times New Roman" w:eastAsia="Times New Roman" w:hint="default"/>
        </w:rPr>
        <w:t>2018</w:t>
      </w:r>
      <w:r>
        <w:rPr/>
        <w:t>年度权益分派方案实施完成，以当时公司总股本</w:t>
      </w:r>
      <w:r>
        <w:rPr>
          <w:rFonts w:ascii="Times New Roman" w:hAnsi="Times New Roman" w:cs="Times New Roman" w:eastAsia="Times New Roman" w:hint="default"/>
        </w:rPr>
        <w:t>2,408,993,951</w:t>
      </w:r>
      <w:r>
        <w:rPr/>
        <w:t>股</w:t>
      </w:r>
      <w:r>
        <w:rPr>
          <w:spacing w:val="-57"/>
        </w:rPr>
        <w:t> </w:t>
      </w:r>
      <w:r>
        <w:rPr>
          <w:spacing w:val="-2"/>
        </w:rPr>
        <w:t>为基数，向全体股东每</w:t>
      </w:r>
      <w:r>
        <w:rPr>
          <w:rFonts w:ascii="Times New Roman" w:hAnsi="Times New Roman" w:cs="Times New Roman" w:eastAsia="Times New Roman" w:hint="default"/>
          <w:spacing w:val="-2"/>
        </w:rPr>
        <w:t>10</w:t>
      </w:r>
      <w:r>
        <w:rPr>
          <w:spacing w:val="-2"/>
        </w:rPr>
        <w:t>股派发现金红利</w:t>
      </w:r>
      <w:r>
        <w:rPr>
          <w:rFonts w:ascii="Times New Roman" w:hAnsi="Times New Roman" w:cs="Times New Roman" w:eastAsia="Times New Roman" w:hint="default"/>
          <w:spacing w:val="-2"/>
        </w:rPr>
        <w:t>1.20</w:t>
      </w:r>
      <w:r>
        <w:rPr>
          <w:spacing w:val="-2"/>
        </w:rPr>
        <w:t>元（含税），共计派发现金红利</w:t>
      </w:r>
      <w:r>
        <w:rPr>
          <w:rFonts w:ascii="Times New Roman" w:hAnsi="Times New Roman" w:cs="Times New Roman" w:eastAsia="Times New Roman" w:hint="default"/>
          <w:spacing w:val="-2"/>
        </w:rPr>
        <w:t>289,079,274.12</w:t>
      </w:r>
      <w:r>
        <w:rPr>
          <w:spacing w:val="-2"/>
        </w:rPr>
        <w:t>元。公司在进行信息披露时，始</w:t>
      </w:r>
      <w:r>
        <w:rPr>
          <w:spacing w:val="-52"/>
        </w:rPr>
        <w:t> </w:t>
      </w:r>
      <w:r>
        <w:rPr>
          <w:spacing w:val="-52"/>
        </w:rPr>
      </w:r>
      <w:r>
        <w:rPr/>
        <w:t>终坚持真实、准确、及时、完整、公平的披露原则，秉持公平、公正、公开的原则对待全体投资者。</w:t>
      </w:r>
    </w:p>
    <w:p>
      <w:pPr>
        <w:pStyle w:val="BodyText"/>
        <w:spacing w:line="340" w:lineRule="auto" w:before="67"/>
        <w:ind w:left="572" w:right="0"/>
        <w:jc w:val="left"/>
      </w:pPr>
      <w:r>
        <w:rPr/>
        <w:t>（</w:t>
      </w:r>
      <w:r>
        <w:rPr>
          <w:rFonts w:ascii="Times New Roman" w:hAnsi="Times New Roman" w:cs="Times New Roman" w:eastAsia="Times New Roman" w:hint="default"/>
        </w:rPr>
        <w:t>2</w:t>
      </w:r>
      <w:r>
        <w:rPr/>
        <w:t>）债权人、供应商权益责任 </w:t>
      </w:r>
      <w:r>
        <w:rPr>
          <w:spacing w:val="-2"/>
        </w:rPr>
        <w:t>公司一贯奉行稳健诚信的经营策略，对于债权人，充分尊重其对债权权益相关的重大信息的知情权；对于供应商，重视</w:t>
      </w:r>
    </w:p>
    <w:p>
      <w:pPr>
        <w:pStyle w:val="BodyText"/>
        <w:spacing w:line="300" w:lineRule="auto" w:before="1"/>
        <w:ind w:left="212" w:right="1130"/>
        <w:jc w:val="both"/>
      </w:pPr>
      <w:r>
        <w:rPr/>
        <w:t>其权益，不无故拖欠款项。</w:t>
      </w:r>
      <w:r>
        <w:rPr>
          <w:rFonts w:ascii="Times New Roman" w:hAnsi="Times New Roman" w:cs="Times New Roman" w:eastAsia="Times New Roman" w:hint="default"/>
        </w:rPr>
        <w:t>2019</w:t>
      </w:r>
      <w:r>
        <w:rPr>
          <w:rFonts w:ascii="Times New Roman" w:hAnsi="Times New Roman" w:cs="Times New Roman" w:eastAsia="Times New Roman" w:hint="default"/>
          <w:spacing w:val="30"/>
        </w:rPr>
        <w:t> </w:t>
      </w:r>
      <w:r>
        <w:rPr/>
        <w:t>年，公司持续阳光采购、合作共赢的理念，强化供应商考核要求，通过使用制造企业生产</w:t>
      </w:r>
      <w:r>
        <w:rPr>
          <w:spacing w:val="-78"/>
        </w:rPr>
        <w:t> </w:t>
      </w:r>
      <w:r>
        <w:rPr>
          <w:spacing w:val="-78"/>
        </w:rPr>
      </w:r>
      <w:r>
        <w:rPr/>
        <w:t>过程执行管理系统（</w:t>
      </w:r>
      <w:r>
        <w:rPr>
          <w:rFonts w:ascii="Times New Roman" w:hAnsi="Times New Roman" w:cs="Times New Roman" w:eastAsia="Times New Roman" w:hint="default"/>
        </w:rPr>
        <w:t>MES</w:t>
      </w:r>
      <w:r>
        <w:rPr/>
        <w:t>），客观透明、高效快捷地对众多供应商进行筛选，努力做到公平、公正，与各供应商保持良好</w:t>
      </w:r>
      <w:r>
        <w:rPr>
          <w:spacing w:val="-17"/>
        </w:rPr>
        <w:t> </w:t>
      </w:r>
      <w:r>
        <w:rPr>
          <w:spacing w:val="-17"/>
        </w:rPr>
      </w:r>
      <w:r>
        <w:rPr/>
        <w:t>合作关系。</w:t>
      </w:r>
    </w:p>
    <w:p>
      <w:pPr>
        <w:pStyle w:val="BodyText"/>
        <w:spacing w:line="340" w:lineRule="auto" w:before="70"/>
        <w:ind w:left="572" w:right="0"/>
        <w:jc w:val="left"/>
      </w:pPr>
      <w:r>
        <w:rPr/>
        <w:t>（</w:t>
      </w:r>
      <w:r>
        <w:rPr>
          <w:rFonts w:ascii="Times New Roman" w:hAnsi="Times New Roman" w:cs="Times New Roman" w:eastAsia="Times New Roman" w:hint="default"/>
        </w:rPr>
        <w:t>3</w:t>
      </w:r>
      <w:r>
        <w:rPr/>
        <w:t>）员工权益责任 </w:t>
      </w:r>
      <w:r>
        <w:rPr>
          <w:spacing w:val="-2"/>
        </w:rPr>
        <w:t>公司坚持以人为本，把人才战略作为企业发展的重点，严格遵守《劳动法》《劳动合同法》《妇女权益保护法》等相关</w:t>
      </w:r>
    </w:p>
    <w:p>
      <w:pPr>
        <w:pStyle w:val="BodyText"/>
        <w:spacing w:line="312" w:lineRule="auto" w:before="1"/>
        <w:ind w:left="212" w:right="1039"/>
        <w:jc w:val="both"/>
      </w:pPr>
      <w:r>
        <w:rPr/>
        <w:t>法律法规，依法与各员工签订劳动合同，依法为各员工购买各项保险并及时足额缴纳，保障员工的合法权益。</w:t>
      </w:r>
      <w:r>
        <w:rPr>
          <w:rFonts w:ascii="Times New Roman" w:hAnsi="Times New Roman" w:cs="Times New Roman" w:eastAsia="Times New Roman" w:hint="default"/>
        </w:rPr>
        <w:t>2019 </w:t>
      </w:r>
      <w:r>
        <w:rPr/>
        <w:t>年，除</w:t>
      </w:r>
      <w:r>
        <w:rPr>
          <w:spacing w:val="-48"/>
        </w:rPr>
        <w:t> </w:t>
      </w:r>
      <w:r>
        <w:rPr>
          <w:spacing w:val="-48"/>
        </w:rPr>
      </w:r>
      <w:r>
        <w:rPr>
          <w:spacing w:val="-2"/>
        </w:rPr>
        <w:t>国家规定的基本保险外，公司还为各员工购买了商业保险，为员工提供切实保障。公司根据不同类别的岗位制定了不同的薪</w:t>
      </w:r>
      <w:r>
        <w:rPr>
          <w:spacing w:val="-63"/>
        </w:rPr>
        <w:t> </w:t>
      </w:r>
      <w:r>
        <w:rPr>
          <w:spacing w:val="-63"/>
        </w:rPr>
      </w:r>
      <w:r>
        <w:rPr>
          <w:spacing w:val="-2"/>
        </w:rPr>
        <w:t>酬考核体系，对工作表现突出人员或团队进行物质与精神奖励；为员工提供平等的发展机会和晋升渠道，实现员工与企业的</w:t>
      </w:r>
      <w:r>
        <w:rPr>
          <w:spacing w:val="-63"/>
        </w:rPr>
        <w:t> </w:t>
      </w:r>
      <w:r>
        <w:rPr>
          <w:spacing w:val="-63"/>
        </w:rPr>
      </w:r>
      <w:r>
        <w:rPr>
          <w:spacing w:val="-1"/>
        </w:rPr>
        <w:t>共同成长。公司重视人才培养，积极提供各类职业素质提升培训。</w:t>
      </w:r>
      <w:r>
        <w:rPr>
          <w:rFonts w:ascii="Times New Roman" w:hAnsi="Times New Roman" w:cs="Times New Roman" w:eastAsia="Times New Roman" w:hint="default"/>
          <w:spacing w:val="-1"/>
        </w:rPr>
        <w:t>2019</w:t>
      </w:r>
      <w:r>
        <w:rPr>
          <w:rFonts w:ascii="Times New Roman" w:hAnsi="Times New Roman" w:cs="Times New Roman" w:eastAsia="Times New Roman" w:hint="default"/>
          <w:spacing w:val="18"/>
        </w:rPr>
        <w:t> </w:t>
      </w:r>
      <w:r>
        <w:rPr>
          <w:spacing w:val="-1"/>
        </w:rPr>
        <w:t>年，公司举办了《法律和产业视角下的并购及风控》</w:t>
      </w:r>
    </w:p>
    <w:p>
      <w:pPr>
        <w:pStyle w:val="BodyText"/>
        <w:spacing w:line="312" w:lineRule="auto" w:before="3"/>
        <w:ind w:left="212" w:right="1123"/>
        <w:jc w:val="both"/>
      </w:pPr>
      <w:r>
        <w:rPr>
          <w:spacing w:val="-2"/>
        </w:rPr>
        <w:t>《互联网时代中个人与组织的破局模式与方法》《金融科技核心技术及其在银行和金融服务行业的应用》等知识普及专题讲</w:t>
      </w:r>
      <w:r>
        <w:rPr>
          <w:spacing w:val="-62"/>
        </w:rPr>
        <w:t> </w:t>
      </w:r>
      <w:r>
        <w:rPr>
          <w:spacing w:val="-62"/>
        </w:rPr>
      </w:r>
      <w:r>
        <w:rPr/>
        <w:t>座，开设了</w:t>
      </w:r>
      <w:r>
        <w:rPr>
          <w:spacing w:val="-13"/>
        </w:rPr>
        <w:t> </w:t>
      </w:r>
      <w:r>
        <w:rPr/>
        <w:t>《董秘小课堂》《面试官认证培训》《商务礼仪培训》《安全生产专题教育》《员工团体商业保险》等专题课</w:t>
      </w:r>
      <w:r>
        <w:rPr>
          <w:spacing w:val="-76"/>
        </w:rPr>
        <w:t> </w:t>
      </w:r>
      <w:r>
        <w:rPr>
          <w:spacing w:val="-76"/>
        </w:rPr>
      </w:r>
      <w:r>
        <w:rPr/>
        <w:t>堂，合计组织培训</w:t>
      </w:r>
      <w:r>
        <w:rPr>
          <w:spacing w:val="-39"/>
        </w:rPr>
        <w:t> </w:t>
      </w:r>
      <w:r>
        <w:rPr>
          <w:rFonts w:ascii="Times New Roman" w:hAnsi="Times New Roman" w:cs="Times New Roman" w:eastAsia="Times New Roman" w:hint="default"/>
        </w:rPr>
        <w:t>66</w:t>
      </w:r>
      <w:r>
        <w:rPr>
          <w:rFonts w:ascii="Times New Roman" w:hAnsi="Times New Roman" w:cs="Times New Roman" w:eastAsia="Times New Roman" w:hint="default"/>
          <w:spacing w:val="-1"/>
        </w:rPr>
        <w:t> </w:t>
      </w:r>
      <w:r>
        <w:rPr/>
        <w:t>场次。此外，公司工会还组织了育婴师、美容师等职业培训，并积极组织学历教育培训，申报学历教 </w:t>
      </w:r>
      <w:r>
        <w:rPr>
          <w:spacing w:val="-1"/>
        </w:rPr>
        <w:t>育补贴；举办了</w:t>
      </w:r>
      <w:r>
        <w:rPr>
          <w:rFonts w:ascii="Times New Roman" w:hAnsi="Times New Roman" w:cs="Times New Roman" w:eastAsia="Times New Roman" w:hint="default"/>
          <w:spacing w:val="-1"/>
        </w:rPr>
        <w:t>“</w:t>
      </w:r>
      <w:r>
        <w:rPr>
          <w:spacing w:val="-1"/>
        </w:rPr>
        <w:t>三八</w:t>
      </w:r>
      <w:r>
        <w:rPr>
          <w:rFonts w:ascii="Times New Roman" w:hAnsi="Times New Roman" w:cs="Times New Roman" w:eastAsia="Times New Roman" w:hint="default"/>
          <w:spacing w:val="-1"/>
        </w:rPr>
        <w:t>”</w:t>
      </w:r>
      <w:r>
        <w:rPr>
          <w:spacing w:val="-1"/>
        </w:rPr>
        <w:t>妇女节、</w:t>
      </w:r>
      <w:r>
        <w:rPr>
          <w:rFonts w:ascii="Times New Roman" w:hAnsi="Times New Roman" w:cs="Times New Roman" w:eastAsia="Times New Roman" w:hint="default"/>
          <w:spacing w:val="-1"/>
        </w:rPr>
        <w:t>“</w:t>
      </w:r>
      <w:r>
        <w:rPr>
          <w:spacing w:val="-1"/>
        </w:rPr>
        <w:t>六一</w:t>
      </w:r>
      <w:r>
        <w:rPr>
          <w:rFonts w:ascii="Times New Roman" w:hAnsi="Times New Roman" w:cs="Times New Roman" w:eastAsia="Times New Roman" w:hint="default"/>
          <w:spacing w:val="-1"/>
        </w:rPr>
        <w:t>”</w:t>
      </w:r>
      <w:r>
        <w:rPr>
          <w:spacing w:val="-1"/>
        </w:rPr>
        <w:t>儿童节、</w:t>
      </w:r>
      <w:r>
        <w:rPr>
          <w:rFonts w:ascii="Times New Roman" w:hAnsi="Times New Roman" w:cs="Times New Roman" w:eastAsia="Times New Roman" w:hint="default"/>
          <w:spacing w:val="-1"/>
        </w:rPr>
        <w:t>“</w:t>
      </w:r>
      <w:r>
        <w:rPr>
          <w:spacing w:val="-1"/>
        </w:rPr>
        <w:t>遇见美好</w:t>
      </w:r>
      <w:r>
        <w:rPr>
          <w:rFonts w:ascii="Times New Roman" w:hAnsi="Times New Roman" w:cs="Times New Roman" w:eastAsia="Times New Roman" w:hint="default"/>
          <w:spacing w:val="-1"/>
        </w:rPr>
        <w:t>”</w:t>
      </w:r>
      <w:r>
        <w:rPr>
          <w:spacing w:val="-1"/>
        </w:rPr>
        <w:t>青年交友轰趴活动、</w:t>
      </w:r>
      <w:r>
        <w:rPr>
          <w:rFonts w:ascii="Times New Roman" w:hAnsi="Times New Roman" w:cs="Times New Roman" w:eastAsia="Times New Roman" w:hint="default"/>
          <w:spacing w:val="-1"/>
        </w:rPr>
        <w:t>20</w:t>
      </w:r>
      <w:r>
        <w:rPr>
          <w:rFonts w:ascii="Times New Roman" w:hAnsi="Times New Roman" w:cs="Times New Roman" w:eastAsia="Times New Roman" w:hint="default"/>
        </w:rPr>
        <w:t> </w:t>
      </w:r>
      <w:r>
        <w:rPr>
          <w:spacing w:val="-2"/>
        </w:rPr>
        <w:t>周年庆文艺汇演、主题摄影书画大赛、乒</w:t>
      </w:r>
      <w:r>
        <w:rPr>
          <w:spacing w:val="-78"/>
        </w:rPr>
        <w:t> </w:t>
      </w:r>
      <w:r>
        <w:rPr>
          <w:spacing w:val="-78"/>
        </w:rPr>
      </w:r>
      <w:r>
        <w:rPr>
          <w:spacing w:val="-2"/>
        </w:rPr>
        <w:t>乓球团体赛、棋类比赛、羽毛球比赛等活动；积极关爱员工生活，为员工订购春运团体票；关注员工健康，持续开展员工职</w:t>
      </w:r>
      <w:r>
        <w:rPr>
          <w:spacing w:val="-64"/>
        </w:rPr>
        <w:t> </w:t>
      </w:r>
      <w:r>
        <w:rPr>
          <w:spacing w:val="-64"/>
        </w:rPr>
      </w:r>
      <w:r>
        <w:rPr/>
        <w:t>业健康体检等；不断完善职工帮扶助困制度，营造温馨和谐的氛围。</w:t>
      </w:r>
    </w:p>
    <w:p>
      <w:pPr>
        <w:pStyle w:val="BodyText"/>
        <w:spacing w:line="338" w:lineRule="auto" w:before="63"/>
        <w:ind w:left="572" w:right="0"/>
        <w:jc w:val="left"/>
      </w:pPr>
      <w:r>
        <w:rPr/>
        <w:t>（</w:t>
      </w:r>
      <w:r>
        <w:rPr>
          <w:rFonts w:ascii="Times New Roman" w:hAnsi="Times New Roman" w:cs="Times New Roman" w:eastAsia="Times New Roman" w:hint="default"/>
        </w:rPr>
        <w:t>4</w:t>
      </w:r>
      <w:r>
        <w:rPr/>
        <w:t>）安全生产责任 </w:t>
      </w:r>
      <w:r>
        <w:rPr>
          <w:spacing w:val="-2"/>
        </w:rPr>
        <w:t>公司始终坚持安全第一原则。为加强安全生产工作的领导和管理，更好地遵守国家有关的法律、法规、行业标准及其他</w:t>
      </w:r>
    </w:p>
    <w:p>
      <w:pPr>
        <w:pStyle w:val="BodyText"/>
        <w:spacing w:line="316" w:lineRule="auto" w:before="2"/>
        <w:ind w:left="212" w:right="1130"/>
        <w:jc w:val="both"/>
      </w:pPr>
      <w:r>
        <w:rPr>
          <w:spacing w:val="-2"/>
        </w:rPr>
        <w:t>要求。公司通过建立健全安全生产组织架构，设立公司安全总监统筹策划，成立并逐渐壮大安全管理队伍确保安全管理工作</w:t>
      </w:r>
      <w:r>
        <w:rPr>
          <w:spacing w:val="-63"/>
        </w:rPr>
        <w:t> </w:t>
      </w:r>
      <w:r>
        <w:rPr>
          <w:spacing w:val="-63"/>
        </w:rPr>
      </w:r>
      <w:r>
        <w:rPr>
          <w:spacing w:val="-2"/>
        </w:rPr>
        <w:t>有效落实。为压实安全生产责任制落地，确保年度安全生产考核目标达成，与各级安全管理人员明确安全责任，并签订安全</w:t>
      </w:r>
      <w:r>
        <w:rPr>
          <w:spacing w:val="-64"/>
        </w:rPr>
        <w:t> </w:t>
      </w:r>
      <w:r>
        <w:rPr>
          <w:spacing w:val="-64"/>
        </w:rPr>
      </w:r>
      <w:r>
        <w:rPr>
          <w:spacing w:val="-2"/>
        </w:rPr>
        <w:t>生产责任承诺书，在年终组织安全生产交叉考评进行履职考评。为从制度管理上防止事故发生，保障职工的安全与健康，公</w:t>
      </w:r>
      <w:r>
        <w:rPr>
          <w:spacing w:val="-64"/>
        </w:rPr>
        <w:t> </w:t>
      </w:r>
      <w:r>
        <w:rPr>
          <w:spacing w:val="-64"/>
        </w:rPr>
      </w:r>
      <w:r>
        <w:rPr>
          <w:spacing w:val="-2"/>
        </w:rPr>
        <w:t>司建立了包括安全生产目标管理方案、安全生产管理标准、安全教育培训大纲、安全生产检查整改闭环跟踪表、持续改进应</w:t>
      </w:r>
    </w:p>
    <w:p>
      <w:pPr>
        <w:spacing w:after="0" w:line="316" w:lineRule="auto"/>
        <w:jc w:val="both"/>
        <w:sectPr>
          <w:pgSz w:w="11910" w:h="16840"/>
          <w:pgMar w:header="878" w:footer="978" w:top="1100" w:bottom="1160" w:left="920" w:right="0"/>
        </w:sectPr>
      </w:pPr>
    </w:p>
    <w:p>
      <w:pPr>
        <w:spacing w:line="240" w:lineRule="auto" w:before="1"/>
        <w:rPr>
          <w:rFonts w:ascii="宋体" w:hAnsi="宋体" w:cs="宋体" w:eastAsia="宋体" w:hint="default"/>
          <w:sz w:val="22"/>
          <w:szCs w:val="22"/>
        </w:rPr>
      </w:pPr>
    </w:p>
    <w:p>
      <w:pPr>
        <w:pStyle w:val="BodyText"/>
        <w:spacing w:line="240" w:lineRule="auto" w:before="44"/>
        <w:ind w:left="232" w:right="1054"/>
        <w:jc w:val="left"/>
      </w:pPr>
      <w:r>
        <w:rPr/>
        <w:t>急事故处理等管理文件，构建了全覆盖的安全生产管理网络。</w:t>
      </w:r>
    </w:p>
    <w:p>
      <w:pPr>
        <w:pStyle w:val="BodyText"/>
        <w:spacing w:line="309" w:lineRule="auto" w:before="115"/>
        <w:ind w:left="232" w:right="1130" w:firstLine="360"/>
        <w:jc w:val="both"/>
      </w:pPr>
      <w:r>
        <w:rPr>
          <w:rFonts w:ascii="Times New Roman" w:hAnsi="Times New Roman" w:cs="Times New Roman" w:eastAsia="Times New Roman" w:hint="default"/>
        </w:rPr>
        <w:t>2019</w:t>
      </w:r>
      <w:r>
        <w:rPr>
          <w:rFonts w:ascii="Times New Roman" w:hAnsi="Times New Roman" w:cs="Times New Roman" w:eastAsia="Times New Roman" w:hint="default"/>
          <w:spacing w:val="38"/>
        </w:rPr>
        <w:t> </w:t>
      </w:r>
      <w:r>
        <w:rPr/>
        <w:t>年公司围绕</w:t>
      </w:r>
      <w:r>
        <w:rPr>
          <w:rFonts w:ascii="Times New Roman" w:hAnsi="Times New Roman" w:cs="Times New Roman" w:eastAsia="Times New Roman" w:hint="default"/>
        </w:rPr>
        <w:t>“</w:t>
      </w:r>
      <w:r>
        <w:rPr/>
        <w:t>安全第一、预防为主，综合治理</w:t>
      </w:r>
      <w:r>
        <w:rPr>
          <w:rFonts w:ascii="Times New Roman" w:hAnsi="Times New Roman" w:cs="Times New Roman" w:eastAsia="Times New Roman" w:hint="default"/>
        </w:rPr>
        <w:t>”</w:t>
      </w:r>
      <w:r>
        <w:rPr/>
        <w:t>的方针，按照安全生产分层分级抓重点，抓落实的思路，组织并监 </w:t>
      </w:r>
      <w:r>
        <w:rPr>
          <w:spacing w:val="-2"/>
        </w:rPr>
        <w:t>督全员安全生产的开展；强化新员工、日常、现场安全教育；安委会成员多次参加省市安监局相关培训，及时了解最新安全</w:t>
      </w:r>
      <w:r>
        <w:rPr>
          <w:spacing w:val="-63"/>
        </w:rPr>
        <w:t> </w:t>
      </w:r>
      <w:r>
        <w:rPr>
          <w:spacing w:val="-63"/>
        </w:rPr>
      </w:r>
      <w:r>
        <w:rPr/>
        <w:t>法规和政策；组织月度安全生产会议</w:t>
      </w:r>
      <w:r>
        <w:rPr>
          <w:spacing w:val="-44"/>
        </w:rPr>
        <w:t> </w:t>
      </w:r>
      <w:r>
        <w:rPr>
          <w:rFonts w:ascii="Times New Roman" w:hAnsi="Times New Roman" w:cs="Times New Roman" w:eastAsia="Times New Roman" w:hint="default"/>
        </w:rPr>
        <w:t>12 </w:t>
      </w:r>
      <w:r>
        <w:rPr/>
        <w:t>次、安全培训</w:t>
      </w:r>
      <w:r>
        <w:rPr>
          <w:spacing w:val="-44"/>
        </w:rPr>
        <w:t> </w:t>
      </w:r>
      <w:r>
        <w:rPr>
          <w:rFonts w:ascii="Times New Roman" w:hAnsi="Times New Roman" w:cs="Times New Roman" w:eastAsia="Times New Roman" w:hint="default"/>
        </w:rPr>
        <w:t>6 </w:t>
      </w:r>
      <w:r>
        <w:rPr/>
        <w:t>次，安委会进行安全检查</w:t>
      </w:r>
      <w:r>
        <w:rPr>
          <w:spacing w:val="-44"/>
        </w:rPr>
        <w:t> </w:t>
      </w:r>
      <w:r>
        <w:rPr>
          <w:rFonts w:ascii="Times New Roman" w:hAnsi="Times New Roman" w:cs="Times New Roman" w:eastAsia="Times New Roman" w:hint="default"/>
        </w:rPr>
        <w:t>12 </w:t>
      </w:r>
      <w:r>
        <w:rPr/>
        <w:t>次查出隐患</w:t>
      </w:r>
      <w:r>
        <w:rPr>
          <w:spacing w:val="-44"/>
        </w:rPr>
        <w:t> </w:t>
      </w:r>
      <w:r>
        <w:rPr>
          <w:rFonts w:ascii="Times New Roman" w:hAnsi="Times New Roman" w:cs="Times New Roman" w:eastAsia="Times New Roman" w:hint="default"/>
        </w:rPr>
        <w:t>90</w:t>
      </w:r>
      <w:r>
        <w:rPr>
          <w:rFonts w:ascii="Times New Roman" w:hAnsi="Times New Roman" w:cs="Times New Roman" w:eastAsia="Times New Roman" w:hint="default"/>
          <w:spacing w:val="-2"/>
        </w:rPr>
        <w:t> </w:t>
      </w:r>
      <w:r>
        <w:rPr/>
        <w:t>余项，并全部完成闭环</w:t>
      </w:r>
    </w:p>
    <w:p>
      <w:pPr>
        <w:pStyle w:val="BodyText"/>
        <w:spacing w:line="240" w:lineRule="auto" w:before="5"/>
        <w:ind w:left="232" w:right="1054"/>
        <w:jc w:val="left"/>
      </w:pPr>
      <w:r>
        <w:rPr/>
        <w:t>整改。</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年全年无重大安全生产事故，并获得</w:t>
      </w:r>
      <w:r>
        <w:rPr>
          <w:spacing w:val="-4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至</w:t>
      </w:r>
      <w:r>
        <w:rPr>
          <w:spacing w:val="-47"/>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年守法证明。</w:t>
      </w:r>
    </w:p>
    <w:p>
      <w:pPr>
        <w:pStyle w:val="BodyText"/>
        <w:spacing w:line="340" w:lineRule="auto" w:before="103"/>
        <w:ind w:left="592" w:right="1054"/>
        <w:jc w:val="left"/>
      </w:pPr>
      <w:r>
        <w:rPr/>
        <w:t>（</w:t>
      </w:r>
      <w:r>
        <w:rPr>
          <w:rFonts w:ascii="Times New Roman" w:hAnsi="Times New Roman" w:cs="Times New Roman" w:eastAsia="Times New Roman" w:hint="default"/>
        </w:rPr>
        <w:t>5</w:t>
      </w:r>
      <w:r>
        <w:rPr/>
        <w:t>）商品质量责任 公司高度重视产品质量，遵守各项法律、法规。在</w:t>
      </w:r>
      <w:r>
        <w:rPr>
          <w:rFonts w:ascii="Times New Roman" w:hAnsi="Times New Roman" w:cs="Times New Roman" w:eastAsia="Times New Roman" w:hint="default"/>
        </w:rPr>
        <w:t>“</w:t>
      </w:r>
      <w:r>
        <w:rPr/>
        <w:t>质量是我们的自尊心</w:t>
      </w:r>
      <w:r>
        <w:rPr>
          <w:rFonts w:ascii="Times New Roman" w:hAnsi="Times New Roman" w:cs="Times New Roman" w:eastAsia="Times New Roman" w:hint="default"/>
        </w:rPr>
        <w:t>”</w:t>
      </w:r>
      <w:r>
        <w:rPr/>
        <w:t>的理念指导下，制定了《质量目标管理规定》</w:t>
      </w:r>
    </w:p>
    <w:p>
      <w:pPr>
        <w:pStyle w:val="BodyText"/>
        <w:spacing w:line="228" w:lineRule="exact"/>
        <w:ind w:left="232" w:right="1054"/>
        <w:jc w:val="left"/>
        <w:rPr>
          <w:rFonts w:ascii="Times New Roman" w:hAnsi="Times New Roman" w:cs="Times New Roman" w:eastAsia="Times New Roman" w:hint="default"/>
        </w:rPr>
      </w:pPr>
      <w:r>
        <w:rPr>
          <w:spacing w:val="-3"/>
        </w:rPr>
        <w:t>《市场质量问题处理程序》等一系列质量管理制度，建立了涵盖市场、研发、生产、服务全过程的质量管理体系，并于</w:t>
      </w:r>
      <w:r>
        <w:rPr>
          <w:spacing w:val="-18"/>
        </w:rPr>
        <w:t> </w:t>
      </w:r>
      <w:r>
        <w:rPr>
          <w:rFonts w:ascii="Times New Roman" w:hAnsi="Times New Roman" w:cs="Times New Roman" w:eastAsia="Times New Roman" w:hint="default"/>
        </w:rPr>
        <w:t>2001</w:t>
      </w:r>
    </w:p>
    <w:p>
      <w:pPr>
        <w:pStyle w:val="BodyText"/>
        <w:spacing w:line="300" w:lineRule="auto" w:before="63"/>
        <w:ind w:left="232" w:right="1119"/>
        <w:jc w:val="left"/>
      </w:pPr>
      <w:r>
        <w:rPr/>
        <w:t>年首次通过</w:t>
      </w:r>
      <w:r>
        <w:rPr>
          <w:spacing w:val="-48"/>
        </w:rPr>
        <w:t> </w:t>
      </w:r>
      <w:r>
        <w:rPr>
          <w:rFonts w:ascii="Times New Roman" w:hAnsi="Times New Roman" w:cs="Times New Roman" w:eastAsia="Times New Roman" w:hint="default"/>
        </w:rPr>
        <w:t>ISO9001</w:t>
      </w:r>
      <w:r>
        <w:rPr>
          <w:rFonts w:ascii="Times New Roman" w:hAnsi="Times New Roman" w:cs="Times New Roman" w:eastAsia="Times New Roman" w:hint="default"/>
          <w:spacing w:val="-4"/>
        </w:rPr>
        <w:t> </w:t>
      </w:r>
      <w:r>
        <w:rPr/>
        <w:t>质量管理体系认证。为推进质量发展的可持续性，公司于</w:t>
      </w:r>
      <w:r>
        <w:rPr>
          <w:spacing w:val="-48"/>
        </w:rPr>
        <w:t> </w:t>
      </w:r>
      <w:r>
        <w:rPr>
          <w:rFonts w:ascii="Times New Roman" w:hAnsi="Times New Roman" w:cs="Times New Roman" w:eastAsia="Times New Roman" w:hint="default"/>
        </w:rPr>
        <w:t>2012</w:t>
      </w:r>
      <w:r>
        <w:rPr>
          <w:rFonts w:ascii="Times New Roman" w:hAnsi="Times New Roman" w:cs="Times New Roman" w:eastAsia="Times New Roman" w:hint="default"/>
          <w:spacing w:val="-6"/>
        </w:rPr>
        <w:t> </w:t>
      </w:r>
      <w:r>
        <w:rPr/>
        <w:t>年开始导入《卓越绩效管理模式》，并 先后获得广州市萝岗区区长质量奖、广州市市长质量奖、广东省政府质量奖。</w:t>
      </w:r>
    </w:p>
    <w:p>
      <w:pPr>
        <w:pStyle w:val="BodyText"/>
        <w:spacing w:line="340" w:lineRule="auto" w:before="70"/>
        <w:ind w:left="592" w:right="1054"/>
        <w:jc w:val="left"/>
      </w:pPr>
      <w:r>
        <w:rPr/>
        <w:t>（</w:t>
      </w:r>
      <w:r>
        <w:rPr>
          <w:rFonts w:ascii="Times New Roman" w:hAnsi="Times New Roman" w:cs="Times New Roman" w:eastAsia="Times New Roman" w:hint="default"/>
        </w:rPr>
        <w:t>6</w:t>
      </w:r>
      <w:r>
        <w:rPr/>
        <w:t>）环境保护责任 </w:t>
      </w:r>
      <w:r>
        <w:rPr>
          <w:spacing w:val="-2"/>
        </w:rPr>
        <w:t>作为高科技电子企业，公司生产以整机装配为主，无水污染、基本无大气、噪声污染，经营活动对自然生态环境产生的</w:t>
      </w:r>
    </w:p>
    <w:p>
      <w:pPr>
        <w:pStyle w:val="BodyText"/>
        <w:spacing w:line="240" w:lineRule="auto" w:before="1"/>
        <w:ind w:left="232" w:right="1054"/>
        <w:jc w:val="left"/>
      </w:pPr>
      <w:r>
        <w:rPr/>
        <w:t>直接影响甚微。公司一向秉承绿色经营的理念，</w:t>
      </w:r>
      <w:r>
        <w:rPr>
          <w:rFonts w:ascii="Times New Roman" w:hAnsi="Times New Roman" w:cs="Times New Roman" w:eastAsia="Times New Roman" w:hint="default"/>
        </w:rPr>
        <w:t>2019</w:t>
      </w:r>
      <w:r>
        <w:rPr>
          <w:rFonts w:ascii="Times New Roman" w:hAnsi="Times New Roman" w:cs="Times New Roman" w:eastAsia="Times New Roman" w:hint="default"/>
          <w:spacing w:val="-14"/>
        </w:rPr>
        <w:t> </w:t>
      </w:r>
      <w:r>
        <w:rPr/>
        <w:t>年</w:t>
      </w:r>
      <w:r>
        <w:rPr>
          <w:spacing w:val="-59"/>
        </w:rPr>
        <w:t> </w:t>
      </w:r>
      <w:r>
        <w:rPr>
          <w:rFonts w:ascii="Times New Roman" w:hAnsi="Times New Roman" w:cs="Times New Roman" w:eastAsia="Times New Roman" w:hint="default"/>
        </w:rPr>
        <w:t>3</w:t>
      </w:r>
      <w:r>
        <w:rPr>
          <w:rFonts w:ascii="Times New Roman" w:hAnsi="Times New Roman" w:cs="Times New Roman" w:eastAsia="Times New Roman" w:hint="default"/>
          <w:spacing w:val="-12"/>
        </w:rPr>
        <w:t> </w:t>
      </w:r>
      <w:r>
        <w:rPr/>
        <w:t>月，公司连续第十三年发起</w:t>
      </w:r>
      <w:r>
        <w:rPr>
          <w:rFonts w:ascii="Times New Roman" w:hAnsi="Times New Roman" w:cs="Times New Roman" w:eastAsia="Times New Roman" w:hint="default"/>
        </w:rPr>
        <w:t>“</w:t>
      </w:r>
      <w:r>
        <w:rPr/>
        <w:t>地球一小时</w:t>
      </w:r>
      <w:r>
        <w:rPr>
          <w:rFonts w:ascii="Times New Roman" w:hAnsi="Times New Roman" w:cs="Times New Roman" w:eastAsia="Times New Roman" w:hint="default"/>
        </w:rPr>
        <w:t>”</w:t>
      </w:r>
      <w:r>
        <w:rPr/>
        <w:t>系列活动，向全球</w:t>
      </w:r>
      <w:r>
        <w:rPr>
          <w:spacing w:val="-58"/>
        </w:rPr>
        <w:t> </w:t>
      </w:r>
      <w:r>
        <w:rPr>
          <w:rFonts w:ascii="Times New Roman" w:hAnsi="Times New Roman" w:cs="Times New Roman" w:eastAsia="Times New Roman" w:hint="default"/>
        </w:rPr>
        <w:t>2.6</w:t>
      </w:r>
      <w:r>
        <w:rPr>
          <w:rFonts w:ascii="Times New Roman" w:hAnsi="Times New Roman" w:cs="Times New Roman" w:eastAsia="Times New Roman" w:hint="default"/>
          <w:spacing w:val="-14"/>
        </w:rPr>
        <w:t> </w:t>
      </w:r>
      <w:r>
        <w:rPr/>
        <w:t>万</w:t>
      </w:r>
    </w:p>
    <w:p>
      <w:pPr>
        <w:pStyle w:val="BodyText"/>
        <w:spacing w:line="300" w:lineRule="auto" w:before="63"/>
        <w:ind w:left="232" w:right="1119"/>
        <w:jc w:val="left"/>
      </w:pPr>
      <w:r>
        <w:rPr/>
        <w:t>名员工发出倡议书，倡导环保节能、绿色生活；向全球</w:t>
      </w:r>
      <w:r>
        <w:rPr>
          <w:spacing w:val="-42"/>
        </w:rPr>
        <w:t> </w:t>
      </w:r>
      <w:r>
        <w:rPr>
          <w:rFonts w:ascii="Times New Roman" w:hAnsi="Times New Roman" w:cs="Times New Roman" w:eastAsia="Times New Roman" w:hint="default"/>
        </w:rPr>
        <w:t>80</w:t>
      </w:r>
      <w:r>
        <w:rPr>
          <w:rFonts w:ascii="Times New Roman" w:hAnsi="Times New Roman" w:cs="Times New Roman" w:eastAsia="Times New Roman" w:hint="default"/>
          <w:spacing w:val="2"/>
        </w:rPr>
        <w:t> </w:t>
      </w:r>
      <w:r>
        <w:rPr/>
        <w:t>多个国家和地区的用户积极倡导凭条无纸化、账单电子化及智能 社区银行普及化，呼吁更多的人加入环保事业，确保打赢蓝天保卫战。</w:t>
      </w:r>
    </w:p>
    <w:p>
      <w:pPr>
        <w:pStyle w:val="BodyText"/>
        <w:spacing w:line="338" w:lineRule="auto" w:before="72"/>
        <w:ind w:left="592" w:right="1054"/>
        <w:jc w:val="left"/>
      </w:pPr>
      <w:r>
        <w:rPr/>
        <w:t>（</w:t>
      </w:r>
      <w:r>
        <w:rPr>
          <w:rFonts w:ascii="Times New Roman" w:hAnsi="Times New Roman" w:cs="Times New Roman" w:eastAsia="Times New Roman" w:hint="default"/>
        </w:rPr>
        <w:t>7</w:t>
      </w:r>
      <w:r>
        <w:rPr/>
        <w:t>）社会公益责任 </w:t>
      </w:r>
      <w:r>
        <w:rPr>
          <w:spacing w:val="-2"/>
        </w:rPr>
        <w:t>公司在努力创造企业价值的同时，注重社会价值的创造。在面临行业急剧变革和经营成本上升的双重压力下，公司努力</w:t>
      </w:r>
    </w:p>
    <w:p>
      <w:pPr>
        <w:pStyle w:val="BodyText"/>
        <w:spacing w:line="316" w:lineRule="auto" w:before="2"/>
        <w:ind w:left="232" w:right="1054"/>
        <w:jc w:val="left"/>
      </w:pPr>
      <w:r>
        <w:rPr>
          <w:spacing w:val="-2"/>
        </w:rPr>
        <w:t>保持发展，吸纳更多就业人员；持续为地区财政创收；组织开展结对扶贫、志愿服务等社会公益活动，积极践行企业所应承</w:t>
      </w:r>
      <w:r>
        <w:rPr>
          <w:spacing w:val="-63"/>
        </w:rPr>
        <w:t> </w:t>
      </w:r>
      <w:r>
        <w:rPr>
          <w:spacing w:val="-63"/>
        </w:rPr>
      </w:r>
      <w:r>
        <w:rPr/>
        <w:t>担的社会责任，促进公司与员工、社会和自然的全面和谐发展，努力创造和谐公共关系，提升公司品牌形象。</w:t>
      </w:r>
    </w:p>
    <w:p>
      <w:pPr>
        <w:pStyle w:val="BodyText"/>
        <w:spacing w:line="316" w:lineRule="auto" w:before="59"/>
        <w:ind w:left="232" w:right="1130" w:firstLine="360"/>
        <w:jc w:val="both"/>
      </w:pPr>
      <w:r>
        <w:rPr>
          <w:spacing w:val="-2"/>
        </w:rPr>
        <w:t>未来，公司在经营发展的同时将持续履行社会责任，兼顾各利益相关者利益，坚持绿色经营理念，努力打造广受客户青</w:t>
      </w:r>
      <w:r>
        <w:rPr/>
        <w:t> 睐、赢得社会信赖的知名品牌，实现商业利益与社会责任的和谐统一。</w:t>
      </w:r>
    </w:p>
    <w:p>
      <w:pPr>
        <w:spacing w:line="240" w:lineRule="auto" w:before="2"/>
        <w:rPr>
          <w:rFonts w:ascii="宋体" w:hAnsi="宋体" w:cs="宋体" w:eastAsia="宋体" w:hint="default"/>
          <w:sz w:val="23"/>
          <w:szCs w:val="23"/>
        </w:rPr>
      </w:pPr>
    </w:p>
    <w:p>
      <w:pPr>
        <w:pStyle w:val="Heading5"/>
        <w:spacing w:line="240" w:lineRule="auto"/>
        <w:ind w:left="232" w:right="1054"/>
        <w:jc w:val="left"/>
        <w:rPr>
          <w:b w:val="0"/>
          <w:bCs w:val="0"/>
        </w:rPr>
      </w:pPr>
      <w:bookmarkStart w:name="2、履行精准扶贫社会责任情况" w:id="100"/>
      <w:bookmarkEnd w:id="100"/>
      <w:r>
        <w:rPr>
          <w:b w:val="0"/>
          <w:bCs w:val="0"/>
        </w:rPr>
      </w:r>
      <w:r>
        <w:rPr>
          <w:rFonts w:ascii="Times New Roman" w:hAnsi="Times New Roman" w:cs="Times New Roman" w:eastAsia="Times New Roman" w:hint="default"/>
        </w:rPr>
        <w:t>2</w:t>
      </w:r>
      <w:r>
        <w:rPr/>
        <w:t>、履行精准扶贫社会责任情况</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left="232" w:right="1054"/>
        <w:jc w:val="left"/>
      </w:pPr>
      <w:r>
        <w:rPr/>
        <w:t>公司报告年度暂未开展精准扶贫工作，也暂无后续精准扶贫计划。</w:t>
      </w:r>
    </w:p>
    <w:p>
      <w:pPr>
        <w:spacing w:line="240" w:lineRule="auto" w:before="0"/>
        <w:rPr>
          <w:rFonts w:ascii="宋体" w:hAnsi="宋体" w:cs="宋体" w:eastAsia="宋体" w:hint="default"/>
          <w:sz w:val="18"/>
          <w:szCs w:val="18"/>
        </w:rPr>
      </w:pPr>
    </w:p>
    <w:p>
      <w:pPr>
        <w:pStyle w:val="Heading5"/>
        <w:spacing w:line="240" w:lineRule="auto" w:before="127"/>
        <w:ind w:left="232" w:right="1054"/>
        <w:jc w:val="left"/>
        <w:rPr>
          <w:b w:val="0"/>
          <w:bCs w:val="0"/>
        </w:rPr>
      </w:pPr>
      <w:bookmarkStart w:name="3、环境保护相关的情况" w:id="101"/>
      <w:bookmarkEnd w:id="101"/>
      <w:r>
        <w:rPr>
          <w:b w:val="0"/>
          <w:bCs w:val="0"/>
        </w:rPr>
      </w:r>
      <w:r>
        <w:rPr>
          <w:rFonts w:ascii="Times New Roman" w:hAnsi="Times New Roman" w:cs="Times New Roman" w:eastAsia="Times New Roman" w:hint="default"/>
        </w:rPr>
        <w:t>3</w:t>
      </w:r>
      <w:r>
        <w:rPr/>
        <w:t>、环境保护相关的情况</w:t>
      </w:r>
      <w:r>
        <w:rPr>
          <w:b w:val="0"/>
          <w:bCs w:val="0"/>
        </w:rPr>
      </w:r>
    </w:p>
    <w:p>
      <w:pPr>
        <w:spacing w:line="240" w:lineRule="auto" w:before="11"/>
        <w:rPr>
          <w:rFonts w:ascii="宋体" w:hAnsi="宋体" w:cs="宋体" w:eastAsia="宋体" w:hint="default"/>
          <w:b/>
          <w:bCs/>
          <w:sz w:val="26"/>
          <w:szCs w:val="26"/>
        </w:rPr>
      </w:pPr>
    </w:p>
    <w:p>
      <w:pPr>
        <w:pStyle w:val="BodyText"/>
        <w:spacing w:line="357" w:lineRule="auto"/>
        <w:ind w:left="232" w:right="5714"/>
        <w:jc w:val="left"/>
      </w:pPr>
      <w:r>
        <w:rPr/>
        <w:t>上市公司及其子公司是否属于环境保护部门公布的重点排污单位 是</w:t>
      </w:r>
    </w:p>
    <w:tbl>
      <w:tblPr>
        <w:tblW w:w="0" w:type="auto"/>
        <w:jc w:val="left"/>
        <w:tblInd w:w="104" w:type="dxa"/>
        <w:tblLayout w:type="fixed"/>
        <w:tblCellMar>
          <w:top w:w="0" w:type="dxa"/>
          <w:left w:w="0" w:type="dxa"/>
          <w:bottom w:w="0" w:type="dxa"/>
          <w:right w:w="0" w:type="dxa"/>
        </w:tblCellMar>
        <w:tblLook w:val="01E0"/>
      </w:tblPr>
      <w:tblGrid>
        <w:gridCol w:w="993"/>
        <w:gridCol w:w="1132"/>
        <w:gridCol w:w="633"/>
        <w:gridCol w:w="878"/>
        <w:gridCol w:w="1066"/>
        <w:gridCol w:w="890"/>
        <w:gridCol w:w="961"/>
        <w:gridCol w:w="1352"/>
        <w:gridCol w:w="1415"/>
        <w:gridCol w:w="567"/>
      </w:tblGrid>
      <w:tr>
        <w:trPr>
          <w:trHeight w:val="1197" w:hRule="exact"/>
        </w:trPr>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2" w:right="39" w:hanging="180"/>
              <w:jc w:val="left"/>
              <w:rPr>
                <w:rFonts w:ascii="宋体" w:hAnsi="宋体" w:cs="宋体" w:eastAsia="宋体" w:hint="default"/>
                <w:sz w:val="18"/>
                <w:szCs w:val="18"/>
              </w:rPr>
            </w:pPr>
            <w:r>
              <w:rPr>
                <w:rFonts w:ascii="宋体" w:hAnsi="宋体" w:cs="宋体" w:eastAsia="宋体" w:hint="default"/>
                <w:sz w:val="18"/>
                <w:szCs w:val="18"/>
              </w:rPr>
              <w:t>公司或子公 司名称</w:t>
            </w:r>
          </w:p>
        </w:tc>
        <w:tc>
          <w:tcPr>
            <w:tcW w:w="1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10" w:right="110"/>
              <w:jc w:val="both"/>
              <w:rPr>
                <w:rFonts w:ascii="宋体" w:hAnsi="宋体" w:cs="宋体" w:eastAsia="宋体" w:hint="default"/>
                <w:sz w:val="18"/>
                <w:szCs w:val="18"/>
              </w:rPr>
            </w:pPr>
            <w:r>
              <w:rPr>
                <w:rFonts w:ascii="宋体" w:hAnsi="宋体" w:cs="宋体" w:eastAsia="宋体" w:hint="default"/>
                <w:sz w:val="18"/>
                <w:szCs w:val="18"/>
              </w:rPr>
              <w:t>主要污染物 及特征污染 物的名称</w:t>
            </w:r>
          </w:p>
        </w:tc>
        <w:tc>
          <w:tcPr>
            <w:tcW w:w="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1" w:right="40" w:hanging="180"/>
              <w:jc w:val="left"/>
              <w:rPr>
                <w:rFonts w:ascii="宋体" w:hAnsi="宋体" w:cs="宋体" w:eastAsia="宋体" w:hint="default"/>
                <w:sz w:val="18"/>
                <w:szCs w:val="18"/>
              </w:rPr>
            </w:pPr>
            <w:r>
              <w:rPr>
                <w:rFonts w:ascii="宋体" w:hAnsi="宋体" w:cs="宋体" w:eastAsia="宋体" w:hint="default"/>
                <w:sz w:val="18"/>
                <w:szCs w:val="18"/>
              </w:rPr>
              <w:t>排放方 式</w:t>
            </w:r>
          </w:p>
        </w:tc>
        <w:tc>
          <w:tcPr>
            <w:tcW w:w="8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44" w:right="73" w:hanging="272"/>
              <w:jc w:val="left"/>
              <w:rPr>
                <w:rFonts w:ascii="宋体" w:hAnsi="宋体" w:cs="宋体" w:eastAsia="宋体" w:hint="default"/>
                <w:sz w:val="18"/>
                <w:szCs w:val="18"/>
              </w:rPr>
            </w:pPr>
            <w:r>
              <w:rPr>
                <w:rFonts w:ascii="宋体" w:hAnsi="宋体" w:cs="宋体" w:eastAsia="宋体" w:hint="default"/>
                <w:sz w:val="18"/>
                <w:szCs w:val="18"/>
              </w:rPr>
              <w:t>排放口数 量</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46" w:right="76" w:hanging="269"/>
              <w:jc w:val="left"/>
              <w:rPr>
                <w:rFonts w:ascii="宋体" w:hAnsi="宋体" w:cs="宋体" w:eastAsia="宋体" w:hint="default"/>
                <w:sz w:val="18"/>
                <w:szCs w:val="18"/>
              </w:rPr>
            </w:pPr>
            <w:r>
              <w:rPr>
                <w:rFonts w:ascii="宋体" w:hAnsi="宋体" w:cs="宋体" w:eastAsia="宋体" w:hint="default"/>
                <w:sz w:val="18"/>
                <w:szCs w:val="18"/>
              </w:rPr>
              <w:t>排放口分布 情况</w:t>
            </w:r>
          </w:p>
        </w:tc>
        <w:tc>
          <w:tcPr>
            <w:tcW w:w="8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78"/>
              <w:jc w:val="right"/>
              <w:rPr>
                <w:rFonts w:ascii="宋体" w:hAnsi="宋体" w:cs="宋体" w:eastAsia="宋体" w:hint="default"/>
                <w:sz w:val="18"/>
                <w:szCs w:val="18"/>
              </w:rPr>
            </w:pPr>
            <w:r>
              <w:rPr>
                <w:rFonts w:ascii="宋体" w:hAnsi="宋体" w:cs="宋体" w:eastAsia="宋体" w:hint="default"/>
                <w:sz w:val="18"/>
                <w:szCs w:val="18"/>
              </w:rPr>
              <w:t>排放浓度</w:t>
            </w:r>
          </w:p>
        </w:tc>
        <w:tc>
          <w:tcPr>
            <w:tcW w:w="9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5" w:right="24"/>
              <w:jc w:val="left"/>
              <w:rPr>
                <w:rFonts w:ascii="宋体" w:hAnsi="宋体" w:cs="宋体" w:eastAsia="宋体" w:hint="default"/>
                <w:sz w:val="18"/>
                <w:szCs w:val="18"/>
              </w:rPr>
            </w:pPr>
            <w:r>
              <w:rPr>
                <w:rFonts w:ascii="宋体" w:hAnsi="宋体" w:cs="宋体" w:eastAsia="宋体" w:hint="default"/>
                <w:sz w:val="18"/>
                <w:szCs w:val="18"/>
              </w:rPr>
              <w:t>执行的污染 物排放标准</w:t>
            </w:r>
          </w:p>
        </w:tc>
        <w:tc>
          <w:tcPr>
            <w:tcW w:w="13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09" w:right="0"/>
              <w:jc w:val="left"/>
              <w:rPr>
                <w:rFonts w:ascii="宋体" w:hAnsi="宋体" w:cs="宋体" w:eastAsia="宋体" w:hint="default"/>
                <w:sz w:val="18"/>
                <w:szCs w:val="18"/>
              </w:rPr>
            </w:pPr>
            <w:r>
              <w:rPr>
                <w:rFonts w:ascii="宋体" w:hAnsi="宋体" w:cs="宋体" w:eastAsia="宋体" w:hint="default"/>
                <w:sz w:val="18"/>
                <w:szCs w:val="18"/>
              </w:rPr>
              <w:t>排放总量</w:t>
            </w:r>
          </w:p>
        </w:tc>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核定的排放总量</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98" w:right="96"/>
              <w:jc w:val="both"/>
              <w:rPr>
                <w:rFonts w:ascii="宋体" w:hAnsi="宋体" w:cs="宋体" w:eastAsia="宋体" w:hint="default"/>
                <w:sz w:val="18"/>
                <w:szCs w:val="18"/>
              </w:rPr>
            </w:pPr>
            <w:r>
              <w:rPr>
                <w:rFonts w:ascii="宋体" w:hAnsi="宋体" w:cs="宋体" w:eastAsia="宋体" w:hint="default"/>
                <w:sz w:val="18"/>
                <w:szCs w:val="18"/>
              </w:rPr>
              <w:t>超标 排放 情况</w:t>
            </w:r>
          </w:p>
        </w:tc>
      </w:tr>
      <w:tr>
        <w:trPr>
          <w:trHeight w:val="361" w:hRule="exact"/>
        </w:trPr>
        <w:tc>
          <w:tcPr>
            <w:tcW w:w="99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42" w:right="0"/>
              <w:jc w:val="left"/>
              <w:rPr>
                <w:rFonts w:ascii="宋体" w:hAnsi="宋体" w:cs="宋体" w:eastAsia="宋体" w:hint="default"/>
                <w:sz w:val="18"/>
                <w:szCs w:val="18"/>
              </w:rPr>
            </w:pPr>
            <w:r>
              <w:rPr>
                <w:rFonts w:ascii="宋体" w:hAnsi="宋体" w:cs="宋体" w:eastAsia="宋体" w:hint="default"/>
                <w:sz w:val="18"/>
                <w:szCs w:val="18"/>
              </w:rPr>
              <w:t>赣州中联环</w:t>
            </w:r>
          </w:p>
        </w:tc>
        <w:tc>
          <w:tcPr>
            <w:tcW w:w="113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0"/>
              <w:ind w:left="371" w:right="0"/>
              <w:jc w:val="left"/>
              <w:rPr>
                <w:rFonts w:ascii="Times New Roman" w:hAnsi="Times New Roman" w:cs="Times New Roman" w:eastAsia="Times New Roman" w:hint="default"/>
                <w:sz w:val="18"/>
                <w:szCs w:val="18"/>
              </w:rPr>
            </w:pPr>
            <w:r>
              <w:rPr>
                <w:rFonts w:ascii="Times New Roman"/>
                <w:sz w:val="18"/>
              </w:rPr>
              <w:t>COD</w:t>
            </w:r>
          </w:p>
        </w:tc>
        <w:tc>
          <w:tcPr>
            <w:tcW w:w="63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达标排</w:t>
            </w:r>
          </w:p>
        </w:tc>
        <w:tc>
          <w:tcPr>
            <w:tcW w:w="87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0"/>
              <w:ind w:left="1" w:right="0"/>
              <w:jc w:val="center"/>
              <w:rPr>
                <w:rFonts w:ascii="Times New Roman" w:hAnsi="Times New Roman" w:cs="Times New Roman" w:eastAsia="Times New Roman" w:hint="default"/>
                <w:sz w:val="18"/>
                <w:szCs w:val="18"/>
              </w:rPr>
            </w:pPr>
            <w:r>
              <w:rPr>
                <w:rFonts w:ascii="Times New Roman"/>
                <w:sz w:val="18"/>
              </w:rPr>
              <w:t>1</w:t>
            </w:r>
          </w:p>
        </w:tc>
        <w:tc>
          <w:tcPr>
            <w:tcW w:w="106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污水处理中</w:t>
            </w:r>
          </w:p>
        </w:tc>
        <w:tc>
          <w:tcPr>
            <w:tcW w:w="89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6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COD</w:t>
            </w:r>
            <w:r>
              <w:rPr>
                <w:rFonts w:ascii="宋体" w:hAnsi="宋体" w:cs="宋体" w:eastAsia="宋体" w:hint="default"/>
                <w:sz w:val="18"/>
                <w:szCs w:val="18"/>
              </w:rPr>
              <w:t>：</w:t>
            </w:r>
          </w:p>
        </w:tc>
        <w:tc>
          <w:tcPr>
            <w:tcW w:w="9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right="24"/>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电镀污染物</w:t>
            </w:r>
            <w:r>
              <w:rPr>
                <w:rFonts w:ascii="宋体" w:hAnsi="宋体" w:cs="宋体" w:eastAsia="宋体" w:hint="default"/>
                <w:sz w:val="18"/>
                <w:szCs w:val="18"/>
              </w:rPr>
            </w:r>
          </w:p>
        </w:tc>
        <w:tc>
          <w:tcPr>
            <w:tcW w:w="135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0"/>
              <w:ind w:left="276" w:right="0"/>
              <w:jc w:val="left"/>
              <w:rPr>
                <w:rFonts w:ascii="Times New Roman" w:hAnsi="Times New Roman" w:cs="Times New Roman" w:eastAsia="Times New Roman" w:hint="default"/>
                <w:sz w:val="18"/>
                <w:szCs w:val="18"/>
              </w:rPr>
            </w:pPr>
            <w:r>
              <w:rPr>
                <w:rFonts w:ascii="Times New Roman"/>
                <w:sz w:val="18"/>
              </w:rPr>
              <w:t>COD:20t/a</w:t>
            </w:r>
          </w:p>
        </w:tc>
        <w:tc>
          <w:tcPr>
            <w:tcW w:w="141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0"/>
              <w:ind w:left="3" w:right="0"/>
              <w:jc w:val="center"/>
              <w:rPr>
                <w:rFonts w:ascii="Times New Roman" w:hAnsi="Times New Roman" w:cs="Times New Roman" w:eastAsia="Times New Roman" w:hint="default"/>
                <w:sz w:val="18"/>
                <w:szCs w:val="18"/>
              </w:rPr>
            </w:pPr>
            <w:r>
              <w:rPr>
                <w:rFonts w:ascii="Times New Roman"/>
                <w:sz w:val="18"/>
              </w:rPr>
              <w:t>COD:54t/a</w:t>
            </w:r>
          </w:p>
        </w:tc>
        <w:tc>
          <w:tcPr>
            <w:tcW w:w="5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312" w:hRule="exact"/>
        </w:trPr>
        <w:tc>
          <w:tcPr>
            <w:tcW w:w="99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42" w:right="0"/>
              <w:jc w:val="left"/>
              <w:rPr>
                <w:rFonts w:ascii="宋体" w:hAnsi="宋体" w:cs="宋体" w:eastAsia="宋体" w:hint="default"/>
                <w:sz w:val="18"/>
                <w:szCs w:val="18"/>
              </w:rPr>
            </w:pPr>
            <w:r>
              <w:rPr>
                <w:rFonts w:ascii="宋体" w:hAnsi="宋体" w:cs="宋体" w:eastAsia="宋体" w:hint="default"/>
                <w:sz w:val="18"/>
                <w:szCs w:val="18"/>
              </w:rPr>
              <w:t>保科技开发</w:t>
            </w:r>
          </w:p>
        </w:tc>
        <w:tc>
          <w:tcPr>
            <w:tcW w:w="1132" w:type="dxa"/>
            <w:tcBorders>
              <w:top w:val="nil" w:sz="6" w:space="0" w:color="auto"/>
              <w:left w:val="single" w:sz="4" w:space="0" w:color="000000"/>
              <w:bottom w:val="nil" w:sz="6" w:space="0" w:color="auto"/>
              <w:right w:val="single" w:sz="4" w:space="0" w:color="000000"/>
            </w:tcBorders>
          </w:tcPr>
          <w:p>
            <w:pPr/>
          </w:p>
        </w:tc>
        <w:tc>
          <w:tcPr>
            <w:tcW w:w="63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center"/>
              <w:rPr>
                <w:rFonts w:ascii="宋体" w:hAnsi="宋体" w:cs="宋体" w:eastAsia="宋体" w:hint="default"/>
                <w:sz w:val="18"/>
                <w:szCs w:val="18"/>
              </w:rPr>
            </w:pPr>
            <w:r>
              <w:rPr>
                <w:rFonts w:ascii="宋体" w:hAnsi="宋体" w:cs="宋体" w:eastAsia="宋体" w:hint="default"/>
                <w:sz w:val="18"/>
                <w:szCs w:val="18"/>
              </w:rPr>
              <w:t>放</w:t>
            </w:r>
          </w:p>
        </w:tc>
        <w:tc>
          <w:tcPr>
            <w:tcW w:w="878"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center"/>
              <w:rPr>
                <w:rFonts w:ascii="宋体" w:hAnsi="宋体" w:cs="宋体" w:eastAsia="宋体" w:hint="default"/>
                <w:sz w:val="18"/>
                <w:szCs w:val="18"/>
              </w:rPr>
            </w:pPr>
            <w:r>
              <w:rPr>
                <w:rFonts w:ascii="宋体" w:hAnsi="宋体" w:cs="宋体" w:eastAsia="宋体" w:hint="default"/>
                <w:sz w:val="18"/>
                <w:szCs w:val="18"/>
              </w:rPr>
              <w:t>心处理工序</w:t>
            </w:r>
          </w:p>
        </w:tc>
        <w:tc>
          <w:tcPr>
            <w:tcW w:w="890"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05"/>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sz w:val="18"/>
                <w:szCs w:val="18"/>
              </w:rPr>
              <w:t>≤50mg/L</w:t>
            </w:r>
          </w:p>
        </w:tc>
        <w:tc>
          <w:tcPr>
            <w:tcW w:w="961" w:type="dxa"/>
            <w:tcBorders>
              <w:top w:val="nil" w:sz="6" w:space="0" w:color="auto"/>
              <w:left w:val="single" w:sz="4" w:space="0" w:color="000000"/>
              <w:bottom w:val="nil" w:sz="6" w:space="0" w:color="auto"/>
              <w:right w:val="single" w:sz="4" w:space="0" w:color="000000"/>
            </w:tcBorders>
          </w:tcPr>
          <w:p>
            <w:pPr>
              <w:pStyle w:val="TableParagraph"/>
              <w:tabs>
                <w:tab w:pos="810" w:val="left" w:leader="none"/>
              </w:tabs>
              <w:spacing w:line="240" w:lineRule="auto" w:before="6"/>
              <w:ind w:right="24"/>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排放标准</w:t>
              <w:tab/>
            </w:r>
            <w:r>
              <w:rPr>
                <w:rFonts w:ascii="宋体" w:hAnsi="宋体" w:cs="宋体" w:eastAsia="宋体" w:hint="default"/>
                <w:sz w:val="18"/>
                <w:szCs w:val="18"/>
              </w:rPr>
            </w:r>
          </w:p>
        </w:tc>
        <w:tc>
          <w:tcPr>
            <w:tcW w:w="1352" w:type="dxa"/>
            <w:tcBorders>
              <w:top w:val="nil" w:sz="6" w:space="0" w:color="auto"/>
              <w:left w:val="single" w:sz="4" w:space="0" w:color="000000"/>
              <w:bottom w:val="nil" w:sz="6" w:space="0" w:color="auto"/>
              <w:right w:val="single" w:sz="4" w:space="0" w:color="000000"/>
            </w:tcBorders>
          </w:tcPr>
          <w:p>
            <w:pPr/>
          </w:p>
        </w:tc>
        <w:tc>
          <w:tcPr>
            <w:tcW w:w="1415" w:type="dxa"/>
            <w:tcBorders>
              <w:top w:val="nil" w:sz="6" w:space="0" w:color="auto"/>
              <w:left w:val="single" w:sz="4" w:space="0" w:color="000000"/>
              <w:bottom w:val="nil" w:sz="6" w:space="0" w:color="auto"/>
              <w:right w:val="single" w:sz="4" w:space="0" w:color="000000"/>
            </w:tcBorders>
          </w:tcPr>
          <w:p>
            <w:pPr/>
          </w:p>
        </w:tc>
        <w:tc>
          <w:tcPr>
            <w:tcW w:w="567" w:type="dxa"/>
            <w:tcBorders>
              <w:top w:val="nil" w:sz="6" w:space="0" w:color="auto"/>
              <w:left w:val="single" w:sz="4" w:space="0" w:color="000000"/>
              <w:bottom w:val="nil" w:sz="6" w:space="0" w:color="auto"/>
              <w:right w:val="single" w:sz="4" w:space="0" w:color="000000"/>
            </w:tcBorders>
          </w:tcPr>
          <w:p>
            <w:pPr/>
          </w:p>
        </w:tc>
      </w:tr>
      <w:tr>
        <w:trPr>
          <w:trHeight w:val="192" w:hRule="exact"/>
        </w:trPr>
        <w:tc>
          <w:tcPr>
            <w:tcW w:w="993" w:type="dxa"/>
            <w:vMerge w:val="restart"/>
            <w:tcBorders>
              <w:top w:val="nil" w:sz="6" w:space="0" w:color="auto"/>
              <w:left w:val="single" w:sz="4" w:space="0" w:color="000000"/>
              <w:right w:val="single" w:sz="4" w:space="0" w:color="000000"/>
            </w:tcBorders>
          </w:tcPr>
          <w:p>
            <w:pPr>
              <w:pStyle w:val="TableParagraph"/>
              <w:spacing w:line="240" w:lineRule="auto" w:before="6"/>
              <w:ind w:left="130"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132" w:type="dxa"/>
            <w:tcBorders>
              <w:top w:val="nil" w:sz="6" w:space="0" w:color="auto"/>
              <w:left w:val="single" w:sz="4" w:space="0" w:color="000000"/>
              <w:bottom w:val="single" w:sz="4" w:space="0" w:color="000000"/>
              <w:right w:val="single" w:sz="4" w:space="0" w:color="000000"/>
            </w:tcBorders>
          </w:tcPr>
          <w:p>
            <w:pPr/>
          </w:p>
        </w:tc>
        <w:tc>
          <w:tcPr>
            <w:tcW w:w="633" w:type="dxa"/>
            <w:vMerge w:val="restart"/>
            <w:tcBorders>
              <w:top w:val="nil" w:sz="6" w:space="0" w:color="auto"/>
              <w:left w:val="single" w:sz="4" w:space="0" w:color="000000"/>
              <w:right w:val="single" w:sz="4" w:space="0" w:color="000000"/>
            </w:tcBorders>
          </w:tcPr>
          <w:p>
            <w:pPr/>
          </w:p>
        </w:tc>
        <w:tc>
          <w:tcPr>
            <w:tcW w:w="878" w:type="dxa"/>
            <w:vMerge w:val="restart"/>
            <w:tcBorders>
              <w:top w:val="nil" w:sz="6" w:space="0" w:color="auto"/>
              <w:left w:val="single" w:sz="4" w:space="0" w:color="000000"/>
              <w:right w:val="single" w:sz="4" w:space="0" w:color="000000"/>
            </w:tcBorders>
          </w:tcPr>
          <w:p>
            <w:pPr/>
          </w:p>
        </w:tc>
        <w:tc>
          <w:tcPr>
            <w:tcW w:w="1066" w:type="dxa"/>
            <w:vMerge w:val="restart"/>
            <w:tcBorders>
              <w:top w:val="nil" w:sz="6" w:space="0" w:color="auto"/>
              <w:left w:val="single" w:sz="4" w:space="0" w:color="000000"/>
              <w:right w:val="single" w:sz="4" w:space="0" w:color="000000"/>
            </w:tcBorders>
          </w:tcPr>
          <w:p>
            <w:pPr>
              <w:pStyle w:val="TableParagraph"/>
              <w:spacing w:line="240" w:lineRule="auto" w:before="6"/>
              <w:ind w:left="346" w:right="0"/>
              <w:jc w:val="left"/>
              <w:rPr>
                <w:rFonts w:ascii="宋体" w:hAnsi="宋体" w:cs="宋体" w:eastAsia="宋体" w:hint="default"/>
                <w:sz w:val="18"/>
                <w:szCs w:val="18"/>
              </w:rPr>
            </w:pPr>
            <w:r>
              <w:rPr>
                <w:rFonts w:ascii="宋体" w:hAnsi="宋体" w:cs="宋体" w:eastAsia="宋体" w:hint="default"/>
                <w:sz w:val="18"/>
                <w:szCs w:val="18"/>
              </w:rPr>
              <w:t>末端</w:t>
            </w:r>
          </w:p>
        </w:tc>
        <w:tc>
          <w:tcPr>
            <w:tcW w:w="890" w:type="dxa"/>
            <w:tcBorders>
              <w:top w:val="nil" w:sz="6" w:space="0" w:color="auto"/>
              <w:left w:val="single" w:sz="4" w:space="0" w:color="000000"/>
              <w:bottom w:val="single" w:sz="4" w:space="0" w:color="000000"/>
              <w:right w:val="single" w:sz="4" w:space="0" w:color="000000"/>
            </w:tcBorders>
          </w:tcPr>
          <w:p>
            <w:pPr/>
          </w:p>
        </w:tc>
        <w:tc>
          <w:tcPr>
            <w:tcW w:w="961" w:type="dxa"/>
            <w:vMerge w:val="restart"/>
            <w:tcBorders>
              <w:top w:val="nil" w:sz="6" w:space="0" w:color="auto"/>
              <w:left w:val="single" w:sz="4" w:space="0" w:color="000000"/>
              <w:right w:val="single" w:sz="4" w:space="0" w:color="000000"/>
            </w:tcBorders>
          </w:tcPr>
          <w:p>
            <w:pPr>
              <w:pStyle w:val="TableParagraph"/>
              <w:spacing w:line="240" w:lineRule="auto" w:before="46"/>
              <w:ind w:left="66" w:right="0"/>
              <w:jc w:val="left"/>
              <w:rPr>
                <w:rFonts w:ascii="Times New Roman" w:hAnsi="Times New Roman" w:cs="Times New Roman" w:eastAsia="Times New Roman" w:hint="default"/>
                <w:sz w:val="18"/>
                <w:szCs w:val="18"/>
              </w:rPr>
            </w:pPr>
            <w:r>
              <w:rPr>
                <w:rFonts w:ascii="Times New Roman"/>
                <w:w w:val="99"/>
                <w:sz w:val="18"/>
              </w:rPr>
            </w:r>
            <w:r>
              <w:rPr>
                <w:rFonts w:ascii="Times New Roman"/>
                <w:sz w:val="18"/>
                <w:u w:val="single" w:color="000000"/>
              </w:rPr>
              <w:t>(GB21900-</w:t>
            </w:r>
            <w:r>
              <w:rPr>
                <w:rFonts w:ascii="Times New Roman"/>
                <w:sz w:val="18"/>
              </w:rPr>
            </w:r>
          </w:p>
        </w:tc>
        <w:tc>
          <w:tcPr>
            <w:tcW w:w="1352" w:type="dxa"/>
            <w:tcBorders>
              <w:top w:val="nil" w:sz="6" w:space="0" w:color="auto"/>
              <w:left w:val="single" w:sz="4" w:space="0" w:color="000000"/>
              <w:bottom w:val="single" w:sz="4" w:space="0" w:color="000000"/>
              <w:right w:val="single" w:sz="4" w:space="0" w:color="000000"/>
            </w:tcBorders>
          </w:tcPr>
          <w:p>
            <w:pPr/>
          </w:p>
        </w:tc>
        <w:tc>
          <w:tcPr>
            <w:tcW w:w="1415" w:type="dxa"/>
            <w:tcBorders>
              <w:top w:val="nil" w:sz="6" w:space="0" w:color="auto"/>
              <w:left w:val="single" w:sz="4" w:space="0" w:color="000000"/>
              <w:bottom w:val="single" w:sz="4" w:space="0" w:color="000000"/>
              <w:right w:val="single" w:sz="4" w:space="0" w:color="000000"/>
            </w:tcBorders>
          </w:tcPr>
          <w:p>
            <w:pPr/>
          </w:p>
        </w:tc>
        <w:tc>
          <w:tcPr>
            <w:tcW w:w="567" w:type="dxa"/>
            <w:vMerge w:val="restart"/>
            <w:tcBorders>
              <w:top w:val="nil" w:sz="6" w:space="0" w:color="auto"/>
              <w:left w:val="single" w:sz="4" w:space="0" w:color="000000"/>
              <w:right w:val="single" w:sz="4" w:space="0" w:color="000000"/>
            </w:tcBorders>
          </w:tcPr>
          <w:p>
            <w:pPr/>
          </w:p>
        </w:tc>
      </w:tr>
      <w:tr>
        <w:trPr>
          <w:trHeight w:val="124" w:hRule="exact"/>
        </w:trPr>
        <w:tc>
          <w:tcPr>
            <w:tcW w:w="993" w:type="dxa"/>
            <w:vMerge/>
            <w:tcBorders>
              <w:left w:val="single" w:sz="4" w:space="0" w:color="000000"/>
              <w:bottom w:val="nil" w:sz="6" w:space="0" w:color="auto"/>
              <w:right w:val="single" w:sz="4" w:space="0" w:color="000000"/>
            </w:tcBorders>
          </w:tcPr>
          <w:p>
            <w:pPr/>
          </w:p>
        </w:tc>
        <w:tc>
          <w:tcPr>
            <w:tcW w:w="1132" w:type="dxa"/>
            <w:vMerge w:val="restart"/>
            <w:tcBorders>
              <w:top w:val="single" w:sz="4" w:space="0" w:color="000000"/>
              <w:left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氨氮</w:t>
            </w:r>
          </w:p>
        </w:tc>
        <w:tc>
          <w:tcPr>
            <w:tcW w:w="633" w:type="dxa"/>
            <w:vMerge/>
            <w:tcBorders>
              <w:left w:val="single" w:sz="4" w:space="0" w:color="000000"/>
              <w:bottom w:val="nil" w:sz="6" w:space="0" w:color="auto"/>
              <w:right w:val="single" w:sz="4" w:space="0" w:color="000000"/>
            </w:tcBorders>
          </w:tcPr>
          <w:p>
            <w:pPr/>
          </w:p>
        </w:tc>
        <w:tc>
          <w:tcPr>
            <w:tcW w:w="878" w:type="dxa"/>
            <w:vMerge/>
            <w:tcBorders>
              <w:left w:val="single" w:sz="4" w:space="0" w:color="000000"/>
              <w:bottom w:val="nil" w:sz="6" w:space="0" w:color="auto"/>
              <w:right w:val="single" w:sz="4" w:space="0" w:color="000000"/>
            </w:tcBorders>
          </w:tcPr>
          <w:p>
            <w:pPr/>
          </w:p>
        </w:tc>
        <w:tc>
          <w:tcPr>
            <w:tcW w:w="1066" w:type="dxa"/>
            <w:vMerge/>
            <w:tcBorders>
              <w:left w:val="single" w:sz="4" w:space="0" w:color="000000"/>
              <w:bottom w:val="nil" w:sz="6" w:space="0" w:color="auto"/>
              <w:right w:val="single" w:sz="4" w:space="0" w:color="000000"/>
            </w:tcBorders>
          </w:tcPr>
          <w:p>
            <w:pPr/>
          </w:p>
        </w:tc>
        <w:tc>
          <w:tcPr>
            <w:tcW w:w="890" w:type="dxa"/>
            <w:vMerge w:val="restart"/>
            <w:tcBorders>
              <w:top w:val="single" w:sz="4" w:space="0" w:color="000000"/>
              <w:left w:val="single" w:sz="4" w:space="0" w:color="000000"/>
              <w:right w:val="single" w:sz="4" w:space="0" w:color="000000"/>
            </w:tcBorders>
          </w:tcPr>
          <w:p>
            <w:pPr>
              <w:pStyle w:val="TableParagraph"/>
              <w:spacing w:line="340" w:lineRule="auto" w:before="49"/>
              <w:ind w:left="245" w:right="29" w:hanging="214"/>
              <w:jc w:val="left"/>
              <w:rPr>
                <w:rFonts w:ascii="Times New Roman" w:hAnsi="Times New Roman" w:cs="Times New Roman" w:eastAsia="Times New Roman" w:hint="default"/>
                <w:sz w:val="18"/>
                <w:szCs w:val="18"/>
              </w:rPr>
            </w:pPr>
            <w:r>
              <w:rPr>
                <w:rFonts w:ascii="宋体" w:hAnsi="宋体" w:cs="宋体" w:eastAsia="宋体" w:hint="default"/>
                <w:sz w:val="18"/>
                <w:szCs w:val="18"/>
              </w:rPr>
              <w:t>氨氮：</w:t>
            </w:r>
            <w:r>
              <w:rPr>
                <w:rFonts w:ascii="Times New Roman" w:hAnsi="Times New Roman" w:cs="Times New Roman" w:eastAsia="Times New Roman" w:hint="default"/>
                <w:sz w:val="18"/>
                <w:szCs w:val="18"/>
              </w:rPr>
              <w:t>≤15 mg/L</w:t>
            </w:r>
          </w:p>
        </w:tc>
        <w:tc>
          <w:tcPr>
            <w:tcW w:w="961" w:type="dxa"/>
            <w:vMerge/>
            <w:tcBorders>
              <w:left w:val="single" w:sz="4" w:space="0" w:color="000000"/>
              <w:bottom w:val="nil" w:sz="6" w:space="0" w:color="auto"/>
              <w:right w:val="single" w:sz="4" w:space="0" w:color="000000"/>
            </w:tcBorders>
          </w:tcPr>
          <w:p>
            <w:pPr/>
          </w:p>
        </w:tc>
        <w:tc>
          <w:tcPr>
            <w:tcW w:w="1352" w:type="dxa"/>
            <w:vMerge w:val="restart"/>
            <w:tcBorders>
              <w:top w:val="single" w:sz="4" w:space="0" w:color="000000"/>
              <w:left w:val="single" w:sz="4" w:space="0" w:color="000000"/>
              <w:right w:val="single" w:sz="4" w:space="0" w:color="000000"/>
            </w:tcBorders>
          </w:tcPr>
          <w:p>
            <w:pPr>
              <w:pStyle w:val="TableParagraph"/>
              <w:spacing w:line="240" w:lineRule="auto" w:before="49"/>
              <w:ind w:left="33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氨氮</w:t>
            </w:r>
            <w:r>
              <w:rPr>
                <w:rFonts w:ascii="Times New Roman" w:hAnsi="Times New Roman" w:cs="Times New Roman" w:eastAsia="Times New Roman" w:hint="default"/>
                <w:sz w:val="18"/>
                <w:szCs w:val="18"/>
              </w:rPr>
              <w:t>:2t/a</w:t>
            </w:r>
          </w:p>
        </w:tc>
        <w:tc>
          <w:tcPr>
            <w:tcW w:w="1415" w:type="dxa"/>
            <w:vMerge w:val="restart"/>
            <w:tcBorders>
              <w:top w:val="single" w:sz="4" w:space="0" w:color="000000"/>
              <w:left w:val="single" w:sz="4" w:space="0" w:color="000000"/>
              <w:right w:val="single" w:sz="4" w:space="0" w:color="000000"/>
            </w:tcBorders>
          </w:tcPr>
          <w:p>
            <w:pPr>
              <w:pStyle w:val="TableParagraph"/>
              <w:spacing w:line="240" w:lineRule="auto" w:before="49"/>
              <w:ind w:left="31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氨氮</w:t>
            </w:r>
            <w:r>
              <w:rPr>
                <w:rFonts w:ascii="Times New Roman" w:hAnsi="Times New Roman" w:cs="Times New Roman" w:eastAsia="Times New Roman" w:hint="default"/>
                <w:sz w:val="18"/>
                <w:szCs w:val="18"/>
              </w:rPr>
              <w:t>:14t/a</w:t>
            </w:r>
          </w:p>
        </w:tc>
        <w:tc>
          <w:tcPr>
            <w:tcW w:w="567" w:type="dxa"/>
            <w:vMerge/>
            <w:tcBorders>
              <w:left w:val="single" w:sz="4" w:space="0" w:color="000000"/>
              <w:bottom w:val="nil" w:sz="6" w:space="0" w:color="auto"/>
              <w:right w:val="single" w:sz="4" w:space="0" w:color="000000"/>
            </w:tcBorders>
          </w:tcPr>
          <w:p>
            <w:pPr/>
          </w:p>
        </w:tc>
      </w:tr>
      <w:tr>
        <w:trPr>
          <w:trHeight w:val="327" w:hRule="exact"/>
        </w:trPr>
        <w:tc>
          <w:tcPr>
            <w:tcW w:w="993" w:type="dxa"/>
            <w:tcBorders>
              <w:top w:val="nil" w:sz="6" w:space="0" w:color="auto"/>
              <w:left w:val="single" w:sz="4" w:space="0" w:color="000000"/>
              <w:bottom w:val="nil" w:sz="6" w:space="0" w:color="auto"/>
              <w:right w:val="single" w:sz="4" w:space="0" w:color="000000"/>
            </w:tcBorders>
          </w:tcPr>
          <w:p>
            <w:pPr/>
          </w:p>
        </w:tc>
        <w:tc>
          <w:tcPr>
            <w:tcW w:w="1132" w:type="dxa"/>
            <w:vMerge/>
            <w:tcBorders>
              <w:left w:val="single" w:sz="4" w:space="0" w:color="000000"/>
              <w:right w:val="single" w:sz="4" w:space="0" w:color="000000"/>
            </w:tcBorders>
          </w:tcPr>
          <w:p>
            <w:pPr/>
          </w:p>
        </w:tc>
        <w:tc>
          <w:tcPr>
            <w:tcW w:w="633" w:type="dxa"/>
            <w:tcBorders>
              <w:top w:val="nil" w:sz="6" w:space="0" w:color="auto"/>
              <w:left w:val="single" w:sz="4" w:space="0" w:color="000000"/>
              <w:bottom w:val="nil" w:sz="6" w:space="0" w:color="auto"/>
              <w:right w:val="single" w:sz="4" w:space="0" w:color="000000"/>
            </w:tcBorders>
          </w:tcPr>
          <w:p>
            <w:pPr/>
          </w:p>
        </w:tc>
        <w:tc>
          <w:tcPr>
            <w:tcW w:w="878"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
        </w:tc>
        <w:tc>
          <w:tcPr>
            <w:tcW w:w="890" w:type="dxa"/>
            <w:vMerge/>
            <w:tcBorders>
              <w:left w:val="single" w:sz="4" w:space="0" w:color="000000"/>
              <w:right w:val="single" w:sz="4" w:space="0" w:color="000000"/>
            </w:tcBorders>
          </w:tcPr>
          <w:p>
            <w:pPr/>
          </w:p>
        </w:tc>
        <w:tc>
          <w:tcPr>
            <w:tcW w:w="961"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left="265"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2008)</w:t>
            </w:r>
            <w:r>
              <w:rPr>
                <w:rFonts w:ascii="Times New Roman"/>
                <w:sz w:val="18"/>
              </w:rPr>
            </w:r>
          </w:p>
        </w:tc>
        <w:tc>
          <w:tcPr>
            <w:tcW w:w="1352" w:type="dxa"/>
            <w:vMerge/>
            <w:tcBorders>
              <w:left w:val="single" w:sz="4" w:space="0" w:color="000000"/>
              <w:right w:val="single" w:sz="4" w:space="0" w:color="000000"/>
            </w:tcBorders>
          </w:tcPr>
          <w:p>
            <w:pPr/>
          </w:p>
        </w:tc>
        <w:tc>
          <w:tcPr>
            <w:tcW w:w="1415" w:type="dxa"/>
            <w:vMerge/>
            <w:tcBorders>
              <w:left w:val="single" w:sz="4" w:space="0" w:color="000000"/>
              <w:right w:val="single" w:sz="4" w:space="0" w:color="000000"/>
            </w:tcBorders>
          </w:tcPr>
          <w:p>
            <w:pPr/>
          </w:p>
        </w:tc>
        <w:tc>
          <w:tcPr>
            <w:tcW w:w="567" w:type="dxa"/>
            <w:tcBorders>
              <w:top w:val="nil" w:sz="6" w:space="0" w:color="auto"/>
              <w:left w:val="single" w:sz="4" w:space="0" w:color="000000"/>
              <w:bottom w:val="nil" w:sz="6" w:space="0" w:color="auto"/>
              <w:right w:val="single" w:sz="4" w:space="0" w:color="000000"/>
            </w:tcBorders>
          </w:tcPr>
          <w:p>
            <w:pPr/>
          </w:p>
        </w:tc>
      </w:tr>
      <w:tr>
        <w:trPr>
          <w:trHeight w:val="419" w:hRule="exact"/>
        </w:trPr>
        <w:tc>
          <w:tcPr>
            <w:tcW w:w="993" w:type="dxa"/>
            <w:tcBorders>
              <w:top w:val="nil" w:sz="6" w:space="0" w:color="auto"/>
              <w:left w:val="single" w:sz="4" w:space="0" w:color="000000"/>
              <w:bottom w:val="single" w:sz="4" w:space="0" w:color="000000"/>
              <w:right w:val="single" w:sz="4" w:space="0" w:color="000000"/>
            </w:tcBorders>
          </w:tcPr>
          <w:p>
            <w:pPr/>
          </w:p>
        </w:tc>
        <w:tc>
          <w:tcPr>
            <w:tcW w:w="1132" w:type="dxa"/>
            <w:vMerge/>
            <w:tcBorders>
              <w:left w:val="single" w:sz="4" w:space="0" w:color="000000"/>
              <w:bottom w:val="single" w:sz="4" w:space="0" w:color="000000"/>
              <w:right w:val="single" w:sz="4" w:space="0" w:color="000000"/>
            </w:tcBorders>
          </w:tcPr>
          <w:p>
            <w:pPr/>
          </w:p>
        </w:tc>
        <w:tc>
          <w:tcPr>
            <w:tcW w:w="633" w:type="dxa"/>
            <w:tcBorders>
              <w:top w:val="nil" w:sz="6" w:space="0" w:color="auto"/>
              <w:left w:val="single" w:sz="4" w:space="0" w:color="000000"/>
              <w:bottom w:val="single" w:sz="4" w:space="0" w:color="000000"/>
              <w:right w:val="single" w:sz="4" w:space="0" w:color="000000"/>
            </w:tcBorders>
          </w:tcPr>
          <w:p>
            <w:pPr/>
          </w:p>
        </w:tc>
        <w:tc>
          <w:tcPr>
            <w:tcW w:w="878" w:type="dxa"/>
            <w:tcBorders>
              <w:top w:val="nil" w:sz="6" w:space="0" w:color="auto"/>
              <w:left w:val="single" w:sz="4" w:space="0" w:color="000000"/>
              <w:bottom w:val="single" w:sz="4" w:space="0" w:color="000000"/>
              <w:right w:val="single" w:sz="4" w:space="0" w:color="000000"/>
            </w:tcBorders>
          </w:tcPr>
          <w:p>
            <w:pPr/>
          </w:p>
        </w:tc>
        <w:tc>
          <w:tcPr>
            <w:tcW w:w="1066" w:type="dxa"/>
            <w:tcBorders>
              <w:top w:val="nil" w:sz="6" w:space="0" w:color="auto"/>
              <w:left w:val="single" w:sz="4" w:space="0" w:color="000000"/>
              <w:bottom w:val="single" w:sz="4" w:space="0" w:color="000000"/>
              <w:right w:val="single" w:sz="4" w:space="0" w:color="000000"/>
            </w:tcBorders>
          </w:tcPr>
          <w:p>
            <w:pPr/>
          </w:p>
        </w:tc>
        <w:tc>
          <w:tcPr>
            <w:tcW w:w="890" w:type="dxa"/>
            <w:vMerge/>
            <w:tcBorders>
              <w:left w:val="single" w:sz="4" w:space="0" w:color="000000"/>
              <w:bottom w:val="single" w:sz="4" w:space="0" w:color="000000"/>
              <w:right w:val="single" w:sz="4" w:space="0" w:color="000000"/>
            </w:tcBorders>
          </w:tcPr>
          <w:p>
            <w:pPr/>
          </w:p>
        </w:tc>
        <w:tc>
          <w:tcPr>
            <w:tcW w:w="96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6"/>
              <w:ind w:left="114" w:right="0"/>
              <w:jc w:val="left"/>
              <w:rPr>
                <w:rFonts w:ascii="宋体" w:hAnsi="宋体" w:cs="宋体" w:eastAsia="宋体" w:hint="default"/>
                <w:sz w:val="18"/>
                <w:szCs w:val="18"/>
              </w:rPr>
            </w:pPr>
            <w:r>
              <w:rPr>
                <w:rFonts w:ascii="宋体" w:hAnsi="宋体" w:cs="宋体" w:eastAsia="宋体" w:hint="default"/>
                <w:sz w:val="18"/>
                <w:szCs w:val="18"/>
              </w:rPr>
              <w:t>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要求</w:t>
            </w:r>
          </w:p>
        </w:tc>
        <w:tc>
          <w:tcPr>
            <w:tcW w:w="1352" w:type="dxa"/>
            <w:vMerge/>
            <w:tcBorders>
              <w:left w:val="single" w:sz="4" w:space="0" w:color="000000"/>
              <w:bottom w:val="single" w:sz="4" w:space="0" w:color="000000"/>
              <w:right w:val="single" w:sz="4" w:space="0" w:color="000000"/>
            </w:tcBorders>
          </w:tcPr>
          <w:p>
            <w:pPr/>
          </w:p>
        </w:tc>
        <w:tc>
          <w:tcPr>
            <w:tcW w:w="1415" w:type="dxa"/>
            <w:vMerge/>
            <w:tcBorders>
              <w:left w:val="single" w:sz="4" w:space="0" w:color="000000"/>
              <w:bottom w:val="single" w:sz="4" w:space="0" w:color="000000"/>
              <w:right w:val="single" w:sz="4" w:space="0" w:color="000000"/>
            </w:tcBorders>
          </w:tcPr>
          <w:p>
            <w:pPr/>
          </w:p>
        </w:tc>
        <w:tc>
          <w:tcPr>
            <w:tcW w:w="567" w:type="dxa"/>
            <w:tcBorders>
              <w:top w:val="nil" w:sz="6" w:space="0" w:color="auto"/>
              <w:left w:val="single" w:sz="4" w:space="0" w:color="000000"/>
              <w:bottom w:val="single" w:sz="4" w:space="0" w:color="000000"/>
              <w:right w:val="single" w:sz="4" w:space="0" w:color="000000"/>
            </w:tcBorders>
          </w:tcPr>
          <w:p>
            <w:pPr/>
          </w:p>
        </w:tc>
      </w:tr>
    </w:tbl>
    <w:p>
      <w:pPr>
        <w:pStyle w:val="BodyText"/>
        <w:spacing w:line="357" w:lineRule="auto" w:before="70"/>
        <w:ind w:left="592" w:right="1054"/>
        <w:jc w:val="left"/>
      </w:pPr>
      <w:r>
        <w:rPr/>
        <w:t>防治污染设施的建设和运行情况 </w:t>
      </w:r>
      <w:r>
        <w:rPr>
          <w:spacing w:val="-2"/>
        </w:rPr>
        <w:t>中联环保废水处理中心采用先进的分类收集、分质处理、废水资源再利用的电镀废水处理工艺，结合物化处理、生化处</w:t>
      </w:r>
    </w:p>
    <w:p>
      <w:pPr>
        <w:pStyle w:val="BodyText"/>
        <w:spacing w:line="224" w:lineRule="exact"/>
        <w:ind w:left="232" w:right="1054"/>
        <w:jc w:val="left"/>
      </w:pPr>
      <w:r>
        <w:rPr/>
        <w:t>理、高级氧化、膜处理组合处理工艺，实现除铬、镍污染物全指标达标排放，设施设备处于优良的运行状态且运行稳定。</w:t>
      </w:r>
    </w:p>
    <w:p>
      <w:pPr>
        <w:spacing w:after="0" w:line="224" w:lineRule="exact"/>
        <w:jc w:val="left"/>
        <w:sectPr>
          <w:pgSz w:w="11910" w:h="16840"/>
          <w:pgMar w:header="878" w:footer="978" w:top="1100" w:bottom="1160" w:left="900" w:right="0"/>
        </w:sectPr>
      </w:pPr>
    </w:p>
    <w:p>
      <w:pPr>
        <w:spacing w:line="240" w:lineRule="auto" w:before="1"/>
        <w:rPr>
          <w:rFonts w:ascii="宋体" w:hAnsi="宋体" w:cs="宋体" w:eastAsia="宋体" w:hint="default"/>
          <w:sz w:val="22"/>
          <w:szCs w:val="22"/>
        </w:rPr>
      </w:pPr>
    </w:p>
    <w:p>
      <w:pPr>
        <w:pStyle w:val="BodyText"/>
        <w:spacing w:line="357" w:lineRule="auto" w:before="44"/>
        <w:ind w:left="404" w:right="1122" w:firstLine="88"/>
        <w:jc w:val="left"/>
      </w:pPr>
      <w:bookmarkStart w:name="第六节 股份变动及股东情况" w:id="102"/>
      <w:bookmarkEnd w:id="102"/>
      <w:r>
        <w:rPr/>
      </w:r>
      <w:r>
        <w:rPr/>
        <w:t>建设项目环境影响评价及其他环境保护行政许可情况 中联环保严格遵守建设项目环境影响评价制度、竣工验收管理制度等规章制度，及时开展环境影响评价及验收工作，做</w:t>
      </w:r>
    </w:p>
    <w:p>
      <w:pPr>
        <w:pStyle w:val="BodyText"/>
        <w:spacing w:line="237" w:lineRule="exact"/>
        <w:ind w:left="132" w:right="0"/>
        <w:jc w:val="left"/>
      </w:pPr>
      <w:r>
        <w:rPr/>
        <w:t>到项目建设环保</w:t>
      </w:r>
      <w:r>
        <w:rPr>
          <w:rFonts w:ascii="Times New Roman" w:hAnsi="Times New Roman" w:cs="Times New Roman" w:eastAsia="Times New Roman" w:hint="default"/>
        </w:rPr>
        <w:t>“</w:t>
      </w:r>
      <w:r>
        <w:rPr/>
        <w:t>三同时</w:t>
      </w:r>
      <w:r>
        <w:rPr>
          <w:rFonts w:ascii="Times New Roman" w:hAnsi="Times New Roman" w:cs="Times New Roman" w:eastAsia="Times New Roman" w:hint="default"/>
        </w:rPr>
        <w:t>”</w:t>
      </w:r>
      <w:r>
        <w:rPr/>
        <w:t>。项目于</w:t>
      </w:r>
      <w:r>
        <w:rPr>
          <w:spacing w:val="-48"/>
        </w:rPr>
        <w:t> </w:t>
      </w:r>
      <w:r>
        <w:rPr>
          <w:rFonts w:ascii="Times New Roman" w:hAnsi="Times New Roman" w:cs="Times New Roman" w:eastAsia="Times New Roman" w:hint="default"/>
        </w:rPr>
        <w:t>2008</w:t>
      </w:r>
      <w:r>
        <w:rPr>
          <w:rFonts w:ascii="Times New Roman" w:hAnsi="Times New Roman" w:cs="Times New Roman" w:eastAsia="Times New Roman" w:hint="default"/>
          <w:spacing w:val="-2"/>
        </w:rPr>
        <w:t> </w:t>
      </w:r>
      <w:r>
        <w:rPr/>
        <w:t>年得到江西省环境保护厅环评批复（赣环督字</w:t>
      </w:r>
      <w:r>
        <w:rPr>
          <w:spacing w:val="-46"/>
        </w:rPr>
        <w:t> </w:t>
      </w:r>
      <w:r>
        <w:rPr>
          <w:rFonts w:ascii="Times New Roman" w:hAnsi="Times New Roman" w:cs="Times New Roman" w:eastAsia="Times New Roman" w:hint="default"/>
        </w:rPr>
        <w:t>2008[495]</w:t>
      </w:r>
      <w:r>
        <w:rPr/>
        <w:t>号），</w:t>
      </w:r>
      <w:r>
        <w:rPr>
          <w:rFonts w:ascii="Times New Roman" w:hAnsi="Times New Roman" w:cs="Times New Roman" w:eastAsia="Times New Roman" w:hint="default"/>
        </w:rPr>
        <w:t>2013</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rPr>
        <w:t>13</w:t>
      </w:r>
      <w:r>
        <w:rPr>
          <w:rFonts w:ascii="Times New Roman" w:hAnsi="Times New Roman" w:cs="Times New Roman" w:eastAsia="Times New Roman" w:hint="default"/>
          <w:spacing w:val="-4"/>
        </w:rPr>
        <w:t> </w:t>
      </w:r>
      <w:r>
        <w:rPr/>
        <w:t>日得</w:t>
      </w:r>
    </w:p>
    <w:p>
      <w:pPr>
        <w:pStyle w:val="BodyText"/>
        <w:spacing w:line="240" w:lineRule="auto" w:before="63"/>
        <w:ind w:left="132" w:right="0"/>
        <w:jc w:val="left"/>
      </w:pPr>
      <w:r>
        <w:rPr>
          <w:spacing w:val="-4"/>
        </w:rPr>
        <w:t>到《江西省环保厅关于赣州市水西稀土深加工表面精饰产业集控区（一期）先期工程竣工环境保护验收意见的函》验收函件，</w:t>
      </w:r>
    </w:p>
    <w:p>
      <w:pPr>
        <w:pStyle w:val="BodyText"/>
        <w:spacing w:line="340" w:lineRule="auto" w:before="76"/>
        <w:ind w:left="492" w:right="3686" w:hanging="360"/>
        <w:jc w:val="left"/>
      </w:pPr>
      <w:r>
        <w:rPr>
          <w:rFonts w:ascii="Times New Roman" w:hAnsi="Times New Roman" w:cs="Times New Roman" w:eastAsia="Times New Roman" w:hint="default"/>
        </w:rPr>
        <w:t>2019</w:t>
      </w:r>
      <w:r>
        <w:rPr/>
        <w:t>年</w:t>
      </w:r>
      <w:r>
        <w:rPr>
          <w:spacing w:val="-45"/>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日完成建设项目环评企业自主验收及相关公示工作。 突发环境事件应急预案</w:t>
      </w:r>
    </w:p>
    <w:p>
      <w:pPr>
        <w:pStyle w:val="BodyText"/>
        <w:spacing w:line="300" w:lineRule="auto" w:before="41"/>
        <w:ind w:left="132" w:right="1153" w:firstLine="360"/>
        <w:jc w:val="both"/>
      </w:pPr>
      <w:r>
        <w:rPr/>
        <w:t>中联环保于</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日完成了《管理计划》《申报登记》《突发事件应急预案》等文件，并在</w:t>
      </w:r>
      <w:r>
        <w:rPr>
          <w:rFonts w:ascii="Times New Roman" w:hAnsi="Times New Roman" w:cs="Times New Roman" w:eastAsia="Times New Roman" w:hint="default"/>
        </w:rPr>
        <w:t>“</w:t>
      </w:r>
      <w:r>
        <w:rPr/>
        <w:t>赣州市环保局章 贡分局</w:t>
      </w:r>
      <w:r>
        <w:rPr>
          <w:rFonts w:ascii="Times New Roman" w:hAnsi="Times New Roman" w:cs="Times New Roman" w:eastAsia="Times New Roman" w:hint="default"/>
        </w:rPr>
        <w:t>”</w:t>
      </w:r>
      <w:r>
        <w:rPr/>
        <w:t>进行登记备案，备案登记编号为：</w:t>
      </w:r>
      <w:r>
        <w:rPr>
          <w:rFonts w:ascii="Times New Roman" w:hAnsi="Times New Roman" w:cs="Times New Roman" w:eastAsia="Times New Roman" w:hint="default"/>
        </w:rPr>
        <w:t>360702-2017-010-L</w:t>
      </w:r>
      <w:r>
        <w:rPr/>
        <w:t>，风险级别为：一般环境风险（</w:t>
      </w:r>
      <w:r>
        <w:rPr>
          <w:rFonts w:ascii="Times New Roman" w:hAnsi="Times New Roman" w:cs="Times New Roman" w:eastAsia="Times New Roman" w:hint="default"/>
        </w:rPr>
        <w:t>L</w:t>
      </w:r>
      <w:r>
        <w:rPr/>
        <w:t>），并定期开展演练演习工 作。</w:t>
      </w:r>
    </w:p>
    <w:p>
      <w:pPr>
        <w:pStyle w:val="BodyText"/>
        <w:spacing w:line="360" w:lineRule="auto" w:before="70"/>
        <w:ind w:left="492" w:right="1134"/>
        <w:jc w:val="left"/>
      </w:pPr>
      <w:r>
        <w:rPr/>
        <w:t>环境自行监测方案 中联环保拥有完善的自行检测方案、检测分析仪器、实验室及检测人员，同时委托第三方检测公司</w:t>
      </w:r>
      <w:r>
        <w:rPr>
          <w:rFonts w:ascii="Times New Roman" w:hAnsi="Times New Roman" w:cs="Times New Roman" w:eastAsia="Times New Roman" w:hint="default"/>
        </w:rPr>
        <w:t>“</w:t>
      </w:r>
      <w:r>
        <w:rPr/>
        <w:t>江西省恒定检测技</w:t>
      </w:r>
    </w:p>
    <w:p>
      <w:pPr>
        <w:pStyle w:val="BodyText"/>
        <w:spacing w:line="212" w:lineRule="exact"/>
        <w:ind w:left="132" w:right="1122"/>
        <w:jc w:val="left"/>
      </w:pPr>
      <w:r>
        <w:rPr/>
        <w:t>术有限公司</w:t>
      </w:r>
      <w:r>
        <w:rPr>
          <w:rFonts w:ascii="Times New Roman" w:hAnsi="Times New Roman" w:cs="Times New Roman" w:eastAsia="Times New Roman" w:hint="default"/>
        </w:rPr>
        <w:t>”</w:t>
      </w:r>
      <w:r>
        <w:rPr/>
        <w:t>进行定期检测，并按检测方案和地方监管部门要求严格落实每一项工作。</w:t>
      </w:r>
    </w:p>
    <w:p>
      <w:pPr>
        <w:pStyle w:val="BodyText"/>
        <w:spacing w:line="357" w:lineRule="auto" w:before="103"/>
        <w:ind w:left="480" w:right="8414" w:firstLine="12"/>
        <w:jc w:val="left"/>
      </w:pPr>
      <w:r>
        <w:rPr/>
        <w:t>其他应当公开的环境信息 无</w:t>
      </w:r>
    </w:p>
    <w:p>
      <w:pPr>
        <w:pStyle w:val="BodyText"/>
        <w:spacing w:line="360" w:lineRule="auto" w:before="29"/>
        <w:ind w:left="492" w:right="1122" w:hanging="12"/>
        <w:jc w:val="left"/>
      </w:pPr>
      <w:r>
        <w:rPr/>
        <w:t>其他环保相关信息 </w:t>
      </w:r>
      <w:r>
        <w:rPr>
          <w:spacing w:val="-2"/>
        </w:rPr>
        <w:t>中联环保是公司控股子公司龙源环保的全资子公司，主要从事电镀污水处理业务。中联环保开发的赣州中联环保电镀产</w:t>
      </w:r>
    </w:p>
    <w:p>
      <w:pPr>
        <w:pStyle w:val="BodyText"/>
        <w:spacing w:line="222" w:lineRule="exact"/>
        <w:ind w:left="132" w:right="0"/>
        <w:jc w:val="left"/>
      </w:pPr>
      <w:r>
        <w:rPr/>
        <w:t>业园，是省、市两级政府的重点企业，是市政府的配套园区，企业自身不产生污染，只对入园电镀企业的废水进行处理，处</w:t>
      </w:r>
    </w:p>
    <w:p>
      <w:pPr>
        <w:pStyle w:val="BodyText"/>
        <w:spacing w:line="240" w:lineRule="auto" w:before="76"/>
        <w:ind w:left="132" w:right="1122"/>
        <w:jc w:val="left"/>
      </w:pPr>
      <w:r>
        <w:rPr/>
        <w:t>理后达标排放。</w:t>
      </w:r>
    </w:p>
    <w:p>
      <w:pPr>
        <w:spacing w:line="240" w:lineRule="auto" w:before="1"/>
        <w:rPr>
          <w:rFonts w:ascii="宋体" w:hAnsi="宋体" w:cs="宋体" w:eastAsia="宋体" w:hint="default"/>
          <w:sz w:val="25"/>
          <w:szCs w:val="25"/>
        </w:rPr>
      </w:pPr>
    </w:p>
    <w:p>
      <w:pPr>
        <w:pStyle w:val="Heading2"/>
        <w:spacing w:line="240" w:lineRule="auto"/>
        <w:ind w:left="132" w:right="1122"/>
        <w:jc w:val="left"/>
        <w:rPr>
          <w:b w:val="0"/>
          <w:bCs w:val="0"/>
        </w:rPr>
      </w:pPr>
      <w:bookmarkStart w:name="十九、其他重大事项的说明" w:id="103"/>
      <w:bookmarkEnd w:id="103"/>
      <w:r>
        <w:rPr>
          <w:b w:val="0"/>
          <w:bCs w:val="0"/>
        </w:rPr>
      </w:r>
      <w:r>
        <w:rPr/>
        <w:t>十九、其他重大事项的说明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132"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pStyle w:val="BodyText"/>
        <w:spacing w:line="240" w:lineRule="auto" w:before="103"/>
        <w:ind w:left="492" w:right="0"/>
        <w:jc w:val="left"/>
      </w:pPr>
      <w:r>
        <w:rPr>
          <w:rFonts w:ascii="Times New Roman" w:hAnsi="Times New Roman" w:cs="Times New Roman" w:eastAsia="Times New Roman" w:hint="default"/>
        </w:rPr>
        <w:t>1</w:t>
      </w:r>
      <w:r>
        <w:rPr/>
        <w:t>、公司于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3</w:t>
      </w:r>
      <w:r>
        <w:rPr/>
        <w:t>日召开的</w:t>
      </w:r>
      <w:r>
        <w:rPr>
          <w:rFonts w:ascii="Times New Roman" w:hAnsi="Times New Roman" w:cs="Times New Roman" w:eastAsia="Times New Roman" w:hint="default"/>
        </w:rPr>
        <w:t>2016</w:t>
      </w:r>
      <w:r>
        <w:rPr/>
        <w:t>年第一次临时股东大会审议通过了《关于使用自有资金进行风险投资的议案》，于</w:t>
      </w:r>
    </w:p>
    <w:p>
      <w:pPr>
        <w:pStyle w:val="BodyText"/>
        <w:spacing w:line="300" w:lineRule="auto" w:before="63"/>
        <w:ind w:left="132" w:right="1130"/>
        <w:jc w:val="both"/>
      </w:pPr>
      <w:r>
        <w:rPr>
          <w:rFonts w:ascii="Times New Roman" w:hAnsi="Times New Roman" w:cs="Times New Roman" w:eastAsia="Times New Roman" w:hint="default"/>
          <w:spacing w:val="-3"/>
        </w:rPr>
        <w:t>2016</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18</w:t>
      </w:r>
      <w:r>
        <w:rPr>
          <w:spacing w:val="-3"/>
        </w:rPr>
        <w:t>日召开的</w:t>
      </w:r>
      <w:r>
        <w:rPr>
          <w:rFonts w:ascii="Times New Roman" w:hAnsi="Times New Roman" w:cs="Times New Roman" w:eastAsia="Times New Roman" w:hint="default"/>
          <w:spacing w:val="-3"/>
        </w:rPr>
        <w:t>2015</w:t>
      </w:r>
      <w:r>
        <w:rPr>
          <w:spacing w:val="-3"/>
        </w:rPr>
        <w:t>年度股东大会审议通过了《关于使用自有资金追加风险投资额度的议案》，股东大会同意公司（含</w:t>
      </w:r>
      <w:r>
        <w:rPr/>
        <w:t> </w:t>
      </w:r>
      <w:r>
        <w:rPr>
          <w:spacing w:val="-2"/>
        </w:rPr>
        <w:t>子公司）总计使用最高额度不超过（含）人民币</w:t>
      </w:r>
      <w:r>
        <w:rPr>
          <w:rFonts w:ascii="Times New Roman" w:hAnsi="Times New Roman" w:cs="Times New Roman" w:eastAsia="Times New Roman" w:hint="default"/>
          <w:spacing w:val="-2"/>
        </w:rPr>
        <w:t>22</w:t>
      </w:r>
      <w:r>
        <w:rPr>
          <w:spacing w:val="-2"/>
        </w:rPr>
        <w:t>亿元的自有资金进行风险投资，在上述额度内，资金可以滚动使用，投资</w:t>
      </w:r>
      <w:r>
        <w:rPr>
          <w:spacing w:val="-63"/>
        </w:rPr>
        <w:t> </w:t>
      </w:r>
      <w:r>
        <w:rPr>
          <w:spacing w:val="-63"/>
        </w:rPr>
      </w:r>
      <w:r>
        <w:rPr/>
        <w:t>期限自获股东大会审议通过之日起至</w:t>
      </w:r>
      <w:r>
        <w:rPr>
          <w:rFonts w:ascii="Times New Roman" w:hAnsi="Times New Roman" w:cs="Times New Roman" w:eastAsia="Times New Roman" w:hint="default"/>
        </w:rPr>
        <w:t>2021</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w:t>
      </w:r>
      <w:r>
        <w:rPr/>
        <w:t>日有效。（详见公司于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19</w:t>
      </w:r>
      <w:r>
        <w:rPr/>
        <w:t>日、</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4</w:t>
      </w:r>
      <w:r>
        <w:rPr/>
        <w:t>日、</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29</w:t>
      </w:r>
      <w:r>
        <w:rPr/>
        <w:t>日、</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19</w:t>
      </w:r>
      <w:r>
        <w:rPr/>
        <w:t>日刊登在</w:t>
      </w:r>
    </w:p>
    <w:p>
      <w:pPr>
        <w:pStyle w:val="BodyText"/>
        <w:spacing w:line="338" w:lineRule="auto" w:before="13"/>
        <w:ind w:left="478" w:right="1122" w:hanging="346"/>
        <w:jc w:val="left"/>
      </w:pPr>
      <w:r>
        <w:rPr/>
        <w:t>《证券时报》及巨潮资讯网</w:t>
      </w:r>
      <w:hyperlink r:id="rId30">
        <w:r>
          <w:rPr>
            <w:rFonts w:ascii="Times New Roman" w:hAnsi="Times New Roman" w:cs="Times New Roman" w:eastAsia="Times New Roman" w:hint="default"/>
          </w:rPr>
          <w:t>www.cninfo.com.cn</w:t>
        </w:r>
        <w:r>
          <w:rPr/>
          <w:t>上的相关公告</w:t>
        </w:r>
      </w:hyperlink>
      <w:r>
        <w:rPr/>
        <w:t>）</w:t>
      </w:r>
      <w:r>
        <w:rPr/>
        <w:t> </w:t>
      </w:r>
      <w:r>
        <w:rPr>
          <w:spacing w:val="7"/>
        </w:rPr>
        <w:t>报告期，公司使用自有资金继续购买神州控股的普通股股票，截至</w:t>
      </w:r>
      <w:r>
        <w:rPr>
          <w:spacing w:val="-3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9"/>
        </w:rPr>
        <w:t> </w:t>
      </w:r>
      <w:r>
        <w:rPr/>
        <w:t>年</w:t>
      </w:r>
      <w:r>
        <w:rPr>
          <w:spacing w:val="-31"/>
        </w:rPr>
        <w:t>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t>月</w:t>
      </w:r>
      <w:r>
        <w:rPr>
          <w:spacing w:val="-35"/>
        </w:rPr>
        <w:t> </w:t>
      </w:r>
      <w:r>
        <w:rPr>
          <w:rFonts w:ascii="Times New Roman" w:hAnsi="Times New Roman" w:cs="Times New Roman" w:eastAsia="Times New Roman" w:hint="default"/>
        </w:rPr>
        <w:t>31</w:t>
      </w:r>
      <w:r>
        <w:rPr>
          <w:rFonts w:ascii="Times New Roman" w:hAnsi="Times New Roman" w:cs="Times New Roman" w:eastAsia="Times New Roman" w:hint="default"/>
          <w:spacing w:val="13"/>
        </w:rPr>
        <w:t> </w:t>
      </w:r>
      <w:r>
        <w:rPr>
          <w:spacing w:val="7"/>
        </w:rPr>
        <w:t>日共持有神州控股普通股股票</w:t>
      </w:r>
    </w:p>
    <w:p>
      <w:pPr>
        <w:pStyle w:val="BodyText"/>
        <w:spacing w:line="230" w:lineRule="exact"/>
        <w:ind w:left="132" w:right="1122"/>
        <w:jc w:val="left"/>
      </w:pPr>
      <w:r>
        <w:rPr>
          <w:rFonts w:ascii="Times New Roman" w:hAnsi="Times New Roman" w:cs="Times New Roman" w:eastAsia="Times New Roman" w:hint="default"/>
        </w:rPr>
        <w:t>317,294,250</w:t>
      </w:r>
      <w:r>
        <w:rPr>
          <w:rFonts w:ascii="Times New Roman" w:hAnsi="Times New Roman" w:cs="Times New Roman" w:eastAsia="Times New Roman" w:hint="default"/>
          <w:spacing w:val="-5"/>
        </w:rPr>
        <w:t> </w:t>
      </w:r>
      <w:r>
        <w:rPr/>
        <w:t>股，占神州控股已发行普通股总股本</w:t>
      </w:r>
      <w:r>
        <w:rPr>
          <w:spacing w:val="-49"/>
        </w:rPr>
        <w:t> </w:t>
      </w:r>
      <w:r>
        <w:rPr>
          <w:rFonts w:ascii="Times New Roman" w:hAnsi="Times New Roman" w:cs="Times New Roman" w:eastAsia="Times New Roman" w:hint="default"/>
        </w:rPr>
        <w:t>1,670,977,976</w:t>
      </w:r>
      <w:r>
        <w:rPr>
          <w:rFonts w:ascii="Times New Roman" w:hAnsi="Times New Roman" w:cs="Times New Roman" w:eastAsia="Times New Roman" w:hint="default"/>
          <w:spacing w:val="-5"/>
        </w:rPr>
        <w:t> </w:t>
      </w:r>
      <w:r>
        <w:rPr/>
        <w:t>股的</w:t>
      </w:r>
      <w:r>
        <w:rPr>
          <w:spacing w:val="-49"/>
        </w:rPr>
        <w:t> </w:t>
      </w:r>
      <w:r>
        <w:rPr>
          <w:rFonts w:ascii="Times New Roman" w:hAnsi="Times New Roman" w:cs="Times New Roman" w:eastAsia="Times New Roman" w:hint="default"/>
        </w:rPr>
        <w:t>18.99%</w:t>
      </w:r>
      <w:r>
        <w:rPr/>
        <w:t>。</w:t>
      </w:r>
    </w:p>
    <w:p>
      <w:pPr>
        <w:pStyle w:val="BodyText"/>
        <w:spacing w:line="240" w:lineRule="auto" w:before="103"/>
        <w:ind w:left="478" w:right="0"/>
        <w:jc w:val="left"/>
      </w:pPr>
      <w:r>
        <w:rPr>
          <w:rFonts w:ascii="Times New Roman" w:hAnsi="Times New Roman" w:cs="Times New Roman" w:eastAsia="Times New Roman" w:hint="default"/>
          <w:spacing w:val="1"/>
        </w:rPr>
        <w:t>2</w:t>
      </w:r>
      <w:r>
        <w:rPr>
          <w:spacing w:val="-87"/>
        </w:rPr>
        <w:t>、</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日</w:t>
      </w:r>
      <w:r>
        <w:rPr>
          <w:spacing w:val="-87"/>
        </w:rPr>
        <w:t>，</w:t>
      </w:r>
      <w:r>
        <w:rPr/>
        <w:t>公司参股公司广电计量</w:t>
      </w:r>
      <w:r>
        <w:rPr>
          <w:spacing w:val="2"/>
        </w:rPr>
        <w:t>在</w:t>
      </w:r>
      <w:r>
        <w:rPr/>
        <w:t>深圳证券交易所上市交易</w:t>
      </w:r>
      <w:r>
        <w:rPr>
          <w:spacing w:val="-84"/>
        </w:rPr>
        <w:t>，</w:t>
      </w:r>
      <w:r>
        <w:rPr/>
        <w:t>股票简称为</w:t>
      </w:r>
      <w:r>
        <w:rPr>
          <w:rFonts w:ascii="Times New Roman" w:hAnsi="Times New Roman" w:cs="Times New Roman" w:eastAsia="Times New Roman" w:hint="default"/>
          <w:spacing w:val="-1"/>
          <w:w w:val="99"/>
        </w:rPr>
        <w:t>“</w:t>
      </w:r>
      <w:r>
        <w:rPr/>
        <w:t>广电计量</w:t>
      </w:r>
      <w:r>
        <w:rPr>
          <w:rFonts w:ascii="Times New Roman" w:hAnsi="Times New Roman" w:cs="Times New Roman" w:eastAsia="Times New Roman" w:hint="default"/>
          <w:spacing w:val="1"/>
          <w:w w:val="99"/>
        </w:rPr>
        <w:t>”</w:t>
      </w:r>
      <w:r>
        <w:rPr>
          <w:spacing w:val="-87"/>
        </w:rPr>
        <w:t>，</w:t>
      </w:r>
      <w:r>
        <w:rPr/>
        <w:t>股票代码</w:t>
      </w:r>
      <w:r>
        <w:rPr>
          <w:spacing w:val="2"/>
        </w:rPr>
        <w:t>为</w:t>
      </w:r>
      <w:r>
        <w:rPr>
          <w:rFonts w:ascii="Times New Roman" w:hAnsi="Times New Roman" w:cs="Times New Roman" w:eastAsia="Times New Roman" w:hint="default"/>
          <w:spacing w:val="-1"/>
          <w:w w:val="99"/>
        </w:rPr>
        <w:t>“</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9</w:t>
      </w:r>
      <w:r>
        <w:rPr>
          <w:rFonts w:ascii="Times New Roman" w:hAnsi="Times New Roman" w:cs="Times New Roman" w:eastAsia="Times New Roman" w:hint="default"/>
          <w:spacing w:val="1"/>
        </w:rPr>
        <w:t>6</w:t>
      </w:r>
      <w:r>
        <w:rPr>
          <w:rFonts w:ascii="Times New Roman" w:hAnsi="Times New Roman" w:cs="Times New Roman" w:eastAsia="Times New Roman" w:hint="default"/>
          <w:spacing w:val="-2"/>
        </w:rPr>
        <w:t>7</w:t>
      </w:r>
      <w:r>
        <w:rPr>
          <w:rFonts w:ascii="Times New Roman" w:hAnsi="Times New Roman" w:cs="Times New Roman" w:eastAsia="Times New Roman" w:hint="default"/>
          <w:spacing w:val="-1"/>
          <w:w w:val="99"/>
        </w:rPr>
        <w:t>”</w:t>
      </w:r>
      <w:r>
        <w:rPr/>
        <w:t>，</w:t>
      </w:r>
    </w:p>
    <w:p>
      <w:pPr>
        <w:pStyle w:val="BodyText"/>
        <w:spacing w:line="300" w:lineRule="auto" w:before="63"/>
        <w:ind w:left="132" w:right="1129"/>
        <w:jc w:val="left"/>
      </w:pPr>
      <w:r>
        <w:rPr/>
        <w:t>公司持有广电计量</w:t>
      </w:r>
      <w:r>
        <w:rPr>
          <w:spacing w:val="-44"/>
        </w:rPr>
        <w:t> </w:t>
      </w:r>
      <w:r>
        <w:rPr>
          <w:rFonts w:ascii="Times New Roman" w:hAnsi="Times New Roman" w:cs="Times New Roman" w:eastAsia="Times New Roman" w:hint="default"/>
          <w:spacing w:val="-1"/>
        </w:rPr>
        <w:t>3,059.44</w:t>
      </w:r>
      <w:r>
        <w:rPr>
          <w:rFonts w:ascii="Times New Roman" w:hAnsi="Times New Roman" w:cs="Times New Roman" w:eastAsia="Times New Roman" w:hint="default"/>
        </w:rPr>
        <w:t> </w:t>
      </w:r>
      <w:r>
        <w:rPr>
          <w:spacing w:val="-3"/>
        </w:rPr>
        <w:t>万股股份，占其首次公开发行股票后总股份的</w:t>
      </w:r>
      <w:r>
        <w:rPr>
          <w:spacing w:val="-41"/>
        </w:rPr>
        <w:t> </w:t>
      </w:r>
      <w:r>
        <w:rPr>
          <w:rFonts w:ascii="Times New Roman" w:hAnsi="Times New Roman" w:cs="Times New Roman" w:eastAsia="Times New Roman" w:hint="default"/>
          <w:spacing w:val="-11"/>
        </w:rPr>
        <w:t>9.25%</w:t>
      </w:r>
      <w:r>
        <w:rPr>
          <w:spacing w:val="-11"/>
        </w:rPr>
        <w:t>。（详见公司于</w:t>
      </w:r>
      <w:r>
        <w:rPr>
          <w:spacing w:val="-41"/>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r>
        <w:rPr>
          <w:spacing w:val="-44"/>
        </w:rPr>
        <w:t> </w:t>
      </w:r>
      <w:r>
        <w:rPr>
          <w:rFonts w:ascii="Times New Roman" w:hAnsi="Times New Roman" w:cs="Times New Roman" w:eastAsia="Times New Roman" w:hint="default"/>
        </w:rPr>
        <w:t>11 </w:t>
      </w:r>
      <w:r>
        <w:rPr/>
        <w:t>月</w:t>
      </w:r>
      <w:r>
        <w:rPr>
          <w:spacing w:val="-44"/>
        </w:rPr>
        <w:t> </w:t>
      </w:r>
      <w:r>
        <w:rPr>
          <w:rFonts w:ascii="Times New Roman" w:hAnsi="Times New Roman" w:cs="Times New Roman" w:eastAsia="Times New Roman" w:hint="default"/>
        </w:rPr>
        <w:t>8 </w:t>
      </w:r>
      <w:r>
        <w:rPr>
          <w:spacing w:val="-9"/>
        </w:rPr>
        <w:t>日刊登在《证</w:t>
      </w:r>
      <w:r>
        <w:rPr/>
        <w:t> 券时报》《中国证券报》及巨潮资讯网</w:t>
      </w:r>
      <w:r>
        <w:rPr>
          <w:spacing w:val="-50"/>
        </w:rPr>
        <w:t> </w:t>
      </w:r>
      <w:hyperlink r:id="rId10">
        <w:r>
          <w:rPr>
            <w:rFonts w:ascii="Times New Roman" w:hAnsi="Times New Roman" w:cs="Times New Roman" w:eastAsia="Times New Roman" w:hint="default"/>
          </w:rPr>
          <w:t>www.cninfo.com.cn</w:t>
        </w:r>
      </w:hyperlink>
      <w:r>
        <w:rPr>
          <w:rFonts w:ascii="Times New Roman" w:hAnsi="Times New Roman" w:cs="Times New Roman" w:eastAsia="Times New Roman" w:hint="default"/>
          <w:spacing w:val="-4"/>
        </w:rPr>
        <w:t> </w:t>
      </w:r>
      <w:r>
        <w:rPr/>
        <w:t>上的相关公告）</w:t>
      </w:r>
    </w:p>
    <w:p>
      <w:pPr>
        <w:spacing w:line="240" w:lineRule="auto" w:before="3"/>
        <w:rPr>
          <w:rFonts w:ascii="宋体" w:hAnsi="宋体" w:cs="宋体" w:eastAsia="宋体" w:hint="default"/>
          <w:sz w:val="20"/>
          <w:szCs w:val="20"/>
        </w:rPr>
      </w:pPr>
    </w:p>
    <w:p>
      <w:pPr>
        <w:pStyle w:val="Heading2"/>
        <w:spacing w:line="240" w:lineRule="auto"/>
        <w:ind w:left="132" w:right="1122"/>
        <w:jc w:val="left"/>
        <w:rPr>
          <w:b w:val="0"/>
          <w:bCs w:val="0"/>
        </w:rPr>
      </w:pPr>
      <w:bookmarkStart w:name="二十、公司子公司重大事项 " w:id="104"/>
      <w:bookmarkEnd w:id="104"/>
      <w:r>
        <w:rPr>
          <w:b w:val="0"/>
          <w:bCs w:val="0"/>
        </w:rPr>
      </w:r>
      <w:r>
        <w:rPr/>
        <w:t>二十、公司子公司重大事项</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132"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3"/>
        <w:rPr>
          <w:rFonts w:ascii="宋体" w:hAnsi="宋体" w:cs="宋体" w:eastAsia="宋体" w:hint="default"/>
          <w:sz w:val="7"/>
          <w:szCs w:val="7"/>
        </w:rPr>
      </w:pPr>
    </w:p>
    <w:tbl>
      <w:tblPr>
        <w:tblW w:w="0" w:type="auto"/>
        <w:jc w:val="left"/>
        <w:tblInd w:w="116" w:type="dxa"/>
        <w:tblLayout w:type="fixed"/>
        <w:tblCellMar>
          <w:top w:w="0" w:type="dxa"/>
          <w:left w:w="0" w:type="dxa"/>
          <w:bottom w:w="0" w:type="dxa"/>
          <w:right w:w="0" w:type="dxa"/>
        </w:tblCellMar>
        <w:tblLook w:val="01E0"/>
      </w:tblPr>
      <w:tblGrid>
        <w:gridCol w:w="993"/>
        <w:gridCol w:w="4829"/>
        <w:gridCol w:w="4100"/>
      </w:tblGrid>
      <w:tr>
        <w:trPr>
          <w:trHeight w:val="427" w:hRule="exact"/>
        </w:trPr>
        <w:tc>
          <w:tcPr>
            <w:tcW w:w="9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right="1"/>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482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重要事项</w:t>
            </w:r>
          </w:p>
        </w:tc>
        <w:tc>
          <w:tcPr>
            <w:tcW w:w="41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right="1"/>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333" w:hRule="exact"/>
        </w:trPr>
        <w:tc>
          <w:tcPr>
            <w:tcW w:w="993"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9"/>
              <w:ind w:right="0"/>
              <w:jc w:val="center"/>
              <w:rPr>
                <w:rFonts w:ascii="宋体" w:hAnsi="宋体" w:cs="宋体" w:eastAsia="宋体" w:hint="default"/>
                <w:sz w:val="18"/>
                <w:szCs w:val="18"/>
              </w:rPr>
            </w:pPr>
            <w:r>
              <w:rPr>
                <w:rFonts w:ascii="宋体" w:hAnsi="宋体" w:cs="宋体" w:eastAsia="宋体" w:hint="default"/>
                <w:sz w:val="18"/>
                <w:szCs w:val="18"/>
              </w:rPr>
              <w:t>创自技术</w:t>
            </w:r>
          </w:p>
        </w:tc>
        <w:tc>
          <w:tcPr>
            <w:tcW w:w="4829"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9"/>
              <w:ind w:right="0"/>
              <w:jc w:val="center"/>
              <w:rPr>
                <w:rFonts w:ascii="宋体" w:hAnsi="宋体" w:cs="宋体" w:eastAsia="宋体" w:hint="default"/>
                <w:sz w:val="18"/>
                <w:szCs w:val="18"/>
              </w:rPr>
            </w:pPr>
            <w:r>
              <w:rPr>
                <w:rFonts w:ascii="宋体" w:hAnsi="宋体" w:cs="宋体" w:eastAsia="宋体" w:hint="default"/>
                <w:sz w:val="18"/>
                <w:szCs w:val="18"/>
              </w:rPr>
              <w:t>公司以自有资金人民币</w:t>
            </w:r>
            <w:r>
              <w:rPr>
                <w:rFonts w:ascii="Times New Roman" w:hAnsi="Times New Roman" w:cs="Times New Roman" w:eastAsia="Times New Roman" w:hint="default"/>
                <w:sz w:val="18"/>
                <w:szCs w:val="18"/>
              </w:rPr>
              <w:t>14,196</w:t>
            </w:r>
            <w:r>
              <w:rPr>
                <w:rFonts w:ascii="宋体" w:hAnsi="宋体" w:cs="宋体" w:eastAsia="宋体" w:hint="default"/>
                <w:sz w:val="18"/>
                <w:szCs w:val="18"/>
              </w:rPr>
              <w:t>万元收购创自技术剩余</w:t>
            </w:r>
            <w:r>
              <w:rPr>
                <w:rFonts w:ascii="Times New Roman" w:hAnsi="Times New Roman" w:cs="Times New Roman" w:eastAsia="Times New Roman" w:hint="default"/>
                <w:sz w:val="18"/>
                <w:szCs w:val="18"/>
              </w:rPr>
              <w:t>30%</w:t>
            </w:r>
            <w:r>
              <w:rPr>
                <w:rFonts w:ascii="宋体" w:hAnsi="宋体" w:cs="宋体" w:eastAsia="宋体" w:hint="default"/>
                <w:sz w:val="18"/>
                <w:szCs w:val="18"/>
              </w:rPr>
              <w:t>股</w:t>
            </w:r>
          </w:p>
        </w:tc>
        <w:tc>
          <w:tcPr>
            <w:tcW w:w="4100"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9"/>
              <w:ind w:right="1"/>
              <w:jc w:val="center"/>
              <w:rPr>
                <w:rFonts w:ascii="宋体" w:hAnsi="宋体" w:cs="宋体" w:eastAsia="宋体" w:hint="default"/>
                <w:sz w:val="18"/>
                <w:szCs w:val="18"/>
              </w:rPr>
            </w:pPr>
            <w:r>
              <w:rPr>
                <w:rFonts w:ascii="宋体" w:hAnsi="宋体" w:cs="宋体" w:eastAsia="宋体" w:hint="default"/>
                <w:sz w:val="18"/>
                <w:szCs w:val="18"/>
              </w:rPr>
              <w:t>刊登在《证券时报》《中国证券报》及巨潮资讯网</w:t>
            </w:r>
          </w:p>
        </w:tc>
      </w:tr>
      <w:tr>
        <w:trPr>
          <w:trHeight w:val="312" w:hRule="exact"/>
        </w:trPr>
        <w:tc>
          <w:tcPr>
            <w:tcW w:w="993" w:type="dxa"/>
            <w:tcBorders>
              <w:top w:val="nil" w:sz="6" w:space="0" w:color="auto"/>
              <w:left w:val="single" w:sz="6" w:space="0" w:color="000000"/>
              <w:bottom w:val="nil" w:sz="6" w:space="0" w:color="auto"/>
              <w:right w:val="single" w:sz="6" w:space="0" w:color="000000"/>
            </w:tcBorders>
          </w:tcPr>
          <w:p>
            <w:pPr/>
          </w:p>
        </w:tc>
        <w:tc>
          <w:tcPr>
            <w:tcW w:w="4829"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权，</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月已完成工商变更登记。公司现持有创自技术</w:t>
            </w:r>
          </w:p>
        </w:tc>
        <w:tc>
          <w:tcPr>
            <w:tcW w:w="4100"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5" w:right="0"/>
              <w:jc w:val="center"/>
              <w:rPr>
                <w:rFonts w:ascii="宋体" w:hAnsi="宋体" w:cs="宋体" w:eastAsia="宋体" w:hint="default"/>
                <w:sz w:val="18"/>
                <w:szCs w:val="18"/>
              </w:rPr>
            </w:pPr>
            <w:hyperlink r:id="rId31">
              <w:r>
                <w:rPr>
                  <w:rFonts w:ascii="Times New Roman" w:hAnsi="Times New Roman" w:cs="Times New Roman" w:eastAsia="Times New Roman" w:hint="default"/>
                  <w:sz w:val="18"/>
                  <w:szCs w:val="18"/>
                </w:rPr>
                <w:t>www.cninfo.com.cn</w:t>
              </w:r>
              <w:r>
                <w:rPr>
                  <w:rFonts w:ascii="宋体" w:hAnsi="宋体" w:cs="宋体" w:eastAsia="宋体" w:hint="default"/>
                  <w:sz w:val="18"/>
                  <w:szCs w:val="18"/>
                </w:rPr>
                <w:t>上的临</w:t>
              </w:r>
              <w:r>
                <w:rPr>
                  <w:rFonts w:ascii="Times New Roman" w:hAnsi="Times New Roman" w:cs="Times New Roman" w:eastAsia="Times New Roman" w:hint="default"/>
                  <w:sz w:val="18"/>
                  <w:szCs w:val="18"/>
                </w:rPr>
                <w:t>2019-012</w:t>
              </w:r>
            </w:hyperlink>
            <w:r>
              <w:rPr>
                <w:rFonts w:ascii="宋体" w:hAnsi="宋体" w:cs="宋体" w:eastAsia="宋体" w:hint="default"/>
                <w:sz w:val="18"/>
                <w:szCs w:val="18"/>
              </w:rPr>
              <w:t>、</w:t>
            </w:r>
            <w:r>
              <w:rPr>
                <w:rFonts w:ascii="Times New Roman" w:hAnsi="Times New Roman" w:cs="Times New Roman" w:eastAsia="Times New Roman" w:hint="default"/>
                <w:sz w:val="18"/>
                <w:szCs w:val="18"/>
              </w:rPr>
              <w:t>015</w:t>
            </w:r>
            <w:r>
              <w:rPr>
                <w:rFonts w:ascii="宋体" w:hAnsi="宋体" w:cs="宋体" w:eastAsia="宋体" w:hint="default"/>
                <w:sz w:val="18"/>
                <w:szCs w:val="18"/>
              </w:rPr>
              <w:t>号公告</w:t>
            </w:r>
          </w:p>
        </w:tc>
      </w:tr>
      <w:tr>
        <w:trPr>
          <w:trHeight w:val="326" w:hRule="exact"/>
        </w:trPr>
        <w:tc>
          <w:tcPr>
            <w:tcW w:w="993" w:type="dxa"/>
            <w:tcBorders>
              <w:top w:val="nil" w:sz="6" w:space="0" w:color="auto"/>
              <w:left w:val="single" w:sz="6" w:space="0" w:color="000000"/>
              <w:bottom w:val="single" w:sz="6" w:space="0" w:color="000000"/>
              <w:right w:val="single" w:sz="6" w:space="0" w:color="000000"/>
            </w:tcBorders>
          </w:tcPr>
          <w:p>
            <w:pPr/>
          </w:p>
        </w:tc>
        <w:tc>
          <w:tcPr>
            <w:tcW w:w="4829"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100%</w:t>
            </w:r>
            <w:r>
              <w:rPr>
                <w:rFonts w:ascii="宋体" w:hAnsi="宋体" w:cs="宋体" w:eastAsia="宋体" w:hint="default"/>
                <w:sz w:val="18"/>
                <w:szCs w:val="18"/>
              </w:rPr>
              <w:t>股权。</w:t>
            </w:r>
          </w:p>
        </w:tc>
        <w:tc>
          <w:tcPr>
            <w:tcW w:w="4100" w:type="dxa"/>
            <w:tcBorders>
              <w:top w:val="nil" w:sz="6" w:space="0" w:color="auto"/>
              <w:left w:val="single" w:sz="6" w:space="0" w:color="000000"/>
              <w:bottom w:val="single" w:sz="6" w:space="0" w:color="000000"/>
              <w:right w:val="single" w:sz="6" w:space="0" w:color="000000"/>
            </w:tcBorders>
          </w:tcPr>
          <w:p>
            <w:pPr/>
          </w:p>
        </w:tc>
      </w:tr>
    </w:tbl>
    <w:p>
      <w:pPr>
        <w:spacing w:after="0"/>
        <w:sectPr>
          <w:pgSz w:w="11910" w:h="16840"/>
          <w:pgMar w:header="878" w:footer="978" w:top="1100" w:bottom="1160" w:left="10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9"/>
          <w:szCs w:val="19"/>
        </w:rPr>
      </w:pPr>
    </w:p>
    <w:p>
      <w:pPr>
        <w:pStyle w:val="Heading1"/>
        <w:spacing w:line="240" w:lineRule="auto"/>
        <w:ind w:left="2968" w:right="207"/>
        <w:jc w:val="left"/>
        <w:rPr>
          <w:b w:val="0"/>
          <w:bCs w:val="0"/>
        </w:rPr>
      </w:pPr>
      <w:bookmarkStart w:name="_bookmark5" w:id="105"/>
      <w:bookmarkEnd w:id="105"/>
      <w:r>
        <w:rPr>
          <w:b w:val="0"/>
          <w:bCs w:val="0"/>
        </w:rPr>
      </w:r>
      <w:r>
        <w:rPr/>
        <w:t>第六节</w:t>
      </w:r>
      <w:r>
        <w:rPr>
          <w:spacing w:val="-13"/>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pStyle w:val="Heading2"/>
        <w:spacing w:line="240" w:lineRule="auto" w:before="26"/>
        <w:ind w:left="152" w:right="207"/>
        <w:jc w:val="left"/>
        <w:rPr>
          <w:b w:val="0"/>
          <w:bCs w:val="0"/>
        </w:rPr>
      </w:pPr>
      <w:bookmarkStart w:name="一、股份变动情况" w:id="106"/>
      <w:bookmarkEnd w:id="106"/>
      <w:r>
        <w:rPr>
          <w:b w:val="0"/>
          <w:bCs w:val="0"/>
        </w:rPr>
      </w:r>
      <w:r>
        <w:rPr/>
        <w:t>一、股份变动情况</w:t>
      </w:r>
      <w:r>
        <w:rPr>
          <w:b w:val="0"/>
          <w:bCs w:val="0"/>
        </w:rPr>
      </w:r>
    </w:p>
    <w:p>
      <w:pPr>
        <w:spacing w:line="240" w:lineRule="auto" w:before="3"/>
        <w:rPr>
          <w:rFonts w:ascii="宋体" w:hAnsi="宋体" w:cs="宋体" w:eastAsia="宋体" w:hint="default"/>
          <w:b/>
          <w:bCs/>
          <w:sz w:val="25"/>
          <w:szCs w:val="25"/>
        </w:rPr>
      </w:pPr>
    </w:p>
    <w:p>
      <w:pPr>
        <w:pStyle w:val="Heading5"/>
        <w:spacing w:line="240" w:lineRule="auto"/>
        <w:ind w:left="152" w:right="207"/>
        <w:jc w:val="left"/>
        <w:rPr>
          <w:b w:val="0"/>
          <w:bCs w:val="0"/>
        </w:rPr>
      </w:pPr>
      <w:bookmarkStart w:name="1、股份变动情况" w:id="107"/>
      <w:bookmarkEnd w:id="107"/>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8"/>
        <w:rPr>
          <w:rFonts w:ascii="宋体" w:hAnsi="宋体" w:cs="宋体" w:eastAsia="宋体" w:hint="default"/>
          <w:b/>
          <w:bCs/>
          <w:sz w:val="23"/>
          <w:szCs w:val="23"/>
        </w:rPr>
      </w:pPr>
    </w:p>
    <w:p>
      <w:pPr>
        <w:pStyle w:val="BodyText"/>
        <w:spacing w:line="240" w:lineRule="auto" w:before="44"/>
        <w:ind w:left="0" w:right="1132"/>
        <w:jc w:val="right"/>
      </w:pPr>
      <w:r>
        <w:rPr/>
        <w:t>单位：股</w:t>
      </w:r>
    </w:p>
    <w:p>
      <w:pPr>
        <w:spacing w:line="240" w:lineRule="auto" w:before="1"/>
        <w:rPr>
          <w:rFonts w:ascii="宋体" w:hAnsi="宋体" w:cs="宋体" w:eastAsia="宋体" w:hint="default"/>
          <w:sz w:val="8"/>
          <w:szCs w:val="8"/>
        </w:rPr>
      </w:pPr>
    </w:p>
    <w:tbl>
      <w:tblPr>
        <w:tblW w:w="0" w:type="auto"/>
        <w:jc w:val="left"/>
        <w:tblInd w:w="112" w:type="dxa"/>
        <w:tblLayout w:type="fixed"/>
        <w:tblCellMar>
          <w:top w:w="0" w:type="dxa"/>
          <w:left w:w="0" w:type="dxa"/>
          <w:bottom w:w="0" w:type="dxa"/>
          <w:right w:w="0" w:type="dxa"/>
        </w:tblCellMar>
        <w:tblLook w:val="01E0"/>
      </w:tblPr>
      <w:tblGrid>
        <w:gridCol w:w="1985"/>
        <w:gridCol w:w="1206"/>
        <w:gridCol w:w="709"/>
        <w:gridCol w:w="425"/>
        <w:gridCol w:w="425"/>
        <w:gridCol w:w="637"/>
        <w:gridCol w:w="1064"/>
        <w:gridCol w:w="1134"/>
        <w:gridCol w:w="1241"/>
        <w:gridCol w:w="886"/>
      </w:tblGrid>
      <w:tr>
        <w:trPr>
          <w:trHeight w:val="402" w:hRule="exact"/>
        </w:trPr>
        <w:tc>
          <w:tcPr>
            <w:tcW w:w="1985" w:type="dxa"/>
            <w:vMerge w:val="restart"/>
            <w:tcBorders>
              <w:top w:val="single" w:sz="4" w:space="0" w:color="000000"/>
              <w:left w:val="single" w:sz="4" w:space="0" w:color="000000"/>
              <w:right w:val="single" w:sz="4" w:space="0" w:color="000000"/>
            </w:tcBorders>
            <w:shd w:val="clear" w:color="auto" w:fill="D2D2D2"/>
          </w:tcPr>
          <w:p>
            <w:pPr/>
          </w:p>
        </w:tc>
        <w:tc>
          <w:tcPr>
            <w:tcW w:w="191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01"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368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46"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21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08"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714" w:hRule="exact"/>
        </w:trPr>
        <w:tc>
          <w:tcPr>
            <w:tcW w:w="1985" w:type="dxa"/>
            <w:vMerge/>
            <w:tcBorders>
              <w:left w:val="single" w:sz="4" w:space="0" w:color="000000"/>
              <w:bottom w:val="single" w:sz="4" w:space="0" w:color="000000"/>
              <w:right w:val="single" w:sz="4" w:space="0" w:color="000000"/>
            </w:tcBorders>
            <w:shd w:val="clear" w:color="auto" w:fill="D2D2D2"/>
          </w:tcPr>
          <w:p>
            <w:pPr/>
          </w:p>
        </w:tc>
        <w:tc>
          <w:tcPr>
            <w:tcW w:w="1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数量</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6" w:right="27"/>
              <w:jc w:val="left"/>
              <w:rPr>
                <w:rFonts w:ascii="宋体" w:hAnsi="宋体" w:cs="宋体" w:eastAsia="宋体" w:hint="default"/>
                <w:sz w:val="18"/>
                <w:szCs w:val="18"/>
              </w:rPr>
            </w:pPr>
            <w:r>
              <w:rPr>
                <w:rFonts w:ascii="宋体" w:hAnsi="宋体" w:cs="宋体" w:eastAsia="宋体" w:hint="default"/>
                <w:sz w:val="18"/>
                <w:szCs w:val="18"/>
              </w:rPr>
              <w:t>发行 新股</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33" w:right="42" w:hanging="92"/>
              <w:jc w:val="left"/>
              <w:rPr>
                <w:rFonts w:ascii="宋体" w:hAnsi="宋体" w:cs="宋体" w:eastAsia="宋体" w:hint="default"/>
                <w:sz w:val="18"/>
                <w:szCs w:val="18"/>
              </w:rPr>
            </w:pPr>
            <w:r>
              <w:rPr>
                <w:rFonts w:ascii="宋体" w:hAnsi="宋体" w:cs="宋体" w:eastAsia="宋体" w:hint="default"/>
                <w:sz w:val="18"/>
                <w:szCs w:val="18"/>
              </w:rPr>
              <w:t>公积金 转股</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12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7"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426,978,464</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17.58%</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-411,345,000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-411,345,000</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15,633,464</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0.65%</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120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313,402,500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12.90%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-313,402,500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-313,402,500</w:t>
            </w:r>
          </w:p>
        </w:tc>
        <w:tc>
          <w:tcPr>
            <w:tcW w:w="1241"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113,575,964</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4.68%</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-97,942,500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-97,942,500</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15,633,464</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0.65%</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97,942,500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4.03%</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-97,942,500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-97,942,500</w:t>
            </w:r>
          </w:p>
        </w:tc>
        <w:tc>
          <w:tcPr>
            <w:tcW w:w="1241"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49"/>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15,633,464</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0.64%</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15,633,464</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0.65%</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120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120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49"/>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120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2,001,907,261</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82.42%</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391,453,226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391,453,226</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2,393,360,487</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99.35%</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2,001,907,261</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82.42%</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391,453,226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391,453,226</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2,393,360,487</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99.35%</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120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120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0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2,428,885,725</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-19,891,774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-19,891,774</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2,408,993,951</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100.00%</w:t>
            </w:r>
          </w:p>
        </w:tc>
      </w:tr>
    </w:tbl>
    <w:p>
      <w:pPr>
        <w:pStyle w:val="BodyText"/>
        <w:spacing w:line="240" w:lineRule="auto" w:before="51"/>
        <w:ind w:left="152" w:right="207"/>
        <w:jc w:val="left"/>
      </w:pPr>
      <w:r>
        <w:rPr/>
        <w:t>股份变动的原因</w:t>
      </w:r>
    </w:p>
    <w:p>
      <w:pPr>
        <w:pStyle w:val="BodyText"/>
        <w:spacing w:line="338" w:lineRule="auto" w:before="117"/>
        <w:ind w:left="512" w:right="207"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w:t>
      </w:r>
      <w:r>
        <w:rPr>
          <w:spacing w:val="-2"/>
        </w:rPr>
        <w:t>董事、监事及高管的限售股在本期按规定自动进行解锁，董事、监事及高管所持股份的解锁情况按照中国证监会的相关</w:t>
      </w:r>
    </w:p>
    <w:p>
      <w:pPr>
        <w:pStyle w:val="BodyText"/>
        <w:spacing w:line="240" w:lineRule="auto" w:before="2"/>
        <w:ind w:left="152" w:right="207"/>
        <w:jc w:val="left"/>
      </w:pPr>
      <w:r>
        <w:rPr/>
        <w:t>规定执行。</w:t>
      </w:r>
    </w:p>
    <w:p>
      <w:pPr>
        <w:pStyle w:val="BodyText"/>
        <w:spacing w:line="300" w:lineRule="auto" w:before="76"/>
        <w:ind w:left="152" w:right="1141" w:firstLine="360"/>
        <w:jc w:val="both"/>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11</w:t>
      </w:r>
      <w:r>
        <w:rPr/>
        <w:t>日，公司非公开发行股份</w:t>
      </w:r>
      <w:r>
        <w:rPr>
          <w:rFonts w:ascii="Times New Roman" w:hAnsi="Times New Roman" w:cs="Times New Roman" w:eastAsia="Times New Roman" w:hint="default"/>
        </w:rPr>
        <w:t>182,820,000</w:t>
      </w:r>
      <w:r>
        <w:rPr/>
        <w:t>股人民币普通股（</w:t>
      </w:r>
      <w:r>
        <w:rPr>
          <w:rFonts w:ascii="Times New Roman" w:hAnsi="Times New Roman" w:cs="Times New Roman" w:eastAsia="Times New Roman" w:hint="default"/>
        </w:rPr>
        <w:t>A</w:t>
      </w:r>
      <w:r>
        <w:rPr/>
        <w:t>股）股票，本次发行新增股份的性质为有限售条 件流通股，发行上市日期为</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11</w:t>
      </w:r>
      <w:r>
        <w:rPr/>
        <w:t>日，限售期为本次发行新增股份上市之日起</w:t>
      </w:r>
      <w:r>
        <w:rPr>
          <w:rFonts w:ascii="Times New Roman" w:hAnsi="Times New Roman" w:cs="Times New Roman" w:eastAsia="Times New Roman" w:hint="default"/>
        </w:rPr>
        <w:t>36</w:t>
      </w:r>
      <w:r>
        <w:rPr/>
        <w:t>个月。本次非公开发行完成后，公司 历经两次送股和股本转增，非公开发行股份变更为</w:t>
      </w:r>
      <w:r>
        <w:rPr>
          <w:rFonts w:ascii="Times New Roman" w:hAnsi="Times New Roman" w:cs="Times New Roman" w:eastAsia="Times New Roman" w:hint="default"/>
        </w:rPr>
        <w:t>411,345,000</w:t>
      </w:r>
      <w:r>
        <w:rPr/>
        <w:t>股。</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12</w:t>
      </w:r>
      <w:r>
        <w:rPr/>
        <w:t>日，本次非公开发行股份</w:t>
      </w:r>
      <w:r>
        <w:rPr>
          <w:rFonts w:ascii="Times New Roman" w:hAnsi="Times New Roman" w:cs="Times New Roman" w:eastAsia="Times New Roman" w:hint="default"/>
        </w:rPr>
        <w:t>411,345,000</w:t>
      </w:r>
      <w:r>
        <w:rPr/>
        <w:t>股解除 限售。</w:t>
      </w:r>
    </w:p>
    <w:p>
      <w:pPr>
        <w:pStyle w:val="BodyText"/>
        <w:spacing w:line="240" w:lineRule="auto" w:before="72"/>
        <w:ind w:left="152" w:right="207"/>
        <w:jc w:val="left"/>
      </w:pPr>
      <w:r>
        <w:rPr/>
        <w:t>股份变动的批准情况</w:t>
      </w:r>
    </w:p>
    <w:p>
      <w:pPr>
        <w:pStyle w:val="BodyText"/>
        <w:spacing w:line="338" w:lineRule="auto" w:before="117"/>
        <w:ind w:left="152"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 股份变动的过户情况</w:t>
      </w:r>
    </w:p>
    <w:p>
      <w:pPr>
        <w:spacing w:after="0" w:line="338" w:lineRule="auto"/>
        <w:jc w:val="left"/>
        <w:sectPr>
          <w:pgSz w:w="11910" w:h="16840"/>
          <w:pgMar w:header="878" w:footer="978" w:top="1100" w:bottom="1160" w:left="980" w:right="0"/>
        </w:sectPr>
      </w:pPr>
    </w:p>
    <w:p>
      <w:pPr>
        <w:spacing w:line="240" w:lineRule="auto" w:before="1"/>
        <w:rPr>
          <w:rFonts w:ascii="宋体" w:hAnsi="宋体" w:cs="宋体" w:eastAsia="宋体" w:hint="default"/>
          <w:sz w:val="22"/>
          <w:szCs w:val="22"/>
        </w:rPr>
      </w:pPr>
    </w:p>
    <w:p>
      <w:pPr>
        <w:pStyle w:val="BodyText"/>
        <w:spacing w:line="338" w:lineRule="auto" w:before="44"/>
        <w:ind w:right="87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 股份回购的实施进展情况</w:t>
      </w:r>
    </w:p>
    <w:p>
      <w:pPr>
        <w:pStyle w:val="BodyText"/>
        <w:spacing w:line="340" w:lineRule="auto" w:before="43"/>
        <w:ind w:left="472" w:right="1124"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23</w:t>
      </w:r>
      <w:r>
        <w:rPr/>
        <w:t>日召开第五届董事会第九次（临时）会议，审议通过了《关于以集中竞价交易方式回购公司股份的</w:t>
      </w:r>
    </w:p>
    <w:p>
      <w:pPr>
        <w:pStyle w:val="BodyText"/>
        <w:spacing w:line="228" w:lineRule="exact"/>
        <w:ind w:right="0"/>
        <w:jc w:val="left"/>
      </w:pPr>
      <w:r>
        <w:rPr/>
        <w:t>预案》，该议案已经公司于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10</w:t>
      </w:r>
      <w:r>
        <w:rPr/>
        <w:t>日召开的</w:t>
      </w:r>
      <w:r>
        <w:rPr>
          <w:rFonts w:ascii="Times New Roman" w:hAnsi="Times New Roman" w:cs="Times New Roman" w:eastAsia="Times New Roman" w:hint="default"/>
        </w:rPr>
        <w:t>2018</w:t>
      </w:r>
      <w:r>
        <w:rPr/>
        <w:t>年第一次临时股东大会审议通过，并于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21</w:t>
      </w:r>
      <w:r>
        <w:rPr/>
        <w:t>日披露了《关于以</w:t>
      </w:r>
    </w:p>
    <w:p>
      <w:pPr>
        <w:pStyle w:val="BodyText"/>
        <w:spacing w:line="300" w:lineRule="auto" w:before="63"/>
        <w:ind w:right="1124"/>
        <w:jc w:val="left"/>
      </w:pPr>
      <w:r>
        <w:rPr/>
        <w:t>集中竞价交易方式回购股份的回购报告书》。（详见刊登在</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24</w:t>
      </w:r>
      <w:r>
        <w:rPr/>
        <w:t>日、</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11</w:t>
      </w:r>
      <w:r>
        <w:rPr/>
        <w:t>日、</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21</w:t>
      </w:r>
      <w:r>
        <w:rPr/>
        <w:t>日《证券时报》 及巨潮资讯网</w:t>
      </w:r>
      <w:hyperlink r:id="rId30">
        <w:r>
          <w:rPr>
            <w:rFonts w:ascii="Times New Roman" w:hAnsi="Times New Roman" w:cs="Times New Roman" w:eastAsia="Times New Roman" w:hint="default"/>
          </w:rPr>
          <w:t>www.cninfo.com.cn</w:t>
        </w:r>
        <w:r>
          <w:rPr/>
          <w:t>上的相关公告</w:t>
        </w:r>
      </w:hyperlink>
      <w:r>
        <w:rPr/>
        <w:t>）</w:t>
      </w:r>
    </w:p>
    <w:p>
      <w:pPr>
        <w:pStyle w:val="BodyText"/>
        <w:spacing w:line="240" w:lineRule="auto" w:before="51"/>
        <w:ind w:left="0" w:right="981"/>
        <w:jc w:val="center"/>
      </w:pP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rPr>
        <w:t>26</w:t>
      </w:r>
      <w:r>
        <w:rPr>
          <w:rFonts w:ascii="Times New Roman" w:hAnsi="Times New Roman" w:cs="Times New Roman" w:eastAsia="Times New Roman" w:hint="default"/>
          <w:spacing w:val="-2"/>
        </w:rPr>
        <w:t> </w:t>
      </w:r>
      <w:r>
        <w:rPr/>
        <w:t>日至</w:t>
      </w:r>
      <w:r>
        <w:rPr>
          <w:spacing w:val="-48"/>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日，公司以集中竞价交易方式回购公司股份</w:t>
      </w:r>
      <w:r>
        <w:rPr>
          <w:spacing w:val="-48"/>
        </w:rPr>
        <w:t> </w:t>
      </w:r>
      <w:r>
        <w:rPr>
          <w:rFonts w:ascii="Times New Roman" w:hAnsi="Times New Roman" w:cs="Times New Roman" w:eastAsia="Times New Roman" w:hint="default"/>
        </w:rPr>
        <w:t>19,891,774 </w:t>
      </w:r>
      <w:r>
        <w:rPr/>
        <w:t>股，占公司当时总股本</w:t>
      </w:r>
    </w:p>
    <w:p>
      <w:pPr>
        <w:pStyle w:val="BodyText"/>
        <w:spacing w:line="240" w:lineRule="auto" w:before="63"/>
        <w:ind w:right="0"/>
        <w:jc w:val="left"/>
        <w:rPr>
          <w:rFonts w:ascii="Times New Roman" w:hAnsi="Times New Roman" w:cs="Times New Roman" w:eastAsia="Times New Roman" w:hint="default"/>
        </w:rPr>
      </w:pPr>
      <w:r>
        <w:rPr>
          <w:rFonts w:ascii="Times New Roman" w:hAnsi="Times New Roman" w:cs="Times New Roman" w:eastAsia="Times New Roman" w:hint="default"/>
          <w:spacing w:val="1"/>
        </w:rPr>
        <w:t>2</w:t>
      </w:r>
      <w:r>
        <w:rPr>
          <w:rFonts w:ascii="Times New Roman" w:hAnsi="Times New Roman" w:cs="Times New Roman" w:eastAsia="Times New Roman" w:hint="default"/>
        </w:rPr>
        <w:t>,</w:t>
      </w:r>
      <w:r>
        <w:rPr>
          <w:rFonts w:ascii="Times New Roman" w:hAnsi="Times New Roman" w:cs="Times New Roman" w:eastAsia="Times New Roman" w:hint="default"/>
          <w:spacing w:val="-2"/>
        </w:rPr>
        <w:t>4</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8</w:t>
      </w:r>
      <w:r>
        <w:rPr>
          <w:rFonts w:ascii="Times New Roman" w:hAnsi="Times New Roman" w:cs="Times New Roman" w:eastAsia="Times New Roman" w:hint="default"/>
        </w:rPr>
        <w:t>,</w:t>
      </w:r>
      <w:r>
        <w:rPr>
          <w:rFonts w:ascii="Times New Roman" w:hAnsi="Times New Roman" w:cs="Times New Roman" w:eastAsia="Times New Roman" w:hint="default"/>
          <w:spacing w:val="-2"/>
        </w:rPr>
        <w:t>8</w:t>
      </w:r>
      <w:r>
        <w:rPr>
          <w:rFonts w:ascii="Times New Roman" w:hAnsi="Times New Roman" w:cs="Times New Roman" w:eastAsia="Times New Roman" w:hint="default"/>
          <w:spacing w:val="1"/>
        </w:rPr>
        <w:t>8</w:t>
      </w:r>
      <w:r>
        <w:rPr>
          <w:rFonts w:ascii="Times New Roman" w:hAnsi="Times New Roman" w:cs="Times New Roman" w:eastAsia="Times New Roman" w:hint="default"/>
          <w:spacing w:val="-2"/>
        </w:rPr>
        <w:t>5</w:t>
      </w:r>
      <w:r>
        <w:rPr>
          <w:rFonts w:ascii="Times New Roman" w:hAnsi="Times New Roman" w:cs="Times New Roman" w:eastAsia="Times New Roman" w:hint="default"/>
        </w:rPr>
        <w:t>,</w:t>
      </w:r>
      <w:r>
        <w:rPr>
          <w:rFonts w:ascii="Times New Roman" w:hAnsi="Times New Roman" w:cs="Times New Roman" w:eastAsia="Times New Roman" w:hint="default"/>
          <w:spacing w:val="1"/>
        </w:rPr>
        <w:t>7</w:t>
      </w:r>
      <w:r>
        <w:rPr>
          <w:rFonts w:ascii="Times New Roman" w:hAnsi="Times New Roman" w:cs="Times New Roman" w:eastAsia="Times New Roman" w:hint="default"/>
          <w:spacing w:val="-2"/>
        </w:rPr>
        <w:t>2</w:t>
      </w:r>
      <w:r>
        <w:rPr>
          <w:rFonts w:ascii="Times New Roman" w:hAnsi="Times New Roman" w:cs="Times New Roman" w:eastAsia="Times New Roman" w:hint="default"/>
        </w:rPr>
        <w:t>5</w:t>
      </w:r>
      <w:r>
        <w:rPr>
          <w:rFonts w:ascii="Times New Roman" w:hAnsi="Times New Roman" w:cs="Times New Roman" w:eastAsia="Times New Roman" w:hint="default"/>
          <w:spacing w:val="-11"/>
        </w:rPr>
        <w:t> </w:t>
      </w:r>
      <w:r>
        <w:rPr/>
        <w:t>股的</w:t>
      </w:r>
      <w:r>
        <w:rPr>
          <w:spacing w:val="-57"/>
        </w:rPr>
        <w:t> </w:t>
      </w:r>
      <w:r>
        <w:rPr>
          <w:rFonts w:ascii="Times New Roman" w:hAnsi="Times New Roman" w:cs="Times New Roman" w:eastAsia="Times New Roman" w:hint="default"/>
          <w:spacing w:val="1"/>
        </w:rPr>
        <w:t>0</w:t>
      </w:r>
      <w:r>
        <w:rPr>
          <w:rFonts w:ascii="Times New Roman" w:hAnsi="Times New Roman" w:cs="Times New Roman" w:eastAsia="Times New Roman" w:hint="default"/>
        </w:rPr>
        <w:t>.</w:t>
      </w:r>
      <w:r>
        <w:rPr>
          <w:rFonts w:ascii="Times New Roman" w:hAnsi="Times New Roman" w:cs="Times New Roman" w:eastAsia="Times New Roman" w:hint="default"/>
          <w:spacing w:val="-2"/>
        </w:rPr>
        <w:t>8</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w:t>
      </w:r>
      <w:r>
        <w:rPr>
          <w:spacing w:val="-92"/>
        </w:rPr>
        <w:t>，</w:t>
      </w:r>
      <w:r>
        <w:rPr/>
        <w:t>公司已于</w:t>
      </w:r>
      <w:r>
        <w:rPr>
          <w:spacing w:val="-57"/>
        </w:rPr>
        <w:t> </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w:t>
      </w:r>
      <w:r>
        <w:rPr>
          <w:rFonts w:ascii="Times New Roman" w:hAnsi="Times New Roman" w:cs="Times New Roman" w:eastAsia="Times New Roman" w:hint="default"/>
        </w:rPr>
        <w:t>9</w:t>
      </w:r>
      <w:r>
        <w:rPr>
          <w:rFonts w:ascii="Times New Roman" w:hAnsi="Times New Roman" w:cs="Times New Roman" w:eastAsia="Times New Roman" w:hint="default"/>
          <w:spacing w:val="-11"/>
        </w:rPr>
        <w:t> </w:t>
      </w:r>
      <w:r>
        <w:rPr/>
        <w:t>年</w:t>
      </w:r>
      <w:r>
        <w:rPr>
          <w:spacing w:val="-57"/>
        </w:rPr>
        <w:t> </w:t>
      </w:r>
      <w:r>
        <w:rPr>
          <w:rFonts w:ascii="Times New Roman" w:hAnsi="Times New Roman" w:cs="Times New Roman" w:eastAsia="Times New Roman" w:hint="default"/>
        </w:rPr>
        <w:t>3</w:t>
      </w:r>
      <w:r>
        <w:rPr>
          <w:rFonts w:ascii="Times New Roman" w:hAnsi="Times New Roman" w:cs="Times New Roman" w:eastAsia="Times New Roman" w:hint="default"/>
          <w:spacing w:val="-11"/>
        </w:rPr>
        <w:t> </w:t>
      </w:r>
      <w:r>
        <w:rPr/>
        <w:t>月</w:t>
      </w:r>
      <w:r>
        <w:rPr>
          <w:spacing w:val="-57"/>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8</w:t>
      </w:r>
      <w:r>
        <w:rPr>
          <w:rFonts w:ascii="Times New Roman" w:hAnsi="Times New Roman" w:cs="Times New Roman" w:eastAsia="Times New Roman" w:hint="default"/>
          <w:spacing w:val="-13"/>
        </w:rPr>
        <w:t> </w:t>
      </w:r>
      <w:r>
        <w:rPr/>
        <w:t>日在中国证券登记结算有限责任公司深圳分公司办理完毕</w:t>
      </w:r>
      <w:r>
        <w:rPr>
          <w:spacing w:val="-1"/>
        </w:rPr>
        <w:t>上</w:t>
      </w:r>
      <w:r>
        <w:rPr/>
        <w:t>述</w:t>
      </w:r>
      <w:r>
        <w:rPr>
          <w:spacing w:val="-57"/>
        </w:rPr>
        <w:t> </w:t>
      </w:r>
      <w:r>
        <w:rPr>
          <w:rFonts w:ascii="Times New Roman" w:hAnsi="Times New Roman" w:cs="Times New Roman" w:eastAsia="Times New Roman" w:hint="default"/>
          <w:spacing w:val="1"/>
        </w:rPr>
        <w:t>1</w:t>
      </w:r>
      <w:r>
        <w:rPr>
          <w:rFonts w:ascii="Times New Roman" w:hAnsi="Times New Roman" w:cs="Times New Roman" w:eastAsia="Times New Roman" w:hint="default"/>
          <w:spacing w:val="-2"/>
        </w:rPr>
        <w:t>9</w:t>
      </w:r>
      <w:r>
        <w:rPr>
          <w:rFonts w:ascii="Times New Roman" w:hAnsi="Times New Roman" w:cs="Times New Roman" w:eastAsia="Times New Roman" w:hint="default"/>
        </w:rPr>
        <w:t>,</w:t>
      </w:r>
      <w:r>
        <w:rPr>
          <w:rFonts w:ascii="Times New Roman" w:hAnsi="Times New Roman" w:cs="Times New Roman" w:eastAsia="Times New Roman" w:hint="default"/>
          <w:spacing w:val="1"/>
        </w:rPr>
        <w:t>8</w:t>
      </w:r>
      <w:r>
        <w:rPr>
          <w:rFonts w:ascii="Times New Roman" w:hAnsi="Times New Roman" w:cs="Times New Roman" w:eastAsia="Times New Roman" w:hint="default"/>
          <w:spacing w:val="-2"/>
        </w:rPr>
        <w:t>9</w:t>
      </w:r>
      <w:r>
        <w:rPr>
          <w:rFonts w:ascii="Times New Roman" w:hAnsi="Times New Roman" w:cs="Times New Roman" w:eastAsia="Times New Roman" w:hint="default"/>
          <w:spacing w:val="1"/>
        </w:rPr>
        <w:t>1</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7</w:t>
      </w:r>
      <w:r>
        <w:rPr>
          <w:rFonts w:ascii="Times New Roman" w:hAnsi="Times New Roman" w:cs="Times New Roman" w:eastAsia="Times New Roman" w:hint="default"/>
          <w:spacing w:val="-2"/>
        </w:rPr>
        <w:t>7</w:t>
      </w:r>
      <w:r>
        <w:rPr>
          <w:rFonts w:ascii="Times New Roman" w:hAnsi="Times New Roman" w:cs="Times New Roman" w:eastAsia="Times New Roman" w:hint="default"/>
        </w:rPr>
        <w:t>4</w:t>
      </w:r>
    </w:p>
    <w:p>
      <w:pPr>
        <w:pStyle w:val="BodyText"/>
        <w:spacing w:line="340" w:lineRule="auto" w:before="63"/>
        <w:ind w:right="2398"/>
        <w:jc w:val="left"/>
      </w:pPr>
      <w:r>
        <w:rPr/>
        <w:t>股回购股份注销手续。本次回购股份注销完毕后，公司总股本由</w:t>
      </w:r>
      <w:r>
        <w:rPr>
          <w:spacing w:val="-48"/>
        </w:rPr>
        <w:t> </w:t>
      </w:r>
      <w:r>
        <w:rPr>
          <w:rFonts w:ascii="Times New Roman" w:hAnsi="Times New Roman" w:cs="Times New Roman" w:eastAsia="Times New Roman" w:hint="default"/>
        </w:rPr>
        <w:t>2,428,885,725</w:t>
      </w:r>
      <w:r>
        <w:rPr>
          <w:rFonts w:ascii="Times New Roman" w:hAnsi="Times New Roman" w:cs="Times New Roman" w:eastAsia="Times New Roman" w:hint="default"/>
          <w:spacing w:val="-4"/>
        </w:rPr>
        <w:t> </w:t>
      </w:r>
      <w:r>
        <w:rPr/>
        <w:t>股减少至</w:t>
      </w:r>
      <w:r>
        <w:rPr>
          <w:spacing w:val="-48"/>
        </w:rPr>
        <w:t> </w:t>
      </w:r>
      <w:r>
        <w:rPr>
          <w:rFonts w:ascii="Times New Roman" w:hAnsi="Times New Roman" w:cs="Times New Roman" w:eastAsia="Times New Roman" w:hint="default"/>
        </w:rPr>
        <w:t>2,408,993,951</w:t>
      </w:r>
      <w:r>
        <w:rPr>
          <w:rFonts w:ascii="Times New Roman" w:hAnsi="Times New Roman" w:cs="Times New Roman" w:eastAsia="Times New Roman" w:hint="default"/>
          <w:spacing w:val="-4"/>
        </w:rPr>
        <w:t> </w:t>
      </w:r>
      <w:r>
        <w:rPr/>
        <w:t>股。 采用集中竞价方式减持回购股份的实施进展情况</w:t>
      </w:r>
    </w:p>
    <w:p>
      <w:pPr>
        <w:pStyle w:val="BodyText"/>
        <w:spacing w:line="338" w:lineRule="auto" w:before="41"/>
        <w:ind w:right="13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股份变动对最近一年和最近一期基本每股收益和稀释每股收益、归属于公司普通股股东的每股净资产等财务指标的影响</w:t>
      </w:r>
    </w:p>
    <w:p>
      <w:pPr>
        <w:pStyle w:val="BodyText"/>
        <w:spacing w:line="240" w:lineRule="auto" w:before="43"/>
        <w:ind w:right="13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pStyle w:val="BodyText"/>
        <w:spacing w:line="240" w:lineRule="auto" w:before="103"/>
        <w:ind w:left="472" w:right="0"/>
        <w:jc w:val="left"/>
      </w:pPr>
      <w:r>
        <w:rPr/>
        <w:t>截至</w:t>
      </w:r>
      <w:r>
        <w:rPr>
          <w:spacing w:val="-4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45"/>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spacing w:val="-3"/>
        </w:rPr>
        <w:t>日，公司总股本为</w:t>
      </w:r>
      <w:r>
        <w:rPr>
          <w:spacing w:val="-45"/>
        </w:rPr>
        <w:t> </w:t>
      </w:r>
      <w:r>
        <w:rPr>
          <w:rFonts w:ascii="Times New Roman" w:hAnsi="Times New Roman" w:cs="Times New Roman" w:eastAsia="Times New Roman" w:hint="default"/>
        </w:rPr>
        <w:t>2,408,993,951</w:t>
      </w:r>
      <w:r>
        <w:rPr>
          <w:rFonts w:ascii="Times New Roman" w:hAnsi="Times New Roman" w:cs="Times New Roman" w:eastAsia="Times New Roman" w:hint="default"/>
          <w:spacing w:val="-1"/>
        </w:rPr>
        <w:t> </w:t>
      </w:r>
      <w:r>
        <w:rPr>
          <w:spacing w:val="-7"/>
        </w:rPr>
        <w:t>股，在</w:t>
      </w:r>
      <w:r>
        <w:rPr>
          <w:spacing w:val="-4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26</w:t>
      </w:r>
      <w:r>
        <w:rPr>
          <w:rFonts w:ascii="Times New Roman" w:hAnsi="Times New Roman" w:cs="Times New Roman" w:eastAsia="Times New Roman" w:hint="default"/>
          <w:spacing w:val="-3"/>
        </w:rPr>
        <w:t> </w:t>
      </w:r>
      <w:r>
        <w:rPr/>
        <w:t>日至</w:t>
      </w:r>
      <w:r>
        <w:rPr>
          <w:spacing w:val="-4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日期间以集中竞价交</w:t>
      </w:r>
    </w:p>
    <w:p>
      <w:pPr>
        <w:pStyle w:val="BodyText"/>
        <w:spacing w:line="240" w:lineRule="auto" w:before="63"/>
        <w:ind w:right="1394"/>
        <w:jc w:val="left"/>
      </w:pPr>
      <w:r>
        <w:rPr/>
        <w:t>易方式回购公司股份</w:t>
      </w:r>
      <w:r>
        <w:rPr>
          <w:spacing w:val="-47"/>
        </w:rPr>
        <w:t> </w:t>
      </w:r>
      <w:r>
        <w:rPr>
          <w:rFonts w:ascii="Times New Roman" w:hAnsi="Times New Roman" w:cs="Times New Roman" w:eastAsia="Times New Roman" w:hint="default"/>
        </w:rPr>
        <w:t>19,891,774</w:t>
      </w:r>
      <w:r>
        <w:rPr>
          <w:rFonts w:ascii="Times New Roman" w:hAnsi="Times New Roman" w:cs="Times New Roman" w:eastAsia="Times New Roman" w:hint="default"/>
          <w:spacing w:val="-3"/>
        </w:rPr>
        <w:t> </w:t>
      </w:r>
      <w:r>
        <w:rPr/>
        <w:t>股。</w:t>
      </w:r>
    </w:p>
    <w:p>
      <w:pPr>
        <w:spacing w:line="240" w:lineRule="auto" w:before="13"/>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3828"/>
        <w:gridCol w:w="1418"/>
        <w:gridCol w:w="1418"/>
        <w:gridCol w:w="1418"/>
        <w:gridCol w:w="1418"/>
      </w:tblGrid>
      <w:tr>
        <w:trPr>
          <w:trHeight w:val="402" w:hRule="exact"/>
        </w:trPr>
        <w:tc>
          <w:tcPr>
            <w:tcW w:w="38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67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本报告期</w:t>
            </w:r>
          </w:p>
        </w:tc>
      </w:tr>
      <w:tr>
        <w:trPr>
          <w:trHeight w:val="402" w:hRule="exact"/>
        </w:trPr>
        <w:tc>
          <w:tcPr>
            <w:tcW w:w="3828" w:type="dxa"/>
            <w:vMerge/>
            <w:tcBorders>
              <w:left w:val="single" w:sz="4" w:space="0" w:color="000000"/>
              <w:bottom w:val="single" w:sz="4" w:space="0" w:color="000000"/>
              <w:right w:val="single" w:sz="4" w:space="0" w:color="000000"/>
            </w:tcBorders>
            <w:shd w:val="clear" w:color="auto" w:fill="D2D2D2"/>
          </w:tcPr>
          <w:p>
            <w:pP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3" w:right="0"/>
              <w:jc w:val="left"/>
              <w:rPr>
                <w:rFonts w:ascii="宋体" w:hAnsi="宋体" w:cs="宋体" w:eastAsia="宋体" w:hint="default"/>
                <w:sz w:val="18"/>
                <w:szCs w:val="18"/>
              </w:rPr>
            </w:pPr>
            <w:r>
              <w:rPr>
                <w:rFonts w:ascii="宋体" w:hAnsi="宋体" w:cs="宋体" w:eastAsia="宋体" w:hint="default"/>
                <w:sz w:val="18"/>
                <w:szCs w:val="18"/>
              </w:rPr>
              <w:t>股份变动前</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3" w:right="0"/>
              <w:jc w:val="left"/>
              <w:rPr>
                <w:rFonts w:ascii="宋体" w:hAnsi="宋体" w:cs="宋体" w:eastAsia="宋体" w:hint="default"/>
                <w:sz w:val="18"/>
                <w:szCs w:val="18"/>
              </w:rPr>
            </w:pPr>
            <w:r>
              <w:rPr>
                <w:rFonts w:ascii="宋体" w:hAnsi="宋体" w:cs="宋体" w:eastAsia="宋体" w:hint="default"/>
                <w:sz w:val="18"/>
                <w:szCs w:val="18"/>
              </w:rPr>
              <w:t>股份变动后</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5" w:right="0"/>
              <w:jc w:val="left"/>
              <w:rPr>
                <w:rFonts w:ascii="宋体" w:hAnsi="宋体" w:cs="宋体" w:eastAsia="宋体" w:hint="default"/>
                <w:sz w:val="18"/>
                <w:szCs w:val="18"/>
              </w:rPr>
            </w:pPr>
            <w:r>
              <w:rPr>
                <w:rFonts w:ascii="宋体" w:hAnsi="宋体" w:cs="宋体" w:eastAsia="宋体" w:hint="default"/>
                <w:sz w:val="18"/>
                <w:szCs w:val="18"/>
              </w:rPr>
              <w:t>差异金额</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6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差异幅度</w:t>
            </w:r>
            <w:r>
              <w:rPr>
                <w:rFonts w:ascii="Times New Roman" w:hAnsi="Times New Roman" w:cs="Times New Roman" w:eastAsia="Times New Roman" w:hint="default"/>
                <w:sz w:val="18"/>
                <w:szCs w:val="18"/>
              </w:rPr>
              <w:t>%</w:t>
            </w:r>
          </w:p>
        </w:tc>
      </w:tr>
      <w:tr>
        <w:trPr>
          <w:trHeight w:val="402" w:hRule="exact"/>
        </w:trPr>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基本每股收益（元）</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0.31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0.31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稀释每股收益（元）</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0.31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0.31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8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67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r>
      <w:tr>
        <w:trPr>
          <w:trHeight w:val="402" w:hRule="exact"/>
        </w:trPr>
        <w:tc>
          <w:tcPr>
            <w:tcW w:w="3828" w:type="dxa"/>
            <w:vMerge/>
            <w:tcBorders>
              <w:left w:val="single" w:sz="4" w:space="0" w:color="000000"/>
              <w:bottom w:val="single" w:sz="4" w:space="0" w:color="000000"/>
              <w:right w:val="single" w:sz="4" w:space="0" w:color="000000"/>
            </w:tcBorders>
            <w:shd w:val="clear" w:color="auto" w:fill="D2D2D2"/>
          </w:tcPr>
          <w:p>
            <w:pP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3" w:right="0"/>
              <w:jc w:val="left"/>
              <w:rPr>
                <w:rFonts w:ascii="宋体" w:hAnsi="宋体" w:cs="宋体" w:eastAsia="宋体" w:hint="default"/>
                <w:sz w:val="18"/>
                <w:szCs w:val="18"/>
              </w:rPr>
            </w:pPr>
            <w:r>
              <w:rPr>
                <w:rFonts w:ascii="宋体" w:hAnsi="宋体" w:cs="宋体" w:eastAsia="宋体" w:hint="default"/>
                <w:sz w:val="18"/>
                <w:szCs w:val="18"/>
              </w:rPr>
              <w:t>股份变动前</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3" w:right="0"/>
              <w:jc w:val="left"/>
              <w:rPr>
                <w:rFonts w:ascii="宋体" w:hAnsi="宋体" w:cs="宋体" w:eastAsia="宋体" w:hint="default"/>
                <w:sz w:val="18"/>
                <w:szCs w:val="18"/>
              </w:rPr>
            </w:pPr>
            <w:r>
              <w:rPr>
                <w:rFonts w:ascii="宋体" w:hAnsi="宋体" w:cs="宋体" w:eastAsia="宋体" w:hint="default"/>
                <w:sz w:val="18"/>
                <w:szCs w:val="18"/>
              </w:rPr>
              <w:t>股份变动后</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5" w:right="0"/>
              <w:jc w:val="left"/>
              <w:rPr>
                <w:rFonts w:ascii="宋体" w:hAnsi="宋体" w:cs="宋体" w:eastAsia="宋体" w:hint="default"/>
                <w:sz w:val="18"/>
                <w:szCs w:val="18"/>
              </w:rPr>
            </w:pPr>
            <w:r>
              <w:rPr>
                <w:rFonts w:ascii="宋体" w:hAnsi="宋体" w:cs="宋体" w:eastAsia="宋体" w:hint="default"/>
                <w:sz w:val="18"/>
                <w:szCs w:val="18"/>
              </w:rPr>
              <w:t>差异金额</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6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差异幅度</w:t>
            </w:r>
            <w:r>
              <w:rPr>
                <w:rFonts w:ascii="Times New Roman" w:hAnsi="Times New Roman" w:cs="Times New Roman" w:eastAsia="Times New Roman" w:hint="default"/>
                <w:sz w:val="18"/>
                <w:szCs w:val="18"/>
              </w:rPr>
              <w:t>%</w:t>
            </w:r>
          </w:p>
        </w:tc>
      </w:tr>
      <w:tr>
        <w:trPr>
          <w:trHeight w:val="402" w:hRule="exact"/>
        </w:trPr>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归属于公司普通股股东的每股净资产（元）</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3.73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3.76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0.03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z w:val="18"/>
              </w:rPr>
              <w:t>0.80%</w:t>
            </w:r>
          </w:p>
        </w:tc>
      </w:tr>
    </w:tbl>
    <w:p>
      <w:pPr>
        <w:pStyle w:val="BodyText"/>
        <w:spacing w:line="240" w:lineRule="auto" w:before="52"/>
        <w:ind w:right="1394"/>
        <w:jc w:val="left"/>
      </w:pPr>
      <w:r>
        <w:rPr/>
        <w:t>公司认为必要或证券监管机构要求披露的其他内容</w:t>
      </w:r>
    </w:p>
    <w:p>
      <w:pPr>
        <w:pStyle w:val="BodyText"/>
        <w:spacing w:line="240" w:lineRule="auto" w:before="115"/>
        <w:ind w:right="13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9"/>
        <w:rPr>
          <w:rFonts w:ascii="宋体" w:hAnsi="宋体" w:cs="宋体" w:eastAsia="宋体" w:hint="default"/>
          <w:sz w:val="26"/>
          <w:szCs w:val="26"/>
        </w:rPr>
      </w:pPr>
    </w:p>
    <w:p>
      <w:pPr>
        <w:pStyle w:val="Heading5"/>
        <w:spacing w:line="240" w:lineRule="auto"/>
        <w:ind w:right="1394"/>
        <w:jc w:val="left"/>
        <w:rPr>
          <w:b w:val="0"/>
          <w:bCs w:val="0"/>
        </w:rPr>
      </w:pPr>
      <w:bookmarkStart w:name="2、限售股份变动情况" w:id="108"/>
      <w:bookmarkEnd w:id="108"/>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right="13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pStyle w:val="BodyText"/>
        <w:spacing w:line="240" w:lineRule="auto" w:before="101"/>
        <w:ind w:left="0" w:right="1132"/>
        <w:jc w:val="right"/>
      </w:pPr>
      <w:r>
        <w:rPr/>
        <w:t>单位：股</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276"/>
        <w:gridCol w:w="992"/>
        <w:gridCol w:w="993"/>
        <w:gridCol w:w="993"/>
        <w:gridCol w:w="1134"/>
        <w:gridCol w:w="1417"/>
        <w:gridCol w:w="2767"/>
      </w:tblGrid>
      <w:tr>
        <w:trPr>
          <w:trHeight w:val="714"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2"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00" w:right="40" w:hanging="360"/>
              <w:jc w:val="left"/>
              <w:rPr>
                <w:rFonts w:ascii="宋体" w:hAnsi="宋体" w:cs="宋体" w:eastAsia="宋体" w:hint="default"/>
                <w:sz w:val="18"/>
                <w:szCs w:val="18"/>
              </w:rPr>
            </w:pPr>
            <w:r>
              <w:rPr>
                <w:rFonts w:ascii="宋体" w:hAnsi="宋体" w:cs="宋体" w:eastAsia="宋体" w:hint="default"/>
                <w:sz w:val="18"/>
                <w:szCs w:val="18"/>
              </w:rPr>
              <w:t>期初限售股 数</w:t>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1" w:right="39" w:hanging="180"/>
              <w:jc w:val="left"/>
              <w:rPr>
                <w:rFonts w:ascii="宋体" w:hAnsi="宋体" w:cs="宋体" w:eastAsia="宋体" w:hint="default"/>
                <w:sz w:val="18"/>
                <w:szCs w:val="18"/>
              </w:rPr>
            </w:pPr>
            <w:r>
              <w:rPr>
                <w:rFonts w:ascii="宋体" w:hAnsi="宋体" w:cs="宋体" w:eastAsia="宋体" w:hint="default"/>
                <w:sz w:val="18"/>
                <w:szCs w:val="18"/>
              </w:rPr>
              <w:t>本期增加限 售股数</w:t>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0" w:right="41" w:hanging="180"/>
              <w:jc w:val="left"/>
              <w:rPr>
                <w:rFonts w:ascii="宋体" w:hAnsi="宋体" w:cs="宋体" w:eastAsia="宋体" w:hint="default"/>
                <w:sz w:val="18"/>
                <w:szCs w:val="18"/>
              </w:rPr>
            </w:pPr>
            <w:r>
              <w:rPr>
                <w:rFonts w:ascii="宋体" w:hAnsi="宋体" w:cs="宋体" w:eastAsia="宋体" w:hint="default"/>
                <w:sz w:val="18"/>
                <w:szCs w:val="18"/>
              </w:rPr>
              <w:t>本期解除限 售股数</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72" w:right="109" w:hanging="360"/>
              <w:jc w:val="left"/>
              <w:rPr>
                <w:rFonts w:ascii="宋体" w:hAnsi="宋体" w:cs="宋体" w:eastAsia="宋体" w:hint="default"/>
                <w:sz w:val="18"/>
                <w:szCs w:val="18"/>
              </w:rPr>
            </w:pPr>
            <w:r>
              <w:rPr>
                <w:rFonts w:ascii="宋体" w:hAnsi="宋体" w:cs="宋体" w:eastAsia="宋体" w:hint="default"/>
                <w:sz w:val="18"/>
                <w:szCs w:val="18"/>
              </w:rPr>
              <w:t>期末限售股 数</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限售原因</w:t>
            </w:r>
          </w:p>
        </w:tc>
        <w:tc>
          <w:tcPr>
            <w:tcW w:w="2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714"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61"/>
              <w:jc w:val="left"/>
              <w:rPr>
                <w:rFonts w:ascii="宋体" w:hAnsi="宋体" w:cs="宋体" w:eastAsia="宋体" w:hint="default"/>
                <w:sz w:val="18"/>
                <w:szCs w:val="18"/>
              </w:rPr>
            </w:pPr>
            <w:r>
              <w:rPr>
                <w:rFonts w:ascii="宋体" w:hAnsi="宋体" w:cs="宋体" w:eastAsia="宋体" w:hint="default"/>
                <w:sz w:val="18"/>
                <w:szCs w:val="18"/>
              </w:rPr>
              <w:t>广州无线电集 团有限公司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7" w:right="0"/>
              <w:jc w:val="center"/>
              <w:rPr>
                <w:rFonts w:ascii="Times New Roman" w:hAnsi="Times New Roman" w:cs="Times New Roman" w:eastAsia="Times New Roman" w:hint="default"/>
                <w:sz w:val="18"/>
                <w:szCs w:val="18"/>
              </w:rPr>
            </w:pPr>
            <w:r>
              <w:rPr>
                <w:rFonts w:ascii="Times New Roman"/>
                <w:sz w:val="18"/>
              </w:rPr>
              <w:t>313,402,500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313,402,500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非公开发行</w:t>
            </w:r>
          </w:p>
        </w:tc>
        <w:tc>
          <w:tcPr>
            <w:tcW w:w="2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1648"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广州广电运通 金融电子股份 有限公司－第 一期员工持股 计划</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4" w:right="0"/>
              <w:jc w:val="center"/>
              <w:rPr>
                <w:rFonts w:ascii="Times New Roman" w:hAnsi="Times New Roman" w:cs="Times New Roman" w:eastAsia="Times New Roman" w:hint="default"/>
                <w:sz w:val="18"/>
                <w:szCs w:val="18"/>
              </w:rPr>
            </w:pPr>
            <w:r>
              <w:rPr>
                <w:rFonts w:ascii="Times New Roman"/>
                <w:sz w:val="18"/>
              </w:rPr>
              <w:t>97,942,500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97,942,500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非公开发行</w:t>
            </w:r>
          </w:p>
        </w:tc>
        <w:tc>
          <w:tcPr>
            <w:tcW w:w="2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after="0" w:line="240" w:lineRule="auto"/>
        <w:jc w:val="center"/>
        <w:rPr>
          <w:rFonts w:ascii="宋体" w:hAnsi="宋体" w:cs="宋体" w:eastAsia="宋体" w:hint="default"/>
          <w:sz w:val="18"/>
          <w:szCs w:val="18"/>
        </w:rPr>
        <w:sectPr>
          <w:pgSz w:w="11910" w:h="16840"/>
          <w:pgMar w:header="878" w:footer="978" w:top="1100" w:bottom="1160" w:left="1020" w:right="0"/>
        </w:sectPr>
      </w:pPr>
    </w:p>
    <w:p>
      <w:pPr>
        <w:spacing w:line="240" w:lineRule="auto" w:before="8"/>
        <w:rPr>
          <w:rFonts w:ascii="宋体" w:hAnsi="宋体" w:cs="宋体" w:eastAsia="宋体" w:hint="default"/>
          <w:sz w:val="24"/>
          <w:szCs w:val="24"/>
        </w:rPr>
      </w:pPr>
    </w:p>
    <w:tbl>
      <w:tblPr>
        <w:tblW w:w="0" w:type="auto"/>
        <w:jc w:val="left"/>
        <w:tblInd w:w="549" w:type="dxa"/>
        <w:tblLayout w:type="fixed"/>
        <w:tblCellMar>
          <w:top w:w="0" w:type="dxa"/>
          <w:left w:w="0" w:type="dxa"/>
          <w:bottom w:w="0" w:type="dxa"/>
          <w:right w:w="0" w:type="dxa"/>
        </w:tblCellMar>
        <w:tblLook w:val="01E0"/>
      </w:tblPr>
      <w:tblGrid>
        <w:gridCol w:w="1276"/>
        <w:gridCol w:w="992"/>
        <w:gridCol w:w="993"/>
        <w:gridCol w:w="993"/>
        <w:gridCol w:w="1134"/>
        <w:gridCol w:w="1417"/>
        <w:gridCol w:w="2767"/>
      </w:tblGrid>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杨海洲</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492,569</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492,569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高管锁定股份</w:t>
            </w:r>
          </w:p>
        </w:tc>
        <w:tc>
          <w:tcPr>
            <w:tcW w:w="2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依据证监会及深交所规定执行</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叶子瑜</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11,794,455</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11,794,455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高管锁定股份</w:t>
            </w:r>
          </w:p>
        </w:tc>
        <w:tc>
          <w:tcPr>
            <w:tcW w:w="2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每年首个交易日按</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解除限售</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祝立新</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1,747,043</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1,747,043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高管锁定股份</w:t>
            </w:r>
          </w:p>
        </w:tc>
        <w:tc>
          <w:tcPr>
            <w:tcW w:w="2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依据证监会及深交所规定执行</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陈建良</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1,105,447</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1,105,447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高管锁定股份</w:t>
            </w:r>
          </w:p>
        </w:tc>
        <w:tc>
          <w:tcPr>
            <w:tcW w:w="2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每年首个交易日按</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解除限售</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李叶东</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127,126</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127,126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高管锁定股份</w:t>
            </w:r>
          </w:p>
        </w:tc>
        <w:tc>
          <w:tcPr>
            <w:tcW w:w="2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每年首个交易日按</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解除限售</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蒋春晨</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357,712</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357,712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高管锁定股份</w:t>
            </w:r>
          </w:p>
        </w:tc>
        <w:tc>
          <w:tcPr>
            <w:tcW w:w="2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每年首个交易日按</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解除限售</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解永生</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9,112</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9,112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高管锁定股份</w:t>
            </w:r>
          </w:p>
        </w:tc>
        <w:tc>
          <w:tcPr>
            <w:tcW w:w="2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每年首个交易日按</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解除限售</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426,978,464</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411,345,000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15,633,464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w:t>
            </w:r>
          </w:p>
        </w:tc>
        <w:tc>
          <w:tcPr>
            <w:tcW w:w="2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8"/>
          <w:szCs w:val="18"/>
        </w:rPr>
      </w:pPr>
    </w:p>
    <w:p>
      <w:pPr>
        <w:pStyle w:val="Heading2"/>
        <w:spacing w:line="240" w:lineRule="auto" w:before="26"/>
        <w:ind w:left="552" w:right="0"/>
        <w:jc w:val="left"/>
        <w:rPr>
          <w:b w:val="0"/>
          <w:bCs w:val="0"/>
        </w:rPr>
      </w:pPr>
      <w:bookmarkStart w:name="二、证券发行与上市情况" w:id="109"/>
      <w:bookmarkEnd w:id="109"/>
      <w:r>
        <w:rPr>
          <w:b w:val="0"/>
          <w:bCs w:val="0"/>
        </w:rPr>
      </w:r>
      <w:r>
        <w:rPr/>
        <w:t>二、证券发行与上市情况</w:t>
      </w:r>
      <w:r>
        <w:rPr>
          <w:b w:val="0"/>
          <w:bCs w:val="0"/>
        </w:rPr>
      </w:r>
    </w:p>
    <w:p>
      <w:pPr>
        <w:spacing w:line="240" w:lineRule="auto" w:before="6"/>
        <w:rPr>
          <w:rFonts w:ascii="宋体" w:hAnsi="宋体" w:cs="宋体" w:eastAsia="宋体" w:hint="default"/>
          <w:b/>
          <w:bCs/>
          <w:sz w:val="25"/>
          <w:szCs w:val="25"/>
        </w:rPr>
      </w:pPr>
    </w:p>
    <w:p>
      <w:pPr>
        <w:pStyle w:val="Heading5"/>
        <w:spacing w:line="240" w:lineRule="auto"/>
        <w:ind w:left="552" w:right="0"/>
        <w:jc w:val="left"/>
        <w:rPr>
          <w:b w:val="0"/>
          <w:bCs w:val="0"/>
        </w:rPr>
      </w:pPr>
      <w:bookmarkStart w:name="1、报告期内证券发行（不含优先股）情况" w:id="110"/>
      <w:bookmarkEnd w:id="110"/>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left="55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6"/>
        <w:rPr>
          <w:rFonts w:ascii="宋体" w:hAnsi="宋体" w:cs="宋体" w:eastAsia="宋体" w:hint="default"/>
          <w:sz w:val="26"/>
          <w:szCs w:val="26"/>
        </w:rPr>
      </w:pPr>
    </w:p>
    <w:p>
      <w:pPr>
        <w:pStyle w:val="Heading5"/>
        <w:spacing w:line="240" w:lineRule="auto"/>
        <w:ind w:left="552" w:right="0"/>
        <w:jc w:val="left"/>
        <w:rPr>
          <w:b w:val="0"/>
          <w:bCs w:val="0"/>
        </w:rPr>
      </w:pPr>
      <w:bookmarkStart w:name="2、公司股份总数及股东结构的变动、公司资产和负债结构的变动情况说明" w:id="111"/>
      <w:bookmarkEnd w:id="111"/>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left="55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6"/>
        <w:rPr>
          <w:rFonts w:ascii="宋体" w:hAnsi="宋体" w:cs="宋体" w:eastAsia="宋体" w:hint="default"/>
          <w:sz w:val="26"/>
          <w:szCs w:val="26"/>
        </w:rPr>
      </w:pPr>
    </w:p>
    <w:p>
      <w:pPr>
        <w:pStyle w:val="Heading5"/>
        <w:spacing w:line="240" w:lineRule="auto"/>
        <w:ind w:left="552" w:right="0"/>
        <w:jc w:val="left"/>
        <w:rPr>
          <w:b w:val="0"/>
          <w:bCs w:val="0"/>
        </w:rPr>
      </w:pPr>
      <w:bookmarkStart w:name="3、现存的内部职工股情况" w:id="112"/>
      <w:bookmarkEnd w:id="112"/>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0"/>
        <w:rPr>
          <w:rFonts w:ascii="宋体" w:hAnsi="宋体" w:cs="宋体" w:eastAsia="宋体" w:hint="default"/>
          <w:b/>
          <w:bCs/>
          <w:sz w:val="27"/>
          <w:szCs w:val="27"/>
        </w:rPr>
      </w:pPr>
    </w:p>
    <w:p>
      <w:pPr>
        <w:pStyle w:val="BodyText"/>
        <w:spacing w:line="240" w:lineRule="auto"/>
        <w:ind w:left="55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24"/>
          <w:szCs w:val="24"/>
        </w:rPr>
      </w:pPr>
    </w:p>
    <w:p>
      <w:pPr>
        <w:pStyle w:val="Heading2"/>
        <w:spacing w:line="240" w:lineRule="auto"/>
        <w:ind w:left="552" w:right="0"/>
        <w:jc w:val="left"/>
        <w:rPr>
          <w:b w:val="0"/>
          <w:bCs w:val="0"/>
        </w:rPr>
      </w:pPr>
      <w:bookmarkStart w:name="三、股东和实际控制人情况 " w:id="113"/>
      <w:bookmarkEnd w:id="113"/>
      <w:r>
        <w:rPr>
          <w:b w:val="0"/>
          <w:bCs w:val="0"/>
        </w:rPr>
      </w:r>
      <w:r>
        <w:rPr/>
        <w:t>三、股东和实际控制人情况</w:t>
      </w:r>
      <w:r>
        <w:rPr>
          <w:b w:val="0"/>
          <w:bCs w:val="0"/>
        </w:rPr>
      </w:r>
    </w:p>
    <w:p>
      <w:pPr>
        <w:spacing w:line="240" w:lineRule="auto" w:before="6"/>
        <w:rPr>
          <w:rFonts w:ascii="宋体" w:hAnsi="宋体" w:cs="宋体" w:eastAsia="宋体" w:hint="default"/>
          <w:b/>
          <w:bCs/>
          <w:sz w:val="25"/>
          <w:szCs w:val="25"/>
        </w:rPr>
      </w:pPr>
    </w:p>
    <w:p>
      <w:pPr>
        <w:pStyle w:val="Heading5"/>
        <w:spacing w:line="240" w:lineRule="auto"/>
        <w:ind w:left="552" w:right="0"/>
        <w:jc w:val="left"/>
        <w:rPr>
          <w:b w:val="0"/>
          <w:bCs w:val="0"/>
        </w:rPr>
      </w:pPr>
      <w:bookmarkStart w:name="1、公司股东数量及持股情况" w:id="114"/>
      <w:bookmarkEnd w:id="114"/>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0" w:right="1132"/>
        <w:jc w:val="right"/>
      </w:pPr>
      <w:r>
        <w:rPr/>
        <w:t>单位：股</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tbl>
      <w:tblPr>
        <w:tblW w:w="0" w:type="auto"/>
        <w:jc w:val="left"/>
        <w:tblInd w:w="116" w:type="dxa"/>
        <w:tblLayout w:type="fixed"/>
        <w:tblCellMar>
          <w:top w:w="0" w:type="dxa"/>
          <w:left w:w="0" w:type="dxa"/>
          <w:bottom w:w="0" w:type="dxa"/>
          <w:right w:w="0" w:type="dxa"/>
        </w:tblCellMar>
        <w:tblLook w:val="01E0"/>
      </w:tblPr>
      <w:tblGrid>
        <w:gridCol w:w="1526"/>
        <w:gridCol w:w="886"/>
        <w:gridCol w:w="266"/>
        <w:gridCol w:w="1066"/>
        <w:gridCol w:w="254"/>
        <w:gridCol w:w="454"/>
        <w:gridCol w:w="732"/>
        <w:gridCol w:w="468"/>
        <w:gridCol w:w="728"/>
        <w:gridCol w:w="316"/>
        <w:gridCol w:w="804"/>
        <w:gridCol w:w="153"/>
        <w:gridCol w:w="1143"/>
        <w:gridCol w:w="564"/>
        <w:gridCol w:w="611"/>
      </w:tblGrid>
      <w:tr>
        <w:trPr>
          <w:trHeight w:val="1650" w:hRule="exact"/>
        </w:trPr>
        <w:tc>
          <w:tcPr>
            <w:tcW w:w="1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3" w:right="50"/>
              <w:jc w:val="left"/>
              <w:rPr>
                <w:rFonts w:ascii="宋体" w:hAnsi="宋体" w:cs="宋体" w:eastAsia="宋体" w:hint="default"/>
                <w:sz w:val="18"/>
                <w:szCs w:val="18"/>
              </w:rPr>
            </w:pPr>
            <w:r>
              <w:rPr>
                <w:rFonts w:ascii="宋体" w:hAnsi="宋体" w:cs="宋体" w:eastAsia="宋体" w:hint="default"/>
                <w:sz w:val="18"/>
                <w:szCs w:val="18"/>
              </w:rPr>
              <w:t>报告期末普通股股 东总数</w:t>
            </w:r>
          </w:p>
        </w:tc>
        <w:tc>
          <w:tcPr>
            <w:tcW w:w="11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24" w:right="0"/>
              <w:jc w:val="left"/>
              <w:rPr>
                <w:rFonts w:ascii="Times New Roman" w:hAnsi="Times New Roman" w:cs="Times New Roman" w:eastAsia="Times New Roman" w:hint="default"/>
                <w:sz w:val="18"/>
                <w:szCs w:val="18"/>
              </w:rPr>
            </w:pPr>
            <w:r>
              <w:rPr>
                <w:rFonts w:ascii="Times New Roman"/>
                <w:sz w:val="18"/>
              </w:rPr>
              <w:t>75,457</w:t>
            </w:r>
          </w:p>
        </w:tc>
        <w:tc>
          <w:tcPr>
            <w:tcW w:w="132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24" w:right="24"/>
              <w:jc w:val="both"/>
              <w:rPr>
                <w:rFonts w:ascii="宋体" w:hAnsi="宋体" w:cs="宋体" w:eastAsia="宋体" w:hint="default"/>
                <w:sz w:val="18"/>
                <w:szCs w:val="18"/>
              </w:rPr>
            </w:pPr>
            <w:r>
              <w:rPr>
                <w:rFonts w:ascii="宋体" w:hAnsi="宋体" w:cs="宋体" w:eastAsia="宋体" w:hint="default"/>
                <w:sz w:val="18"/>
                <w:szCs w:val="18"/>
              </w:rPr>
              <w:t>年度报告披露日 前上一月末普通 股股东总数</w:t>
            </w:r>
          </w:p>
        </w:tc>
        <w:tc>
          <w:tcPr>
            <w:tcW w:w="11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57" w:right="0"/>
              <w:jc w:val="left"/>
              <w:rPr>
                <w:rFonts w:ascii="Times New Roman" w:hAnsi="Times New Roman" w:cs="Times New Roman" w:eastAsia="Times New Roman" w:hint="default"/>
                <w:sz w:val="18"/>
                <w:szCs w:val="18"/>
              </w:rPr>
            </w:pPr>
            <w:r>
              <w:rPr>
                <w:rFonts w:ascii="Times New Roman"/>
                <w:sz w:val="18"/>
              </w:rPr>
              <w:t>71,711</w:t>
            </w:r>
          </w:p>
        </w:tc>
        <w:tc>
          <w:tcPr>
            <w:tcW w:w="119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23" w:right="80"/>
              <w:jc w:val="both"/>
              <w:rPr>
                <w:rFonts w:ascii="宋体" w:hAnsi="宋体" w:cs="宋体" w:eastAsia="宋体" w:hint="default"/>
                <w:sz w:val="18"/>
                <w:szCs w:val="18"/>
              </w:rPr>
            </w:pPr>
            <w:r>
              <w:rPr>
                <w:rFonts w:ascii="宋体" w:hAnsi="宋体" w:cs="宋体" w:eastAsia="宋体" w:hint="default"/>
                <w:sz w:val="18"/>
                <w:szCs w:val="18"/>
              </w:rPr>
              <w:t>报告期末表决 权恢复的优先 股股东总数</w:t>
            </w:r>
          </w:p>
        </w:tc>
        <w:tc>
          <w:tcPr>
            <w:tcW w:w="11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129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3" w:right="180"/>
              <w:jc w:val="both"/>
              <w:rPr>
                <w:rFonts w:ascii="宋体" w:hAnsi="宋体" w:cs="宋体" w:eastAsia="宋体" w:hint="default"/>
                <w:sz w:val="18"/>
                <w:szCs w:val="18"/>
              </w:rPr>
            </w:pPr>
            <w:r>
              <w:rPr>
                <w:rFonts w:ascii="宋体" w:hAnsi="宋体" w:cs="宋体" w:eastAsia="宋体" w:hint="default"/>
                <w:sz w:val="18"/>
                <w:szCs w:val="18"/>
              </w:rPr>
              <w:t>年度报告披露 日前上一月末 表决权恢复的 优先股股东总 数</w:t>
            </w:r>
          </w:p>
        </w:tc>
        <w:tc>
          <w:tcPr>
            <w:tcW w:w="11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971"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26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714" w:hRule="exact"/>
        </w:trPr>
        <w:tc>
          <w:tcPr>
            <w:tcW w:w="241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133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0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60" w:lineRule="auto" w:before="151"/>
              <w:ind w:left="35" w:right="31" w:firstLine="134"/>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 比例</w:t>
            </w:r>
            <w:r>
              <w:rPr>
                <w:rFonts w:ascii="Times New Roman" w:hAnsi="Times New Roman" w:cs="Times New Roman" w:eastAsia="Times New Roman" w:hint="default"/>
                <w:sz w:val="18"/>
                <w:szCs w:val="18"/>
              </w:rPr>
              <w:t>(%)</w:t>
            </w:r>
          </w:p>
        </w:tc>
        <w:tc>
          <w:tcPr>
            <w:tcW w:w="120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415" w:right="53" w:hanging="360"/>
              <w:jc w:val="left"/>
              <w:rPr>
                <w:rFonts w:ascii="宋体" w:hAnsi="宋体" w:cs="宋体" w:eastAsia="宋体" w:hint="default"/>
                <w:sz w:val="18"/>
                <w:szCs w:val="18"/>
              </w:rPr>
            </w:pPr>
            <w:r>
              <w:rPr>
                <w:rFonts w:ascii="宋体" w:hAnsi="宋体" w:cs="宋体" w:eastAsia="宋体" w:hint="default"/>
                <w:sz w:val="18"/>
                <w:szCs w:val="18"/>
              </w:rPr>
              <w:t>报告期末持股 数量</w:t>
            </w:r>
          </w:p>
        </w:tc>
        <w:tc>
          <w:tcPr>
            <w:tcW w:w="104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67" w:right="65"/>
              <w:jc w:val="left"/>
              <w:rPr>
                <w:rFonts w:ascii="宋体" w:hAnsi="宋体" w:cs="宋体" w:eastAsia="宋体" w:hint="default"/>
                <w:sz w:val="18"/>
                <w:szCs w:val="18"/>
              </w:rPr>
            </w:pPr>
            <w:r>
              <w:rPr>
                <w:rFonts w:ascii="宋体" w:hAnsi="宋体" w:cs="宋体" w:eastAsia="宋体" w:hint="default"/>
                <w:sz w:val="18"/>
                <w:szCs w:val="18"/>
              </w:rPr>
              <w:t>报告期内增 减变动情况</w:t>
            </w:r>
          </w:p>
        </w:tc>
        <w:tc>
          <w:tcPr>
            <w:tcW w:w="95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3" w:right="21"/>
              <w:jc w:val="center"/>
              <w:rPr>
                <w:rFonts w:ascii="宋体" w:hAnsi="宋体" w:cs="宋体" w:eastAsia="宋体" w:hint="default"/>
                <w:sz w:val="18"/>
                <w:szCs w:val="18"/>
              </w:rPr>
            </w:pPr>
            <w:r>
              <w:rPr>
                <w:rFonts w:ascii="宋体" w:hAnsi="宋体" w:cs="宋体" w:eastAsia="宋体" w:hint="default"/>
                <w:sz w:val="18"/>
                <w:szCs w:val="18"/>
              </w:rPr>
              <w:t>持有有限售 条件的股份 数量</w:t>
            </w:r>
          </w:p>
        </w:tc>
        <w:tc>
          <w:tcPr>
            <w:tcW w:w="114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26" w:right="24"/>
              <w:jc w:val="left"/>
              <w:rPr>
                <w:rFonts w:ascii="宋体" w:hAnsi="宋体" w:cs="宋体" w:eastAsia="宋体" w:hint="default"/>
                <w:sz w:val="18"/>
                <w:szCs w:val="18"/>
              </w:rPr>
            </w:pPr>
            <w:r>
              <w:rPr>
                <w:rFonts w:ascii="宋体" w:hAnsi="宋体" w:cs="宋体" w:eastAsia="宋体" w:hint="default"/>
                <w:sz w:val="18"/>
                <w:szCs w:val="18"/>
              </w:rPr>
              <w:t>持有无限售条 件的股份数量</w:t>
            </w:r>
          </w:p>
        </w:tc>
        <w:tc>
          <w:tcPr>
            <w:tcW w:w="117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91" w:right="40" w:hanging="449"/>
              <w:jc w:val="left"/>
              <w:rPr>
                <w:rFonts w:ascii="宋体" w:hAnsi="宋体" w:cs="宋体" w:eastAsia="宋体" w:hint="default"/>
                <w:sz w:val="18"/>
                <w:szCs w:val="18"/>
              </w:rPr>
            </w:pPr>
            <w:r>
              <w:rPr>
                <w:rFonts w:ascii="宋体" w:hAnsi="宋体" w:cs="宋体" w:eastAsia="宋体" w:hint="default"/>
                <w:sz w:val="18"/>
                <w:szCs w:val="18"/>
              </w:rPr>
              <w:t>质押或冻结情 况</w:t>
            </w:r>
          </w:p>
        </w:tc>
      </w:tr>
      <w:tr>
        <w:trPr>
          <w:trHeight w:val="714" w:hRule="exact"/>
        </w:trPr>
        <w:tc>
          <w:tcPr>
            <w:tcW w:w="2412" w:type="dxa"/>
            <w:gridSpan w:val="2"/>
            <w:vMerge/>
            <w:tcBorders>
              <w:left w:val="single" w:sz="4" w:space="0" w:color="000000"/>
              <w:bottom w:val="single" w:sz="4" w:space="0" w:color="000000"/>
              <w:right w:val="single" w:sz="4" w:space="0" w:color="000000"/>
            </w:tcBorders>
            <w:shd w:val="clear" w:color="auto" w:fill="D2D2D2"/>
          </w:tcPr>
          <w:p>
            <w:pPr/>
          </w:p>
        </w:tc>
        <w:tc>
          <w:tcPr>
            <w:tcW w:w="1332" w:type="dxa"/>
            <w:gridSpan w:val="2"/>
            <w:vMerge/>
            <w:tcBorders>
              <w:left w:val="single" w:sz="4" w:space="0" w:color="000000"/>
              <w:bottom w:val="single" w:sz="4" w:space="0" w:color="000000"/>
              <w:right w:val="single" w:sz="4" w:space="0" w:color="000000"/>
            </w:tcBorders>
            <w:shd w:val="clear" w:color="auto" w:fill="D2D2D2"/>
          </w:tcPr>
          <w:p>
            <w:pPr/>
          </w:p>
        </w:tc>
        <w:tc>
          <w:tcPr>
            <w:tcW w:w="708" w:type="dxa"/>
            <w:gridSpan w:val="2"/>
            <w:vMerge/>
            <w:tcBorders>
              <w:left w:val="single" w:sz="4" w:space="0" w:color="000000"/>
              <w:bottom w:val="single" w:sz="4" w:space="0" w:color="000000"/>
              <w:right w:val="single" w:sz="4" w:space="0" w:color="000000"/>
            </w:tcBorders>
            <w:shd w:val="clear" w:color="auto" w:fill="D2D2D2"/>
          </w:tcPr>
          <w:p>
            <w:pPr/>
          </w:p>
        </w:tc>
        <w:tc>
          <w:tcPr>
            <w:tcW w:w="1200" w:type="dxa"/>
            <w:gridSpan w:val="2"/>
            <w:vMerge/>
            <w:tcBorders>
              <w:left w:val="single" w:sz="4" w:space="0" w:color="000000"/>
              <w:bottom w:val="single" w:sz="4" w:space="0" w:color="000000"/>
              <w:right w:val="single" w:sz="4" w:space="0" w:color="000000"/>
            </w:tcBorders>
            <w:shd w:val="clear" w:color="auto" w:fill="D2D2D2"/>
          </w:tcPr>
          <w:p>
            <w:pPr/>
          </w:p>
        </w:tc>
        <w:tc>
          <w:tcPr>
            <w:tcW w:w="1044" w:type="dxa"/>
            <w:gridSpan w:val="2"/>
            <w:vMerge/>
            <w:tcBorders>
              <w:left w:val="single" w:sz="4" w:space="0" w:color="000000"/>
              <w:bottom w:val="single" w:sz="4" w:space="0" w:color="000000"/>
              <w:right w:val="single" w:sz="4" w:space="0" w:color="000000"/>
            </w:tcBorders>
            <w:shd w:val="clear" w:color="auto" w:fill="D2D2D2"/>
          </w:tcPr>
          <w:p>
            <w:pPr/>
          </w:p>
        </w:tc>
        <w:tc>
          <w:tcPr>
            <w:tcW w:w="957" w:type="dxa"/>
            <w:gridSpan w:val="2"/>
            <w:vMerge/>
            <w:tcBorders>
              <w:left w:val="single" w:sz="4" w:space="0" w:color="000000"/>
              <w:bottom w:val="single" w:sz="4" w:space="0" w:color="000000"/>
              <w:right w:val="single" w:sz="4" w:space="0" w:color="000000"/>
            </w:tcBorders>
            <w:shd w:val="clear" w:color="auto" w:fill="D2D2D2"/>
          </w:tcPr>
          <w:p>
            <w:pPr/>
          </w:p>
        </w:tc>
        <w:tc>
          <w:tcPr>
            <w:tcW w:w="1143" w:type="dxa"/>
            <w:vMerge/>
            <w:tcBorders>
              <w:left w:val="single" w:sz="4" w:space="0" w:color="000000"/>
              <w:bottom w:val="single" w:sz="4" w:space="0" w:color="000000"/>
              <w:right w:val="single" w:sz="4" w:space="0" w:color="000000"/>
            </w:tcBorders>
            <w:shd w:val="clear" w:color="auto" w:fill="D2D2D2"/>
          </w:tcPr>
          <w:p>
            <w:pPr/>
          </w:p>
        </w:tc>
        <w:tc>
          <w:tcPr>
            <w:tcW w:w="5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98" w:right="94"/>
              <w:jc w:val="left"/>
              <w:rPr>
                <w:rFonts w:ascii="宋体" w:hAnsi="宋体" w:cs="宋体" w:eastAsia="宋体" w:hint="default"/>
                <w:sz w:val="18"/>
                <w:szCs w:val="18"/>
              </w:rPr>
            </w:pPr>
            <w:r>
              <w:rPr>
                <w:rFonts w:ascii="宋体" w:hAnsi="宋体" w:cs="宋体" w:eastAsia="宋体" w:hint="default"/>
                <w:sz w:val="18"/>
                <w:szCs w:val="18"/>
              </w:rPr>
              <w:t>股份 状态</w:t>
            </w:r>
          </w:p>
        </w:tc>
        <w:tc>
          <w:tcPr>
            <w:tcW w:w="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19"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400" w:hRule="exact"/>
        </w:trPr>
        <w:tc>
          <w:tcPr>
            <w:tcW w:w="2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广州无线电集团有限公司</w:t>
            </w:r>
          </w:p>
        </w:tc>
        <w:tc>
          <w:tcPr>
            <w:tcW w:w="13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70" w:right="0"/>
              <w:jc w:val="left"/>
              <w:rPr>
                <w:rFonts w:ascii="Times New Roman" w:hAnsi="Times New Roman" w:cs="Times New Roman" w:eastAsia="Times New Roman" w:hint="default"/>
                <w:sz w:val="18"/>
                <w:szCs w:val="18"/>
              </w:rPr>
            </w:pPr>
            <w:r>
              <w:rPr>
                <w:rFonts w:ascii="Times New Roman"/>
                <w:sz w:val="18"/>
              </w:rPr>
              <w:t>52.96</w:t>
            </w:r>
          </w:p>
        </w:tc>
        <w:tc>
          <w:tcPr>
            <w:tcW w:w="12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31" w:right="0"/>
              <w:jc w:val="left"/>
              <w:rPr>
                <w:rFonts w:ascii="Times New Roman" w:hAnsi="Times New Roman" w:cs="Times New Roman" w:eastAsia="Times New Roman" w:hint="default"/>
                <w:sz w:val="18"/>
                <w:szCs w:val="18"/>
              </w:rPr>
            </w:pPr>
            <w:r>
              <w:rPr>
                <w:rFonts w:ascii="Times New Roman"/>
                <w:sz w:val="18"/>
              </w:rPr>
              <w:t>1,275,770,169</w:t>
            </w:r>
          </w:p>
        </w:tc>
        <w:tc>
          <w:tcPr>
            <w:tcW w:w="1044" w:type="dxa"/>
            <w:gridSpan w:val="2"/>
            <w:tcBorders>
              <w:top w:val="single" w:sz="4" w:space="0" w:color="000000"/>
              <w:left w:val="single" w:sz="4" w:space="0" w:color="000000"/>
              <w:bottom w:val="single" w:sz="4" w:space="0" w:color="000000"/>
              <w:right w:val="single" w:sz="4" w:space="0" w:color="000000"/>
            </w:tcBorders>
          </w:tcPr>
          <w:p>
            <w:pPr/>
          </w:p>
        </w:tc>
        <w:tc>
          <w:tcPr>
            <w:tcW w:w="957" w:type="dxa"/>
            <w:gridSpan w:val="2"/>
            <w:tcBorders>
              <w:top w:val="single" w:sz="4" w:space="0" w:color="000000"/>
              <w:left w:val="single" w:sz="4"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4" w:right="0"/>
              <w:jc w:val="left"/>
              <w:rPr>
                <w:rFonts w:ascii="Times New Roman" w:hAnsi="Times New Roman" w:cs="Times New Roman" w:eastAsia="Times New Roman" w:hint="default"/>
                <w:sz w:val="18"/>
                <w:szCs w:val="18"/>
              </w:rPr>
            </w:pPr>
            <w:r>
              <w:rPr>
                <w:rFonts w:ascii="Times New Roman"/>
                <w:sz w:val="18"/>
              </w:rPr>
              <w:t>1,275,770,169</w:t>
            </w:r>
          </w:p>
        </w:tc>
        <w:tc>
          <w:tcPr>
            <w:tcW w:w="564" w:type="dxa"/>
            <w:tcBorders>
              <w:top w:val="single" w:sz="4" w:space="0" w:color="000000"/>
              <w:left w:val="single" w:sz="4" w:space="0" w:color="000000"/>
              <w:bottom w:val="single" w:sz="4" w:space="0" w:color="000000"/>
              <w:right w:val="single" w:sz="4" w:space="0" w:color="000000"/>
            </w:tcBorders>
          </w:tcPr>
          <w:p>
            <w:pPr/>
          </w:p>
        </w:tc>
        <w:tc>
          <w:tcPr>
            <w:tcW w:w="61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8" w:footer="978" w:top="1100" w:bottom="1160" w:left="5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16" w:type="dxa"/>
        <w:tblLayout w:type="fixed"/>
        <w:tblCellMar>
          <w:top w:w="0" w:type="dxa"/>
          <w:left w:w="0" w:type="dxa"/>
          <w:bottom w:w="0" w:type="dxa"/>
          <w:right w:w="0" w:type="dxa"/>
        </w:tblCellMar>
        <w:tblLook w:val="01E0"/>
      </w:tblPr>
      <w:tblGrid>
        <w:gridCol w:w="2412"/>
        <w:gridCol w:w="1332"/>
        <w:gridCol w:w="708"/>
        <w:gridCol w:w="1200"/>
        <w:gridCol w:w="1044"/>
        <w:gridCol w:w="576"/>
        <w:gridCol w:w="381"/>
        <w:gridCol w:w="1143"/>
        <w:gridCol w:w="564"/>
        <w:gridCol w:w="611"/>
      </w:tblGrid>
      <w:tr>
        <w:trPr>
          <w:trHeight w:val="714"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36"/>
              <w:jc w:val="left"/>
              <w:rPr>
                <w:rFonts w:ascii="宋体" w:hAnsi="宋体" w:cs="宋体" w:eastAsia="宋体" w:hint="default"/>
                <w:sz w:val="18"/>
                <w:szCs w:val="18"/>
              </w:rPr>
            </w:pPr>
            <w:r>
              <w:rPr>
                <w:rFonts w:ascii="宋体" w:hAnsi="宋体" w:cs="宋体" w:eastAsia="宋体" w:hint="default"/>
                <w:sz w:val="18"/>
                <w:szCs w:val="18"/>
              </w:rPr>
              <w:t>广州广电运通金融电子股份有 限公司－第一期员工持股计划</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2.52</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60,644,158</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-37,298,342</w:t>
            </w:r>
          </w:p>
        </w:tc>
        <w:tc>
          <w:tcPr>
            <w:tcW w:w="957" w:type="dxa"/>
            <w:gridSpan w:val="2"/>
            <w:tcBorders>
              <w:top w:val="single" w:sz="4" w:space="0" w:color="000000"/>
              <w:left w:val="single" w:sz="4"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60,644,158</w:t>
            </w:r>
          </w:p>
        </w:tc>
        <w:tc>
          <w:tcPr>
            <w:tcW w:w="564" w:type="dxa"/>
            <w:tcBorders>
              <w:top w:val="single" w:sz="4" w:space="0" w:color="000000"/>
              <w:left w:val="single" w:sz="4" w:space="0" w:color="000000"/>
              <w:bottom w:val="single" w:sz="4" w:space="0" w:color="000000"/>
              <w:right w:val="single" w:sz="4" w:space="0" w:color="000000"/>
            </w:tcBorders>
          </w:tcPr>
          <w:p>
            <w:pPr/>
          </w:p>
        </w:tc>
        <w:tc>
          <w:tcPr>
            <w:tcW w:w="61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梅州敬基实业有限公司</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2.08</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50,220,134</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-100,000</w:t>
            </w:r>
          </w:p>
        </w:tc>
        <w:tc>
          <w:tcPr>
            <w:tcW w:w="957" w:type="dxa"/>
            <w:gridSpan w:val="2"/>
            <w:tcBorders>
              <w:top w:val="single" w:sz="4" w:space="0" w:color="000000"/>
              <w:left w:val="single" w:sz="4"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50,220,134</w:t>
            </w:r>
          </w:p>
        </w:tc>
        <w:tc>
          <w:tcPr>
            <w:tcW w:w="564" w:type="dxa"/>
            <w:tcBorders>
              <w:top w:val="single" w:sz="4" w:space="0" w:color="000000"/>
              <w:left w:val="single" w:sz="4" w:space="0" w:color="000000"/>
              <w:bottom w:val="single" w:sz="4" w:space="0" w:color="000000"/>
              <w:right w:val="single" w:sz="4" w:space="0" w:color="000000"/>
            </w:tcBorders>
          </w:tcPr>
          <w:p>
            <w:pPr/>
          </w:p>
        </w:tc>
        <w:tc>
          <w:tcPr>
            <w:tcW w:w="61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香港中央结算有限公司</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境外法人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1.21</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29,225,744</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22,597,891</w:t>
            </w:r>
          </w:p>
        </w:tc>
        <w:tc>
          <w:tcPr>
            <w:tcW w:w="957" w:type="dxa"/>
            <w:gridSpan w:val="2"/>
            <w:tcBorders>
              <w:top w:val="single" w:sz="4" w:space="0" w:color="000000"/>
              <w:left w:val="single" w:sz="4"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29,225,744</w:t>
            </w:r>
          </w:p>
        </w:tc>
        <w:tc>
          <w:tcPr>
            <w:tcW w:w="564" w:type="dxa"/>
            <w:tcBorders>
              <w:top w:val="single" w:sz="4" w:space="0" w:color="000000"/>
              <w:left w:val="single" w:sz="4" w:space="0" w:color="000000"/>
              <w:bottom w:val="single" w:sz="4" w:space="0" w:color="000000"/>
              <w:right w:val="single" w:sz="4" w:space="0" w:color="000000"/>
            </w:tcBorders>
          </w:tcPr>
          <w:p>
            <w:pPr/>
          </w:p>
        </w:tc>
        <w:tc>
          <w:tcPr>
            <w:tcW w:w="61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曾文</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0.74</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17,730,851</w:t>
            </w:r>
          </w:p>
        </w:tc>
        <w:tc>
          <w:tcPr>
            <w:tcW w:w="1044" w:type="dxa"/>
            <w:tcBorders>
              <w:top w:val="single" w:sz="4" w:space="0" w:color="000000"/>
              <w:left w:val="single" w:sz="4" w:space="0" w:color="000000"/>
              <w:bottom w:val="single" w:sz="4" w:space="0" w:color="000000"/>
              <w:right w:val="single" w:sz="4" w:space="0" w:color="000000"/>
            </w:tcBorders>
          </w:tcPr>
          <w:p>
            <w:pPr/>
          </w:p>
        </w:tc>
        <w:tc>
          <w:tcPr>
            <w:tcW w:w="957" w:type="dxa"/>
            <w:gridSpan w:val="2"/>
            <w:tcBorders>
              <w:top w:val="single" w:sz="4" w:space="0" w:color="000000"/>
              <w:left w:val="single" w:sz="4"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17,730,851</w:t>
            </w:r>
          </w:p>
        </w:tc>
        <w:tc>
          <w:tcPr>
            <w:tcW w:w="564" w:type="dxa"/>
            <w:tcBorders>
              <w:top w:val="single" w:sz="4" w:space="0" w:color="000000"/>
              <w:left w:val="single" w:sz="4" w:space="0" w:color="000000"/>
              <w:bottom w:val="single" w:sz="4" w:space="0" w:color="000000"/>
              <w:right w:val="single" w:sz="4" w:space="0" w:color="000000"/>
            </w:tcBorders>
          </w:tcPr>
          <w:p>
            <w:pPr/>
          </w:p>
        </w:tc>
        <w:tc>
          <w:tcPr>
            <w:tcW w:w="61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叶子瑜</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0.65</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15,725,940</w:t>
            </w:r>
          </w:p>
        </w:tc>
        <w:tc>
          <w:tcPr>
            <w:tcW w:w="1044" w:type="dxa"/>
            <w:tcBorders>
              <w:top w:val="single" w:sz="4" w:space="0" w:color="000000"/>
              <w:left w:val="single" w:sz="4" w:space="0" w:color="000000"/>
              <w:bottom w:val="single" w:sz="4" w:space="0" w:color="000000"/>
              <w:right w:val="single" w:sz="4" w:space="0" w:color="000000"/>
            </w:tcBorders>
          </w:tcPr>
          <w:p>
            <w:pPr/>
          </w:p>
        </w:tc>
        <w:tc>
          <w:tcPr>
            <w:tcW w:w="9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4" w:right="0"/>
              <w:jc w:val="left"/>
              <w:rPr>
                <w:rFonts w:ascii="Times New Roman" w:hAnsi="Times New Roman" w:cs="Times New Roman" w:eastAsia="Times New Roman" w:hint="default"/>
                <w:sz w:val="18"/>
                <w:szCs w:val="18"/>
              </w:rPr>
            </w:pPr>
            <w:r>
              <w:rPr>
                <w:rFonts w:ascii="Times New Roman"/>
                <w:sz w:val="18"/>
              </w:rPr>
              <w:t>11,794,455</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3,931,485</w:t>
            </w:r>
          </w:p>
        </w:tc>
        <w:tc>
          <w:tcPr>
            <w:tcW w:w="564" w:type="dxa"/>
            <w:tcBorders>
              <w:top w:val="single" w:sz="4" w:space="0" w:color="000000"/>
              <w:left w:val="single" w:sz="4" w:space="0" w:color="000000"/>
              <w:bottom w:val="single" w:sz="4" w:space="0" w:color="000000"/>
              <w:right w:val="single" w:sz="4" w:space="0" w:color="000000"/>
            </w:tcBorders>
          </w:tcPr>
          <w:p>
            <w:pPr/>
          </w:p>
        </w:tc>
        <w:tc>
          <w:tcPr>
            <w:tcW w:w="61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36"/>
              <w:jc w:val="left"/>
              <w:rPr>
                <w:rFonts w:ascii="宋体" w:hAnsi="宋体" w:cs="宋体" w:eastAsia="宋体" w:hint="default"/>
                <w:sz w:val="18"/>
                <w:szCs w:val="18"/>
              </w:rPr>
            </w:pPr>
            <w:r>
              <w:rPr>
                <w:rFonts w:ascii="宋体" w:hAnsi="宋体" w:cs="宋体" w:eastAsia="宋体" w:hint="default"/>
                <w:sz w:val="18"/>
                <w:szCs w:val="18"/>
              </w:rPr>
              <w:t>中央汇金资产管理有限责任公 司</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0.59</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14,105,700</w:t>
            </w:r>
          </w:p>
        </w:tc>
        <w:tc>
          <w:tcPr>
            <w:tcW w:w="1044" w:type="dxa"/>
            <w:tcBorders>
              <w:top w:val="single" w:sz="4" w:space="0" w:color="000000"/>
              <w:left w:val="single" w:sz="4" w:space="0" w:color="000000"/>
              <w:bottom w:val="single" w:sz="4" w:space="0" w:color="000000"/>
              <w:right w:val="single" w:sz="4" w:space="0" w:color="000000"/>
            </w:tcBorders>
          </w:tcPr>
          <w:p>
            <w:pPr/>
          </w:p>
        </w:tc>
        <w:tc>
          <w:tcPr>
            <w:tcW w:w="957" w:type="dxa"/>
            <w:gridSpan w:val="2"/>
            <w:tcBorders>
              <w:top w:val="single" w:sz="4" w:space="0" w:color="000000"/>
              <w:left w:val="single" w:sz="4"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14,105,700</w:t>
            </w:r>
          </w:p>
        </w:tc>
        <w:tc>
          <w:tcPr>
            <w:tcW w:w="564" w:type="dxa"/>
            <w:tcBorders>
              <w:top w:val="single" w:sz="4" w:space="0" w:color="000000"/>
              <w:left w:val="single" w:sz="4" w:space="0" w:color="000000"/>
              <w:bottom w:val="single" w:sz="4" w:space="0" w:color="000000"/>
              <w:right w:val="single" w:sz="4" w:space="0" w:color="000000"/>
            </w:tcBorders>
          </w:tcPr>
          <w:p>
            <w:pPr/>
          </w:p>
        </w:tc>
        <w:tc>
          <w:tcPr>
            <w:tcW w:w="61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36"/>
              <w:jc w:val="left"/>
              <w:rPr>
                <w:rFonts w:ascii="宋体" w:hAnsi="宋体" w:cs="宋体" w:eastAsia="宋体" w:hint="default"/>
                <w:sz w:val="18"/>
                <w:szCs w:val="18"/>
              </w:rPr>
            </w:pPr>
            <w:r>
              <w:rPr>
                <w:rFonts w:ascii="宋体" w:hAnsi="宋体" w:cs="宋体" w:eastAsia="宋体" w:hint="default"/>
                <w:sz w:val="18"/>
                <w:szCs w:val="18"/>
              </w:rPr>
              <w:t>安耐德合伙人有限公司－客户 资金</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境外法人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0.49</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11,804,355</w:t>
            </w:r>
          </w:p>
        </w:tc>
        <w:tc>
          <w:tcPr>
            <w:tcW w:w="1044" w:type="dxa"/>
            <w:tcBorders>
              <w:top w:val="single" w:sz="4" w:space="0" w:color="000000"/>
              <w:left w:val="single" w:sz="4" w:space="0" w:color="000000"/>
              <w:bottom w:val="single" w:sz="4" w:space="0" w:color="000000"/>
              <w:right w:val="single" w:sz="4" w:space="0" w:color="000000"/>
            </w:tcBorders>
          </w:tcPr>
          <w:p>
            <w:pPr/>
          </w:p>
        </w:tc>
        <w:tc>
          <w:tcPr>
            <w:tcW w:w="957" w:type="dxa"/>
            <w:gridSpan w:val="2"/>
            <w:tcBorders>
              <w:top w:val="single" w:sz="4" w:space="0" w:color="000000"/>
              <w:left w:val="single" w:sz="4"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11,804,355</w:t>
            </w:r>
          </w:p>
        </w:tc>
        <w:tc>
          <w:tcPr>
            <w:tcW w:w="564" w:type="dxa"/>
            <w:tcBorders>
              <w:top w:val="single" w:sz="4" w:space="0" w:color="000000"/>
              <w:left w:val="single" w:sz="4" w:space="0" w:color="000000"/>
              <w:bottom w:val="single" w:sz="4" w:space="0" w:color="000000"/>
              <w:right w:val="single" w:sz="4" w:space="0" w:color="000000"/>
            </w:tcBorders>
          </w:tcPr>
          <w:p>
            <w:pPr/>
          </w:p>
        </w:tc>
        <w:tc>
          <w:tcPr>
            <w:tcW w:w="61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36"/>
              <w:jc w:val="both"/>
              <w:rPr>
                <w:rFonts w:ascii="宋体" w:hAnsi="宋体" w:cs="宋体" w:eastAsia="宋体" w:hint="default"/>
                <w:sz w:val="18"/>
                <w:szCs w:val="18"/>
              </w:rPr>
            </w:pPr>
            <w:r>
              <w:rPr>
                <w:rFonts w:ascii="宋体" w:hAnsi="宋体" w:cs="宋体" w:eastAsia="宋体" w:hint="default"/>
                <w:sz w:val="18"/>
                <w:szCs w:val="18"/>
              </w:rPr>
              <w:t>中国农业银行股份有限公司－ 中证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500 </w:t>
            </w:r>
            <w:r>
              <w:rPr>
                <w:rFonts w:ascii="宋体" w:hAnsi="宋体" w:cs="宋体" w:eastAsia="宋体" w:hint="default"/>
                <w:sz w:val="18"/>
                <w:szCs w:val="18"/>
              </w:rPr>
              <w:t>交易型开放式指数证 券投资基金</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0.46</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10,986,118</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-1,958,625</w:t>
            </w:r>
          </w:p>
        </w:tc>
        <w:tc>
          <w:tcPr>
            <w:tcW w:w="957" w:type="dxa"/>
            <w:gridSpan w:val="2"/>
            <w:tcBorders>
              <w:top w:val="single" w:sz="4" w:space="0" w:color="000000"/>
              <w:left w:val="single" w:sz="4"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10,986,118</w:t>
            </w:r>
          </w:p>
        </w:tc>
        <w:tc>
          <w:tcPr>
            <w:tcW w:w="564" w:type="dxa"/>
            <w:tcBorders>
              <w:top w:val="single" w:sz="4" w:space="0" w:color="000000"/>
              <w:left w:val="single" w:sz="4" w:space="0" w:color="000000"/>
              <w:bottom w:val="single" w:sz="4" w:space="0" w:color="000000"/>
              <w:right w:val="single" w:sz="4" w:space="0" w:color="000000"/>
            </w:tcBorders>
          </w:tcPr>
          <w:p>
            <w:pPr/>
          </w:p>
        </w:tc>
        <w:tc>
          <w:tcPr>
            <w:tcW w:w="61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陈振光</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0.38</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9,050,000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-283,568</w:t>
            </w:r>
          </w:p>
        </w:tc>
        <w:tc>
          <w:tcPr>
            <w:tcW w:w="957" w:type="dxa"/>
            <w:gridSpan w:val="2"/>
            <w:tcBorders>
              <w:top w:val="single" w:sz="4" w:space="0" w:color="000000"/>
              <w:left w:val="single" w:sz="4"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9,050,000</w:t>
            </w:r>
          </w:p>
        </w:tc>
        <w:tc>
          <w:tcPr>
            <w:tcW w:w="564" w:type="dxa"/>
            <w:tcBorders>
              <w:top w:val="single" w:sz="4" w:space="0" w:color="000000"/>
              <w:left w:val="single" w:sz="4" w:space="0" w:color="000000"/>
              <w:bottom w:val="single" w:sz="4" w:space="0" w:color="000000"/>
              <w:right w:val="single" w:sz="4" w:space="0" w:color="000000"/>
            </w:tcBorders>
          </w:tcPr>
          <w:p>
            <w:pPr/>
          </w:p>
        </w:tc>
        <w:tc>
          <w:tcPr>
            <w:tcW w:w="61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74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3" w:right="22"/>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战略投资者或一般法人因配售新股成为前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名 股东的情况</w:t>
            </w:r>
          </w:p>
        </w:tc>
        <w:tc>
          <w:tcPr>
            <w:tcW w:w="6227"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338" w:hRule="exact"/>
        </w:trPr>
        <w:tc>
          <w:tcPr>
            <w:tcW w:w="374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23" w:right="0"/>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上述股东关联关系或一致行动的说明</w:t>
            </w:r>
          </w:p>
        </w:tc>
        <w:tc>
          <w:tcPr>
            <w:tcW w:w="6227" w:type="dxa"/>
            <w:gridSpan w:val="8"/>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23" w:right="21"/>
              <w:jc w:val="both"/>
              <w:rPr>
                <w:rFonts w:ascii="宋体" w:hAnsi="宋体" w:cs="宋体" w:eastAsia="宋体" w:hint="default"/>
                <w:sz w:val="18"/>
                <w:szCs w:val="18"/>
              </w:rPr>
            </w:pPr>
            <w:r>
              <w:rPr>
                <w:rFonts w:ascii="宋体" w:hAnsi="宋体" w:cs="宋体" w:eastAsia="宋体" w:hint="default"/>
                <w:sz w:val="18"/>
                <w:szCs w:val="18"/>
              </w:rPr>
              <w:t>公司前</w:t>
            </w:r>
            <w:r>
              <w:rPr>
                <w:rFonts w:ascii="Times New Roman" w:hAnsi="Times New Roman" w:cs="Times New Roman" w:eastAsia="Times New Roman" w:hint="default"/>
                <w:sz w:val="18"/>
                <w:szCs w:val="18"/>
              </w:rPr>
              <w:t>10</w:t>
            </w:r>
            <w:r>
              <w:rPr>
                <w:rFonts w:ascii="宋体" w:hAnsi="宋体" w:cs="宋体" w:eastAsia="宋体" w:hint="default"/>
                <w:sz w:val="18"/>
                <w:szCs w:val="18"/>
              </w:rPr>
              <w:t>名股东中：第</w:t>
            </w:r>
            <w:r>
              <w:rPr>
                <w:rFonts w:ascii="Times New Roman" w:hAnsi="Times New Roman" w:cs="Times New Roman" w:eastAsia="Times New Roman" w:hint="default"/>
                <w:sz w:val="18"/>
                <w:szCs w:val="18"/>
              </w:rPr>
              <w:t>1</w:t>
            </w:r>
            <w:r>
              <w:rPr>
                <w:rFonts w:ascii="宋体" w:hAnsi="宋体" w:cs="宋体" w:eastAsia="宋体" w:hint="default"/>
                <w:sz w:val="18"/>
                <w:szCs w:val="18"/>
              </w:rPr>
              <w:t>名股东无线电集团为公司控股股东，其与第</w:t>
            </w:r>
            <w:r>
              <w:rPr>
                <w:rFonts w:ascii="Times New Roman" w:hAnsi="Times New Roman" w:cs="Times New Roman" w:eastAsia="Times New Roman" w:hint="default"/>
                <w:sz w:val="18"/>
                <w:szCs w:val="18"/>
              </w:rPr>
              <w:t>3</w:t>
            </w:r>
            <w:r>
              <w:rPr>
                <w:rFonts w:ascii="宋体" w:hAnsi="宋体" w:cs="宋体" w:eastAsia="宋体" w:hint="default"/>
                <w:sz w:val="18"/>
                <w:szCs w:val="18"/>
              </w:rPr>
              <w:t>名股东梅 </w:t>
            </w:r>
            <w:r>
              <w:rPr>
                <w:rFonts w:ascii="宋体" w:hAnsi="宋体" w:cs="宋体" w:eastAsia="宋体" w:hint="default"/>
                <w:spacing w:val="-2"/>
                <w:sz w:val="18"/>
                <w:szCs w:val="18"/>
              </w:rPr>
              <w:t>州敬基实业有限公司同为公司发起人股东，但不存在关联关系；第</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名股东为公</w:t>
            </w:r>
            <w:r>
              <w:rPr>
                <w:rFonts w:ascii="宋体" w:hAnsi="宋体" w:cs="宋体" w:eastAsia="宋体" w:hint="default"/>
                <w:spacing w:val="-61"/>
                <w:sz w:val="18"/>
                <w:szCs w:val="18"/>
              </w:rPr>
              <w:t> </w:t>
            </w:r>
            <w:r>
              <w:rPr>
                <w:rFonts w:ascii="宋体" w:hAnsi="宋体" w:cs="宋体" w:eastAsia="宋体" w:hint="default"/>
                <w:spacing w:val="-2"/>
                <w:sz w:val="18"/>
                <w:szCs w:val="18"/>
              </w:rPr>
              <w:t>司第一期员工持股计划，第</w:t>
            </w:r>
            <w:r>
              <w:rPr>
                <w:rFonts w:ascii="Times New Roman" w:hAnsi="Times New Roman" w:cs="Times New Roman" w:eastAsia="Times New Roman" w:hint="default"/>
                <w:spacing w:val="-2"/>
                <w:sz w:val="18"/>
                <w:szCs w:val="18"/>
              </w:rPr>
              <w:t>6</w:t>
            </w:r>
            <w:r>
              <w:rPr>
                <w:rFonts w:ascii="宋体" w:hAnsi="宋体" w:cs="宋体" w:eastAsia="宋体" w:hint="default"/>
                <w:spacing w:val="-2"/>
                <w:sz w:val="18"/>
                <w:szCs w:val="18"/>
              </w:rPr>
              <w:t>名股东叶子瑜为公司董事、总经理，未知其他股东</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之间是否存在关联关系，也未知是否属于一致行动人。</w:t>
            </w:r>
          </w:p>
        </w:tc>
      </w:tr>
      <w:tr>
        <w:trPr>
          <w:trHeight w:val="402" w:hRule="exact"/>
        </w:trPr>
        <w:tc>
          <w:tcPr>
            <w:tcW w:w="9971"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402" w:hRule="exact"/>
        </w:trPr>
        <w:tc>
          <w:tcPr>
            <w:tcW w:w="5652"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162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60" w:lineRule="auto" w:before="76"/>
              <w:ind w:left="175" w:right="82" w:hanging="89"/>
              <w:jc w:val="left"/>
              <w:rPr>
                <w:rFonts w:ascii="宋体" w:hAnsi="宋体" w:cs="宋体" w:eastAsia="宋体" w:hint="default"/>
                <w:sz w:val="18"/>
                <w:szCs w:val="18"/>
              </w:rPr>
            </w:pPr>
            <w:r>
              <w:rPr>
                <w:rFonts w:ascii="宋体" w:hAnsi="宋体" w:cs="宋体" w:eastAsia="宋体" w:hint="default"/>
                <w:sz w:val="18"/>
                <w:szCs w:val="18"/>
              </w:rPr>
              <w:t>报告期末持有无限 售条件股份数量</w:t>
            </w:r>
          </w:p>
        </w:tc>
        <w:tc>
          <w:tcPr>
            <w:tcW w:w="269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402" w:hRule="exact"/>
        </w:trPr>
        <w:tc>
          <w:tcPr>
            <w:tcW w:w="5652" w:type="dxa"/>
            <w:gridSpan w:val="4"/>
            <w:vMerge/>
            <w:tcBorders>
              <w:left w:val="single" w:sz="4" w:space="0" w:color="000000"/>
              <w:bottom w:val="single" w:sz="4" w:space="0" w:color="000000"/>
              <w:right w:val="single" w:sz="4" w:space="0" w:color="000000"/>
            </w:tcBorders>
            <w:shd w:val="clear" w:color="auto" w:fill="D2D2D2"/>
          </w:tcPr>
          <w:p>
            <w:pPr/>
          </w:p>
        </w:tc>
        <w:tc>
          <w:tcPr>
            <w:tcW w:w="1620"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8"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17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402" w:hRule="exact"/>
        </w:trPr>
        <w:tc>
          <w:tcPr>
            <w:tcW w:w="565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广州无线电集团有限公司</w:t>
            </w:r>
          </w:p>
        </w:tc>
        <w:tc>
          <w:tcPr>
            <w:tcW w:w="16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51" w:right="0"/>
              <w:jc w:val="left"/>
              <w:rPr>
                <w:rFonts w:ascii="Times New Roman" w:hAnsi="Times New Roman" w:cs="Times New Roman" w:eastAsia="Times New Roman" w:hint="default"/>
                <w:sz w:val="18"/>
                <w:szCs w:val="18"/>
              </w:rPr>
            </w:pPr>
            <w:r>
              <w:rPr>
                <w:rFonts w:ascii="Times New Roman"/>
                <w:sz w:val="18"/>
              </w:rPr>
              <w:t>1,275,770,169</w:t>
            </w:r>
          </w:p>
        </w:tc>
        <w:tc>
          <w:tcPr>
            <w:tcW w:w="15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1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7" w:right="0"/>
              <w:jc w:val="left"/>
              <w:rPr>
                <w:rFonts w:ascii="Times New Roman" w:hAnsi="Times New Roman" w:cs="Times New Roman" w:eastAsia="Times New Roman" w:hint="default"/>
                <w:sz w:val="18"/>
                <w:szCs w:val="18"/>
              </w:rPr>
            </w:pPr>
            <w:r>
              <w:rPr>
                <w:rFonts w:ascii="Times New Roman"/>
                <w:sz w:val="18"/>
              </w:rPr>
              <w:t>1,275,770,169</w:t>
            </w:r>
          </w:p>
        </w:tc>
      </w:tr>
      <w:tr>
        <w:trPr>
          <w:trHeight w:val="402" w:hRule="exact"/>
        </w:trPr>
        <w:tc>
          <w:tcPr>
            <w:tcW w:w="565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广州广电运通金融电子股份有限公司－第一期员工持股计划</w:t>
            </w:r>
          </w:p>
        </w:tc>
        <w:tc>
          <w:tcPr>
            <w:tcW w:w="16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77" w:right="0"/>
              <w:jc w:val="left"/>
              <w:rPr>
                <w:rFonts w:ascii="Times New Roman" w:hAnsi="Times New Roman" w:cs="Times New Roman" w:eastAsia="Times New Roman" w:hint="default"/>
                <w:sz w:val="18"/>
                <w:szCs w:val="18"/>
              </w:rPr>
            </w:pPr>
            <w:r>
              <w:rPr>
                <w:rFonts w:ascii="Times New Roman"/>
                <w:sz w:val="18"/>
              </w:rPr>
              <w:t>60,644,158</w:t>
            </w:r>
          </w:p>
        </w:tc>
        <w:tc>
          <w:tcPr>
            <w:tcW w:w="15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1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30" w:right="0"/>
              <w:jc w:val="left"/>
              <w:rPr>
                <w:rFonts w:ascii="Times New Roman" w:hAnsi="Times New Roman" w:cs="Times New Roman" w:eastAsia="Times New Roman" w:hint="default"/>
                <w:sz w:val="18"/>
                <w:szCs w:val="18"/>
              </w:rPr>
            </w:pPr>
            <w:r>
              <w:rPr>
                <w:rFonts w:ascii="Times New Roman"/>
                <w:sz w:val="18"/>
              </w:rPr>
              <w:t>60,644,158</w:t>
            </w:r>
          </w:p>
        </w:tc>
      </w:tr>
      <w:tr>
        <w:trPr>
          <w:trHeight w:val="402" w:hRule="exact"/>
        </w:trPr>
        <w:tc>
          <w:tcPr>
            <w:tcW w:w="565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梅州敬基实业有限公司</w:t>
            </w:r>
          </w:p>
        </w:tc>
        <w:tc>
          <w:tcPr>
            <w:tcW w:w="16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77" w:right="0"/>
              <w:jc w:val="left"/>
              <w:rPr>
                <w:rFonts w:ascii="Times New Roman" w:hAnsi="Times New Roman" w:cs="Times New Roman" w:eastAsia="Times New Roman" w:hint="default"/>
                <w:sz w:val="18"/>
                <w:szCs w:val="18"/>
              </w:rPr>
            </w:pPr>
            <w:r>
              <w:rPr>
                <w:rFonts w:ascii="Times New Roman"/>
                <w:sz w:val="18"/>
              </w:rPr>
              <w:t>50,220,134</w:t>
            </w:r>
          </w:p>
        </w:tc>
        <w:tc>
          <w:tcPr>
            <w:tcW w:w="15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1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30" w:right="0"/>
              <w:jc w:val="left"/>
              <w:rPr>
                <w:rFonts w:ascii="Times New Roman" w:hAnsi="Times New Roman" w:cs="Times New Roman" w:eastAsia="Times New Roman" w:hint="default"/>
                <w:sz w:val="18"/>
                <w:szCs w:val="18"/>
              </w:rPr>
            </w:pPr>
            <w:r>
              <w:rPr>
                <w:rFonts w:ascii="Times New Roman"/>
                <w:sz w:val="18"/>
              </w:rPr>
              <w:t>50,220,134</w:t>
            </w:r>
          </w:p>
        </w:tc>
      </w:tr>
      <w:tr>
        <w:trPr>
          <w:trHeight w:val="402" w:hRule="exact"/>
        </w:trPr>
        <w:tc>
          <w:tcPr>
            <w:tcW w:w="565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香港中央结算有限公司</w:t>
            </w:r>
          </w:p>
        </w:tc>
        <w:tc>
          <w:tcPr>
            <w:tcW w:w="16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77" w:right="0"/>
              <w:jc w:val="left"/>
              <w:rPr>
                <w:rFonts w:ascii="Times New Roman" w:hAnsi="Times New Roman" w:cs="Times New Roman" w:eastAsia="Times New Roman" w:hint="default"/>
                <w:sz w:val="18"/>
                <w:szCs w:val="18"/>
              </w:rPr>
            </w:pPr>
            <w:r>
              <w:rPr>
                <w:rFonts w:ascii="Times New Roman"/>
                <w:sz w:val="18"/>
              </w:rPr>
              <w:t>29,225,744</w:t>
            </w:r>
          </w:p>
        </w:tc>
        <w:tc>
          <w:tcPr>
            <w:tcW w:w="15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1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30" w:right="0"/>
              <w:jc w:val="left"/>
              <w:rPr>
                <w:rFonts w:ascii="Times New Roman" w:hAnsi="Times New Roman" w:cs="Times New Roman" w:eastAsia="Times New Roman" w:hint="default"/>
                <w:sz w:val="18"/>
                <w:szCs w:val="18"/>
              </w:rPr>
            </w:pPr>
            <w:r>
              <w:rPr>
                <w:rFonts w:ascii="Times New Roman"/>
                <w:sz w:val="18"/>
              </w:rPr>
              <w:t>29,225,744</w:t>
            </w:r>
          </w:p>
        </w:tc>
      </w:tr>
      <w:tr>
        <w:trPr>
          <w:trHeight w:val="402" w:hRule="exact"/>
        </w:trPr>
        <w:tc>
          <w:tcPr>
            <w:tcW w:w="565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曾文</w:t>
            </w:r>
          </w:p>
        </w:tc>
        <w:tc>
          <w:tcPr>
            <w:tcW w:w="16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77" w:right="0"/>
              <w:jc w:val="left"/>
              <w:rPr>
                <w:rFonts w:ascii="Times New Roman" w:hAnsi="Times New Roman" w:cs="Times New Roman" w:eastAsia="Times New Roman" w:hint="default"/>
                <w:sz w:val="18"/>
                <w:szCs w:val="18"/>
              </w:rPr>
            </w:pPr>
            <w:r>
              <w:rPr>
                <w:rFonts w:ascii="Times New Roman"/>
                <w:sz w:val="18"/>
              </w:rPr>
              <w:t>17,730,851</w:t>
            </w:r>
          </w:p>
        </w:tc>
        <w:tc>
          <w:tcPr>
            <w:tcW w:w="15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1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30" w:right="0"/>
              <w:jc w:val="left"/>
              <w:rPr>
                <w:rFonts w:ascii="Times New Roman" w:hAnsi="Times New Roman" w:cs="Times New Roman" w:eastAsia="Times New Roman" w:hint="default"/>
                <w:sz w:val="18"/>
                <w:szCs w:val="18"/>
              </w:rPr>
            </w:pPr>
            <w:r>
              <w:rPr>
                <w:rFonts w:ascii="Times New Roman"/>
                <w:sz w:val="18"/>
              </w:rPr>
              <w:t>17,730,851</w:t>
            </w:r>
          </w:p>
        </w:tc>
      </w:tr>
      <w:tr>
        <w:trPr>
          <w:trHeight w:val="402" w:hRule="exact"/>
        </w:trPr>
        <w:tc>
          <w:tcPr>
            <w:tcW w:w="565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中央汇金资产管理有限责任公司</w:t>
            </w:r>
          </w:p>
        </w:tc>
        <w:tc>
          <w:tcPr>
            <w:tcW w:w="16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77" w:right="0"/>
              <w:jc w:val="left"/>
              <w:rPr>
                <w:rFonts w:ascii="Times New Roman" w:hAnsi="Times New Roman" w:cs="Times New Roman" w:eastAsia="Times New Roman" w:hint="default"/>
                <w:sz w:val="18"/>
                <w:szCs w:val="18"/>
              </w:rPr>
            </w:pPr>
            <w:r>
              <w:rPr>
                <w:rFonts w:ascii="Times New Roman"/>
                <w:sz w:val="18"/>
              </w:rPr>
              <w:t>14,105,700</w:t>
            </w:r>
          </w:p>
        </w:tc>
        <w:tc>
          <w:tcPr>
            <w:tcW w:w="15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1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30" w:right="0"/>
              <w:jc w:val="left"/>
              <w:rPr>
                <w:rFonts w:ascii="Times New Roman" w:hAnsi="Times New Roman" w:cs="Times New Roman" w:eastAsia="Times New Roman" w:hint="default"/>
                <w:sz w:val="18"/>
                <w:szCs w:val="18"/>
              </w:rPr>
            </w:pPr>
            <w:r>
              <w:rPr>
                <w:rFonts w:ascii="Times New Roman"/>
                <w:sz w:val="18"/>
              </w:rPr>
              <w:t>14,105,700</w:t>
            </w:r>
          </w:p>
        </w:tc>
      </w:tr>
      <w:tr>
        <w:trPr>
          <w:trHeight w:val="402" w:hRule="exact"/>
        </w:trPr>
        <w:tc>
          <w:tcPr>
            <w:tcW w:w="565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安耐德合伙人有限公司－客户资金</w:t>
            </w:r>
          </w:p>
        </w:tc>
        <w:tc>
          <w:tcPr>
            <w:tcW w:w="16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77" w:right="0"/>
              <w:jc w:val="left"/>
              <w:rPr>
                <w:rFonts w:ascii="Times New Roman" w:hAnsi="Times New Roman" w:cs="Times New Roman" w:eastAsia="Times New Roman" w:hint="default"/>
                <w:sz w:val="18"/>
                <w:szCs w:val="18"/>
              </w:rPr>
            </w:pPr>
            <w:r>
              <w:rPr>
                <w:rFonts w:ascii="Times New Roman"/>
                <w:sz w:val="18"/>
              </w:rPr>
              <w:t>11,804,355</w:t>
            </w:r>
          </w:p>
        </w:tc>
        <w:tc>
          <w:tcPr>
            <w:tcW w:w="15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1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30" w:right="0"/>
              <w:jc w:val="left"/>
              <w:rPr>
                <w:rFonts w:ascii="Times New Roman" w:hAnsi="Times New Roman" w:cs="Times New Roman" w:eastAsia="Times New Roman" w:hint="default"/>
                <w:sz w:val="18"/>
                <w:szCs w:val="18"/>
              </w:rPr>
            </w:pPr>
            <w:r>
              <w:rPr>
                <w:rFonts w:ascii="Times New Roman"/>
                <w:sz w:val="18"/>
              </w:rPr>
              <w:t>11,804,355</w:t>
            </w:r>
          </w:p>
        </w:tc>
      </w:tr>
      <w:tr>
        <w:trPr>
          <w:trHeight w:val="402" w:hRule="exact"/>
        </w:trPr>
        <w:tc>
          <w:tcPr>
            <w:tcW w:w="565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中国农业银行股份有限公司－中证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500 </w:t>
            </w:r>
            <w:r>
              <w:rPr>
                <w:rFonts w:ascii="宋体" w:hAnsi="宋体" w:cs="宋体" w:eastAsia="宋体" w:hint="default"/>
                <w:sz w:val="18"/>
                <w:szCs w:val="18"/>
              </w:rPr>
              <w:t>交易型开放式指数证券投资基金</w:t>
            </w:r>
          </w:p>
        </w:tc>
        <w:tc>
          <w:tcPr>
            <w:tcW w:w="16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77" w:right="0"/>
              <w:jc w:val="left"/>
              <w:rPr>
                <w:rFonts w:ascii="Times New Roman" w:hAnsi="Times New Roman" w:cs="Times New Roman" w:eastAsia="Times New Roman" w:hint="default"/>
                <w:sz w:val="18"/>
                <w:szCs w:val="18"/>
              </w:rPr>
            </w:pPr>
            <w:r>
              <w:rPr>
                <w:rFonts w:ascii="Times New Roman"/>
                <w:sz w:val="18"/>
              </w:rPr>
              <w:t>10,986,118</w:t>
            </w:r>
          </w:p>
        </w:tc>
        <w:tc>
          <w:tcPr>
            <w:tcW w:w="15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1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30" w:right="0"/>
              <w:jc w:val="left"/>
              <w:rPr>
                <w:rFonts w:ascii="Times New Roman" w:hAnsi="Times New Roman" w:cs="Times New Roman" w:eastAsia="Times New Roman" w:hint="default"/>
                <w:sz w:val="18"/>
                <w:szCs w:val="18"/>
              </w:rPr>
            </w:pPr>
            <w:r>
              <w:rPr>
                <w:rFonts w:ascii="Times New Roman"/>
                <w:sz w:val="18"/>
              </w:rPr>
              <w:t>10,986,118</w:t>
            </w:r>
          </w:p>
        </w:tc>
      </w:tr>
      <w:tr>
        <w:trPr>
          <w:trHeight w:val="402" w:hRule="exact"/>
        </w:trPr>
        <w:tc>
          <w:tcPr>
            <w:tcW w:w="565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陈振光</w:t>
            </w:r>
          </w:p>
        </w:tc>
        <w:tc>
          <w:tcPr>
            <w:tcW w:w="16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66" w:right="0"/>
              <w:jc w:val="left"/>
              <w:rPr>
                <w:rFonts w:ascii="Times New Roman" w:hAnsi="Times New Roman" w:cs="Times New Roman" w:eastAsia="Times New Roman" w:hint="default"/>
                <w:sz w:val="18"/>
                <w:szCs w:val="18"/>
              </w:rPr>
            </w:pPr>
            <w:r>
              <w:rPr>
                <w:rFonts w:ascii="Times New Roman"/>
                <w:sz w:val="18"/>
              </w:rPr>
              <w:t>9,050,000</w:t>
            </w:r>
          </w:p>
        </w:tc>
        <w:tc>
          <w:tcPr>
            <w:tcW w:w="15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1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22" w:right="0"/>
              <w:jc w:val="left"/>
              <w:rPr>
                <w:rFonts w:ascii="Times New Roman" w:hAnsi="Times New Roman" w:cs="Times New Roman" w:eastAsia="Times New Roman" w:hint="default"/>
                <w:sz w:val="18"/>
                <w:szCs w:val="18"/>
              </w:rPr>
            </w:pPr>
            <w:r>
              <w:rPr>
                <w:rFonts w:ascii="Times New Roman"/>
                <w:sz w:val="18"/>
              </w:rPr>
              <w:t>9,050,000</w:t>
            </w:r>
          </w:p>
        </w:tc>
      </w:tr>
      <w:tr>
        <w:trPr>
          <w:trHeight w:val="402" w:hRule="exact"/>
        </w:trPr>
        <w:tc>
          <w:tcPr>
            <w:tcW w:w="565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全国社保基金四零二组合</w:t>
            </w:r>
          </w:p>
        </w:tc>
        <w:tc>
          <w:tcPr>
            <w:tcW w:w="16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66" w:right="0"/>
              <w:jc w:val="left"/>
              <w:rPr>
                <w:rFonts w:ascii="Times New Roman" w:hAnsi="Times New Roman" w:cs="Times New Roman" w:eastAsia="Times New Roman" w:hint="default"/>
                <w:sz w:val="18"/>
                <w:szCs w:val="18"/>
              </w:rPr>
            </w:pPr>
            <w:r>
              <w:rPr>
                <w:rFonts w:ascii="Times New Roman"/>
                <w:sz w:val="18"/>
              </w:rPr>
              <w:t>8,330,500</w:t>
            </w:r>
          </w:p>
        </w:tc>
        <w:tc>
          <w:tcPr>
            <w:tcW w:w="15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1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22" w:right="0"/>
              <w:jc w:val="left"/>
              <w:rPr>
                <w:rFonts w:ascii="Times New Roman" w:hAnsi="Times New Roman" w:cs="Times New Roman" w:eastAsia="Times New Roman" w:hint="default"/>
                <w:sz w:val="18"/>
                <w:szCs w:val="18"/>
              </w:rPr>
            </w:pPr>
            <w:r>
              <w:rPr>
                <w:rFonts w:ascii="Times New Roman"/>
                <w:sz w:val="18"/>
              </w:rPr>
              <w:t>8,330,500</w:t>
            </w:r>
          </w:p>
        </w:tc>
      </w:tr>
      <w:tr>
        <w:trPr>
          <w:trHeight w:val="1296" w:hRule="exact"/>
        </w:trPr>
        <w:tc>
          <w:tcPr>
            <w:tcW w:w="565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前</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名无限售流通股股东之间，以及前</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名股东之间关联关系或一致行动的说明</w:t>
            </w:r>
          </w:p>
        </w:tc>
        <w:tc>
          <w:tcPr>
            <w:tcW w:w="4319"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pacing w:val="-5"/>
                <w:sz w:val="18"/>
                <w:szCs w:val="18"/>
              </w:rPr>
              <w:t>前十名无限售流通股股东中：第</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名股东无线电集团为</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pacing w:val="-6"/>
                <w:sz w:val="18"/>
                <w:szCs w:val="18"/>
              </w:rPr>
              <w:t>公司控股股东，其与第</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名股东梅州敬基实业有限公司</w:t>
            </w:r>
          </w:p>
          <w:p>
            <w:pPr>
              <w:pStyle w:val="TableParagraph"/>
              <w:spacing w:line="300" w:lineRule="auto" w:before="63"/>
              <w:ind w:left="23" w:right="21"/>
              <w:jc w:val="left"/>
              <w:rPr>
                <w:rFonts w:ascii="宋体" w:hAnsi="宋体" w:cs="宋体" w:eastAsia="宋体" w:hint="default"/>
                <w:sz w:val="18"/>
                <w:szCs w:val="18"/>
              </w:rPr>
            </w:pPr>
            <w:r>
              <w:rPr>
                <w:rFonts w:ascii="宋体" w:hAnsi="宋体" w:cs="宋体" w:eastAsia="宋体" w:hint="default"/>
                <w:spacing w:val="-3"/>
                <w:sz w:val="18"/>
                <w:szCs w:val="18"/>
              </w:rPr>
              <w:t>同为公司发起人股东，但不存在关联关系；第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 </w:t>
            </w:r>
            <w:r>
              <w:rPr>
                <w:rFonts w:ascii="宋体" w:hAnsi="宋体" w:cs="宋体" w:eastAsia="宋体" w:hint="default"/>
                <w:spacing w:val="-3"/>
                <w:sz w:val="18"/>
                <w:szCs w:val="18"/>
              </w:rPr>
              <w:t>为公司第一期员工持股计划，未知其他股东之间是否存</w:t>
            </w:r>
          </w:p>
        </w:tc>
      </w:tr>
    </w:tbl>
    <w:p>
      <w:pPr>
        <w:spacing w:after="0" w:line="300" w:lineRule="auto"/>
        <w:jc w:val="left"/>
        <w:rPr>
          <w:rFonts w:ascii="宋体" w:hAnsi="宋体" w:cs="宋体" w:eastAsia="宋体" w:hint="default"/>
          <w:sz w:val="18"/>
          <w:szCs w:val="18"/>
        </w:rPr>
        <w:sectPr>
          <w:footerReference w:type="default" r:id="rId32"/>
          <w:pgSz w:w="11910" w:h="16840"/>
          <w:pgMar w:footer="978" w:header="878" w:top="1100" w:bottom="1160" w:left="580" w:right="0"/>
          <w:pgNumType w:start="70"/>
        </w:sectPr>
      </w:pPr>
    </w:p>
    <w:p>
      <w:pPr>
        <w:spacing w:line="240" w:lineRule="auto" w:before="11"/>
        <w:rPr>
          <w:rFonts w:ascii="Times New Roman" w:hAnsi="Times New Roman" w:cs="Times New Roman" w:eastAsia="Times New Roman" w:hint="default"/>
          <w:sz w:val="27"/>
          <w:szCs w:val="27"/>
        </w:rPr>
      </w:pPr>
    </w:p>
    <w:tbl>
      <w:tblPr>
        <w:tblW w:w="0" w:type="auto"/>
        <w:jc w:val="left"/>
        <w:tblInd w:w="116" w:type="dxa"/>
        <w:tblLayout w:type="fixed"/>
        <w:tblCellMar>
          <w:top w:w="0" w:type="dxa"/>
          <w:left w:w="0" w:type="dxa"/>
          <w:bottom w:w="0" w:type="dxa"/>
          <w:right w:w="0" w:type="dxa"/>
        </w:tblCellMar>
        <w:tblLook w:val="01E0"/>
      </w:tblPr>
      <w:tblGrid>
        <w:gridCol w:w="5652"/>
        <w:gridCol w:w="4319"/>
      </w:tblGrid>
      <w:tr>
        <w:trPr>
          <w:trHeight w:val="362" w:hRule="exact"/>
        </w:trPr>
        <w:tc>
          <w:tcPr>
            <w:tcW w:w="565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在关联关系，也未知是否属于一致行动人。</w:t>
            </w:r>
          </w:p>
        </w:tc>
      </w:tr>
      <w:tr>
        <w:trPr>
          <w:trHeight w:val="402" w:hRule="exact"/>
        </w:trPr>
        <w:tc>
          <w:tcPr>
            <w:tcW w:w="5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名普通股股东参与融资融券业务情况说明</w:t>
            </w:r>
          </w:p>
        </w:tc>
        <w:tc>
          <w:tcPr>
            <w:tcW w:w="4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5"/>
          <w:szCs w:val="15"/>
        </w:rPr>
      </w:pPr>
    </w:p>
    <w:p>
      <w:pPr>
        <w:pStyle w:val="BodyText"/>
        <w:spacing w:line="240" w:lineRule="auto"/>
        <w:ind w:left="552" w:right="0"/>
        <w:jc w:val="left"/>
      </w:pPr>
      <w:r>
        <w:rPr/>
        <w:t>公司前</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名无限售条件普通股股东在报告期内是否进行约定购回交易</w:t>
      </w:r>
    </w:p>
    <w:p>
      <w:pPr>
        <w:pStyle w:val="BodyText"/>
        <w:spacing w:line="240" w:lineRule="auto" w:before="103"/>
        <w:ind w:left="552"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否</w:t>
      </w:r>
    </w:p>
    <w:p>
      <w:pPr>
        <w:pStyle w:val="BodyText"/>
        <w:spacing w:line="240" w:lineRule="auto" w:before="101"/>
        <w:ind w:left="552" w:right="0"/>
        <w:jc w:val="left"/>
      </w:pPr>
      <w:r>
        <w:rPr/>
        <w:t>公司前</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名无限售条件普通股股东在报告期内未进行约定购回交易。</w:t>
      </w:r>
    </w:p>
    <w:p>
      <w:pPr>
        <w:spacing w:line="240" w:lineRule="auto" w:before="9"/>
        <w:rPr>
          <w:rFonts w:ascii="宋体" w:hAnsi="宋体" w:cs="宋体" w:eastAsia="宋体" w:hint="default"/>
          <w:sz w:val="26"/>
          <w:szCs w:val="26"/>
        </w:rPr>
      </w:pPr>
    </w:p>
    <w:p>
      <w:pPr>
        <w:pStyle w:val="Heading5"/>
        <w:spacing w:line="240" w:lineRule="auto"/>
        <w:ind w:left="552" w:right="0"/>
        <w:jc w:val="left"/>
        <w:rPr>
          <w:b w:val="0"/>
          <w:bCs w:val="0"/>
        </w:rPr>
      </w:pPr>
      <w:bookmarkStart w:name="2、公司控股股东情况" w:id="115"/>
      <w:bookmarkEnd w:id="115"/>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11"/>
        <w:rPr>
          <w:rFonts w:ascii="宋体" w:hAnsi="宋体" w:cs="宋体" w:eastAsia="宋体" w:hint="default"/>
          <w:b/>
          <w:bCs/>
          <w:sz w:val="26"/>
          <w:szCs w:val="26"/>
        </w:rPr>
      </w:pPr>
    </w:p>
    <w:p>
      <w:pPr>
        <w:pStyle w:val="BodyText"/>
        <w:spacing w:line="357" w:lineRule="auto"/>
        <w:ind w:left="552" w:right="8414"/>
        <w:jc w:val="left"/>
      </w:pPr>
      <w:r>
        <w:rPr/>
        <w:t>控股股东性质：地方国有控股 控股股东类型：法人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pStyle w:val="BodyText"/>
        <w:spacing w:line="240" w:lineRule="auto" w:before="44"/>
        <w:ind w:left="0" w:right="1141"/>
        <w:jc w:val="right"/>
      </w:pPr>
      <w:r>
        <w:rPr/>
        <w:pict>
          <v:shape style="position:absolute;margin-left:56.459999pt;margin-top:-36.497303pt;width:479.15pt;height:326pt;mso-position-horizontal-relative:page;mso-position-vertical-relative:paragraph;z-index:13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51"/>
                    <w:gridCol w:w="1134"/>
                    <w:gridCol w:w="992"/>
                    <w:gridCol w:w="1843"/>
                    <w:gridCol w:w="4748"/>
                  </w:tblGrid>
                  <w:tr>
                    <w:trPr>
                      <w:trHeight w:val="714" w:hRule="exact"/>
                    </w:trPr>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1" w:right="58" w:hanging="180"/>
                          <w:jc w:val="left"/>
                          <w:rPr>
                            <w:rFonts w:ascii="宋体" w:hAnsi="宋体" w:cs="宋体" w:eastAsia="宋体" w:hint="default"/>
                            <w:sz w:val="18"/>
                            <w:szCs w:val="18"/>
                          </w:rPr>
                        </w:pPr>
                        <w:r>
                          <w:rPr>
                            <w:rFonts w:ascii="宋体" w:hAnsi="宋体" w:cs="宋体" w:eastAsia="宋体" w:hint="default"/>
                            <w:sz w:val="18"/>
                            <w:szCs w:val="18"/>
                          </w:rPr>
                          <w:t>控股股东 名称</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2" w:right="86" w:hanging="27"/>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单位负责人</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76"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47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357" w:hRule="exact"/>
                    </w:trPr>
                    <w:tc>
                      <w:tcPr>
                        <w:tcW w:w="851"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1843" w:type="dxa"/>
                        <w:tcBorders>
                          <w:top w:val="single" w:sz="4" w:space="0" w:color="000000"/>
                          <w:left w:val="single" w:sz="4" w:space="0" w:color="000000"/>
                          <w:bottom w:val="nil" w:sz="6" w:space="0" w:color="auto"/>
                          <w:right w:val="single" w:sz="4" w:space="0" w:color="000000"/>
                        </w:tcBorders>
                      </w:tcPr>
                      <w:p>
                        <w:pPr/>
                      </w:p>
                    </w:tc>
                    <w:tc>
                      <w:tcPr>
                        <w:tcW w:w="474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pacing w:val="-3"/>
                            <w:sz w:val="18"/>
                            <w:szCs w:val="18"/>
                          </w:rPr>
                          <w:t>资产管理（不含许可审批项目）；计算机应用电子设备制造</w:t>
                        </w:r>
                      </w:p>
                    </w:tc>
                  </w:tr>
                  <w:tr>
                    <w:trPr>
                      <w:trHeight w:val="312" w:hRule="exact"/>
                    </w:trPr>
                    <w:tc>
                      <w:tcPr>
                        <w:tcW w:w="851"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
                    </w:tc>
                    <w:tc>
                      <w:tcPr>
                        <w:tcW w:w="474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通信系统设备制造；通信终端设备制造；雷达及配套设备制</w:t>
                        </w:r>
                      </w:p>
                    </w:tc>
                  </w:tr>
                  <w:tr>
                    <w:trPr>
                      <w:trHeight w:val="312" w:hRule="exact"/>
                    </w:trPr>
                    <w:tc>
                      <w:tcPr>
                        <w:tcW w:w="851"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
                    </w:tc>
                    <w:tc>
                      <w:tcPr>
                        <w:tcW w:w="474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造；计算机技术开发、技术服务；软件开发；信息技术咨询</w:t>
                        </w:r>
                      </w:p>
                    </w:tc>
                  </w:tr>
                  <w:tr>
                    <w:trPr>
                      <w:trHeight w:val="312" w:hRule="exact"/>
                    </w:trPr>
                    <w:tc>
                      <w:tcPr>
                        <w:tcW w:w="851"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
                    </w:tc>
                    <w:tc>
                      <w:tcPr>
                        <w:tcW w:w="474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服务；房地产开发经营；房屋租赁；货物进出口（专营专控</w:t>
                        </w:r>
                      </w:p>
                    </w:tc>
                  </w:tr>
                  <w:tr>
                    <w:trPr>
                      <w:trHeight w:val="936" w:hRule="exact"/>
                    </w:trPr>
                    <w:tc>
                      <w:tcPr>
                        <w:tcW w:w="851"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96"/>
                          <w:jc w:val="both"/>
                          <w:rPr>
                            <w:rFonts w:ascii="宋体" w:hAnsi="宋体" w:cs="宋体" w:eastAsia="宋体" w:hint="default"/>
                            <w:sz w:val="18"/>
                            <w:szCs w:val="18"/>
                          </w:rPr>
                        </w:pPr>
                        <w:r>
                          <w:rPr>
                            <w:rFonts w:ascii="宋体" w:hAnsi="宋体" w:cs="宋体" w:eastAsia="宋体" w:hint="default"/>
                            <w:sz w:val="18"/>
                            <w:szCs w:val="18"/>
                          </w:rPr>
                          <w:t>广州无线 电集团有 限公司</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杨海洲</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1981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统一社会信用代码：</w:t>
                        </w:r>
                      </w:p>
                      <w:p>
                        <w:pPr>
                          <w:pStyle w:val="TableParagraph"/>
                          <w:spacing w:line="240" w:lineRule="auto" w:before="118"/>
                          <w:ind w:left="24" w:right="0"/>
                          <w:jc w:val="left"/>
                          <w:rPr>
                            <w:rFonts w:ascii="Times New Roman" w:hAnsi="Times New Roman" w:cs="Times New Roman" w:eastAsia="Times New Roman" w:hint="default"/>
                            <w:sz w:val="18"/>
                            <w:szCs w:val="18"/>
                          </w:rPr>
                        </w:pPr>
                        <w:r>
                          <w:rPr>
                            <w:rFonts w:ascii="Times New Roman"/>
                            <w:sz w:val="18"/>
                          </w:rPr>
                          <w:t>91440101231216220B</w:t>
                        </w:r>
                      </w:p>
                    </w:tc>
                    <w:tc>
                      <w:tcPr>
                        <w:tcW w:w="4748"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34"/>
                          <w:jc w:val="left"/>
                          <w:rPr>
                            <w:rFonts w:ascii="宋体" w:hAnsi="宋体" w:cs="宋体" w:eastAsia="宋体" w:hint="default"/>
                            <w:sz w:val="18"/>
                            <w:szCs w:val="18"/>
                          </w:rPr>
                        </w:pPr>
                        <w:r>
                          <w:rPr>
                            <w:rFonts w:ascii="宋体" w:hAnsi="宋体" w:cs="宋体" w:eastAsia="宋体" w:hint="default"/>
                            <w:sz w:val="18"/>
                            <w:szCs w:val="18"/>
                          </w:rPr>
                          <w:t>商品除外）；技术进出口；商品批发贸易（许可审批类商品 </w:t>
                        </w:r>
                        <w:r>
                          <w:rPr>
                            <w:rFonts w:ascii="宋体" w:hAnsi="宋体" w:cs="宋体" w:eastAsia="宋体" w:hint="default"/>
                            <w:spacing w:val="-4"/>
                            <w:sz w:val="18"/>
                            <w:szCs w:val="18"/>
                          </w:rPr>
                          <w:t>除外）；塑料零件制造；音响设备制造；影视录放设备制造</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光电子器件及其他电子器件制造；绘图、计算及测量仪器制</w:t>
                        </w:r>
                      </w:p>
                    </w:tc>
                  </w:tr>
                  <w:tr>
                    <w:trPr>
                      <w:trHeight w:val="312" w:hRule="exact"/>
                    </w:trPr>
                    <w:tc>
                      <w:tcPr>
                        <w:tcW w:w="851"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
                    </w:tc>
                    <w:tc>
                      <w:tcPr>
                        <w:tcW w:w="474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造；计算机整机制造；计算机零部件制造；金属切削机床制</w:t>
                        </w:r>
                      </w:p>
                    </w:tc>
                  </w:tr>
                  <w:tr>
                    <w:trPr>
                      <w:trHeight w:val="312" w:hRule="exact"/>
                    </w:trPr>
                    <w:tc>
                      <w:tcPr>
                        <w:tcW w:w="851"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
                    </w:tc>
                    <w:tc>
                      <w:tcPr>
                        <w:tcW w:w="474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造；电子、通信与自动控制技术研究、开发；电子产品设计</w:t>
                        </w:r>
                      </w:p>
                    </w:tc>
                  </w:tr>
                  <w:tr>
                    <w:trPr>
                      <w:trHeight w:val="312" w:hRule="exact"/>
                    </w:trPr>
                    <w:tc>
                      <w:tcPr>
                        <w:tcW w:w="851"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
                    </w:tc>
                    <w:tc>
                      <w:tcPr>
                        <w:tcW w:w="474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服务；通信工程设计服务；商品零售贸易（许可审批类商品</w:t>
                        </w:r>
                      </w:p>
                    </w:tc>
                  </w:tr>
                  <w:tr>
                    <w:trPr>
                      <w:trHeight w:val="357" w:hRule="exact"/>
                    </w:trPr>
                    <w:tc>
                      <w:tcPr>
                        <w:tcW w:w="851"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1843" w:type="dxa"/>
                        <w:tcBorders>
                          <w:top w:val="nil" w:sz="6" w:space="0" w:color="auto"/>
                          <w:left w:val="single" w:sz="4" w:space="0" w:color="000000"/>
                          <w:bottom w:val="single" w:sz="4" w:space="0" w:color="000000"/>
                          <w:right w:val="single" w:sz="4" w:space="0" w:color="000000"/>
                        </w:tcBorders>
                      </w:tcPr>
                      <w:p>
                        <w:pPr/>
                      </w:p>
                    </w:tc>
                    <w:tc>
                      <w:tcPr>
                        <w:tcW w:w="474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除外）；专用设备修理；电气设备修理；软件服务。</w:t>
                        </w:r>
                      </w:p>
                    </w:tc>
                  </w:tr>
                  <w:tr>
                    <w:trPr>
                      <w:trHeight w:val="358" w:hRule="exact"/>
                    </w:trPr>
                    <w:tc>
                      <w:tcPr>
                        <w:tcW w:w="851"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1"/>
                          <w:ind w:right="73"/>
                          <w:jc w:val="center"/>
                          <w:rPr>
                            <w:rFonts w:ascii="宋体" w:hAnsi="宋体" w:cs="宋体" w:eastAsia="宋体" w:hint="default"/>
                            <w:sz w:val="18"/>
                            <w:szCs w:val="18"/>
                          </w:rPr>
                        </w:pPr>
                        <w:r>
                          <w:rPr>
                            <w:rFonts w:ascii="宋体" w:hAnsi="宋体" w:cs="宋体" w:eastAsia="宋体" w:hint="default"/>
                            <w:sz w:val="18"/>
                            <w:szCs w:val="18"/>
                          </w:rPr>
                          <w:t>控股股东</w:t>
                        </w:r>
                      </w:p>
                    </w:tc>
                    <w:tc>
                      <w:tcPr>
                        <w:tcW w:w="8717" w:type="dxa"/>
                        <w:gridSpan w:val="4"/>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8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73"/>
                          <w:jc w:val="center"/>
                          <w:rPr>
                            <w:rFonts w:ascii="宋体" w:hAnsi="宋体" w:cs="宋体" w:eastAsia="宋体" w:hint="default"/>
                            <w:sz w:val="18"/>
                            <w:szCs w:val="18"/>
                          </w:rPr>
                        </w:pPr>
                        <w:r>
                          <w:rPr>
                            <w:rFonts w:ascii="宋体" w:hAnsi="宋体" w:cs="宋体" w:eastAsia="宋体" w:hint="default"/>
                            <w:sz w:val="18"/>
                            <w:szCs w:val="18"/>
                          </w:rPr>
                          <w:t>报告期内</w:t>
                        </w:r>
                      </w:p>
                    </w:tc>
                    <w:tc>
                      <w:tcPr>
                        <w:tcW w:w="8717" w:type="dxa"/>
                        <w:gridSpan w:val="4"/>
                        <w:tcBorders>
                          <w:top w:val="nil" w:sz="6" w:space="0" w:color="auto"/>
                          <w:left w:val="single" w:sz="4" w:space="0" w:color="000000"/>
                          <w:bottom w:val="nil" w:sz="6" w:space="0" w:color="auto"/>
                          <w:right w:val="single" w:sz="4" w:space="0" w:color="000000"/>
                        </w:tcBorders>
                      </w:tcPr>
                      <w:p>
                        <w:pPr/>
                      </w:p>
                    </w:tc>
                  </w:tr>
                  <w:tr>
                    <w:trPr>
                      <w:trHeight w:val="316" w:hRule="exact"/>
                    </w:trPr>
                    <w:tc>
                      <w:tcPr>
                        <w:tcW w:w="8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73"/>
                          <w:jc w:val="center"/>
                          <w:rPr>
                            <w:rFonts w:ascii="宋体" w:hAnsi="宋体" w:cs="宋体" w:eastAsia="宋体" w:hint="default"/>
                            <w:sz w:val="18"/>
                            <w:szCs w:val="18"/>
                          </w:rPr>
                        </w:pPr>
                        <w:r>
                          <w:rPr>
                            <w:rFonts w:ascii="宋体" w:hAnsi="宋体" w:cs="宋体" w:eastAsia="宋体" w:hint="default"/>
                            <w:sz w:val="18"/>
                            <w:szCs w:val="18"/>
                          </w:rPr>
                          <w:t>控股和参</w:t>
                        </w:r>
                      </w:p>
                    </w:tc>
                    <w:tc>
                      <w:tcPr>
                        <w:tcW w:w="8717" w:type="dxa"/>
                        <w:gridSpan w:val="4"/>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截止</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日，控股股东无线电集团持有海格通信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26.02%</w:t>
                        </w:r>
                        <w:r>
                          <w:rPr>
                            <w:rFonts w:ascii="宋体" w:hAnsi="宋体" w:cs="宋体" w:eastAsia="宋体" w:hint="default"/>
                            <w:sz w:val="18"/>
                            <w:szCs w:val="18"/>
                          </w:rPr>
                          <w:t>股权、持有广电计量</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39.92%</w:t>
                        </w:r>
                        <w:r>
                          <w:rPr>
                            <w:rFonts w:ascii="宋体" w:hAnsi="宋体" w:cs="宋体" w:eastAsia="宋体" w:hint="default"/>
                            <w:sz w:val="18"/>
                            <w:szCs w:val="18"/>
                          </w:rPr>
                          <w:t>股权、持有广</w:t>
                        </w:r>
                      </w:p>
                    </w:tc>
                  </w:tr>
                  <w:tr>
                    <w:trPr>
                      <w:trHeight w:val="312" w:hRule="exact"/>
                    </w:trPr>
                    <w:tc>
                      <w:tcPr>
                        <w:tcW w:w="8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6"/>
                          <w:ind w:right="73"/>
                          <w:jc w:val="center"/>
                          <w:rPr>
                            <w:rFonts w:ascii="宋体" w:hAnsi="宋体" w:cs="宋体" w:eastAsia="宋体" w:hint="default"/>
                            <w:sz w:val="18"/>
                            <w:szCs w:val="18"/>
                          </w:rPr>
                        </w:pPr>
                        <w:r>
                          <w:rPr>
                            <w:rFonts w:ascii="宋体" w:hAnsi="宋体" w:cs="宋体" w:eastAsia="宋体" w:hint="default"/>
                            <w:sz w:val="18"/>
                            <w:szCs w:val="18"/>
                          </w:rPr>
                          <w:t>股的其他</w:t>
                        </w:r>
                      </w:p>
                    </w:tc>
                    <w:tc>
                      <w:tcPr>
                        <w:tcW w:w="8717" w:type="dxa"/>
                        <w:gridSpan w:val="4"/>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州广哈通信股份有限公司 </w:t>
                        </w:r>
                        <w:r>
                          <w:rPr>
                            <w:rFonts w:ascii="Times New Roman" w:hAnsi="Times New Roman" w:cs="Times New Roman" w:eastAsia="Times New Roman" w:hint="default"/>
                            <w:sz w:val="18"/>
                            <w:szCs w:val="18"/>
                          </w:rPr>
                          <w:t>2.86% </w:t>
                        </w:r>
                        <w:r>
                          <w:rPr>
                            <w:rFonts w:ascii="宋体" w:hAnsi="宋体" w:cs="宋体" w:eastAsia="宋体" w:hint="default"/>
                            <w:sz w:val="18"/>
                            <w:szCs w:val="18"/>
                          </w:rPr>
                          <w:t>股权、持有金浦钛业股份有限公司</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1.39%</w:t>
                        </w:r>
                        <w:r>
                          <w:rPr>
                            <w:rFonts w:ascii="宋体" w:hAnsi="宋体" w:cs="宋体" w:eastAsia="宋体" w:hint="default"/>
                            <w:sz w:val="18"/>
                            <w:szCs w:val="18"/>
                          </w:rPr>
                          <w:t>股权、持有广州农村商业银行股份有</w:t>
                        </w:r>
                      </w:p>
                    </w:tc>
                  </w:tr>
                  <w:tr>
                    <w:trPr>
                      <w:trHeight w:val="312" w:hRule="exact"/>
                    </w:trPr>
                    <w:tc>
                      <w:tcPr>
                        <w:tcW w:w="8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6"/>
                          <w:ind w:right="73"/>
                          <w:jc w:val="center"/>
                          <w:rPr>
                            <w:rFonts w:ascii="宋体" w:hAnsi="宋体" w:cs="宋体" w:eastAsia="宋体" w:hint="default"/>
                            <w:sz w:val="18"/>
                            <w:szCs w:val="18"/>
                          </w:rPr>
                        </w:pPr>
                        <w:r>
                          <w:rPr>
                            <w:rFonts w:ascii="宋体" w:hAnsi="宋体" w:cs="宋体" w:eastAsia="宋体" w:hint="default"/>
                            <w:sz w:val="18"/>
                            <w:szCs w:val="18"/>
                          </w:rPr>
                          <w:t>境内外上</w:t>
                        </w:r>
                      </w:p>
                    </w:tc>
                    <w:tc>
                      <w:tcPr>
                        <w:tcW w:w="8717" w:type="dxa"/>
                        <w:gridSpan w:val="4"/>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限公司</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3.17%</w:t>
                        </w:r>
                        <w:r>
                          <w:rPr>
                            <w:rFonts w:ascii="宋体" w:hAnsi="宋体" w:cs="宋体" w:eastAsia="宋体" w:hint="default"/>
                            <w:sz w:val="18"/>
                            <w:szCs w:val="18"/>
                          </w:rPr>
                          <w:t>股权。</w:t>
                        </w:r>
                      </w:p>
                    </w:tc>
                  </w:tr>
                  <w:tr>
                    <w:trPr>
                      <w:trHeight w:val="308" w:hRule="exact"/>
                    </w:trPr>
                    <w:tc>
                      <w:tcPr>
                        <w:tcW w:w="8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6"/>
                          <w:ind w:right="73"/>
                          <w:jc w:val="center"/>
                          <w:rPr>
                            <w:rFonts w:ascii="宋体" w:hAnsi="宋体" w:cs="宋体" w:eastAsia="宋体" w:hint="default"/>
                            <w:sz w:val="18"/>
                            <w:szCs w:val="18"/>
                          </w:rPr>
                        </w:pPr>
                        <w:r>
                          <w:rPr>
                            <w:rFonts w:ascii="宋体" w:hAnsi="宋体" w:cs="宋体" w:eastAsia="宋体" w:hint="default"/>
                            <w:sz w:val="18"/>
                            <w:szCs w:val="18"/>
                          </w:rPr>
                          <w:t>市公司的</w:t>
                        </w:r>
                      </w:p>
                    </w:tc>
                    <w:tc>
                      <w:tcPr>
                        <w:tcW w:w="8717" w:type="dxa"/>
                        <w:gridSpan w:val="4"/>
                        <w:tcBorders>
                          <w:top w:val="nil" w:sz="6" w:space="0" w:color="auto"/>
                          <w:left w:val="single" w:sz="4" w:space="0" w:color="000000"/>
                          <w:bottom w:val="nil" w:sz="6" w:space="0" w:color="auto"/>
                          <w:right w:val="single" w:sz="4" w:space="0" w:color="000000"/>
                        </w:tcBorders>
                      </w:tcPr>
                      <w:p>
                        <w:pPr/>
                      </w:p>
                    </w:tc>
                  </w:tr>
                  <w:tr>
                    <w:trPr>
                      <w:trHeight w:val="356" w:hRule="exact"/>
                    </w:trPr>
                    <w:tc>
                      <w:tcPr>
                        <w:tcW w:w="851"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right="73"/>
                          <w:jc w:val="center"/>
                          <w:rPr>
                            <w:rFonts w:ascii="宋体" w:hAnsi="宋体" w:cs="宋体" w:eastAsia="宋体" w:hint="default"/>
                            <w:sz w:val="18"/>
                            <w:szCs w:val="18"/>
                          </w:rPr>
                        </w:pPr>
                        <w:r>
                          <w:rPr>
                            <w:rFonts w:ascii="宋体" w:hAnsi="宋体" w:cs="宋体" w:eastAsia="宋体" w:hint="default"/>
                            <w:sz w:val="18"/>
                            <w:szCs w:val="18"/>
                          </w:rPr>
                          <w:t>股权情况</w:t>
                        </w:r>
                      </w:p>
                    </w:tc>
                    <w:tc>
                      <w:tcPr>
                        <w:tcW w:w="8717" w:type="dxa"/>
                        <w:gridSpan w:val="4"/>
                        <w:tcBorders>
                          <w:top w:val="nil" w:sz="6" w:space="0" w:color="auto"/>
                          <w:left w:val="single" w:sz="4" w:space="0" w:color="000000"/>
                          <w:bottom w:val="single" w:sz="4" w:space="0" w:color="000000"/>
                          <w:right w:val="single" w:sz="4" w:space="0" w:color="000000"/>
                        </w:tcBorders>
                      </w:tcPr>
                      <w:p>
                        <w:pP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7"/>
          <w:szCs w:val="17"/>
        </w:rPr>
      </w:pPr>
    </w:p>
    <w:p>
      <w:pPr>
        <w:pStyle w:val="BodyText"/>
        <w:spacing w:line="240" w:lineRule="auto" w:before="44"/>
        <w:ind w:left="0" w:right="1141"/>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2"/>
          <w:szCs w:val="22"/>
        </w:rPr>
      </w:pPr>
    </w:p>
    <w:p>
      <w:pPr>
        <w:pStyle w:val="BodyText"/>
        <w:spacing w:line="240" w:lineRule="auto" w:before="44"/>
        <w:ind w:left="552" w:right="0"/>
        <w:jc w:val="left"/>
      </w:pPr>
      <w:r>
        <w:rPr/>
        <w:t>控股股东报告期内变更</w:t>
      </w:r>
    </w:p>
    <w:p>
      <w:pPr>
        <w:pStyle w:val="BodyText"/>
        <w:spacing w:line="340" w:lineRule="auto" w:before="117"/>
        <w:ind w:left="552" w:right="80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公司报告期控股股东未发生变更。</w:t>
      </w:r>
    </w:p>
    <w:p>
      <w:pPr>
        <w:spacing w:line="240" w:lineRule="auto" w:before="10"/>
        <w:rPr>
          <w:rFonts w:ascii="宋体" w:hAnsi="宋体" w:cs="宋体" w:eastAsia="宋体" w:hint="default"/>
          <w:sz w:val="21"/>
          <w:szCs w:val="21"/>
        </w:rPr>
      </w:pPr>
    </w:p>
    <w:p>
      <w:pPr>
        <w:pStyle w:val="Heading5"/>
        <w:spacing w:line="240" w:lineRule="auto"/>
        <w:ind w:left="552" w:right="0"/>
        <w:jc w:val="left"/>
        <w:rPr>
          <w:b w:val="0"/>
          <w:bCs w:val="0"/>
        </w:rPr>
      </w:pPr>
      <w:bookmarkStart w:name="3、公司实际控制人情况" w:id="116"/>
      <w:bookmarkEnd w:id="116"/>
      <w:r>
        <w:rPr>
          <w:b w:val="0"/>
          <w:bCs w:val="0"/>
        </w:rPr>
      </w:r>
      <w:r>
        <w:rPr>
          <w:rFonts w:ascii="Times New Roman" w:hAnsi="Times New Roman" w:cs="Times New Roman" w:eastAsia="Times New Roman" w:hint="default"/>
        </w:rPr>
        <w:t>3</w:t>
      </w:r>
      <w:r>
        <w:rPr/>
        <w:t>、公司实际控制人情况</w:t>
      </w:r>
      <w:r>
        <w:rPr>
          <w:b w:val="0"/>
          <w:bCs w:val="0"/>
        </w:rPr>
      </w:r>
    </w:p>
    <w:p>
      <w:pPr>
        <w:spacing w:line="240" w:lineRule="auto" w:before="11"/>
        <w:rPr>
          <w:rFonts w:ascii="宋体" w:hAnsi="宋体" w:cs="宋体" w:eastAsia="宋体" w:hint="default"/>
          <w:b/>
          <w:bCs/>
          <w:sz w:val="26"/>
          <w:szCs w:val="26"/>
        </w:rPr>
      </w:pPr>
    </w:p>
    <w:p>
      <w:pPr>
        <w:pStyle w:val="BodyText"/>
        <w:spacing w:line="360" w:lineRule="auto"/>
        <w:ind w:left="552" w:right="7874"/>
        <w:jc w:val="left"/>
      </w:pPr>
      <w:r>
        <w:rPr/>
        <w:t>实际控制人性质：地方国资管理机构 实际控制人类型：法人</w:t>
      </w:r>
    </w:p>
    <w:tbl>
      <w:tblPr>
        <w:tblW w:w="0" w:type="auto"/>
        <w:jc w:val="left"/>
        <w:tblInd w:w="549" w:type="dxa"/>
        <w:tblLayout w:type="fixed"/>
        <w:tblCellMar>
          <w:top w:w="0" w:type="dxa"/>
          <w:left w:w="0" w:type="dxa"/>
          <w:bottom w:w="0" w:type="dxa"/>
          <w:right w:w="0" w:type="dxa"/>
        </w:tblCellMar>
        <w:tblLook w:val="01E0"/>
      </w:tblPr>
      <w:tblGrid>
        <w:gridCol w:w="2977"/>
        <w:gridCol w:w="2268"/>
        <w:gridCol w:w="1701"/>
        <w:gridCol w:w="1418"/>
        <w:gridCol w:w="1204"/>
      </w:tblGrid>
      <w:tr>
        <w:trPr>
          <w:trHeight w:val="402" w:hRule="exact"/>
        </w:trPr>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53" w:right="0"/>
              <w:jc w:val="left"/>
              <w:rPr>
                <w:rFonts w:ascii="宋体" w:hAnsi="宋体" w:cs="宋体" w:eastAsia="宋体" w:hint="default"/>
                <w:sz w:val="18"/>
                <w:szCs w:val="18"/>
              </w:rPr>
            </w:pPr>
            <w:r>
              <w:rPr>
                <w:rFonts w:ascii="宋体" w:hAnsi="宋体" w:cs="宋体" w:eastAsia="宋体" w:hint="default"/>
                <w:sz w:val="18"/>
                <w:szCs w:val="18"/>
              </w:rPr>
              <w:t>实际控制人名称</w:t>
            </w:r>
          </w:p>
        </w:tc>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单位负责人</w:t>
            </w:r>
          </w:p>
        </w:tc>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5"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组织机构代码</w:t>
            </w:r>
          </w:p>
        </w:tc>
        <w:tc>
          <w:tcPr>
            <w:tcW w:w="1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400"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广州市国资委</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陈浩钿</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after="0" w:line="240" w:lineRule="auto"/>
        <w:jc w:val="center"/>
        <w:rPr>
          <w:rFonts w:ascii="Times New Roman" w:hAnsi="Times New Roman" w:cs="Times New Roman" w:eastAsia="Times New Roman" w:hint="default"/>
          <w:sz w:val="18"/>
          <w:szCs w:val="18"/>
        </w:rPr>
        <w:sectPr>
          <w:pgSz w:w="11910" w:h="16840"/>
          <w:pgMar w:header="878" w:footer="978" w:top="1100" w:bottom="1160" w:left="580" w:right="0"/>
        </w:sectPr>
      </w:pPr>
    </w:p>
    <w:p>
      <w:pPr>
        <w:spacing w:line="240" w:lineRule="auto" w:before="3"/>
        <w:rPr>
          <w:rFonts w:ascii="宋体" w:hAnsi="宋体" w:cs="宋体" w:eastAsia="宋体" w:hint="default"/>
          <w:sz w:val="24"/>
          <w:szCs w:val="24"/>
        </w:rPr>
      </w:pPr>
    </w:p>
    <w:p>
      <w:pPr>
        <w:spacing w:line="728" w:lineRule="exact"/>
        <w:ind w:left="104" w:right="0" w:firstLine="0"/>
        <w:rPr>
          <w:rFonts w:ascii="宋体" w:hAnsi="宋体" w:cs="宋体" w:eastAsia="宋体" w:hint="default"/>
          <w:sz w:val="20"/>
          <w:szCs w:val="20"/>
        </w:rPr>
      </w:pPr>
      <w:r>
        <w:rPr>
          <w:rFonts w:ascii="宋体" w:hAnsi="宋体" w:cs="宋体" w:eastAsia="宋体" w:hint="default"/>
          <w:position w:val="-14"/>
          <w:sz w:val="20"/>
          <w:szCs w:val="20"/>
        </w:rPr>
        <w:pict>
          <v:group style="width:479.4pt;height:36.450pt;mso-position-horizontal-relative:char;mso-position-vertical-relative:line" coordorigin="0,0" coordsize="9588,729">
            <v:group style="position:absolute;left:13;top:13;width:2972;height:709" coordorigin="13,13" coordsize="2972,709">
              <v:shape style="position:absolute;left:13;top:13;width:2972;height:709" coordorigin="13,13" coordsize="2972,709" path="m13,13l2985,13,2985,722,13,722,13,13xe" filled="true" fillcolor="#d2d2d2"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724;width:9578;height:2" coordorigin="5,724" coordsize="9578,2">
              <v:shape style="position:absolute;left:5;top:724;width:9578;height:2" coordorigin="5,724" coordsize="9578,0" path="m5,724l9582,724e" filled="false" stroked="true" strokeweight=".48pt" strokecolor="#000000">
                <v:path arrowok="t"/>
              </v:shape>
            </v:group>
            <v:group style="position:absolute;left:10;top:5;width:2;height:714" coordorigin="10,5" coordsize="2,714">
              <v:shape style="position:absolute;left:10;top:5;width:2;height:714" coordorigin="10,5" coordsize="0,714" path="m10,5l10,719e" filled="false" stroked="true" strokeweight=".48pt" strokecolor="#000000">
                <v:path arrowok="t"/>
              </v:shape>
            </v:group>
            <v:group style="position:absolute;left:2987;top:5;width:2;height:714" coordorigin="2987,5" coordsize="2,714">
              <v:shape style="position:absolute;left:2987;top:5;width:2;height:714" coordorigin="2987,5" coordsize="0,714" path="m2987,5l2987,719e" filled="false" stroked="true" strokeweight=".48pt" strokecolor="#000000">
                <v:path arrowok="t"/>
              </v:shape>
            </v:group>
            <v:group style="position:absolute;left:9578;top:5;width:2;height:714" coordorigin="9578,5" coordsize="2,714">
              <v:shape style="position:absolute;left:9578;top:5;width:2;height:714" coordorigin="9578,5" coordsize="0,714" path="m9578,5l9578,719e" filled="false" stroked="true" strokeweight=".48pt" strokecolor="#000000">
                <v:path arrowok="t"/>
              </v:shape>
              <v:shape style="position:absolute;left:10;top:10;width:2977;height:714" type="#_x0000_t202" filled="false" stroked="false">
                <v:textbox inset="0,0,0,0">
                  <w:txbxContent>
                    <w:p>
                      <w:pPr>
                        <w:spacing w:line="316" w:lineRule="auto" w:before="54"/>
                        <w:ind w:left="27" w:right="67" w:firstLine="0"/>
                        <w:jc w:val="left"/>
                        <w:rPr>
                          <w:rFonts w:ascii="宋体" w:hAnsi="宋体" w:cs="宋体" w:eastAsia="宋体" w:hint="default"/>
                          <w:sz w:val="18"/>
                          <w:szCs w:val="18"/>
                        </w:rPr>
                      </w:pPr>
                      <w:r>
                        <w:rPr>
                          <w:rFonts w:ascii="宋体" w:hAnsi="宋体" w:cs="宋体" w:eastAsia="宋体" w:hint="default"/>
                          <w:sz w:val="18"/>
                          <w:szCs w:val="18"/>
                        </w:rPr>
                        <w:t>实际控制人报告期内控制的其他境内 外上市公司的股权情况</w:t>
                      </w:r>
                    </w:p>
                  </w:txbxContent>
                </v:textbox>
                <w10:wrap type="none"/>
              </v:shape>
              <v:shape style="position:absolute;left:6253;top:286;width:60;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xbxContent>
                </v:textbox>
                <w10:wrap type="none"/>
              </v:shape>
            </v:group>
          </v:group>
        </w:pict>
      </w:r>
      <w:r>
        <w:rPr>
          <w:rFonts w:ascii="宋体" w:hAnsi="宋体" w:cs="宋体" w:eastAsia="宋体" w:hint="default"/>
          <w:position w:val="-14"/>
          <w:sz w:val="20"/>
          <w:szCs w:val="20"/>
        </w:rPr>
      </w:r>
    </w:p>
    <w:p>
      <w:pPr>
        <w:pStyle w:val="BodyText"/>
        <w:spacing w:line="240" w:lineRule="auto" w:before="51"/>
        <w:ind w:right="1394"/>
        <w:jc w:val="left"/>
      </w:pPr>
      <w:r>
        <w:rPr/>
        <w:t>实际控制人报告期内变更</w:t>
      </w:r>
    </w:p>
    <w:p>
      <w:pPr>
        <w:pStyle w:val="BodyText"/>
        <w:spacing w:line="348" w:lineRule="auto" w:before="117"/>
        <w:ind w:right="6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公司报告期实际控制人未发生变更。 公司与实际控制人之间的产权及控制关系的方框图</w:t>
      </w:r>
    </w:p>
    <w:p>
      <w:pPr>
        <w:spacing w:line="240" w:lineRule="auto" w:before="0"/>
        <w:rPr>
          <w:rFonts w:ascii="宋体" w:hAnsi="宋体" w:cs="宋体" w:eastAsia="宋体" w:hint="default"/>
          <w:sz w:val="7"/>
          <w:szCs w:val="7"/>
        </w:rPr>
      </w:pPr>
    </w:p>
    <w:p>
      <w:pPr>
        <w:spacing w:line="2988" w:lineRule="exact"/>
        <w:ind w:left="2683" w:right="0" w:firstLine="0"/>
        <w:rPr>
          <w:rFonts w:ascii="宋体" w:hAnsi="宋体" w:cs="宋体" w:eastAsia="宋体" w:hint="default"/>
          <w:sz w:val="20"/>
          <w:szCs w:val="20"/>
        </w:rPr>
      </w:pPr>
      <w:r>
        <w:rPr>
          <w:rFonts w:ascii="宋体" w:hAnsi="宋体" w:cs="宋体" w:eastAsia="宋体" w:hint="default"/>
          <w:position w:val="-59"/>
          <w:sz w:val="20"/>
          <w:szCs w:val="20"/>
        </w:rPr>
        <w:drawing>
          <wp:inline distT="0" distB="0" distL="0" distR="0">
            <wp:extent cx="2857500" cy="1897379"/>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33" cstate="print"/>
                    <a:stretch>
                      <a:fillRect/>
                    </a:stretch>
                  </pic:blipFill>
                  <pic:spPr>
                    <a:xfrm>
                      <a:off x="0" y="0"/>
                      <a:ext cx="2857500" cy="1897379"/>
                    </a:xfrm>
                    <a:prstGeom prst="rect">
                      <a:avLst/>
                    </a:prstGeom>
                  </pic:spPr>
                </pic:pic>
              </a:graphicData>
            </a:graphic>
          </wp:inline>
        </w:drawing>
      </w:r>
      <w:r>
        <w:rPr>
          <w:rFonts w:ascii="宋体" w:hAnsi="宋体" w:cs="宋体" w:eastAsia="宋体" w:hint="default"/>
          <w:position w:val="-59"/>
          <w:sz w:val="20"/>
          <w:szCs w:val="20"/>
        </w:rPr>
      </w:r>
    </w:p>
    <w:p>
      <w:pPr>
        <w:pStyle w:val="BodyText"/>
        <w:spacing w:line="240" w:lineRule="auto" w:before="114"/>
        <w:ind w:right="1394"/>
        <w:jc w:val="left"/>
      </w:pPr>
      <w:r>
        <w:rPr/>
        <w:t>实际控制人通过信托或其他资产管理方式控制公司</w:t>
      </w:r>
    </w:p>
    <w:p>
      <w:pPr>
        <w:pStyle w:val="BodyText"/>
        <w:spacing w:line="240" w:lineRule="auto" w:before="117"/>
        <w:ind w:right="13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6"/>
        <w:rPr>
          <w:rFonts w:ascii="宋体" w:hAnsi="宋体" w:cs="宋体" w:eastAsia="宋体" w:hint="default"/>
          <w:sz w:val="26"/>
          <w:szCs w:val="26"/>
        </w:rPr>
      </w:pPr>
    </w:p>
    <w:p>
      <w:pPr>
        <w:pStyle w:val="Heading5"/>
        <w:spacing w:line="240" w:lineRule="auto"/>
        <w:ind w:right="1394"/>
        <w:jc w:val="left"/>
        <w:rPr>
          <w:b w:val="0"/>
          <w:bCs w:val="0"/>
        </w:rPr>
      </w:pPr>
      <w:bookmarkStart w:name="4、其他持股在10%以上的法人股东" w:id="117"/>
      <w:bookmarkEnd w:id="117"/>
      <w:r>
        <w:rPr>
          <w:b w:val="0"/>
          <w:bCs w:val="0"/>
        </w:rPr>
      </w:r>
      <w:r>
        <w:rPr>
          <w:rFonts w:ascii="Times New Roman" w:hAnsi="Times New Roman" w:cs="Times New Roman" w:eastAsia="Times New Roman" w:hint="default"/>
        </w:rPr>
        <w:t>4</w:t>
      </w:r>
      <w:r>
        <w:rPr/>
        <w:t>、其他持股在</w:t>
      </w:r>
      <w:r>
        <w:rPr>
          <w:spacing w:val="-60"/>
        </w:rPr>
        <w:t> </w:t>
      </w:r>
      <w:r>
        <w:rPr>
          <w:rFonts w:ascii="Times New Roman" w:hAnsi="Times New Roman" w:cs="Times New Roman" w:eastAsia="Times New Roman" w:hint="default"/>
        </w:rPr>
        <w:t>10%</w:t>
      </w:r>
      <w:r>
        <w:rPr/>
        <w:t>以上的法人股东</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13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9"/>
        <w:rPr>
          <w:rFonts w:ascii="宋体" w:hAnsi="宋体" w:cs="宋体" w:eastAsia="宋体" w:hint="default"/>
          <w:sz w:val="26"/>
          <w:szCs w:val="26"/>
        </w:rPr>
      </w:pPr>
    </w:p>
    <w:p>
      <w:pPr>
        <w:pStyle w:val="Heading5"/>
        <w:spacing w:line="240" w:lineRule="auto"/>
        <w:ind w:right="1394"/>
        <w:jc w:val="left"/>
        <w:rPr>
          <w:b w:val="0"/>
          <w:bCs w:val="0"/>
        </w:rPr>
      </w:pPr>
      <w:bookmarkStart w:name="5、控股股东、实际控制人、重组方及其他承诺主体股份限制减持情况" w:id="118"/>
      <w:bookmarkEnd w:id="118"/>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13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pStyle w:val="BodyText"/>
        <w:spacing w:line="300" w:lineRule="auto" w:before="101"/>
        <w:ind w:right="1037" w:firstLine="360"/>
        <w:jc w:val="left"/>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月，公司完成非公开发行</w:t>
      </w:r>
      <w:r>
        <w:rPr>
          <w:rFonts w:ascii="Times New Roman" w:hAnsi="Times New Roman" w:cs="Times New Roman" w:eastAsia="Times New Roman" w:hint="default"/>
        </w:rPr>
        <w:t>A</w:t>
      </w:r>
      <w:r>
        <w:rPr/>
        <w:t>股股票的发行工作，募集资金</w:t>
      </w:r>
      <w:r>
        <w:rPr>
          <w:rFonts w:ascii="Times New Roman" w:hAnsi="Times New Roman" w:cs="Times New Roman" w:eastAsia="Times New Roman" w:hint="default"/>
        </w:rPr>
        <w:t>31.37</w:t>
      </w:r>
      <w:r>
        <w:rPr/>
        <w:t>亿元，发行股票数量</w:t>
      </w:r>
      <w:r>
        <w:rPr>
          <w:rFonts w:ascii="Times New Roman" w:hAnsi="Times New Roman" w:cs="Times New Roman" w:eastAsia="Times New Roman" w:hint="default"/>
        </w:rPr>
        <w:t>18,282</w:t>
      </w:r>
      <w:r>
        <w:rPr/>
        <w:t>万股，其中：控股股 </w:t>
      </w:r>
      <w:r>
        <w:rPr>
          <w:spacing w:val="-3"/>
        </w:rPr>
        <w:t>东无线电集团认购</w:t>
      </w:r>
      <w:r>
        <w:rPr>
          <w:rFonts w:ascii="Times New Roman" w:hAnsi="Times New Roman" w:cs="Times New Roman" w:eastAsia="Times New Roman" w:hint="default"/>
          <w:spacing w:val="-3"/>
        </w:rPr>
        <w:t>13,929</w:t>
      </w:r>
      <w:r>
        <w:rPr>
          <w:spacing w:val="-3"/>
        </w:rPr>
        <w:t>万股，公司员工持股计划认购</w:t>
      </w:r>
      <w:r>
        <w:rPr>
          <w:rFonts w:ascii="Times New Roman" w:hAnsi="Times New Roman" w:cs="Times New Roman" w:eastAsia="Times New Roman" w:hint="default"/>
          <w:spacing w:val="-3"/>
        </w:rPr>
        <w:t>4,353</w:t>
      </w:r>
      <w:r>
        <w:rPr>
          <w:spacing w:val="-3"/>
        </w:rPr>
        <w:t>万股，募集资金用于建设全国金融外包服务平台和补充流动资金。</w:t>
      </w:r>
      <w:r>
        <w:rPr>
          <w:spacing w:val="-84"/>
        </w:rPr>
        <w:t> </w:t>
      </w:r>
      <w:r>
        <w:rPr>
          <w:spacing w:val="-84"/>
        </w:rPr>
      </w:r>
      <w:r>
        <w:rPr/>
        <w:t>无线电集团承诺：自本次发行结束之日起</w:t>
      </w:r>
      <w:r>
        <w:rPr>
          <w:rFonts w:ascii="Times New Roman" w:hAnsi="Times New Roman" w:cs="Times New Roman" w:eastAsia="Times New Roman" w:hint="default"/>
        </w:rPr>
        <w:t>36</w:t>
      </w:r>
      <w:r>
        <w:rPr/>
        <w:t>个月内，不以任何方式转让在本次发行中认购的广电运通的股份。</w:t>
      </w:r>
    </w:p>
    <w:p>
      <w:pPr>
        <w:pStyle w:val="BodyText"/>
        <w:spacing w:line="240" w:lineRule="auto" w:before="13"/>
        <w:ind w:left="472" w:right="0"/>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月，公司非公开发行</w:t>
      </w:r>
      <w:r>
        <w:rPr>
          <w:rFonts w:ascii="Times New Roman" w:hAnsi="Times New Roman" w:cs="Times New Roman" w:eastAsia="Times New Roman" w:hint="default"/>
        </w:rPr>
        <w:t>A</w:t>
      </w:r>
      <w:r>
        <w:rPr/>
        <w:t>股股票解禁，控股股东无线电集团自愿承诺：自本承诺之日起的</w:t>
      </w:r>
      <w:r>
        <w:rPr>
          <w:rFonts w:ascii="Times New Roman" w:hAnsi="Times New Roman" w:cs="Times New Roman" w:eastAsia="Times New Roman" w:hint="default"/>
        </w:rPr>
        <w:t>12</w:t>
      </w:r>
      <w:r>
        <w:rPr/>
        <w:t>个月内（即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p>
    <w:p>
      <w:pPr>
        <w:pStyle w:val="BodyText"/>
        <w:spacing w:line="300" w:lineRule="auto" w:before="63"/>
        <w:ind w:right="1034"/>
        <w:jc w:val="left"/>
      </w:pPr>
      <w:r>
        <w:rPr>
          <w:rFonts w:ascii="Times New Roman" w:hAnsi="Times New Roman" w:cs="Times New Roman" w:eastAsia="Times New Roman" w:hint="default"/>
        </w:rPr>
        <w:t>12</w:t>
      </w:r>
      <w:r>
        <w:rPr/>
        <w:t>日起至</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11</w:t>
      </w:r>
      <w:r>
        <w:rPr/>
        <w:t>日止），无线电集团不通过集中竞价和大宗交易方式减持所持有的广电运通股份，包括承诺期间该部 分股份因资本公积转增、派送股票红利、配股、增发等新增的股份。若违反上述承诺，减持股份所得全部归广电运通所有。</w:t>
      </w:r>
    </w:p>
    <w:p>
      <w:pPr>
        <w:spacing w:after="0" w:line="300" w:lineRule="auto"/>
        <w:jc w:val="left"/>
        <w:sectPr>
          <w:pgSz w:w="11910" w:h="16840"/>
          <w:pgMar w:header="878" w:footer="978" w:top="1100" w:bottom="116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9"/>
          <w:szCs w:val="19"/>
        </w:rPr>
      </w:pPr>
    </w:p>
    <w:p>
      <w:pPr>
        <w:pStyle w:val="Heading1"/>
        <w:spacing w:line="240" w:lineRule="auto"/>
        <w:ind w:left="3247" w:right="1394"/>
        <w:jc w:val="left"/>
        <w:rPr>
          <w:b w:val="0"/>
          <w:bCs w:val="0"/>
        </w:rPr>
      </w:pPr>
      <w:bookmarkStart w:name="第八节 可转换公司债券相关情况" w:id="119"/>
      <w:bookmarkEnd w:id="119"/>
      <w:r>
        <w:rPr>
          <w:b w:val="0"/>
          <w:bCs w:val="0"/>
        </w:rPr>
      </w:r>
      <w:bookmarkStart w:name="第七节 优先股相关情况" w:id="120"/>
      <w:bookmarkEnd w:id="120"/>
      <w:r>
        <w:rPr>
          <w:b w:val="0"/>
          <w:bCs w:val="0"/>
        </w:rPr>
      </w:r>
      <w:bookmarkStart w:name="_bookmark6" w:id="121"/>
      <w:bookmarkEnd w:id="121"/>
      <w:r>
        <w:rPr>
          <w:b w:val="0"/>
          <w:bCs w:val="0"/>
        </w:rPr>
      </w:r>
      <w:r>
        <w:rPr/>
        <w:t>第七节</w:t>
      </w:r>
      <w:r>
        <w:rPr>
          <w:spacing w:val="-10"/>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9"/>
          <w:szCs w:val="19"/>
        </w:rPr>
      </w:pPr>
    </w:p>
    <w:p>
      <w:pPr>
        <w:pStyle w:val="BodyText"/>
        <w:spacing w:line="338" w:lineRule="auto" w:before="44"/>
        <w:ind w:right="85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 报告期公司不存在优先股。</w:t>
      </w:r>
    </w:p>
    <w:p>
      <w:pPr>
        <w:spacing w:after="0" w:line="338" w:lineRule="auto"/>
        <w:jc w:val="left"/>
        <w:sectPr>
          <w:pgSz w:w="11910" w:h="16840"/>
          <w:pgMar w:header="878" w:footer="978" w:top="1100" w:bottom="116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pStyle w:val="Heading1"/>
        <w:spacing w:line="240" w:lineRule="auto"/>
        <w:ind w:left="2606" w:right="1394"/>
        <w:jc w:val="left"/>
        <w:rPr>
          <w:b w:val="0"/>
          <w:bCs w:val="0"/>
        </w:rPr>
      </w:pPr>
      <w:bookmarkStart w:name="_bookmark7" w:id="122"/>
      <w:bookmarkEnd w:id="122"/>
      <w:r>
        <w:rPr>
          <w:b w:val="0"/>
          <w:bCs w:val="0"/>
        </w:rPr>
      </w:r>
      <w:r>
        <w:rPr/>
        <w:t>第八节</w:t>
      </w:r>
      <w:r>
        <w:rPr>
          <w:spacing w:val="-11"/>
        </w:rPr>
        <w:t> </w:t>
      </w:r>
      <w:r>
        <w:rPr/>
        <w:t>可转换公司债券相关情况</w:t>
      </w:r>
      <w:r>
        <w:rPr>
          <w:b w:val="0"/>
          <w:bCs w:val="0"/>
        </w:rPr>
      </w:r>
    </w:p>
    <w:p>
      <w:pPr>
        <w:spacing w:line="240" w:lineRule="auto" w:before="6"/>
        <w:rPr>
          <w:rFonts w:ascii="宋体" w:hAnsi="宋体" w:cs="宋体" w:eastAsia="宋体" w:hint="default"/>
          <w:b/>
          <w:bCs/>
          <w:sz w:val="42"/>
          <w:szCs w:val="42"/>
        </w:rPr>
      </w:pPr>
    </w:p>
    <w:p>
      <w:pPr>
        <w:pStyle w:val="BodyText"/>
        <w:spacing w:line="340" w:lineRule="auto"/>
        <w:ind w:right="78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报告期公司不存在可转换公司债券。</w:t>
      </w:r>
    </w:p>
    <w:p>
      <w:pPr>
        <w:spacing w:after="0" w:line="340" w:lineRule="auto"/>
        <w:jc w:val="left"/>
        <w:sectPr>
          <w:pgSz w:w="11910" w:h="16840"/>
          <w:pgMar w:header="878" w:footer="978" w:top="1100" w:bottom="116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pStyle w:val="Heading1"/>
        <w:spacing w:line="240" w:lineRule="auto"/>
        <w:ind w:left="1843" w:right="1034"/>
        <w:jc w:val="left"/>
        <w:rPr>
          <w:b w:val="0"/>
          <w:bCs w:val="0"/>
        </w:rPr>
      </w:pPr>
      <w:bookmarkStart w:name="第九节 董事、监事、高级管理人员和员工情况" w:id="123"/>
      <w:bookmarkEnd w:id="123"/>
      <w:r>
        <w:rPr>
          <w:b w:val="0"/>
          <w:bCs w:val="0"/>
        </w:rPr>
      </w:r>
      <w:bookmarkStart w:name="_bookmark8" w:id="124"/>
      <w:bookmarkEnd w:id="124"/>
      <w:r>
        <w:rPr>
          <w:b w:val="0"/>
          <w:bCs w:val="0"/>
        </w:rPr>
      </w:r>
      <w:r>
        <w:rPr/>
        <w:t>第九节</w:t>
      </w:r>
      <w:r>
        <w:rPr>
          <w:spacing w:val="-17"/>
        </w:rPr>
        <w:t> </w:t>
      </w:r>
      <w:r>
        <w:rPr/>
        <w:t>董事、监事、高级管理人员和员工情况</w:t>
      </w:r>
      <w:r>
        <w:rPr>
          <w:b w:val="0"/>
          <w:bCs w:val="0"/>
        </w:rPr>
      </w:r>
    </w:p>
    <w:p>
      <w:pPr>
        <w:spacing w:line="240" w:lineRule="auto" w:before="10"/>
        <w:rPr>
          <w:rFonts w:ascii="宋体" w:hAnsi="宋体" w:cs="宋体" w:eastAsia="宋体" w:hint="default"/>
          <w:b/>
          <w:bCs/>
          <w:sz w:val="38"/>
          <w:szCs w:val="38"/>
        </w:rPr>
      </w:pPr>
    </w:p>
    <w:p>
      <w:pPr>
        <w:pStyle w:val="Heading2"/>
        <w:spacing w:line="240" w:lineRule="auto"/>
        <w:ind w:left="312" w:right="1034"/>
        <w:jc w:val="left"/>
        <w:rPr>
          <w:b w:val="0"/>
          <w:bCs w:val="0"/>
        </w:rPr>
      </w:pPr>
      <w:r>
        <w:rPr/>
        <w:pict>
          <v:shape style="position:absolute;margin-left:432.480011pt;margin-top:32.945606pt;width:41.3pt;height:66.5pt;mso-position-horizontal-relative:page;mso-position-vertical-relative:paragraph;z-index:-1487512" type="#_x0000_t202" filled="false" stroked="false">
            <v:textbox inset="0,0,0,0">
              <w:txbxContent>
                <w:p>
                  <w:pPr>
                    <w:spacing w:line="240" w:lineRule="auto" w:before="0"/>
                    <w:rPr>
                      <w:rFonts w:ascii="宋体" w:hAnsi="宋体" w:cs="宋体" w:eastAsia="宋体" w:hint="default"/>
                      <w:b/>
                      <w:bCs/>
                      <w:sz w:val="18"/>
                      <w:szCs w:val="18"/>
                    </w:rPr>
                  </w:pPr>
                </w:p>
                <w:p>
                  <w:pPr>
                    <w:pStyle w:val="BodyText"/>
                    <w:spacing w:line="240" w:lineRule="auto" w:before="128"/>
                    <w:ind w:left="0" w:right="0"/>
                    <w:jc w:val="left"/>
                  </w:pPr>
                  <w:r>
                    <w:rPr/>
                    <w:t>）</w:t>
                  </w:r>
                </w:p>
              </w:txbxContent>
            </v:textbox>
            <w10:wrap type="none"/>
          </v:shape>
        </w:pict>
      </w:r>
      <w:bookmarkStart w:name="一、董事、监事和高级管理人员持股变动" w:id="125"/>
      <w:bookmarkEnd w:id="125"/>
      <w:r>
        <w:rPr>
          <w:b w:val="0"/>
          <w:bCs w:val="0"/>
        </w:rPr>
      </w:r>
      <w:r>
        <w:rPr/>
        <w:t>一、董事、监事和高级管理人员持股变动</w:t>
      </w:r>
      <w:r>
        <w:rPr>
          <w:b w:val="0"/>
          <w:bCs w:val="0"/>
        </w:rPr>
      </w:r>
    </w:p>
    <w:p>
      <w:pPr>
        <w:spacing w:line="240" w:lineRule="auto" w:before="11"/>
        <w:rPr>
          <w:rFonts w:ascii="宋体" w:hAnsi="宋体" w:cs="宋体" w:eastAsia="宋体" w:hint="default"/>
          <w:b/>
          <w:bCs/>
          <w:sz w:val="25"/>
          <w:szCs w:val="25"/>
        </w:rPr>
      </w:pPr>
    </w:p>
    <w:tbl>
      <w:tblPr>
        <w:tblW w:w="0" w:type="auto"/>
        <w:jc w:val="left"/>
        <w:tblInd w:w="113" w:type="dxa"/>
        <w:tblLayout w:type="fixed"/>
        <w:tblCellMar>
          <w:top w:w="0" w:type="dxa"/>
          <w:left w:w="0" w:type="dxa"/>
          <w:bottom w:w="0" w:type="dxa"/>
          <w:right w:w="0" w:type="dxa"/>
        </w:tblCellMar>
        <w:tblLook w:val="01E0"/>
      </w:tblPr>
      <w:tblGrid>
        <w:gridCol w:w="601"/>
        <w:gridCol w:w="992"/>
        <w:gridCol w:w="426"/>
        <w:gridCol w:w="283"/>
        <w:gridCol w:w="284"/>
        <w:gridCol w:w="1701"/>
        <w:gridCol w:w="1559"/>
        <w:gridCol w:w="992"/>
        <w:gridCol w:w="992"/>
        <w:gridCol w:w="709"/>
        <w:gridCol w:w="567"/>
        <w:gridCol w:w="923"/>
      </w:tblGrid>
      <w:tr>
        <w:trPr>
          <w:trHeight w:val="1338" w:hRule="exact"/>
        </w:trPr>
        <w:tc>
          <w:tcPr>
            <w:tcW w:w="6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5"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1"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60" w:lineRule="auto" w:before="49"/>
              <w:ind w:left="27" w:right="27"/>
              <w:jc w:val="left"/>
              <w:rPr>
                <w:rFonts w:ascii="宋体" w:hAnsi="宋体" w:cs="宋体" w:eastAsia="宋体" w:hint="default"/>
                <w:sz w:val="18"/>
                <w:szCs w:val="18"/>
              </w:rPr>
            </w:pPr>
            <w:r>
              <w:rPr>
                <w:rFonts w:ascii="宋体" w:hAnsi="宋体" w:cs="宋体" w:eastAsia="宋体" w:hint="default"/>
                <w:sz w:val="18"/>
                <w:szCs w:val="18"/>
              </w:rPr>
              <w:t>任职 状态</w:t>
            </w:r>
          </w:p>
        </w:tc>
        <w:tc>
          <w:tcPr>
            <w:tcW w:w="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5" w:right="46"/>
              <w:jc w:val="left"/>
              <w:rPr>
                <w:rFonts w:ascii="宋体" w:hAnsi="宋体" w:cs="宋体" w:eastAsia="宋体" w:hint="default"/>
                <w:sz w:val="18"/>
                <w:szCs w:val="18"/>
              </w:rPr>
            </w:pPr>
            <w:r>
              <w:rPr>
                <w:rFonts w:ascii="宋体" w:hAnsi="宋体" w:cs="宋体" w:eastAsia="宋体" w:hint="default"/>
                <w:sz w:val="18"/>
                <w:szCs w:val="18"/>
              </w:rPr>
              <w:t>性 别</w:t>
            </w:r>
          </w:p>
        </w:tc>
        <w:tc>
          <w:tcPr>
            <w:tcW w:w="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7" w:right="44"/>
              <w:jc w:val="left"/>
              <w:rPr>
                <w:rFonts w:ascii="宋体" w:hAnsi="宋体" w:cs="宋体" w:eastAsia="宋体" w:hint="default"/>
                <w:sz w:val="18"/>
                <w:szCs w:val="18"/>
              </w:rPr>
            </w:pPr>
            <w:r>
              <w:rPr>
                <w:rFonts w:ascii="宋体" w:hAnsi="宋体" w:cs="宋体" w:eastAsia="宋体" w:hint="default"/>
                <w:sz w:val="18"/>
                <w:szCs w:val="18"/>
              </w:rPr>
              <w:t>年 龄</w:t>
            </w:r>
          </w:p>
        </w:tc>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3"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期初持股数</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39" w:firstLine="16"/>
              <w:jc w:val="left"/>
              <w:rPr>
                <w:rFonts w:ascii="宋体" w:hAnsi="宋体" w:cs="宋体" w:eastAsia="宋体" w:hint="default"/>
                <w:sz w:val="18"/>
                <w:szCs w:val="18"/>
              </w:rPr>
            </w:pPr>
            <w:r>
              <w:rPr>
                <w:rFonts w:ascii="宋体" w:hAnsi="宋体" w:cs="宋体" w:eastAsia="宋体" w:hint="default"/>
                <w:sz w:val="18"/>
                <w:szCs w:val="18"/>
              </w:rPr>
              <w:t>本期增持股 </w:t>
            </w:r>
            <w:r>
              <w:rPr>
                <w:rFonts w:ascii="宋体" w:hAnsi="宋体" w:cs="宋体" w:eastAsia="宋体" w:hint="default"/>
                <w:spacing w:val="-12"/>
                <w:sz w:val="18"/>
                <w:szCs w:val="18"/>
              </w:rPr>
              <w:t>份数量（股</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8" w:right="79"/>
              <w:jc w:val="both"/>
              <w:rPr>
                <w:rFonts w:ascii="宋体" w:hAnsi="宋体" w:cs="宋体" w:eastAsia="宋体" w:hint="default"/>
                <w:sz w:val="18"/>
                <w:szCs w:val="18"/>
              </w:rPr>
            </w:pPr>
            <w:r>
              <w:rPr>
                <w:rFonts w:ascii="宋体" w:hAnsi="宋体" w:cs="宋体" w:eastAsia="宋体" w:hint="default"/>
                <w:sz w:val="18"/>
                <w:szCs w:val="18"/>
              </w:rPr>
              <w:t>本期减 持股份 数量</w:t>
            </w:r>
          </w:p>
          <w:p>
            <w:pPr>
              <w:pStyle w:val="TableParagraph"/>
              <w:spacing w:line="240" w:lineRule="auto" w:before="19"/>
              <w:ind w:left="78" w:right="0"/>
              <w:jc w:val="both"/>
              <w:rPr>
                <w:rFonts w:ascii="宋体" w:hAnsi="宋体" w:cs="宋体" w:eastAsia="宋体" w:hint="default"/>
                <w:sz w:val="18"/>
                <w:szCs w:val="18"/>
              </w:rPr>
            </w:pPr>
            <w:r>
              <w:rPr>
                <w:rFonts w:ascii="宋体" w:hAnsi="宋体" w:cs="宋体" w:eastAsia="宋体" w:hint="default"/>
                <w:sz w:val="18"/>
                <w:szCs w:val="18"/>
              </w:rPr>
              <w:t>（股）</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8" w:right="96"/>
              <w:jc w:val="both"/>
              <w:rPr>
                <w:rFonts w:ascii="宋体" w:hAnsi="宋体" w:cs="宋体" w:eastAsia="宋体" w:hint="default"/>
                <w:sz w:val="18"/>
                <w:szCs w:val="18"/>
              </w:rPr>
            </w:pPr>
            <w:r>
              <w:rPr>
                <w:rFonts w:ascii="宋体" w:hAnsi="宋体" w:cs="宋体" w:eastAsia="宋体" w:hint="default"/>
                <w:sz w:val="18"/>
                <w:szCs w:val="18"/>
              </w:rPr>
              <w:t>其他 增减 变动</w:t>
            </w:r>
          </w:p>
          <w:p>
            <w:pPr>
              <w:pStyle w:val="TableParagraph"/>
              <w:spacing w:line="240" w:lineRule="auto" w:before="19"/>
              <w:ind w:left="22" w:right="0"/>
              <w:jc w:val="both"/>
              <w:rPr>
                <w:rFonts w:ascii="宋体" w:hAnsi="宋体" w:cs="宋体" w:eastAsia="宋体" w:hint="default"/>
                <w:sz w:val="18"/>
                <w:szCs w:val="18"/>
              </w:rPr>
            </w:pPr>
            <w:r>
              <w:rPr>
                <w:rFonts w:ascii="宋体" w:hAnsi="宋体" w:cs="宋体" w:eastAsia="宋体" w:hint="default"/>
                <w:sz w:val="18"/>
                <w:szCs w:val="18"/>
              </w:rPr>
              <w:t>（股）</w:t>
            </w:r>
          </w:p>
        </w:tc>
        <w:tc>
          <w:tcPr>
            <w:tcW w:w="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6" w:right="95"/>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754" w:hRule="exact"/>
        </w:trPr>
        <w:tc>
          <w:tcPr>
            <w:tcW w:w="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黄跃珍</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50"/>
              <w:ind w:left="23" w:right="417"/>
              <w:jc w:val="left"/>
              <w:rPr>
                <w:rFonts w:ascii="宋体" w:hAnsi="宋体" w:cs="宋体" w:eastAsia="宋体" w:hint="default"/>
                <w:sz w:val="18"/>
                <w:szCs w:val="18"/>
              </w:rPr>
            </w:pPr>
            <w:r>
              <w:rPr>
                <w:rFonts w:ascii="宋体" w:hAnsi="宋体" w:cs="宋体" w:eastAsia="宋体" w:hint="default"/>
                <w:sz w:val="18"/>
                <w:szCs w:val="18"/>
              </w:rPr>
              <w:t>董事、 董事长</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7"/>
                <w:szCs w:val="17"/>
              </w:rPr>
            </w:pPr>
          </w:p>
          <w:p>
            <w:pPr>
              <w:pStyle w:val="TableParagraph"/>
              <w:spacing w:line="240" w:lineRule="auto"/>
              <w:ind w:right="9"/>
              <w:jc w:val="center"/>
              <w:rPr>
                <w:rFonts w:ascii="宋体" w:hAnsi="宋体" w:cs="宋体" w:eastAsia="宋体" w:hint="default"/>
                <w:sz w:val="18"/>
                <w:szCs w:val="18"/>
              </w:rPr>
            </w:pPr>
            <w:r>
              <w:rPr>
                <w:rFonts w:ascii="宋体" w:hAnsi="宋体" w:cs="宋体" w:eastAsia="宋体" w:hint="default"/>
                <w:sz w:val="18"/>
                <w:szCs w:val="18"/>
              </w:rPr>
              <w:t>现任</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0"/>
                <w:szCs w:val="20"/>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47</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before="10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7"/>
                <w:szCs w:val="17"/>
              </w:rPr>
            </w:pPr>
          </w:p>
          <w:p>
            <w:pPr>
              <w:pStyle w:val="TableParagraph"/>
              <w:spacing w:line="240" w:lineRule="auto"/>
              <w:ind w:right="16"/>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0"/>
                <w:szCs w:val="20"/>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r>
      <w:tr>
        <w:trPr>
          <w:trHeight w:val="754" w:hRule="exact"/>
        </w:trPr>
        <w:tc>
          <w:tcPr>
            <w:tcW w:w="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叶子瑜</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0"/>
              <w:ind w:left="23" w:right="417"/>
              <w:jc w:val="left"/>
              <w:rPr>
                <w:rFonts w:ascii="宋体" w:hAnsi="宋体" w:cs="宋体" w:eastAsia="宋体" w:hint="default"/>
                <w:sz w:val="18"/>
                <w:szCs w:val="18"/>
              </w:rPr>
            </w:pPr>
            <w:r>
              <w:rPr>
                <w:rFonts w:ascii="宋体" w:hAnsi="宋体" w:cs="宋体" w:eastAsia="宋体" w:hint="default"/>
                <w:sz w:val="18"/>
                <w:szCs w:val="18"/>
              </w:rPr>
              <w:t>董事、 总经理</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7"/>
                <w:szCs w:val="17"/>
              </w:rPr>
            </w:pPr>
          </w:p>
          <w:p>
            <w:pPr>
              <w:pStyle w:val="TableParagraph"/>
              <w:spacing w:line="240" w:lineRule="auto"/>
              <w:ind w:right="9"/>
              <w:jc w:val="center"/>
              <w:rPr>
                <w:rFonts w:ascii="宋体" w:hAnsi="宋体" w:cs="宋体" w:eastAsia="宋体" w:hint="default"/>
                <w:sz w:val="18"/>
                <w:szCs w:val="18"/>
              </w:rPr>
            </w:pPr>
            <w:r>
              <w:rPr>
                <w:rFonts w:ascii="宋体" w:hAnsi="宋体" w:cs="宋体" w:eastAsia="宋体" w:hint="default"/>
                <w:sz w:val="18"/>
                <w:szCs w:val="18"/>
              </w:rPr>
              <w:t>现任</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0"/>
                <w:szCs w:val="20"/>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57</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7"/>
                <w:szCs w:val="17"/>
              </w:rPr>
            </w:pPr>
          </w:p>
          <w:p>
            <w:pPr>
              <w:pStyle w:val="TableParagraph"/>
              <w:spacing w:line="240" w:lineRule="auto"/>
              <w:ind w:right="16"/>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15,725,940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0"/>
                <w:szCs w:val="20"/>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15,725,940</w:t>
            </w:r>
          </w:p>
        </w:tc>
      </w:tr>
      <w:tr>
        <w:trPr>
          <w:trHeight w:val="402" w:hRule="exact"/>
        </w:trPr>
        <w:tc>
          <w:tcPr>
            <w:tcW w:w="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杨文峰</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现任</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1" w:right="0"/>
              <w:jc w:val="left"/>
              <w:rPr>
                <w:rFonts w:ascii="Times New Roman" w:hAnsi="Times New Roman" w:cs="Times New Roman" w:eastAsia="Times New Roman" w:hint="default"/>
                <w:sz w:val="18"/>
                <w:szCs w:val="18"/>
              </w:rPr>
            </w:pPr>
            <w:r>
              <w:rPr>
                <w:rFonts w:ascii="Times New Roman"/>
                <w:sz w:val="18"/>
              </w:rPr>
              <w:t>42</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6"/>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陈  荣</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现任</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71" w:right="0"/>
              <w:jc w:val="left"/>
              <w:rPr>
                <w:rFonts w:ascii="Times New Roman" w:hAnsi="Times New Roman" w:cs="Times New Roman" w:eastAsia="Times New Roman" w:hint="default"/>
                <w:sz w:val="18"/>
                <w:szCs w:val="18"/>
              </w:rPr>
            </w:pPr>
            <w:r>
              <w:rPr>
                <w:rFonts w:ascii="Times New Roman"/>
                <w:sz w:val="18"/>
              </w:rPr>
              <w:t>34</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6"/>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0</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陈建良</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57"/>
              <w:jc w:val="both"/>
              <w:rPr>
                <w:rFonts w:ascii="宋体" w:hAnsi="宋体" w:cs="宋体" w:eastAsia="宋体" w:hint="default"/>
                <w:sz w:val="18"/>
                <w:szCs w:val="18"/>
              </w:rPr>
            </w:pPr>
            <w:r>
              <w:rPr>
                <w:rFonts w:ascii="宋体" w:hAnsi="宋体" w:cs="宋体" w:eastAsia="宋体" w:hint="default"/>
                <w:sz w:val="18"/>
                <w:szCs w:val="18"/>
              </w:rPr>
              <w:t>董事、常务 副总经理、 财务负责人</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9"/>
              <w:jc w:val="center"/>
              <w:rPr>
                <w:rFonts w:ascii="宋体" w:hAnsi="宋体" w:cs="宋体" w:eastAsia="宋体" w:hint="default"/>
                <w:sz w:val="18"/>
                <w:szCs w:val="18"/>
              </w:rPr>
            </w:pPr>
            <w:r>
              <w:rPr>
                <w:rFonts w:ascii="宋体" w:hAnsi="宋体" w:cs="宋体" w:eastAsia="宋体" w:hint="default"/>
                <w:sz w:val="18"/>
                <w:szCs w:val="18"/>
              </w:rPr>
              <w:t>现任</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53</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16"/>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1,473,929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1,473,929</w:t>
            </w:r>
          </w:p>
        </w:tc>
      </w:tr>
      <w:tr>
        <w:trPr>
          <w:trHeight w:val="754" w:hRule="exact"/>
        </w:trPr>
        <w:tc>
          <w:tcPr>
            <w:tcW w:w="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罗攀峰</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0"/>
              <w:ind w:left="23" w:right="57"/>
              <w:jc w:val="left"/>
              <w:rPr>
                <w:rFonts w:ascii="宋体" w:hAnsi="宋体" w:cs="宋体" w:eastAsia="宋体" w:hint="default"/>
                <w:sz w:val="18"/>
                <w:szCs w:val="18"/>
              </w:rPr>
            </w:pPr>
            <w:r>
              <w:rPr>
                <w:rFonts w:ascii="宋体" w:hAnsi="宋体" w:cs="宋体" w:eastAsia="宋体" w:hint="default"/>
                <w:sz w:val="18"/>
                <w:szCs w:val="18"/>
              </w:rPr>
              <w:t>董事、常务 副总经理</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right="9"/>
              <w:jc w:val="center"/>
              <w:rPr>
                <w:rFonts w:ascii="宋体" w:hAnsi="宋体" w:cs="宋体" w:eastAsia="宋体" w:hint="default"/>
                <w:sz w:val="18"/>
                <w:szCs w:val="18"/>
              </w:rPr>
            </w:pPr>
            <w:r>
              <w:rPr>
                <w:rFonts w:ascii="宋体" w:hAnsi="宋体" w:cs="宋体" w:eastAsia="宋体" w:hint="default"/>
                <w:sz w:val="18"/>
                <w:szCs w:val="18"/>
              </w:rPr>
              <w:t>现任</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0"/>
                <w:szCs w:val="20"/>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44</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before="10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right="16"/>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0"/>
                <w:szCs w:val="20"/>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朱桂龙</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
              <w:jc w:val="center"/>
              <w:rPr>
                <w:rFonts w:ascii="宋体" w:hAnsi="宋体" w:cs="宋体" w:eastAsia="宋体" w:hint="default"/>
                <w:sz w:val="18"/>
                <w:szCs w:val="18"/>
              </w:rPr>
            </w:pPr>
            <w:r>
              <w:rPr>
                <w:rFonts w:ascii="宋体" w:hAnsi="宋体" w:cs="宋体" w:eastAsia="宋体" w:hint="default"/>
                <w:sz w:val="18"/>
                <w:szCs w:val="18"/>
              </w:rPr>
              <w:t>现任</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71" w:right="0"/>
              <w:jc w:val="left"/>
              <w:rPr>
                <w:rFonts w:ascii="Times New Roman" w:hAnsi="Times New Roman" w:cs="Times New Roman" w:eastAsia="Times New Roman" w:hint="default"/>
                <w:sz w:val="18"/>
                <w:szCs w:val="18"/>
              </w:rPr>
            </w:pPr>
            <w:r>
              <w:rPr>
                <w:rFonts w:ascii="Times New Roman"/>
                <w:sz w:val="18"/>
              </w:rPr>
              <w:t>56</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6"/>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0</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杨  闰</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现任</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44</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6"/>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邢良文</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
              <w:jc w:val="center"/>
              <w:rPr>
                <w:rFonts w:ascii="宋体" w:hAnsi="宋体" w:cs="宋体" w:eastAsia="宋体" w:hint="default"/>
                <w:sz w:val="18"/>
                <w:szCs w:val="18"/>
              </w:rPr>
            </w:pPr>
            <w:r>
              <w:rPr>
                <w:rFonts w:ascii="宋体" w:hAnsi="宋体" w:cs="宋体" w:eastAsia="宋体" w:hint="default"/>
                <w:sz w:val="18"/>
                <w:szCs w:val="18"/>
              </w:rPr>
              <w:t>现任</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71" w:right="0"/>
              <w:jc w:val="left"/>
              <w:rPr>
                <w:rFonts w:ascii="Times New Roman" w:hAnsi="Times New Roman" w:cs="Times New Roman" w:eastAsia="Times New Roman" w:hint="default"/>
                <w:sz w:val="18"/>
                <w:szCs w:val="18"/>
              </w:rPr>
            </w:pPr>
            <w:r>
              <w:rPr>
                <w:rFonts w:ascii="Times New Roman"/>
                <w:sz w:val="18"/>
              </w:rPr>
              <w:t>57</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6"/>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0</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诸  岗</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现任</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47</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6"/>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肖勋勇</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
              <w:jc w:val="center"/>
              <w:rPr>
                <w:rFonts w:ascii="宋体" w:hAnsi="宋体" w:cs="宋体" w:eastAsia="宋体" w:hint="default"/>
                <w:sz w:val="18"/>
                <w:szCs w:val="18"/>
              </w:rPr>
            </w:pPr>
            <w:r>
              <w:rPr>
                <w:rFonts w:ascii="宋体" w:hAnsi="宋体" w:cs="宋体" w:eastAsia="宋体" w:hint="default"/>
                <w:sz w:val="18"/>
                <w:szCs w:val="18"/>
              </w:rPr>
              <w:t>现任</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71" w:right="0"/>
              <w:jc w:val="left"/>
              <w:rPr>
                <w:rFonts w:ascii="Times New Roman" w:hAnsi="Times New Roman" w:cs="Times New Roman" w:eastAsia="Times New Roman" w:hint="default"/>
                <w:sz w:val="18"/>
                <w:szCs w:val="18"/>
              </w:rPr>
            </w:pPr>
            <w:r>
              <w:rPr>
                <w:rFonts w:ascii="Times New Roman"/>
                <w:sz w:val="18"/>
              </w:rPr>
              <w:t>50</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6"/>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0</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邝建洲</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现任</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50</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6"/>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李叶东</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
              <w:jc w:val="center"/>
              <w:rPr>
                <w:rFonts w:ascii="宋体" w:hAnsi="宋体" w:cs="宋体" w:eastAsia="宋体" w:hint="default"/>
                <w:sz w:val="18"/>
                <w:szCs w:val="18"/>
              </w:rPr>
            </w:pPr>
            <w:r>
              <w:rPr>
                <w:rFonts w:ascii="宋体" w:hAnsi="宋体" w:cs="宋体" w:eastAsia="宋体" w:hint="default"/>
                <w:sz w:val="18"/>
                <w:szCs w:val="18"/>
              </w:rPr>
              <w:t>现任</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71" w:right="0"/>
              <w:jc w:val="left"/>
              <w:rPr>
                <w:rFonts w:ascii="Times New Roman" w:hAnsi="Times New Roman" w:cs="Times New Roman" w:eastAsia="Times New Roman" w:hint="default"/>
                <w:sz w:val="18"/>
                <w:szCs w:val="18"/>
              </w:rPr>
            </w:pPr>
            <w:r>
              <w:rPr>
                <w:rFonts w:ascii="Times New Roman"/>
                <w:sz w:val="18"/>
              </w:rPr>
              <w:t>49</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6"/>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169,502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0</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169,502</w:t>
            </w:r>
          </w:p>
        </w:tc>
      </w:tr>
      <w:tr>
        <w:trPr>
          <w:trHeight w:val="402" w:hRule="exact"/>
        </w:trPr>
        <w:tc>
          <w:tcPr>
            <w:tcW w:w="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魏  东</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现任</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43</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6"/>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解永生</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
              <w:jc w:val="center"/>
              <w:rPr>
                <w:rFonts w:ascii="宋体" w:hAnsi="宋体" w:cs="宋体" w:eastAsia="宋体" w:hint="default"/>
                <w:sz w:val="18"/>
                <w:szCs w:val="18"/>
              </w:rPr>
            </w:pPr>
            <w:r>
              <w:rPr>
                <w:rFonts w:ascii="宋体" w:hAnsi="宋体" w:cs="宋体" w:eastAsia="宋体" w:hint="default"/>
                <w:sz w:val="18"/>
                <w:szCs w:val="18"/>
              </w:rPr>
              <w:t>现任</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71" w:right="0"/>
              <w:jc w:val="left"/>
              <w:rPr>
                <w:rFonts w:ascii="Times New Roman" w:hAnsi="Times New Roman" w:cs="Times New Roman" w:eastAsia="Times New Roman" w:hint="default"/>
                <w:sz w:val="18"/>
                <w:szCs w:val="18"/>
              </w:rPr>
            </w:pPr>
            <w:r>
              <w:rPr>
                <w:rFonts w:ascii="Times New Roman"/>
                <w:sz w:val="18"/>
              </w:rPr>
              <w:t>45</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6"/>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12,150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0</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12,150</w:t>
            </w:r>
          </w:p>
        </w:tc>
      </w:tr>
      <w:tr>
        <w:trPr>
          <w:trHeight w:val="402" w:hRule="exact"/>
        </w:trPr>
        <w:tc>
          <w:tcPr>
            <w:tcW w:w="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罗一明</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现任</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44</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6"/>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钟  勇</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
              <w:jc w:val="center"/>
              <w:rPr>
                <w:rFonts w:ascii="宋体" w:hAnsi="宋体" w:cs="宋体" w:eastAsia="宋体" w:hint="default"/>
                <w:sz w:val="18"/>
                <w:szCs w:val="18"/>
              </w:rPr>
            </w:pPr>
            <w:r>
              <w:rPr>
                <w:rFonts w:ascii="宋体" w:hAnsi="宋体" w:cs="宋体" w:eastAsia="宋体" w:hint="default"/>
                <w:sz w:val="18"/>
                <w:szCs w:val="18"/>
              </w:rPr>
              <w:t>现任</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71" w:right="0"/>
              <w:jc w:val="left"/>
              <w:rPr>
                <w:rFonts w:ascii="Times New Roman" w:hAnsi="Times New Roman" w:cs="Times New Roman" w:eastAsia="Times New Roman" w:hint="default"/>
                <w:sz w:val="18"/>
                <w:szCs w:val="18"/>
              </w:rPr>
            </w:pPr>
            <w:r>
              <w:rPr>
                <w:rFonts w:ascii="Times New Roman"/>
                <w:sz w:val="18"/>
              </w:rPr>
              <w:t>47</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6"/>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0</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蒋春晨</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57"/>
              <w:jc w:val="left"/>
              <w:rPr>
                <w:rFonts w:ascii="宋体" w:hAnsi="宋体" w:cs="宋体" w:eastAsia="宋体" w:hint="default"/>
                <w:sz w:val="18"/>
                <w:szCs w:val="18"/>
              </w:rPr>
            </w:pPr>
            <w:r>
              <w:rPr>
                <w:rFonts w:ascii="宋体" w:hAnsi="宋体" w:cs="宋体" w:eastAsia="宋体" w:hint="default"/>
                <w:sz w:val="18"/>
                <w:szCs w:val="18"/>
              </w:rPr>
              <w:t>副总经理、 财务负责人</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9"/>
              <w:jc w:val="center"/>
              <w:rPr>
                <w:rFonts w:ascii="宋体" w:hAnsi="宋体" w:cs="宋体" w:eastAsia="宋体" w:hint="default"/>
                <w:sz w:val="18"/>
                <w:szCs w:val="18"/>
              </w:rPr>
            </w:pPr>
            <w:r>
              <w:rPr>
                <w:rFonts w:ascii="宋体" w:hAnsi="宋体" w:cs="宋体" w:eastAsia="宋体" w:hint="default"/>
                <w:sz w:val="18"/>
                <w:szCs w:val="18"/>
              </w:rPr>
              <w:t>离任</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56</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476,950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476,950</w:t>
            </w:r>
          </w:p>
        </w:tc>
      </w:tr>
      <w:tr>
        <w:trPr>
          <w:trHeight w:val="402" w:hRule="exact"/>
        </w:trPr>
        <w:tc>
          <w:tcPr>
            <w:tcW w:w="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韩  莹</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
              <w:jc w:val="center"/>
              <w:rPr>
                <w:rFonts w:ascii="宋体" w:hAnsi="宋体" w:cs="宋体" w:eastAsia="宋体" w:hint="default"/>
                <w:sz w:val="18"/>
                <w:szCs w:val="18"/>
              </w:rPr>
            </w:pPr>
            <w:r>
              <w:rPr>
                <w:rFonts w:ascii="宋体" w:hAnsi="宋体" w:cs="宋体" w:eastAsia="宋体" w:hint="default"/>
                <w:sz w:val="18"/>
                <w:szCs w:val="18"/>
              </w:rPr>
              <w:t>离任</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71" w:right="0"/>
              <w:jc w:val="left"/>
              <w:rPr>
                <w:rFonts w:ascii="Times New Roman" w:hAnsi="Times New Roman" w:cs="Times New Roman" w:eastAsia="Times New Roman" w:hint="default"/>
                <w:sz w:val="18"/>
                <w:szCs w:val="18"/>
              </w:rPr>
            </w:pPr>
            <w:r>
              <w:rPr>
                <w:rFonts w:ascii="Times New Roman"/>
                <w:sz w:val="18"/>
              </w:rPr>
              <w:t>47</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0</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6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w:t>
            </w:r>
          </w:p>
        </w:tc>
        <w:tc>
          <w:tcPr>
            <w:tcW w:w="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w:t>
            </w:r>
          </w:p>
        </w:tc>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17,858,471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17,858,471</w:t>
            </w:r>
          </w:p>
        </w:tc>
      </w:tr>
    </w:tbl>
    <w:p>
      <w:pPr>
        <w:spacing w:after="0" w:line="240" w:lineRule="auto"/>
        <w:jc w:val="right"/>
        <w:rPr>
          <w:rFonts w:ascii="Times New Roman" w:hAnsi="Times New Roman" w:cs="Times New Roman" w:eastAsia="Times New Roman" w:hint="default"/>
          <w:sz w:val="18"/>
          <w:szCs w:val="18"/>
        </w:rPr>
        <w:sectPr>
          <w:pgSz w:w="11910" w:h="16840"/>
          <w:pgMar w:header="878" w:footer="978" w:top="1100" w:bottom="1160" w:left="820" w:right="0"/>
        </w:sectPr>
      </w:pPr>
    </w:p>
    <w:p>
      <w:pPr>
        <w:spacing w:line="240" w:lineRule="auto" w:before="10"/>
        <w:rPr>
          <w:rFonts w:ascii="宋体" w:hAnsi="宋体" w:cs="宋体" w:eastAsia="宋体" w:hint="default"/>
          <w:b/>
          <w:bCs/>
          <w:sz w:val="19"/>
          <w:szCs w:val="19"/>
        </w:rPr>
      </w:pPr>
    </w:p>
    <w:p>
      <w:pPr>
        <w:pStyle w:val="Heading2"/>
        <w:spacing w:line="240" w:lineRule="auto" w:before="26"/>
        <w:ind w:left="192" w:right="1124"/>
        <w:jc w:val="left"/>
        <w:rPr>
          <w:b w:val="0"/>
          <w:bCs w:val="0"/>
        </w:rPr>
      </w:pPr>
      <w:bookmarkStart w:name="二、公司董事、监事、高级管理人员变动情况" w:id="126"/>
      <w:bookmarkEnd w:id="126"/>
      <w:r>
        <w:rPr>
          <w:b w:val="0"/>
          <w:bCs w:val="0"/>
        </w:rPr>
      </w:r>
      <w:r>
        <w:rPr/>
        <w:t>二、公司董事、监事、高级管理人员变动情况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192" w:right="112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
        <w:rPr>
          <w:rFonts w:ascii="宋体" w:hAnsi="宋体" w:cs="宋体" w:eastAsia="宋体" w:hint="default"/>
          <w:sz w:val="7"/>
          <w:szCs w:val="7"/>
        </w:rPr>
      </w:pPr>
    </w:p>
    <w:tbl>
      <w:tblPr>
        <w:tblW w:w="0" w:type="auto"/>
        <w:jc w:val="left"/>
        <w:tblInd w:w="117" w:type="dxa"/>
        <w:tblLayout w:type="fixed"/>
        <w:tblCellMar>
          <w:top w:w="0" w:type="dxa"/>
          <w:left w:w="0" w:type="dxa"/>
          <w:bottom w:w="0" w:type="dxa"/>
          <w:right w:w="0" w:type="dxa"/>
        </w:tblCellMar>
        <w:tblLook w:val="01E0"/>
      </w:tblPr>
      <w:tblGrid>
        <w:gridCol w:w="709"/>
        <w:gridCol w:w="1064"/>
        <w:gridCol w:w="637"/>
        <w:gridCol w:w="1559"/>
        <w:gridCol w:w="5812"/>
      </w:tblGrid>
      <w:tr>
        <w:trPr>
          <w:trHeight w:val="402" w:hRule="exact"/>
        </w:trPr>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9"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3" w:right="0"/>
              <w:jc w:val="left"/>
              <w:rPr>
                <w:rFonts w:ascii="宋体" w:hAnsi="宋体" w:cs="宋体" w:eastAsia="宋体" w:hint="default"/>
                <w:sz w:val="18"/>
                <w:szCs w:val="18"/>
              </w:rPr>
            </w:pPr>
            <w:r>
              <w:rPr>
                <w:rFonts w:ascii="宋体" w:hAnsi="宋体" w:cs="宋体" w:eastAsia="宋体" w:hint="default"/>
                <w:sz w:val="18"/>
                <w:szCs w:val="18"/>
              </w:rPr>
              <w:t>类型</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58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4"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陈建良</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财务负责人</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聘任</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81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108"/>
              <w:jc w:val="left"/>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日召开第五届董事会第二十四次（临时）会议聘 任陈建良为公司财务负责人。</w:t>
            </w:r>
          </w:p>
        </w:tc>
      </w:tr>
      <w:tr>
        <w:trPr>
          <w:trHeight w:val="714"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罗一明</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聘任</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81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3" w:right="108"/>
              <w:jc w:val="left"/>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日召开第五届董事会第二十二次（临时）会议聘 任罗一明为公司副总经理。</w:t>
            </w:r>
          </w:p>
        </w:tc>
      </w:tr>
      <w:tr>
        <w:trPr>
          <w:trHeight w:val="714"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7" w:right="0"/>
              <w:jc w:val="left"/>
              <w:rPr>
                <w:rFonts w:ascii="宋体" w:hAnsi="宋体" w:cs="宋体" w:eastAsia="宋体" w:hint="default"/>
                <w:sz w:val="18"/>
                <w:szCs w:val="18"/>
              </w:rPr>
            </w:pPr>
            <w:r>
              <w:rPr>
                <w:rFonts w:ascii="宋体" w:hAnsi="宋体" w:cs="宋体" w:eastAsia="宋体" w:hint="default"/>
                <w:sz w:val="18"/>
                <w:szCs w:val="18"/>
              </w:rPr>
              <w:t>蒋春晨</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0"/>
              <w:jc w:val="left"/>
              <w:rPr>
                <w:rFonts w:ascii="宋体" w:hAnsi="宋体" w:cs="宋体" w:eastAsia="宋体" w:hint="default"/>
                <w:sz w:val="18"/>
                <w:szCs w:val="18"/>
              </w:rPr>
            </w:pPr>
            <w:r>
              <w:rPr>
                <w:rFonts w:ascii="宋体" w:hAnsi="宋体" w:cs="宋体" w:eastAsia="宋体" w:hint="default"/>
                <w:spacing w:val="-12"/>
                <w:sz w:val="18"/>
                <w:szCs w:val="18"/>
              </w:rPr>
              <w:t>副总经理、财</w:t>
            </w:r>
            <w:r>
              <w:rPr>
                <w:rFonts w:ascii="宋体" w:hAnsi="宋体" w:cs="宋体" w:eastAsia="宋体" w:hint="default"/>
                <w:sz w:val="18"/>
                <w:szCs w:val="18"/>
              </w:rPr>
              <w:t> 务负责人</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8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1"/>
              <w:jc w:val="left"/>
              <w:rPr>
                <w:rFonts w:ascii="宋体" w:hAnsi="宋体" w:cs="宋体" w:eastAsia="宋体" w:hint="default"/>
                <w:sz w:val="18"/>
                <w:szCs w:val="18"/>
              </w:rPr>
            </w:pPr>
            <w:r>
              <w:rPr>
                <w:rFonts w:ascii="宋体" w:hAnsi="宋体" w:cs="宋体" w:eastAsia="宋体" w:hint="default"/>
                <w:sz w:val="18"/>
                <w:szCs w:val="18"/>
              </w:rPr>
              <w:t>因个人原因辞去公司副总经理和财务负责人职务，辞职后不再担任公司任 何职务。</w:t>
            </w:r>
          </w:p>
        </w:tc>
      </w:tr>
      <w:tr>
        <w:trPr>
          <w:trHeight w:val="402"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7" w:right="0"/>
              <w:jc w:val="left"/>
              <w:rPr>
                <w:rFonts w:ascii="宋体" w:hAnsi="宋体" w:cs="宋体" w:eastAsia="宋体" w:hint="default"/>
                <w:sz w:val="18"/>
                <w:szCs w:val="18"/>
              </w:rPr>
            </w:pPr>
            <w:r>
              <w:rPr>
                <w:rFonts w:ascii="宋体" w:hAnsi="宋体" w:cs="宋体" w:eastAsia="宋体" w:hint="default"/>
                <w:sz w:val="18"/>
                <w:szCs w:val="18"/>
              </w:rPr>
              <w:t>韩  莹</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因工作调整不再担任公司副总经理职务，另有任用。</w:t>
            </w:r>
          </w:p>
        </w:tc>
      </w:tr>
    </w:tbl>
    <w:p>
      <w:pPr>
        <w:spacing w:line="240" w:lineRule="auto" w:before="3"/>
        <w:rPr>
          <w:rFonts w:ascii="宋体" w:hAnsi="宋体" w:cs="宋体" w:eastAsia="宋体" w:hint="default"/>
          <w:sz w:val="18"/>
          <w:szCs w:val="18"/>
        </w:rPr>
      </w:pPr>
    </w:p>
    <w:p>
      <w:pPr>
        <w:pStyle w:val="Heading2"/>
        <w:spacing w:line="240" w:lineRule="auto" w:before="26"/>
        <w:ind w:left="192" w:right="1124"/>
        <w:jc w:val="left"/>
        <w:rPr>
          <w:b w:val="0"/>
          <w:bCs w:val="0"/>
        </w:rPr>
      </w:pPr>
      <w:bookmarkStart w:name="三、任职情况" w:id="127"/>
      <w:bookmarkEnd w:id="127"/>
      <w:r>
        <w:rPr>
          <w:b w:val="0"/>
          <w:bCs w:val="0"/>
        </w:rPr>
      </w:r>
      <w:r>
        <w:rPr/>
        <w:t>三、任职情况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192" w:right="1124"/>
        <w:jc w:val="left"/>
      </w:pPr>
      <w:r>
        <w:rPr/>
        <w:t>公司现任董事、监事、高级管理人员专业背景、主要工作经历以及目前在公司的主要职责</w:t>
      </w:r>
    </w:p>
    <w:p>
      <w:pPr>
        <w:pStyle w:val="BodyText"/>
        <w:spacing w:line="340" w:lineRule="auto" w:before="115"/>
        <w:ind w:left="552" w:right="1124"/>
        <w:jc w:val="left"/>
      </w:pPr>
      <w:r>
        <w:rPr>
          <w:rFonts w:ascii="Times New Roman" w:hAnsi="Times New Roman" w:cs="Times New Roman" w:eastAsia="Times New Roman" w:hint="default"/>
        </w:rPr>
        <w:t>1</w:t>
      </w:r>
      <w:r>
        <w:rPr/>
        <w:t>、第五届董事会成员 黄跃珍，中国国籍，</w:t>
      </w:r>
      <w:r>
        <w:rPr>
          <w:rFonts w:ascii="Times New Roman" w:hAnsi="Times New Roman" w:cs="Times New Roman" w:eastAsia="Times New Roman" w:hint="default"/>
        </w:rPr>
        <w:t>1973</w:t>
      </w:r>
      <w:r>
        <w:rPr/>
        <w:t>年</w:t>
      </w:r>
      <w:r>
        <w:rPr>
          <w:rFonts w:ascii="Times New Roman" w:hAnsi="Times New Roman" w:cs="Times New Roman" w:eastAsia="Times New Roman" w:hint="default"/>
        </w:rPr>
        <w:t>9</w:t>
      </w:r>
      <w:r>
        <w:rPr/>
        <w:t>月出生，研究生学历，工商管理硕士。曾任广东省现代信息服务行业协会秘书长，无线电</w:t>
      </w:r>
    </w:p>
    <w:p>
      <w:pPr>
        <w:pStyle w:val="BodyText"/>
        <w:spacing w:line="215" w:lineRule="exact"/>
        <w:ind w:left="192" w:right="642"/>
        <w:jc w:val="left"/>
      </w:pPr>
      <w:r>
        <w:rPr/>
        <w:t>集团总裁助理兼技术管理部部长、副总裁，广电城市服务董事长，平云资本、广电国际商贸、海格通信董事，广电研究院董</w:t>
      </w:r>
    </w:p>
    <w:p>
      <w:pPr>
        <w:pStyle w:val="BodyText"/>
        <w:spacing w:line="360" w:lineRule="auto" w:before="76"/>
        <w:ind w:left="552" w:right="1124" w:hanging="360"/>
        <w:jc w:val="left"/>
      </w:pPr>
      <w:r>
        <w:rPr/>
        <w:t>事、总经理。现任公司党委书记、董事长，无线电集团党委副书记、总经理、副董事长，广电计量董事长。 </w:t>
      </w:r>
      <w:r>
        <w:rPr>
          <w:spacing w:val="-2"/>
        </w:rPr>
        <w:t>叶子瑜，中国国籍，</w:t>
      </w:r>
      <w:r>
        <w:rPr>
          <w:rFonts w:ascii="Times New Roman" w:hAnsi="Times New Roman" w:cs="Times New Roman" w:eastAsia="Times New Roman" w:hint="default"/>
          <w:spacing w:val="-2"/>
        </w:rPr>
        <w:t>1963</w:t>
      </w:r>
      <w:r>
        <w:rPr>
          <w:spacing w:val="-2"/>
        </w:rPr>
        <w:t>年</w:t>
      </w:r>
      <w:r>
        <w:rPr>
          <w:rFonts w:ascii="Times New Roman" w:hAnsi="Times New Roman" w:cs="Times New Roman" w:eastAsia="Times New Roman" w:hint="default"/>
          <w:spacing w:val="-2"/>
        </w:rPr>
        <w:t>6</w:t>
      </w:r>
      <w:r>
        <w:rPr>
          <w:spacing w:val="-2"/>
        </w:rPr>
        <w:t>月出生，研究生学历，高级工程师。曾任国营</w:t>
      </w:r>
      <w:r>
        <w:rPr>
          <w:rFonts w:ascii="Times New Roman" w:hAnsi="Times New Roman" w:cs="Times New Roman" w:eastAsia="Times New Roman" w:hint="default"/>
          <w:spacing w:val="-2"/>
        </w:rPr>
        <w:t>750</w:t>
      </w:r>
      <w:r>
        <w:rPr>
          <w:spacing w:val="-2"/>
        </w:rPr>
        <w:t>厂技术工艺科助理工程师，海华电子企业</w:t>
      </w:r>
    </w:p>
    <w:p>
      <w:pPr>
        <w:pStyle w:val="BodyText"/>
        <w:spacing w:line="199" w:lineRule="exact"/>
        <w:ind w:left="192" w:right="642"/>
        <w:jc w:val="left"/>
      </w:pPr>
      <w:r>
        <w:rPr/>
        <w:t>（中国）有限公司工程师、高级工程师、拓展部经理、总工程师，广州科苑电子有限公司副总经理，广州无线电集团军工通</w:t>
      </w:r>
    </w:p>
    <w:p>
      <w:pPr>
        <w:pStyle w:val="BodyText"/>
        <w:spacing w:line="316" w:lineRule="auto" w:before="76"/>
        <w:ind w:left="192" w:right="1034"/>
        <w:jc w:val="left"/>
      </w:pPr>
      <w:r>
        <w:rPr>
          <w:spacing w:val="-2"/>
        </w:rPr>
        <w:t>讯总公司总工程师，广电运通副总经理，支点创投董事长、总经理，创自技术董事长、董事，汇通金融、龙源环保、广州穗</w:t>
      </w:r>
      <w:r>
        <w:rPr>
          <w:spacing w:val="-66"/>
        </w:rPr>
        <w:t> </w:t>
      </w:r>
      <w:r>
        <w:rPr>
          <w:spacing w:val="-66"/>
        </w:rPr>
      </w:r>
      <w:r>
        <w:rPr/>
        <w:t>通、运通信息、中智融通、广州银通、广电汇通、运通智能，运通国际董事长，广电研究院董事。现任公司董事、总经理， 广州市广百小额贷款有限公司、广电安保董事。</w:t>
      </w:r>
    </w:p>
    <w:p>
      <w:pPr>
        <w:pStyle w:val="BodyText"/>
        <w:spacing w:line="314" w:lineRule="auto" w:before="57"/>
        <w:ind w:left="192" w:right="1132" w:firstLine="360"/>
        <w:jc w:val="both"/>
      </w:pPr>
      <w:r>
        <w:rPr/>
        <w:t>杨文峰，中国国籍，</w:t>
      </w:r>
      <w:r>
        <w:rPr>
          <w:rFonts w:ascii="Times New Roman" w:hAnsi="Times New Roman" w:cs="Times New Roman" w:eastAsia="Times New Roman" w:hint="default"/>
        </w:rPr>
        <w:t>1978</w:t>
      </w:r>
      <w:r>
        <w:rPr/>
        <w:t>年</w:t>
      </w:r>
      <w:r>
        <w:rPr>
          <w:rFonts w:ascii="Times New Roman" w:hAnsi="Times New Roman" w:cs="Times New Roman" w:eastAsia="Times New Roman" w:hint="default"/>
        </w:rPr>
        <w:t>9</w:t>
      </w:r>
      <w:r>
        <w:rPr/>
        <w:t>月出生，研究生学历，技术经济及管理硕士学位。曾任湖南富兴集团有限公司投资经理， </w:t>
      </w:r>
      <w:r>
        <w:rPr>
          <w:spacing w:val="-2"/>
        </w:rPr>
        <w:t>深圳江铜南方总公司投资经理，金蝶软件集团有限公司投资发展总监，无线电集团高级投资经理、投资发展部副部长、资产</w:t>
      </w:r>
      <w:r>
        <w:rPr>
          <w:spacing w:val="-66"/>
        </w:rPr>
        <w:t> </w:t>
      </w:r>
      <w:r>
        <w:rPr>
          <w:spacing w:val="-66"/>
        </w:rPr>
      </w:r>
      <w:r>
        <w:rPr>
          <w:spacing w:val="-2"/>
        </w:rPr>
        <w:t>运营管理部副部长，平云资本董事、董事会秘书。现任公司董事，无线电集团董事会秘书、资产运营管理部部长、董事会办</w:t>
      </w:r>
      <w:r>
        <w:rPr>
          <w:spacing w:val="-66"/>
        </w:rPr>
        <w:t> </w:t>
      </w:r>
      <w:r>
        <w:rPr>
          <w:spacing w:val="-66"/>
        </w:rPr>
      </w:r>
      <w:r>
        <w:rPr>
          <w:spacing w:val="-2"/>
        </w:rPr>
        <w:t>公室主任，海格通信、广电城市服务、广电新兴产业园、广电智能、广州广哈通信股份有限公司、盈富泰克创业投资有限公</w:t>
      </w:r>
      <w:r>
        <w:rPr>
          <w:spacing w:val="-66"/>
        </w:rPr>
        <w:t> </w:t>
      </w:r>
      <w:r>
        <w:rPr>
          <w:spacing w:val="-66"/>
        </w:rPr>
      </w:r>
      <w:r>
        <w:rPr/>
        <w:t>司董事。</w:t>
      </w:r>
    </w:p>
    <w:p>
      <w:pPr>
        <w:pStyle w:val="BodyText"/>
        <w:spacing w:line="309" w:lineRule="auto" w:before="61"/>
        <w:ind w:left="192" w:right="1132" w:firstLine="360"/>
        <w:jc w:val="both"/>
      </w:pPr>
      <w:r>
        <w:rPr/>
        <w:t>陈荣，中国国籍，</w:t>
      </w:r>
      <w:r>
        <w:rPr>
          <w:rFonts w:ascii="Times New Roman" w:hAnsi="Times New Roman" w:cs="Times New Roman" w:eastAsia="Times New Roman" w:hint="default"/>
        </w:rPr>
        <w:t>1986</w:t>
      </w:r>
      <w:r>
        <w:rPr/>
        <w:t>年</w:t>
      </w:r>
      <w:r>
        <w:rPr>
          <w:rFonts w:ascii="Times New Roman" w:hAnsi="Times New Roman" w:cs="Times New Roman" w:eastAsia="Times New Roman" w:hint="default"/>
        </w:rPr>
        <w:t>1</w:t>
      </w:r>
      <w:r>
        <w:rPr/>
        <w:t>月出生，本科学历，会计师，审计师。曾任广州无线电集团有限公司财务会计部总账报表组 </w:t>
      </w:r>
      <w:r>
        <w:rPr>
          <w:spacing w:val="-2"/>
        </w:rPr>
        <w:t>主管、财务会计部部长助理、财务会计部副部长，广电新兴产业园监事。现任公司董事，无线电集团财务会计部部长，广电</w:t>
      </w:r>
      <w:r>
        <w:rPr>
          <w:spacing w:val="-66"/>
        </w:rPr>
        <w:t> </w:t>
      </w:r>
      <w:r>
        <w:rPr>
          <w:spacing w:val="-66"/>
        </w:rPr>
      </w:r>
      <w:r>
        <w:rPr/>
        <w:t>研究院、广电城市服务、广电国际商贸、平云资本、广电新兴产业园、广州越秀小额贷款有限公司董事。</w:t>
      </w:r>
    </w:p>
    <w:p>
      <w:pPr>
        <w:pStyle w:val="BodyText"/>
        <w:spacing w:line="312" w:lineRule="auto" w:before="65"/>
        <w:ind w:left="192" w:right="1132" w:firstLine="360"/>
        <w:jc w:val="both"/>
      </w:pPr>
      <w:r>
        <w:rPr/>
        <w:t>陈建良，中国国籍，</w:t>
      </w:r>
      <w:r>
        <w:rPr>
          <w:rFonts w:ascii="Times New Roman" w:hAnsi="Times New Roman" w:cs="Times New Roman" w:eastAsia="Times New Roman" w:hint="default"/>
        </w:rPr>
        <w:t>1967</w:t>
      </w:r>
      <w:r>
        <w:rPr/>
        <w:t>年</w:t>
      </w:r>
      <w:r>
        <w:rPr>
          <w:rFonts w:ascii="Times New Roman" w:hAnsi="Times New Roman" w:cs="Times New Roman" w:eastAsia="Times New Roman" w:hint="default"/>
        </w:rPr>
        <w:t>9</w:t>
      </w:r>
      <w:r>
        <w:rPr/>
        <w:t>月出生，研究生学历，工程师。曾任广州无线电厂电视机分厂结构设计师、设计室主任和 </w:t>
      </w:r>
      <w:r>
        <w:rPr>
          <w:spacing w:val="-2"/>
        </w:rPr>
        <w:t>采购部经理，广电运通结构设计部经理、物料部经理、总经理助理兼制造部经理。现任公司党委副书记、董事、常务副总经</w:t>
      </w:r>
      <w:r>
        <w:rPr>
          <w:spacing w:val="-66"/>
        </w:rPr>
        <w:t> </w:t>
      </w:r>
      <w:r>
        <w:rPr>
          <w:spacing w:val="-66"/>
        </w:rPr>
      </w:r>
      <w:r>
        <w:rPr>
          <w:spacing w:val="-2"/>
        </w:rPr>
        <w:t>理、财务负责人，广州银通董事长、总经理，广州穗通、广电安保董事长，广电汇通、中智融通、运通信息、运通智能、信</w:t>
      </w:r>
      <w:r>
        <w:rPr>
          <w:spacing w:val="-70"/>
        </w:rPr>
        <w:t> </w:t>
      </w:r>
      <w:r>
        <w:rPr>
          <w:spacing w:val="-70"/>
        </w:rPr>
      </w:r>
      <w:r>
        <w:rPr/>
        <w:t>义科技、汇通金融董事，广电研究院董事。</w:t>
      </w:r>
    </w:p>
    <w:p>
      <w:pPr>
        <w:pStyle w:val="BodyText"/>
        <w:spacing w:line="312" w:lineRule="auto" w:before="61"/>
        <w:ind w:left="192" w:right="642" w:firstLine="360"/>
        <w:jc w:val="left"/>
      </w:pPr>
      <w:r>
        <w:rPr>
          <w:spacing w:val="-2"/>
        </w:rPr>
        <w:t>罗攀峰，中国国籍，</w:t>
      </w:r>
      <w:r>
        <w:rPr>
          <w:rFonts w:ascii="Times New Roman" w:hAnsi="Times New Roman" w:cs="Times New Roman" w:eastAsia="Times New Roman" w:hint="default"/>
          <w:spacing w:val="-2"/>
        </w:rPr>
        <w:t>1976</w:t>
      </w:r>
      <w:r>
        <w:rPr>
          <w:spacing w:val="-2"/>
        </w:rPr>
        <w:t>年</w:t>
      </w:r>
      <w:r>
        <w:rPr>
          <w:rFonts w:ascii="Times New Roman" w:hAnsi="Times New Roman" w:cs="Times New Roman" w:eastAsia="Times New Roman" w:hint="default"/>
          <w:spacing w:val="-2"/>
        </w:rPr>
        <w:t>9</w:t>
      </w:r>
      <w:r>
        <w:rPr>
          <w:spacing w:val="-2"/>
        </w:rPr>
        <w:t>月出生，研究生学历，电子技术高级工程师。曾任公司系统集成部经理、金融市场部经理、</w:t>
      </w:r>
      <w:r>
        <w:rPr/>
        <w:t> </w:t>
      </w:r>
      <w:r>
        <w:rPr>
          <w:spacing w:val="-4"/>
        </w:rPr>
        <w:t>市场总监、总经理助理、副总经理，汇通金融董事长、总经理，广州穗通、运通智能、支点创投、龙源环保董事，中智融通、</w:t>
      </w:r>
      <w:r>
        <w:rPr>
          <w:spacing w:val="-49"/>
        </w:rPr>
        <w:t> </w:t>
      </w:r>
      <w:r>
        <w:rPr>
          <w:spacing w:val="-49"/>
        </w:rPr>
      </w:r>
      <w:r>
        <w:rPr>
          <w:spacing w:val="-2"/>
        </w:rPr>
        <w:t>广电汇通、运通信息总经理。现任公司董事、常务副总经理，运通信息、中智融通、中科江南董事长，广州银通、广电汇通</w:t>
      </w:r>
      <w:r>
        <w:rPr>
          <w:spacing w:val="-66"/>
        </w:rPr>
        <w:t> </w:t>
      </w:r>
      <w:r>
        <w:rPr>
          <w:spacing w:val="-66"/>
        </w:rPr>
      </w:r>
      <w:r>
        <w:rPr/>
        <w:t>董事。</w:t>
      </w:r>
    </w:p>
    <w:p>
      <w:pPr>
        <w:pStyle w:val="BodyText"/>
        <w:spacing w:line="300" w:lineRule="auto" w:before="63"/>
        <w:ind w:left="192" w:right="1051" w:firstLine="360"/>
        <w:jc w:val="both"/>
      </w:pPr>
      <w:r>
        <w:rPr/>
        <w:t>朱桂龙，中国国籍，</w:t>
      </w:r>
      <w:r>
        <w:rPr>
          <w:rFonts w:ascii="Times New Roman" w:hAnsi="Times New Roman" w:cs="Times New Roman" w:eastAsia="Times New Roman" w:hint="default"/>
        </w:rPr>
        <w:t>1964</w:t>
      </w:r>
      <w:r>
        <w:rPr/>
        <w:t>年</w:t>
      </w:r>
      <w:r>
        <w:rPr>
          <w:rFonts w:ascii="Times New Roman" w:hAnsi="Times New Roman" w:cs="Times New Roman" w:eastAsia="Times New Roman" w:hint="default"/>
        </w:rPr>
        <w:t>11</w:t>
      </w:r>
      <w:r>
        <w:rPr/>
        <w:t>月出生，博士学历，教授，博士生导师，取得深圳证券交易所授予的独立董事资格证书。 </w:t>
      </w:r>
      <w:r>
        <w:rPr>
          <w:spacing w:val="-2"/>
        </w:rPr>
        <w:t>曾任华南理工大学工商管理学院副院长、院长，中国系统工程学会副理事长，江苏赛福天钢索股份有限公司独立董事。现任</w:t>
      </w:r>
    </w:p>
    <w:p>
      <w:pPr>
        <w:spacing w:after="0" w:line="300" w:lineRule="auto"/>
        <w:jc w:val="both"/>
        <w:sectPr>
          <w:pgSz w:w="11910" w:h="16840"/>
          <w:pgMar w:header="878" w:footer="978" w:top="1100" w:bottom="1160" w:left="940" w:right="0"/>
        </w:sectPr>
      </w:pPr>
    </w:p>
    <w:p>
      <w:pPr>
        <w:spacing w:line="240" w:lineRule="auto" w:before="1"/>
        <w:rPr>
          <w:rFonts w:ascii="宋体" w:hAnsi="宋体" w:cs="宋体" w:eastAsia="宋体" w:hint="default"/>
          <w:sz w:val="22"/>
          <w:szCs w:val="22"/>
        </w:rPr>
      </w:pPr>
    </w:p>
    <w:p>
      <w:pPr>
        <w:pStyle w:val="BodyText"/>
        <w:spacing w:line="316" w:lineRule="auto" w:before="44"/>
        <w:ind w:right="0"/>
        <w:jc w:val="left"/>
      </w:pPr>
      <w:r>
        <w:rPr>
          <w:spacing w:val="-2"/>
        </w:rPr>
        <w:t>公司独立董事，华南理工大学工商管理学院教授、博士生导师，兼任广东省技术经济和管理现代化研究会副会长，广东省经</w:t>
      </w:r>
      <w:r>
        <w:rPr>
          <w:spacing w:val="-66"/>
        </w:rPr>
        <w:t> </w:t>
      </w:r>
      <w:r>
        <w:rPr>
          <w:spacing w:val="-66"/>
        </w:rPr>
      </w:r>
      <w:r>
        <w:rPr/>
        <w:t>济学会副会长，中国南玻集团股份有限公司、广州金域医学检验集团股份有限公司独立董事。</w:t>
      </w:r>
    </w:p>
    <w:p>
      <w:pPr>
        <w:pStyle w:val="BodyText"/>
        <w:spacing w:line="309" w:lineRule="auto" w:before="57"/>
        <w:ind w:right="1132" w:firstLine="360"/>
        <w:jc w:val="both"/>
      </w:pPr>
      <w:r>
        <w:rPr/>
        <w:t>杨闰，中国国籍，</w:t>
      </w:r>
      <w:r>
        <w:rPr>
          <w:rFonts w:ascii="Times New Roman" w:hAnsi="Times New Roman" w:cs="Times New Roman" w:eastAsia="Times New Roman" w:hint="default"/>
        </w:rPr>
        <w:t>1976</w:t>
      </w:r>
      <w:r>
        <w:rPr/>
        <w:t>年</w:t>
      </w:r>
      <w:r>
        <w:rPr>
          <w:rFonts w:ascii="Times New Roman" w:hAnsi="Times New Roman" w:cs="Times New Roman" w:eastAsia="Times New Roman" w:hint="default"/>
        </w:rPr>
        <w:t>8</w:t>
      </w:r>
      <w:r>
        <w:rPr/>
        <w:t>月出生，研究生学历，律师，取得深圳证券交易所授予的独立董事资格证书。曾任广东广大 </w:t>
      </w:r>
      <w:r>
        <w:rPr>
          <w:spacing w:val="-2"/>
        </w:rPr>
        <w:t>律师事务所律师，广东天禾农资股份有限公司独立董事。现任公司独立董事，北京德恒（广州）律师事务所律师，仙乐健康</w:t>
      </w:r>
      <w:r>
        <w:rPr>
          <w:spacing w:val="-66"/>
        </w:rPr>
        <w:t> </w:t>
      </w:r>
      <w:r>
        <w:rPr>
          <w:spacing w:val="-66"/>
        </w:rPr>
      </w:r>
      <w:r>
        <w:rPr/>
        <w:t>科技股份有限公司独立董事。</w:t>
      </w:r>
    </w:p>
    <w:p>
      <w:pPr>
        <w:pStyle w:val="BodyText"/>
        <w:spacing w:line="314" w:lineRule="auto" w:before="65"/>
        <w:ind w:right="1034" w:firstLine="360"/>
        <w:jc w:val="left"/>
      </w:pPr>
      <w:r>
        <w:rPr/>
        <w:t>邢良文，中国国籍，</w:t>
      </w:r>
      <w:r>
        <w:rPr>
          <w:rFonts w:ascii="Times New Roman" w:hAnsi="Times New Roman" w:cs="Times New Roman" w:eastAsia="Times New Roman" w:hint="default"/>
        </w:rPr>
        <w:t>1963</w:t>
      </w:r>
      <w:r>
        <w:rPr/>
        <w:t>年</w:t>
      </w:r>
      <w:r>
        <w:rPr>
          <w:rFonts w:ascii="Times New Roman" w:hAnsi="Times New Roman" w:cs="Times New Roman" w:eastAsia="Times New Roman" w:hint="default"/>
        </w:rPr>
        <w:t>9</w:t>
      </w:r>
      <w:r>
        <w:rPr/>
        <w:t>月出生，本科学历，中国注册会计师〔资深会员（执业）〕、中国注册税务师、中国注册 资产评估师，会计师、审计师，取得深圳证券交易所授予的独立董事资格证书。曾任广州市黄埔会计师事务所业务部经理。 </w:t>
      </w:r>
      <w:r>
        <w:rPr>
          <w:spacing w:val="-2"/>
        </w:rPr>
        <w:t>现任公司独立董事，广东丰衡会计师事务所有限公司主任会计师，广州丰衡税务师事务所有限公司总经理，广东省审计厅第</w:t>
      </w:r>
      <w:r>
        <w:rPr>
          <w:spacing w:val="-65"/>
        </w:rPr>
        <w:t> </w:t>
      </w:r>
      <w:r>
        <w:rPr>
          <w:spacing w:val="-65"/>
        </w:rPr>
      </w:r>
      <w:r>
        <w:rPr>
          <w:spacing w:val="-2"/>
        </w:rPr>
        <w:t>六、七届特约审计员，广东省税务师协会理事，广州市社会保险监督委员会委员，广州港集团有限公司外部董事，广东省注</w:t>
      </w:r>
      <w:r>
        <w:rPr>
          <w:spacing w:val="-65"/>
        </w:rPr>
        <w:t> </w:t>
      </w:r>
      <w:r>
        <w:rPr>
          <w:spacing w:val="-65"/>
        </w:rPr>
      </w:r>
      <w:r>
        <w:rPr/>
        <w:t>册会计师协会理事、审查委员会委员，广州注册会计师协会常务理事、诚信委员会委员、行业工会副主席。</w:t>
      </w:r>
    </w:p>
    <w:p>
      <w:pPr>
        <w:pStyle w:val="BodyText"/>
        <w:spacing w:line="338" w:lineRule="auto" w:before="61"/>
        <w:ind w:left="472" w:right="1124"/>
        <w:jc w:val="left"/>
      </w:pPr>
      <w:r>
        <w:rPr>
          <w:rFonts w:ascii="Times New Roman" w:hAnsi="Times New Roman" w:cs="Times New Roman" w:eastAsia="Times New Roman" w:hint="default"/>
        </w:rPr>
        <w:t>2</w:t>
      </w:r>
      <w:r>
        <w:rPr/>
        <w:t>、第五届监事会成员 诸岗，中国国籍，</w:t>
      </w:r>
      <w:r>
        <w:rPr>
          <w:rFonts w:ascii="Times New Roman" w:hAnsi="Times New Roman" w:cs="Times New Roman" w:eastAsia="Times New Roman" w:hint="default"/>
        </w:rPr>
        <w:t>1973</w:t>
      </w:r>
      <w:r>
        <w:rPr/>
        <w:t>年</w:t>
      </w:r>
      <w:r>
        <w:rPr>
          <w:rFonts w:ascii="Times New Roman" w:hAnsi="Times New Roman" w:cs="Times New Roman" w:eastAsia="Times New Roman" w:hint="default"/>
        </w:rPr>
        <w:t>8</w:t>
      </w:r>
      <w:r>
        <w:rPr/>
        <w:t>月出生，研究生学历，经济师、税务师。曾任广州恒大地产集团有限公司经营副总监，广东</w:t>
      </w:r>
    </w:p>
    <w:p>
      <w:pPr>
        <w:pStyle w:val="BodyText"/>
        <w:spacing w:line="217" w:lineRule="exact"/>
        <w:ind w:right="0"/>
        <w:jc w:val="left"/>
      </w:pPr>
      <w:r>
        <w:rPr/>
        <w:t>溢达纺织有限公司财务高级经理，韶关市住宅建筑工程有限公司财务总监，广电国际商贸董事。现任公司监事会主席，广州</w:t>
      </w:r>
    </w:p>
    <w:p>
      <w:pPr>
        <w:pStyle w:val="BodyText"/>
        <w:spacing w:line="316" w:lineRule="auto" w:before="76"/>
        <w:ind w:right="1120"/>
        <w:jc w:val="left"/>
      </w:pPr>
      <w:r>
        <w:rPr>
          <w:spacing w:val="-2"/>
        </w:rPr>
        <w:t>无线电集团有限公司审计部部长，平云资本董事，海格通信监事会主席，广电智能、广州信息投资有限公司、广电新兴产业</w:t>
      </w:r>
      <w:r>
        <w:rPr>
          <w:spacing w:val="-65"/>
        </w:rPr>
        <w:t> </w:t>
      </w:r>
      <w:r>
        <w:rPr>
          <w:spacing w:val="-65"/>
        </w:rPr>
      </w:r>
      <w:r>
        <w:rPr/>
        <w:t>园监事。</w:t>
      </w:r>
    </w:p>
    <w:p>
      <w:pPr>
        <w:pStyle w:val="BodyText"/>
        <w:spacing w:line="309" w:lineRule="auto" w:before="59"/>
        <w:ind w:right="1132" w:firstLine="360"/>
        <w:jc w:val="both"/>
      </w:pPr>
      <w:r>
        <w:rPr>
          <w:spacing w:val="-2"/>
        </w:rPr>
        <w:t>肖勋勇，中国国籍，</w:t>
      </w:r>
      <w:r>
        <w:rPr>
          <w:rFonts w:ascii="Times New Roman" w:hAnsi="Times New Roman" w:cs="Times New Roman" w:eastAsia="Times New Roman" w:hint="default"/>
          <w:spacing w:val="-2"/>
        </w:rPr>
        <w:t>1970</w:t>
      </w:r>
      <w:r>
        <w:rPr>
          <w:spacing w:val="-2"/>
        </w:rPr>
        <w:t>年</w:t>
      </w:r>
      <w:r>
        <w:rPr>
          <w:rFonts w:ascii="Times New Roman" w:hAnsi="Times New Roman" w:cs="Times New Roman" w:eastAsia="Times New Roman" w:hint="default"/>
          <w:spacing w:val="-2"/>
        </w:rPr>
        <w:t>12</w:t>
      </w:r>
      <w:r>
        <w:rPr>
          <w:spacing w:val="-2"/>
        </w:rPr>
        <w:t>月出生，博士研究生，高级经济师。曾任美的集团股份有限公司企划投资经理，广州无线</w:t>
      </w:r>
      <w:r>
        <w:rPr/>
        <w:t> </w:t>
      </w:r>
      <w:r>
        <w:rPr>
          <w:spacing w:val="-2"/>
        </w:rPr>
        <w:t>电集团有限公司投资发展部副部长，广电运通董事、总经理助理，广电国际商贸董事长，海格通信、汇通金融、广电新兴产</w:t>
      </w:r>
      <w:r>
        <w:rPr>
          <w:spacing w:val="-66"/>
        </w:rPr>
        <w:t> </w:t>
      </w:r>
      <w:r>
        <w:rPr>
          <w:spacing w:val="-66"/>
        </w:rPr>
      </w:r>
      <w:r>
        <w:rPr/>
        <w:t>业园、广电智能董事，平云资本总经理。现任公司监事，平云资本董事，广电国际商贸副董事长。</w:t>
      </w:r>
    </w:p>
    <w:p>
      <w:pPr>
        <w:pStyle w:val="BodyText"/>
        <w:spacing w:line="300" w:lineRule="auto" w:before="65"/>
        <w:ind w:right="1041" w:firstLine="360"/>
        <w:jc w:val="both"/>
      </w:pPr>
      <w:r>
        <w:rPr>
          <w:spacing w:val="-2"/>
        </w:rPr>
        <w:t>邝建洲，中国国籍，</w:t>
      </w:r>
      <w:r>
        <w:rPr>
          <w:rFonts w:ascii="Times New Roman" w:hAnsi="Times New Roman" w:cs="Times New Roman" w:eastAsia="Times New Roman" w:hint="default"/>
          <w:spacing w:val="-2"/>
        </w:rPr>
        <w:t>1970</w:t>
      </w:r>
      <w:r>
        <w:rPr>
          <w:spacing w:val="-2"/>
        </w:rPr>
        <w:t>年</w:t>
      </w:r>
      <w:r>
        <w:rPr>
          <w:rFonts w:ascii="Times New Roman" w:hAnsi="Times New Roman" w:cs="Times New Roman" w:eastAsia="Times New Roman" w:hint="default"/>
          <w:spacing w:val="-2"/>
        </w:rPr>
        <w:t>7</w:t>
      </w:r>
      <w:r>
        <w:rPr>
          <w:spacing w:val="-2"/>
        </w:rPr>
        <w:t>月出生，本科学历。曾任广州无线电集团有限公司电子一厂财务主管，公司财务部副经理，</w:t>
      </w:r>
      <w:r>
        <w:rPr/>
        <w:t> 现任公司纪委书记、职工代表监事，汇通金融监事会主席，支点创投、运通信息、运通智能、龙源环保监事。</w:t>
      </w:r>
    </w:p>
    <w:p>
      <w:pPr>
        <w:pStyle w:val="BodyText"/>
        <w:spacing w:line="338" w:lineRule="auto" w:before="70"/>
        <w:ind w:left="472" w:right="3124"/>
        <w:jc w:val="left"/>
      </w:pPr>
      <w:r>
        <w:rPr>
          <w:rFonts w:ascii="Times New Roman" w:hAnsi="Times New Roman" w:cs="Times New Roman" w:eastAsia="Times New Roman" w:hint="default"/>
        </w:rPr>
        <w:t>3</w:t>
      </w:r>
      <w:r>
        <w:rPr/>
        <w:t>、高级管理人员 叶子瑜，本公司总经理，简历参阅本年度报告</w:t>
      </w:r>
      <w:r>
        <w:rPr>
          <w:rFonts w:ascii="Times New Roman" w:hAnsi="Times New Roman" w:cs="Times New Roman" w:eastAsia="Times New Roman" w:hint="default"/>
        </w:rPr>
        <w:t>“</w:t>
      </w:r>
      <w:r>
        <w:rPr/>
        <w:t>第八节、三、</w:t>
      </w:r>
      <w:r>
        <w:rPr>
          <w:rFonts w:ascii="Times New Roman" w:hAnsi="Times New Roman" w:cs="Times New Roman" w:eastAsia="Times New Roman" w:hint="default"/>
        </w:rPr>
        <w:t>1</w:t>
      </w:r>
      <w:r>
        <w:rPr/>
        <w:t>、第五届董事会成员</w:t>
      </w:r>
      <w:r>
        <w:rPr>
          <w:rFonts w:ascii="Times New Roman" w:hAnsi="Times New Roman" w:cs="Times New Roman" w:eastAsia="Times New Roman" w:hint="default"/>
        </w:rPr>
        <w:t>”</w:t>
      </w:r>
      <w:r>
        <w:rPr/>
        <w:t>。 陈建良，本公司常务副总经理，简历参阅本年度报告</w:t>
      </w:r>
      <w:r>
        <w:rPr>
          <w:rFonts w:ascii="Times New Roman" w:hAnsi="Times New Roman" w:cs="Times New Roman" w:eastAsia="Times New Roman" w:hint="default"/>
        </w:rPr>
        <w:t>“</w:t>
      </w:r>
      <w:r>
        <w:rPr/>
        <w:t>第八节、三、</w:t>
      </w:r>
      <w:r>
        <w:rPr>
          <w:rFonts w:ascii="Times New Roman" w:hAnsi="Times New Roman" w:cs="Times New Roman" w:eastAsia="Times New Roman" w:hint="default"/>
        </w:rPr>
        <w:t>1</w:t>
      </w:r>
      <w:r>
        <w:rPr/>
        <w:t>、第五届董事会成员</w:t>
      </w:r>
      <w:r>
        <w:rPr>
          <w:rFonts w:ascii="Times New Roman" w:hAnsi="Times New Roman" w:cs="Times New Roman" w:eastAsia="Times New Roman" w:hint="default"/>
        </w:rPr>
        <w:t>”</w:t>
      </w:r>
      <w:r>
        <w:rPr/>
        <w:t>。 罗攀峰，本公司常务副总经理，简历参阅本年度报告</w:t>
      </w:r>
      <w:r>
        <w:rPr>
          <w:rFonts w:ascii="Times New Roman" w:hAnsi="Times New Roman" w:cs="Times New Roman" w:eastAsia="Times New Roman" w:hint="default"/>
        </w:rPr>
        <w:t>“</w:t>
      </w:r>
      <w:r>
        <w:rPr/>
        <w:t>第八节、三、</w:t>
      </w:r>
      <w:r>
        <w:rPr>
          <w:rFonts w:ascii="Times New Roman" w:hAnsi="Times New Roman" w:cs="Times New Roman" w:eastAsia="Times New Roman" w:hint="default"/>
        </w:rPr>
        <w:t>1</w:t>
      </w:r>
      <w:r>
        <w:rPr/>
        <w:t>、第五届董事会成员</w:t>
      </w:r>
      <w:r>
        <w:rPr>
          <w:rFonts w:ascii="Times New Roman" w:hAnsi="Times New Roman" w:cs="Times New Roman" w:eastAsia="Times New Roman" w:hint="default"/>
        </w:rPr>
        <w:t>”</w:t>
      </w:r>
      <w:r>
        <w:rPr/>
        <w:t>。</w:t>
      </w:r>
    </w:p>
    <w:p>
      <w:pPr>
        <w:pStyle w:val="BodyText"/>
        <w:spacing w:line="312" w:lineRule="auto" w:before="22"/>
        <w:ind w:right="1132" w:firstLine="360"/>
        <w:jc w:val="both"/>
      </w:pPr>
      <w:r>
        <w:rPr/>
        <w:t>李叶东，中国国籍，</w:t>
      </w:r>
      <w:r>
        <w:rPr>
          <w:rFonts w:ascii="Times New Roman" w:hAnsi="Times New Roman" w:cs="Times New Roman" w:eastAsia="Times New Roman" w:hint="default"/>
        </w:rPr>
        <w:t>1971</w:t>
      </w:r>
      <w:r>
        <w:rPr/>
        <w:t>年</w:t>
      </w:r>
      <w:r>
        <w:rPr>
          <w:rFonts w:ascii="Times New Roman" w:hAnsi="Times New Roman" w:cs="Times New Roman" w:eastAsia="Times New Roman" w:hint="default"/>
        </w:rPr>
        <w:t>9</w:t>
      </w:r>
      <w:r>
        <w:rPr/>
        <w:t>月出生，研究生学历。曾任合肥天鹅空调器科技有限公司助理工程师，东莞大同机械有限 </w:t>
      </w:r>
      <w:r>
        <w:rPr>
          <w:spacing w:val="-2"/>
        </w:rPr>
        <w:t>公司工程部副经理，顺德科达自动化有限公司项目主管，广州神通电信科技有限公司工程师，广电运通硬件工程师、硬件开</w:t>
      </w:r>
      <w:r>
        <w:rPr>
          <w:spacing w:val="-66"/>
        </w:rPr>
        <w:t> </w:t>
      </w:r>
      <w:r>
        <w:rPr>
          <w:spacing w:val="-66"/>
        </w:rPr>
      </w:r>
      <w:r>
        <w:rPr>
          <w:spacing w:val="-2"/>
        </w:rPr>
        <w:t>发部模块组主任、海外客户服务部副经理、经理、总经理助理。现任公司副总经理，运通国际董事、总经理，广州银通、中</w:t>
      </w:r>
      <w:r>
        <w:rPr>
          <w:spacing w:val="-66"/>
        </w:rPr>
        <w:t> </w:t>
      </w:r>
      <w:r>
        <w:rPr>
          <w:spacing w:val="-66"/>
        </w:rPr>
      </w:r>
      <w:r>
        <w:rPr/>
        <w:t>智融通、运通信息董事。</w:t>
      </w:r>
    </w:p>
    <w:p>
      <w:pPr>
        <w:pStyle w:val="BodyText"/>
        <w:spacing w:line="309" w:lineRule="auto" w:before="63"/>
        <w:ind w:right="1132" w:firstLine="360"/>
        <w:jc w:val="both"/>
      </w:pPr>
      <w:r>
        <w:rPr/>
        <w:t>魏东，中国国籍，</w:t>
      </w:r>
      <w:r>
        <w:rPr>
          <w:rFonts w:ascii="Times New Roman" w:hAnsi="Times New Roman" w:cs="Times New Roman" w:eastAsia="Times New Roman" w:hint="default"/>
        </w:rPr>
        <w:t>1977</w:t>
      </w:r>
      <w:r>
        <w:rPr/>
        <w:t>年</w:t>
      </w:r>
      <w:r>
        <w:rPr>
          <w:rFonts w:ascii="Times New Roman" w:hAnsi="Times New Roman" w:cs="Times New Roman" w:eastAsia="Times New Roman" w:hint="default"/>
        </w:rPr>
        <w:t>2</w:t>
      </w:r>
      <w:r>
        <w:rPr/>
        <w:t>月出生，研究生学历。曾任公司工业设计部工程师、工业设计部取款机芯组主任、上海研发 </w:t>
      </w:r>
      <w:r>
        <w:rPr>
          <w:spacing w:val="-2"/>
        </w:rPr>
        <w:t>中心经理、研究院副总工程师、制造中心生产总监、总经理助理、党委副书记、汇通金融董事。现任公司副总经理，广电计</w:t>
      </w:r>
      <w:r>
        <w:rPr>
          <w:spacing w:val="-64"/>
        </w:rPr>
        <w:t> </w:t>
      </w:r>
      <w:r>
        <w:rPr>
          <w:spacing w:val="-64"/>
        </w:rPr>
      </w:r>
      <w:r>
        <w:rPr/>
        <w:t>量、广州银通、广电汇通、运通智能、运通信息、中智融通、创自技术、支点创投、中科江南董事。</w:t>
      </w:r>
    </w:p>
    <w:p>
      <w:pPr>
        <w:pStyle w:val="BodyText"/>
        <w:spacing w:line="309" w:lineRule="auto" w:before="62"/>
        <w:ind w:right="0" w:firstLine="360"/>
        <w:jc w:val="left"/>
      </w:pPr>
      <w:r>
        <w:rPr/>
        <w:t>解永生，中国国籍，</w:t>
      </w:r>
      <w:r>
        <w:rPr>
          <w:rFonts w:ascii="Times New Roman" w:hAnsi="Times New Roman" w:cs="Times New Roman" w:eastAsia="Times New Roman" w:hint="default"/>
        </w:rPr>
        <w:t>1975</w:t>
      </w:r>
      <w:r>
        <w:rPr/>
        <w:t>年</w:t>
      </w:r>
      <w:r>
        <w:rPr>
          <w:rFonts w:ascii="Times New Roman" w:hAnsi="Times New Roman" w:cs="Times New Roman" w:eastAsia="Times New Roman" w:hint="default"/>
        </w:rPr>
        <w:t>5</w:t>
      </w:r>
      <w:r>
        <w:rPr/>
        <w:t>月出生，研究生学历。曾任合肥佳通轮胎有限公司助理工程师，广电运通硬件开发部工程 </w:t>
      </w:r>
      <w:r>
        <w:rPr>
          <w:spacing w:val="-4"/>
        </w:rPr>
        <w:t>师，公司硬件开发部副经理、经理、副总工程师、轨道交通事业部总监、总经理助理，运通智能总经理；现任公司副总经理，</w:t>
      </w:r>
      <w:r>
        <w:rPr>
          <w:spacing w:val="-41"/>
        </w:rPr>
        <w:t> </w:t>
      </w:r>
      <w:r>
        <w:rPr>
          <w:spacing w:val="-41"/>
        </w:rPr>
      </w:r>
      <w:r>
        <w:rPr/>
        <w:t>运通智能、创自技术董事长。</w:t>
      </w:r>
    </w:p>
    <w:p>
      <w:pPr>
        <w:pStyle w:val="BodyText"/>
        <w:spacing w:line="300" w:lineRule="auto" w:before="65"/>
        <w:ind w:right="1041" w:firstLine="360"/>
        <w:jc w:val="left"/>
      </w:pPr>
      <w:r>
        <w:rPr/>
        <w:t>罗一明，中国国籍，</w:t>
      </w:r>
      <w:r>
        <w:rPr>
          <w:rFonts w:ascii="Times New Roman" w:hAnsi="Times New Roman" w:cs="Times New Roman" w:eastAsia="Times New Roman" w:hint="default"/>
        </w:rPr>
        <w:t>1976</w:t>
      </w:r>
      <w:r>
        <w:rPr/>
        <w:t>年</w:t>
      </w:r>
      <w:r>
        <w:rPr>
          <w:rFonts w:ascii="Times New Roman" w:hAnsi="Times New Roman" w:cs="Times New Roman" w:eastAsia="Times New Roman" w:hint="default"/>
        </w:rPr>
        <w:t>3</w:t>
      </w:r>
      <w:r>
        <w:rPr/>
        <w:t>月出生，本科学历，学士学位。曾任肇庆市广宁县古水镇团委书记、党政办公室副主任； 肇庆市广宁县团委副书记；广东省委办公厅接待办副主任科员、接待一处主任科员、接待二处副处长</w:t>
      </w:r>
      <w:r>
        <w:rPr>
          <w:rFonts w:ascii="Times New Roman" w:hAnsi="Times New Roman" w:cs="Times New Roman" w:eastAsia="Times New Roman" w:hint="default"/>
        </w:rPr>
        <w:t>(</w:t>
      </w:r>
      <w:r>
        <w:rPr/>
        <w:t>其间</w:t>
      </w:r>
      <w:r>
        <w:rPr>
          <w:rFonts w:ascii="Times New Roman" w:hAnsi="Times New Roman" w:cs="Times New Roman" w:eastAsia="Times New Roman" w:hint="default"/>
        </w:rPr>
        <w:t>:</w:t>
      </w:r>
      <w:r>
        <w:rPr>
          <w:rFonts w:ascii="Times New Roman" w:hAnsi="Times New Roman" w:cs="Times New Roman" w:eastAsia="Times New Roman" w:hint="default"/>
          <w:spacing w:val="-28"/>
        </w:rPr>
        <w:t> </w:t>
      </w:r>
      <w:r>
        <w:rPr>
          <w:rFonts w:ascii="Times New Roman" w:hAnsi="Times New Roman" w:cs="Times New Roman" w:eastAsia="Times New Roman" w:hint="default"/>
        </w:rPr>
        <w:t>2012.11--2014.03</w:t>
      </w:r>
      <w:r>
        <w:rPr>
          <w:rFonts w:ascii="Times New Roman" w:hAnsi="Times New Roman" w:cs="Times New Roman" w:eastAsia="Times New Roman" w:hint="default"/>
        </w:rPr>
        <w:t> </w:t>
      </w:r>
      <w:r>
        <w:rPr>
          <w:spacing w:val="-2"/>
        </w:rPr>
        <w:t>借调到省委办公厅会务处工作；</w:t>
      </w:r>
      <w:r>
        <w:rPr>
          <w:rFonts w:ascii="Times New Roman" w:hAnsi="Times New Roman" w:cs="Times New Roman" w:eastAsia="Times New Roman" w:hint="default"/>
          <w:spacing w:val="-2"/>
        </w:rPr>
        <w:t>2014.09--2014.12</w:t>
      </w:r>
      <w:r>
        <w:rPr>
          <w:spacing w:val="-2"/>
        </w:rPr>
        <w:t>省委党校中青二班学习</w:t>
      </w:r>
      <w:r>
        <w:rPr>
          <w:rFonts w:ascii="Times New Roman" w:hAnsi="Times New Roman" w:cs="Times New Roman" w:eastAsia="Times New Roman" w:hint="default"/>
          <w:spacing w:val="-2"/>
        </w:rPr>
        <w:t>)</w:t>
      </w:r>
      <w:r>
        <w:rPr>
          <w:spacing w:val="-2"/>
        </w:rPr>
        <w:t>；广东省信访局办公室主任；广电运通党委副书记、</w:t>
      </w:r>
      <w:r>
        <w:rPr>
          <w:spacing w:val="-52"/>
        </w:rPr>
        <w:t> </w:t>
      </w:r>
      <w:r>
        <w:rPr>
          <w:spacing w:val="-52"/>
        </w:rPr>
      </w:r>
      <w:r>
        <w:rPr/>
        <w:t>纪委书记、工会主席。现任公司副总经理，信义科技、辉远电子董事长，广电汇通董事、总经理。</w:t>
      </w:r>
    </w:p>
    <w:p>
      <w:pPr>
        <w:pStyle w:val="BodyText"/>
        <w:spacing w:line="312" w:lineRule="auto" w:before="72"/>
        <w:ind w:right="1132" w:firstLine="360"/>
        <w:jc w:val="both"/>
      </w:pPr>
      <w:r>
        <w:rPr>
          <w:spacing w:val="-2"/>
        </w:rPr>
        <w:t>钟勇，中国国籍，</w:t>
      </w:r>
      <w:r>
        <w:rPr>
          <w:rFonts w:ascii="Times New Roman" w:hAnsi="Times New Roman" w:cs="Times New Roman" w:eastAsia="Times New Roman" w:hint="default"/>
          <w:spacing w:val="-2"/>
        </w:rPr>
        <w:t>1973</w:t>
      </w:r>
      <w:r>
        <w:rPr>
          <w:spacing w:val="-2"/>
        </w:rPr>
        <w:t>年</w:t>
      </w:r>
      <w:r>
        <w:rPr>
          <w:rFonts w:ascii="Times New Roman" w:hAnsi="Times New Roman" w:cs="Times New Roman" w:eastAsia="Times New Roman" w:hint="default"/>
          <w:spacing w:val="-2"/>
        </w:rPr>
        <w:t>10</w:t>
      </w:r>
      <w:r>
        <w:rPr>
          <w:spacing w:val="-2"/>
        </w:rPr>
        <w:t>月出生，本科学历，取得董事会秘书资格证书。曾任北京北大方正电子有限公司长沙分公司</w:t>
      </w:r>
      <w:r>
        <w:rPr/>
        <w:t> </w:t>
      </w:r>
      <w:r>
        <w:rPr>
          <w:spacing w:val="-2"/>
        </w:rPr>
        <w:t>总经理助理、华南区系统集成部总监，北京方正新天地科技有限公司华南区经理，广东开普互联信息技术有限公司联合创始</w:t>
      </w:r>
      <w:r>
        <w:rPr>
          <w:spacing w:val="-65"/>
        </w:rPr>
        <w:t> </w:t>
      </w:r>
      <w:r>
        <w:rPr>
          <w:spacing w:val="-65"/>
        </w:rPr>
      </w:r>
      <w:r>
        <w:rPr>
          <w:spacing w:val="-2"/>
        </w:rPr>
        <w:t>人、副总经理，北京新聚思信息科技有限公司华南区经理，美国易腾迈科技公司中国区渠道总监，北京中科江南信息技术股</w:t>
      </w:r>
      <w:r>
        <w:rPr>
          <w:spacing w:val="-66"/>
        </w:rPr>
        <w:t> </w:t>
      </w:r>
      <w:r>
        <w:rPr>
          <w:spacing w:val="-66"/>
        </w:rPr>
      </w:r>
      <w:r>
        <w:rPr/>
        <w:t>份有限公司董事会秘书、副总经理，支点创投总经理。现任公司董事会秘书、支点创投、龙源环保、汇通金融董事长。</w:t>
      </w:r>
    </w:p>
    <w:p>
      <w:pPr>
        <w:spacing w:after="0" w:line="312" w:lineRule="auto"/>
        <w:jc w:val="both"/>
        <w:sectPr>
          <w:pgSz w:w="11910" w:h="16840"/>
          <w:pgMar w:header="878" w:footer="978" w:top="1100" w:bottom="1160" w:left="1020" w:right="0"/>
        </w:sectPr>
      </w:pPr>
    </w:p>
    <w:p>
      <w:pPr>
        <w:spacing w:line="240" w:lineRule="auto" w:before="1"/>
        <w:rPr>
          <w:rFonts w:ascii="宋体" w:hAnsi="宋体" w:cs="宋体" w:eastAsia="宋体" w:hint="default"/>
          <w:sz w:val="22"/>
          <w:szCs w:val="22"/>
        </w:rPr>
      </w:pPr>
    </w:p>
    <w:p>
      <w:pPr>
        <w:pStyle w:val="BodyText"/>
        <w:spacing w:line="240" w:lineRule="auto" w:before="44"/>
        <w:ind w:left="132" w:right="1122"/>
        <w:jc w:val="left"/>
      </w:pPr>
      <w:r>
        <w:rPr/>
        <w:t>在股东单位任职情况</w:t>
      </w:r>
    </w:p>
    <w:p>
      <w:pPr>
        <w:pStyle w:val="BodyText"/>
        <w:spacing w:line="240" w:lineRule="auto" w:before="115"/>
        <w:ind w:left="132"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
        <w:rPr>
          <w:rFonts w:ascii="宋体" w:hAnsi="宋体" w:cs="宋体" w:eastAsia="宋体" w:hint="default"/>
          <w:sz w:val="7"/>
          <w:szCs w:val="7"/>
        </w:rPr>
      </w:pPr>
    </w:p>
    <w:tbl>
      <w:tblPr>
        <w:tblW w:w="0" w:type="auto"/>
        <w:jc w:val="left"/>
        <w:tblInd w:w="129" w:type="dxa"/>
        <w:tblLayout w:type="fixed"/>
        <w:tblCellMar>
          <w:top w:w="0" w:type="dxa"/>
          <w:left w:w="0" w:type="dxa"/>
          <w:bottom w:w="0" w:type="dxa"/>
          <w:right w:w="0" w:type="dxa"/>
        </w:tblCellMar>
        <w:tblLook w:val="01E0"/>
      </w:tblPr>
      <w:tblGrid>
        <w:gridCol w:w="709"/>
        <w:gridCol w:w="992"/>
        <w:gridCol w:w="2694"/>
        <w:gridCol w:w="1842"/>
        <w:gridCol w:w="1560"/>
        <w:gridCol w:w="1771"/>
      </w:tblGrid>
      <w:tr>
        <w:trPr>
          <w:trHeight w:val="754" w:hRule="exact"/>
        </w:trPr>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0"/>
              <w:ind w:left="77" w:right="79"/>
              <w:jc w:val="left"/>
              <w:rPr>
                <w:rFonts w:ascii="宋体" w:hAnsi="宋体" w:cs="宋体" w:eastAsia="宋体" w:hint="default"/>
                <w:sz w:val="18"/>
                <w:szCs w:val="18"/>
              </w:rPr>
            </w:pPr>
            <w:r>
              <w:rPr>
                <w:rFonts w:ascii="宋体" w:hAnsi="宋体" w:cs="宋体" w:eastAsia="宋体" w:hint="default"/>
                <w:sz w:val="18"/>
                <w:szCs w:val="18"/>
              </w:rPr>
              <w:t>任职人 员姓名</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7" w:lineRule="auto" w:before="51"/>
              <w:ind w:left="312" w:right="128" w:hanging="180"/>
              <w:jc w:val="left"/>
              <w:rPr>
                <w:rFonts w:ascii="宋体" w:hAnsi="宋体" w:cs="宋体" w:eastAsia="宋体" w:hint="default"/>
                <w:sz w:val="18"/>
                <w:szCs w:val="18"/>
              </w:rPr>
            </w:pPr>
            <w:r>
              <w:rPr>
                <w:rFonts w:ascii="宋体" w:hAnsi="宋体" w:cs="宋体" w:eastAsia="宋体" w:hint="default"/>
                <w:sz w:val="18"/>
                <w:szCs w:val="18"/>
              </w:rPr>
              <w:t>股东单位 名称</w:t>
            </w:r>
          </w:p>
        </w:tc>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440" w:right="0"/>
              <w:jc w:val="left"/>
              <w:rPr>
                <w:rFonts w:ascii="宋体" w:hAnsi="宋体" w:cs="宋体" w:eastAsia="宋体" w:hint="default"/>
                <w:sz w:val="18"/>
                <w:szCs w:val="18"/>
              </w:rPr>
            </w:pPr>
            <w:r>
              <w:rPr>
                <w:rFonts w:ascii="宋体" w:hAnsi="宋体" w:cs="宋体" w:eastAsia="宋体" w:hint="default"/>
                <w:sz w:val="18"/>
                <w:szCs w:val="18"/>
              </w:rPr>
              <w:t>在股东单位担任的职务</w:t>
            </w:r>
          </w:p>
        </w:tc>
        <w:tc>
          <w:tcPr>
            <w:tcW w:w="1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375"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17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7" w:lineRule="auto" w:before="51"/>
              <w:ind w:left="340" w:right="250" w:hanging="92"/>
              <w:jc w:val="left"/>
              <w:rPr>
                <w:rFonts w:ascii="宋体" w:hAnsi="宋体" w:cs="宋体" w:eastAsia="宋体" w:hint="default"/>
                <w:sz w:val="18"/>
                <w:szCs w:val="18"/>
              </w:rPr>
            </w:pPr>
            <w:r>
              <w:rPr>
                <w:rFonts w:ascii="宋体" w:hAnsi="宋体" w:cs="宋体" w:eastAsia="宋体" w:hint="default"/>
                <w:sz w:val="18"/>
                <w:szCs w:val="18"/>
              </w:rPr>
              <w:t>在股东单位是否 领取报酬津贴</w:t>
            </w:r>
          </w:p>
        </w:tc>
      </w:tr>
      <w:tr>
        <w:trPr>
          <w:trHeight w:val="402" w:hRule="exact"/>
        </w:trPr>
        <w:tc>
          <w:tcPr>
            <w:tcW w:w="709"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黄跃珍</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无线电集团</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党委副书记、副董事长</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1771"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709"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1771" w:type="dxa"/>
            <w:vMerge/>
            <w:tcBorders>
              <w:left w:val="single" w:sz="4" w:space="0" w:color="000000"/>
              <w:bottom w:val="single" w:sz="4" w:space="0" w:color="000000"/>
              <w:right w:val="single" w:sz="4" w:space="0" w:color="000000"/>
            </w:tcBorders>
          </w:tcPr>
          <w:p>
            <w:pPr/>
          </w:p>
        </w:tc>
      </w:tr>
      <w:tr>
        <w:trPr>
          <w:trHeight w:val="714" w:hRule="exact"/>
        </w:trPr>
        <w:tc>
          <w:tcPr>
            <w:tcW w:w="70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杨文峰</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无线电集团</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1"/>
              <w:jc w:val="left"/>
              <w:rPr>
                <w:rFonts w:ascii="宋体" w:hAnsi="宋体" w:cs="宋体" w:eastAsia="宋体" w:hint="default"/>
                <w:sz w:val="18"/>
                <w:szCs w:val="18"/>
              </w:rPr>
            </w:pPr>
            <w:r>
              <w:rPr>
                <w:rFonts w:ascii="宋体" w:hAnsi="宋体" w:cs="宋体" w:eastAsia="宋体" w:hint="default"/>
                <w:spacing w:val="-5"/>
                <w:sz w:val="18"/>
                <w:szCs w:val="18"/>
              </w:rPr>
              <w:t>资产运营管理部部长，董事会办公</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室主任</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6"/>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7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709"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6"/>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71" w:type="dxa"/>
            <w:vMerge/>
            <w:tcBorders>
              <w:left w:val="single" w:sz="4" w:space="0" w:color="000000"/>
              <w:bottom w:val="single" w:sz="4" w:space="0" w:color="000000"/>
              <w:right w:val="single" w:sz="4" w:space="0" w:color="000000"/>
            </w:tcBorders>
          </w:tcPr>
          <w:p>
            <w:pPr/>
          </w:p>
        </w:tc>
      </w:tr>
      <w:tr>
        <w:trPr>
          <w:trHeight w:val="402"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陈荣</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3"/>
              <w:jc w:val="center"/>
              <w:rPr>
                <w:rFonts w:ascii="宋体" w:hAnsi="宋体" w:cs="宋体" w:eastAsia="宋体" w:hint="default"/>
                <w:sz w:val="18"/>
                <w:szCs w:val="18"/>
              </w:rPr>
            </w:pPr>
            <w:r>
              <w:rPr>
                <w:rFonts w:ascii="宋体" w:hAnsi="宋体" w:cs="宋体" w:eastAsia="宋体" w:hint="default"/>
                <w:sz w:val="18"/>
                <w:szCs w:val="18"/>
              </w:rPr>
              <w:t>无线电集团</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财务会计部部长</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6"/>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诸岗</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33"/>
              <w:jc w:val="center"/>
              <w:rPr>
                <w:rFonts w:ascii="宋体" w:hAnsi="宋体" w:cs="宋体" w:eastAsia="宋体" w:hint="default"/>
                <w:sz w:val="18"/>
                <w:szCs w:val="18"/>
              </w:rPr>
            </w:pPr>
            <w:r>
              <w:rPr>
                <w:rFonts w:ascii="宋体" w:hAnsi="宋体" w:cs="宋体" w:eastAsia="宋体" w:hint="default"/>
                <w:sz w:val="18"/>
                <w:szCs w:val="18"/>
              </w:rPr>
              <w:t>无线电集团</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审计部部长</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6"/>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肖勋勇</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3"/>
              <w:jc w:val="center"/>
              <w:rPr>
                <w:rFonts w:ascii="宋体" w:hAnsi="宋体" w:cs="宋体" w:eastAsia="宋体" w:hint="default"/>
                <w:sz w:val="18"/>
                <w:szCs w:val="18"/>
              </w:rPr>
            </w:pPr>
            <w:r>
              <w:rPr>
                <w:rFonts w:ascii="宋体" w:hAnsi="宋体" w:cs="宋体" w:eastAsia="宋体" w:hint="default"/>
                <w:sz w:val="18"/>
                <w:szCs w:val="18"/>
              </w:rPr>
              <w:t>无线电集团</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投资发展部部长</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1338" w:hRule="exact"/>
        </w:trPr>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134"/>
              <w:jc w:val="both"/>
              <w:rPr>
                <w:rFonts w:ascii="宋体" w:hAnsi="宋体" w:cs="宋体" w:eastAsia="宋体" w:hint="default"/>
                <w:sz w:val="18"/>
                <w:szCs w:val="18"/>
              </w:rPr>
            </w:pPr>
            <w:r>
              <w:rPr>
                <w:rFonts w:ascii="宋体" w:hAnsi="宋体" w:cs="宋体" w:eastAsia="宋体" w:hint="default"/>
                <w:sz w:val="18"/>
                <w:szCs w:val="18"/>
              </w:rPr>
              <w:t>在股东 单位任 职情况 的说明</w:t>
            </w:r>
          </w:p>
        </w:tc>
        <w:tc>
          <w:tcPr>
            <w:tcW w:w="885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left="132" w:right="1122"/>
        <w:jc w:val="left"/>
      </w:pPr>
      <w:r>
        <w:rPr/>
        <w:t>在其他单位任职情况</w:t>
      </w:r>
    </w:p>
    <w:p>
      <w:pPr>
        <w:pStyle w:val="BodyText"/>
        <w:spacing w:line="240" w:lineRule="auto" w:before="117"/>
        <w:ind w:left="132"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3"/>
        <w:rPr>
          <w:rFonts w:ascii="宋体" w:hAnsi="宋体" w:cs="宋体" w:eastAsia="宋体" w:hint="default"/>
          <w:sz w:val="6"/>
          <w:szCs w:val="6"/>
        </w:rPr>
      </w:pPr>
    </w:p>
    <w:tbl>
      <w:tblPr>
        <w:tblW w:w="0" w:type="auto"/>
        <w:jc w:val="left"/>
        <w:tblInd w:w="101" w:type="dxa"/>
        <w:tblLayout w:type="fixed"/>
        <w:tblCellMar>
          <w:top w:w="0" w:type="dxa"/>
          <w:left w:w="0" w:type="dxa"/>
          <w:bottom w:w="0" w:type="dxa"/>
          <w:right w:w="0" w:type="dxa"/>
        </w:tblCellMar>
        <w:tblLook w:val="01E0"/>
      </w:tblPr>
      <w:tblGrid>
        <w:gridCol w:w="1276"/>
        <w:gridCol w:w="2977"/>
        <w:gridCol w:w="1215"/>
        <w:gridCol w:w="1620"/>
        <w:gridCol w:w="1559"/>
        <w:gridCol w:w="997"/>
      </w:tblGrid>
      <w:tr>
        <w:trPr>
          <w:trHeight w:val="1026"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94"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942"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42" w:right="60" w:hanging="180"/>
              <w:jc w:val="left"/>
              <w:rPr>
                <w:rFonts w:ascii="宋体" w:hAnsi="宋体" w:cs="宋体" w:eastAsia="宋体" w:hint="default"/>
                <w:sz w:val="18"/>
                <w:szCs w:val="18"/>
              </w:rPr>
            </w:pPr>
            <w:r>
              <w:rPr>
                <w:rFonts w:ascii="宋体" w:hAnsi="宋体" w:cs="宋体" w:eastAsia="宋体" w:hint="default"/>
                <w:sz w:val="18"/>
                <w:szCs w:val="18"/>
              </w:rPr>
              <w:t>在其他单位担 任的职务</w:t>
            </w:r>
          </w:p>
        </w:tc>
        <w:tc>
          <w:tcPr>
            <w:tcW w:w="1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43" w:right="41"/>
              <w:jc w:val="center"/>
              <w:rPr>
                <w:rFonts w:ascii="宋体" w:hAnsi="宋体" w:cs="宋体" w:eastAsia="宋体" w:hint="default"/>
                <w:sz w:val="18"/>
                <w:szCs w:val="18"/>
              </w:rPr>
            </w:pPr>
            <w:r>
              <w:rPr>
                <w:rFonts w:ascii="宋体" w:hAnsi="宋体" w:cs="宋体" w:eastAsia="宋体" w:hint="default"/>
                <w:sz w:val="18"/>
                <w:szCs w:val="18"/>
              </w:rPr>
              <w:t>在其他单位 是否领取报 酬津贴</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黄跃珍</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广州广电计量检测股份有限公司</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7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4"/>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7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叶子瑜</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广州广电银通金融电子科技有限公司</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7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4"/>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76"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广州广电银通安保投资有限公司</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7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4"/>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76"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广州广电汇通金融服务有限公司</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7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4"/>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76" w:type="dxa"/>
            <w:vMerge/>
            <w:tcBorders>
              <w:left w:val="single" w:sz="4" w:space="0" w:color="000000"/>
              <w:right w:val="single" w:sz="4" w:space="0" w:color="000000"/>
            </w:tcBorders>
          </w:tcPr>
          <w:p>
            <w:pPr/>
          </w:p>
        </w:tc>
        <w:tc>
          <w:tcPr>
            <w:tcW w:w="2977"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广州支点创业投资有限公司</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7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76" w:type="dxa"/>
            <w:vMerge/>
            <w:tcBorders>
              <w:left w:val="single" w:sz="4" w:space="0" w:color="000000"/>
              <w:right w:val="single" w:sz="4" w:space="0" w:color="000000"/>
            </w:tcBorders>
          </w:tcPr>
          <w:p>
            <w:pPr/>
          </w:p>
        </w:tc>
        <w:tc>
          <w:tcPr>
            <w:tcW w:w="2977" w:type="dxa"/>
            <w:vMerge/>
            <w:tcBorders>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7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76"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广电运通国际有限公司</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75"/>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4"/>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76"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广州广电运通智能科技有限公司</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7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76"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广州市广百小额贷款有限公司</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7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4"/>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76" w:type="dxa"/>
            <w:vMerge/>
            <w:tcBorders>
              <w:left w:val="single" w:sz="4" w:space="0" w:color="000000"/>
              <w:bottom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广州广电研究院有限公司</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7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4"/>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7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left="22" w:right="0"/>
              <w:jc w:val="left"/>
              <w:rPr>
                <w:rFonts w:ascii="宋体" w:hAnsi="宋体" w:cs="宋体" w:eastAsia="宋体" w:hint="default"/>
                <w:sz w:val="18"/>
                <w:szCs w:val="18"/>
              </w:rPr>
            </w:pPr>
            <w:r>
              <w:rPr>
                <w:rFonts w:ascii="宋体" w:hAnsi="宋体" w:cs="宋体" w:eastAsia="宋体" w:hint="default"/>
                <w:sz w:val="18"/>
                <w:szCs w:val="18"/>
              </w:rPr>
              <w:t>杨文峰</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广州海格通信集团股份有限公司</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7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4"/>
              <w:jc w:val="center"/>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76"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广州广电城市服务管理有限公司</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4"/>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76"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广州广电新兴产业园投资有限公司</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7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4"/>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76"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广州广电智能科技有限公司</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7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4"/>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0" w:hRule="exact"/>
        </w:trPr>
        <w:tc>
          <w:tcPr>
            <w:tcW w:w="1276" w:type="dxa"/>
            <w:vMerge/>
            <w:tcBorders>
              <w:left w:val="single" w:sz="4" w:space="0" w:color="000000"/>
              <w:bottom w:val="nil" w:sz="6" w:space="0" w:color="auto"/>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广州广哈通信股份有限公司</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7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4"/>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pgSz w:w="11910" w:h="16840"/>
          <w:pgMar w:header="878" w:footer="978" w:top="1100" w:bottom="1160" w:left="100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01" w:type="dxa"/>
        <w:tblLayout w:type="fixed"/>
        <w:tblCellMar>
          <w:top w:w="0" w:type="dxa"/>
          <w:left w:w="0" w:type="dxa"/>
          <w:bottom w:w="0" w:type="dxa"/>
          <w:right w:w="0" w:type="dxa"/>
        </w:tblCellMar>
        <w:tblLook w:val="01E0"/>
      </w:tblPr>
      <w:tblGrid>
        <w:gridCol w:w="1276"/>
        <w:gridCol w:w="2977"/>
        <w:gridCol w:w="1215"/>
        <w:gridCol w:w="1620"/>
        <w:gridCol w:w="1559"/>
        <w:gridCol w:w="997"/>
      </w:tblGrid>
      <w:tr>
        <w:trPr>
          <w:trHeight w:val="402" w:hRule="exact"/>
        </w:trPr>
        <w:tc>
          <w:tcPr>
            <w:tcW w:w="1276" w:type="dxa"/>
            <w:tcBorders>
              <w:top w:val="nil" w:sz="6" w:space="0" w:color="auto"/>
              <w:left w:val="single" w:sz="4" w:space="0" w:color="000000"/>
              <w:bottom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盈富泰克创业投资有限公司</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7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4"/>
              <w:jc w:val="center"/>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7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  荣</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广州广电研究院有限公司</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76"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广州广电城市服务集团股份有限公司</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7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4"/>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76"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广州广电国际商贸有限公司</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76" w:type="dxa"/>
            <w:vMerge/>
            <w:tcBorders>
              <w:left w:val="single" w:sz="4" w:space="0" w:color="000000"/>
              <w:right w:val="single" w:sz="4" w:space="0" w:color="000000"/>
            </w:tcBorders>
          </w:tcPr>
          <w:p>
            <w:pPr/>
          </w:p>
        </w:tc>
        <w:tc>
          <w:tcPr>
            <w:tcW w:w="2977"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广州广电新兴产业园投资有限公司</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7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4"/>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76" w:type="dxa"/>
            <w:vMerge/>
            <w:tcBorders>
              <w:left w:val="single" w:sz="4" w:space="0" w:color="000000"/>
              <w:right w:val="single" w:sz="4" w:space="0" w:color="000000"/>
            </w:tcBorders>
          </w:tcPr>
          <w:p>
            <w:pPr/>
          </w:p>
        </w:tc>
        <w:tc>
          <w:tcPr>
            <w:tcW w:w="2977" w:type="dxa"/>
            <w:vMerge/>
            <w:tcBorders>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5"/>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76"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广州广电平云资本管理有限公司</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7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4"/>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76" w:type="dxa"/>
            <w:vMerge/>
            <w:tcBorders>
              <w:left w:val="single" w:sz="4" w:space="0" w:color="000000"/>
              <w:bottom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广州越秀小额贷款有限公司</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7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陈建良</w:t>
            </w:r>
          </w:p>
        </w:tc>
        <w:tc>
          <w:tcPr>
            <w:tcW w:w="29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广州广电银通金融电子科技有限公司</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7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4"/>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76" w:type="dxa"/>
            <w:vMerge/>
            <w:tcBorders>
              <w:left w:val="single" w:sz="4" w:space="0" w:color="000000"/>
              <w:right w:val="single" w:sz="4" w:space="0" w:color="000000"/>
            </w:tcBorders>
          </w:tcPr>
          <w:p>
            <w:pPr/>
          </w:p>
        </w:tc>
        <w:tc>
          <w:tcPr>
            <w:tcW w:w="2977" w:type="dxa"/>
            <w:vMerge/>
            <w:tcBorders>
              <w:left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76" w:type="dxa"/>
            <w:vMerge/>
            <w:tcBorders>
              <w:left w:val="single" w:sz="4" w:space="0" w:color="000000"/>
              <w:right w:val="single" w:sz="4" w:space="0" w:color="000000"/>
            </w:tcBorders>
          </w:tcPr>
          <w:p>
            <w:pPr/>
          </w:p>
        </w:tc>
        <w:tc>
          <w:tcPr>
            <w:tcW w:w="2977" w:type="dxa"/>
            <w:vMerge/>
            <w:tcBorders>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75"/>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4"/>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76"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广州广电银通安保投资有限公司</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76"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深圳市信义科技有限公司</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7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4"/>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76" w:type="dxa"/>
            <w:vMerge/>
            <w:tcBorders>
              <w:left w:val="single" w:sz="4" w:space="0" w:color="000000"/>
              <w:right w:val="single" w:sz="4" w:space="0" w:color="000000"/>
            </w:tcBorders>
          </w:tcPr>
          <w:p>
            <w:pPr/>
          </w:p>
        </w:tc>
        <w:tc>
          <w:tcPr>
            <w:tcW w:w="2977"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广州穗通金融服务有限公司</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7"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76" w:type="dxa"/>
            <w:vMerge/>
            <w:tcBorders>
              <w:left w:val="single" w:sz="4" w:space="0" w:color="000000"/>
              <w:right w:val="single" w:sz="4" w:space="0" w:color="000000"/>
            </w:tcBorders>
          </w:tcPr>
          <w:p>
            <w:pPr/>
          </w:p>
        </w:tc>
        <w:tc>
          <w:tcPr>
            <w:tcW w:w="2977" w:type="dxa"/>
            <w:vMerge/>
            <w:tcBorders>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7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4"/>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7" w:type="dxa"/>
            <w:vMerge/>
            <w:tcBorders>
              <w:left w:val="single" w:sz="4" w:space="0" w:color="000000"/>
              <w:bottom w:val="single" w:sz="4" w:space="0" w:color="000000"/>
              <w:right w:val="single" w:sz="4" w:space="0" w:color="000000"/>
            </w:tcBorders>
          </w:tcPr>
          <w:p>
            <w:pPr/>
          </w:p>
        </w:tc>
      </w:tr>
      <w:tr>
        <w:trPr>
          <w:trHeight w:val="402" w:hRule="exact"/>
        </w:trPr>
        <w:tc>
          <w:tcPr>
            <w:tcW w:w="1276"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广州广电汇通金融服务有限公司</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76"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广州广电运通信息科技有限公司</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7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4"/>
              <w:jc w:val="center"/>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76"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广州中智融通金融科技有限公司</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76"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广州广电运通智能科技有限公司</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7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4"/>
              <w:jc w:val="center"/>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76"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江苏汇通金融数据股份有限公司</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76" w:type="dxa"/>
            <w:vMerge/>
            <w:tcBorders>
              <w:left w:val="single" w:sz="4" w:space="0" w:color="000000"/>
              <w:bottom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广州广电研究院有限公司</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75"/>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4"/>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7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罗攀峰</w:t>
            </w:r>
          </w:p>
        </w:tc>
        <w:tc>
          <w:tcPr>
            <w:tcW w:w="2977"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广州中智融通金融科技有限公司</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7"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26" w:hRule="exact"/>
        </w:trPr>
        <w:tc>
          <w:tcPr>
            <w:tcW w:w="1276" w:type="dxa"/>
            <w:vMerge/>
            <w:tcBorders>
              <w:left w:val="single" w:sz="4" w:space="0" w:color="000000"/>
              <w:right w:val="single" w:sz="4" w:space="0" w:color="000000"/>
            </w:tcBorders>
          </w:tcPr>
          <w:p>
            <w:pPr/>
          </w:p>
        </w:tc>
        <w:tc>
          <w:tcPr>
            <w:tcW w:w="2977" w:type="dxa"/>
            <w:vMerge/>
            <w:tcBorders>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7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4"/>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7" w:type="dxa"/>
            <w:vMerge/>
            <w:tcBorders>
              <w:left w:val="single" w:sz="4" w:space="0" w:color="000000"/>
              <w:bottom w:val="single" w:sz="4" w:space="0" w:color="000000"/>
              <w:right w:val="single" w:sz="4" w:space="0" w:color="000000"/>
            </w:tcBorders>
          </w:tcPr>
          <w:p>
            <w:pPr/>
          </w:p>
        </w:tc>
      </w:tr>
      <w:tr>
        <w:trPr>
          <w:trHeight w:val="402" w:hRule="exact"/>
        </w:trPr>
        <w:tc>
          <w:tcPr>
            <w:tcW w:w="1276"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广州广电汇通金融服务有限公司</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76" w:type="dxa"/>
            <w:vMerge/>
            <w:tcBorders>
              <w:left w:val="single" w:sz="4" w:space="0" w:color="000000"/>
              <w:right w:val="single" w:sz="4" w:space="0" w:color="000000"/>
            </w:tcBorders>
          </w:tcPr>
          <w:p>
            <w:pPr/>
          </w:p>
        </w:tc>
        <w:tc>
          <w:tcPr>
            <w:tcW w:w="2977"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广州广电运通信息科技有限公司</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7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4"/>
              <w:jc w:val="center"/>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76" w:type="dxa"/>
            <w:vMerge/>
            <w:tcBorders>
              <w:left w:val="single" w:sz="4" w:space="0" w:color="000000"/>
              <w:right w:val="single" w:sz="4" w:space="0" w:color="000000"/>
            </w:tcBorders>
          </w:tcPr>
          <w:p>
            <w:pPr/>
          </w:p>
        </w:tc>
        <w:tc>
          <w:tcPr>
            <w:tcW w:w="2977" w:type="dxa"/>
            <w:vMerge/>
            <w:tcBorders>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
              <w:jc w:val="center"/>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76"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北京中科江南信息技术股份有限公司</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7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4"/>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76"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广州广电银通金融电子科技有限公司</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76"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广州广电运通智能科技有限公司</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7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76" w:type="dxa"/>
            <w:vMerge/>
            <w:tcBorders>
              <w:left w:val="single" w:sz="4" w:space="0" w:color="000000"/>
              <w:right w:val="single" w:sz="4" w:space="0" w:color="000000"/>
            </w:tcBorders>
          </w:tcPr>
          <w:p>
            <w:pPr/>
          </w:p>
        </w:tc>
        <w:tc>
          <w:tcPr>
            <w:tcW w:w="2977"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江苏汇通金融数据股份有限公司</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76" w:type="dxa"/>
            <w:vMerge/>
            <w:tcBorders>
              <w:left w:val="single" w:sz="4" w:space="0" w:color="000000"/>
              <w:right w:val="single" w:sz="4" w:space="0" w:color="000000"/>
            </w:tcBorders>
          </w:tcPr>
          <w:p>
            <w:pPr/>
          </w:p>
        </w:tc>
        <w:tc>
          <w:tcPr>
            <w:tcW w:w="2977" w:type="dxa"/>
            <w:vMerge/>
            <w:tcBorders>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7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76" w:type="dxa"/>
            <w:vMerge/>
            <w:tcBorders>
              <w:left w:val="single" w:sz="4" w:space="0" w:color="000000"/>
              <w:bottom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广州支点创业投资有限公司</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2" w:hRule="exact"/>
        </w:trPr>
        <w:tc>
          <w:tcPr>
            <w:tcW w:w="127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朱桂龙</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华南理工大学</w:t>
            </w:r>
            <w:r>
              <w:rPr>
                <w:rFonts w:ascii="宋体" w:hAnsi="宋体" w:cs="宋体" w:eastAsia="宋体" w:hint="default"/>
                <w:sz w:val="18"/>
                <w:szCs w:val="18"/>
              </w:rPr>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4" w:right="99"/>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教授、博士生</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导师</w:t>
            </w:r>
            <w:r>
              <w:rPr>
                <w:rFonts w:ascii="宋体" w:hAnsi="宋体" w:cs="宋体" w:eastAsia="宋体" w:hint="default"/>
                <w:sz w:val="18"/>
                <w:szCs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75"/>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center"/>
        <w:rPr>
          <w:rFonts w:ascii="宋体" w:hAnsi="宋体" w:cs="宋体" w:eastAsia="宋体" w:hint="default"/>
          <w:sz w:val="18"/>
          <w:szCs w:val="18"/>
        </w:rPr>
        <w:sectPr>
          <w:pgSz w:w="11910" w:h="16840"/>
          <w:pgMar w:header="878" w:footer="978" w:top="1100" w:bottom="1160" w:left="100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01" w:type="dxa"/>
        <w:tblLayout w:type="fixed"/>
        <w:tblCellMar>
          <w:top w:w="0" w:type="dxa"/>
          <w:left w:w="0" w:type="dxa"/>
          <w:bottom w:w="0" w:type="dxa"/>
          <w:right w:w="0" w:type="dxa"/>
        </w:tblCellMar>
        <w:tblLook w:val="01E0"/>
      </w:tblPr>
      <w:tblGrid>
        <w:gridCol w:w="1276"/>
        <w:gridCol w:w="2977"/>
        <w:gridCol w:w="1215"/>
        <w:gridCol w:w="1620"/>
        <w:gridCol w:w="1559"/>
        <w:gridCol w:w="997"/>
      </w:tblGrid>
      <w:tr>
        <w:trPr>
          <w:trHeight w:val="402" w:hRule="exact"/>
        </w:trPr>
        <w:tc>
          <w:tcPr>
            <w:tcW w:w="1276" w:type="dxa"/>
            <w:vMerge w:val="restart"/>
            <w:tcBorders>
              <w:top w:val="nil" w:sz="6" w:space="0" w:color="auto"/>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中国南玻集团股份有限公司</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7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4"/>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76"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江苏赛福天钢索股份有限公司</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76" w:type="dxa"/>
            <w:vMerge/>
            <w:tcBorders>
              <w:left w:val="single" w:sz="4" w:space="0" w:color="000000"/>
              <w:bottom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广州金域医学检验集团股份有限公司</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7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4"/>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76"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  闰</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北京德恒（广州）律师事务所</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律师</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76" w:type="dxa"/>
            <w:vMerge/>
            <w:tcBorders>
              <w:left w:val="single" w:sz="4" w:space="0" w:color="000000"/>
              <w:bottom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仙乐健康科技股份有限公司</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7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4"/>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7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邢良文</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广东丰衡会计师事务所有限公司</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主任会计师</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1999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76"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广州丰衡税务师事务所有限公司</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76" w:type="dxa"/>
            <w:vMerge/>
            <w:tcBorders>
              <w:left w:val="single" w:sz="4" w:space="0" w:color="000000"/>
              <w:bottom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广州港集团有限公司</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7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诸岗</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广州海格通信集团股份有限公司</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76"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广州广电智能科技有限公司</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76"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广州信息投资有限公司</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76"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广州广电国际商贸有限公司</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76"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广州广电平云资本管理有限公司</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76" w:type="dxa"/>
            <w:vMerge/>
            <w:tcBorders>
              <w:left w:val="single" w:sz="4" w:space="0" w:color="000000"/>
              <w:bottom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广州广电新兴产业园投资有限公司</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5"/>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7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肖勋勇</w:t>
            </w:r>
          </w:p>
        </w:tc>
        <w:tc>
          <w:tcPr>
            <w:tcW w:w="2977"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广州广电平云资本管理有限公司</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76" w:type="dxa"/>
            <w:vMerge/>
            <w:tcBorders>
              <w:left w:val="single" w:sz="4" w:space="0" w:color="000000"/>
              <w:right w:val="single" w:sz="4" w:space="0" w:color="000000"/>
            </w:tcBorders>
          </w:tcPr>
          <w:p>
            <w:pPr/>
          </w:p>
        </w:tc>
        <w:tc>
          <w:tcPr>
            <w:tcW w:w="2977" w:type="dxa"/>
            <w:vMerge/>
            <w:tcBorders>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76" w:type="dxa"/>
            <w:vMerge/>
            <w:tcBorders>
              <w:left w:val="single" w:sz="4" w:space="0" w:color="000000"/>
              <w:right w:val="single" w:sz="4" w:space="0" w:color="000000"/>
            </w:tcBorders>
          </w:tcPr>
          <w:p>
            <w:pPr/>
          </w:p>
        </w:tc>
        <w:tc>
          <w:tcPr>
            <w:tcW w:w="2977"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广州广电国际商贸有限公司</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76" w:type="dxa"/>
            <w:vMerge/>
            <w:tcBorders>
              <w:left w:val="single" w:sz="4" w:space="0" w:color="000000"/>
              <w:right w:val="single" w:sz="4" w:space="0" w:color="000000"/>
            </w:tcBorders>
          </w:tcPr>
          <w:p>
            <w:pPr/>
          </w:p>
        </w:tc>
        <w:tc>
          <w:tcPr>
            <w:tcW w:w="2977" w:type="dxa"/>
            <w:vMerge/>
            <w:tcBorders>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76"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广州海格通信集团股份有限公司</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76"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广州广电新兴产业园投资有限公司</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76" w:type="dxa"/>
            <w:vMerge/>
            <w:tcBorders>
              <w:left w:val="single" w:sz="4" w:space="0" w:color="000000"/>
              <w:bottom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广州广电智能科技有限公司</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7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4"/>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7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邝建洲</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广州广电运通信息科技有限公司</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
              <w:jc w:val="center"/>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76"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广州支点创业投资有限公司</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76"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广州广电运通智能科技有限公司</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
              <w:jc w:val="center"/>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76"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广州市龙源环保科技有限公司</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7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4"/>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76" w:type="dxa"/>
            <w:vMerge/>
            <w:tcBorders>
              <w:left w:val="single" w:sz="4" w:space="0" w:color="000000"/>
              <w:bottom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江苏汇通金融数据股份有限公司</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7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李叶东</w:t>
            </w:r>
          </w:p>
        </w:tc>
        <w:tc>
          <w:tcPr>
            <w:tcW w:w="2977"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广电运通国际有限公司</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75"/>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4"/>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76" w:type="dxa"/>
            <w:vMerge/>
            <w:tcBorders>
              <w:left w:val="single" w:sz="4" w:space="0" w:color="000000"/>
              <w:right w:val="single" w:sz="4" w:space="0" w:color="000000"/>
            </w:tcBorders>
          </w:tcPr>
          <w:p>
            <w:pPr/>
          </w:p>
        </w:tc>
        <w:tc>
          <w:tcPr>
            <w:tcW w:w="2977" w:type="dxa"/>
            <w:vMerge/>
            <w:tcBorders>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76"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广州广电银通金融电子科技有限公司</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7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4"/>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76"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广州中智融通金融科技有限公司</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76" w:type="dxa"/>
            <w:vMerge/>
            <w:tcBorders>
              <w:left w:val="single" w:sz="4" w:space="0" w:color="000000"/>
              <w:bottom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广州广电运通信息科技有限公司</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7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4"/>
              <w:jc w:val="center"/>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7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魏  东</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广州中智融通金融科技有限公司</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76"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广州广电计量检测股份有限公司</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7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4"/>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0" w:hRule="exact"/>
        </w:trPr>
        <w:tc>
          <w:tcPr>
            <w:tcW w:w="1276" w:type="dxa"/>
            <w:vMerge/>
            <w:tcBorders>
              <w:left w:val="single" w:sz="4" w:space="0" w:color="000000"/>
              <w:bottom w:val="nil" w:sz="6" w:space="0" w:color="auto"/>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北京中科江南信息技术股份有限公司</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footerReference w:type="default" r:id="rId34"/>
          <w:pgSz w:w="11910" w:h="16840"/>
          <w:pgMar w:footer="978" w:header="878" w:top="1100" w:bottom="1160" w:left="1000" w:right="0"/>
          <w:pgNumType w:start="80"/>
        </w:sectPr>
      </w:pPr>
    </w:p>
    <w:p>
      <w:pPr>
        <w:spacing w:line="240" w:lineRule="auto" w:before="11"/>
        <w:rPr>
          <w:rFonts w:ascii="Times New Roman" w:hAnsi="Times New Roman" w:cs="Times New Roman" w:eastAsia="Times New Roman" w:hint="default"/>
          <w:sz w:val="27"/>
          <w:szCs w:val="27"/>
        </w:rPr>
      </w:pPr>
    </w:p>
    <w:tbl>
      <w:tblPr>
        <w:tblW w:w="0" w:type="auto"/>
        <w:jc w:val="left"/>
        <w:tblInd w:w="101" w:type="dxa"/>
        <w:tblLayout w:type="fixed"/>
        <w:tblCellMar>
          <w:top w:w="0" w:type="dxa"/>
          <w:left w:w="0" w:type="dxa"/>
          <w:bottom w:w="0" w:type="dxa"/>
          <w:right w:w="0" w:type="dxa"/>
        </w:tblCellMar>
        <w:tblLook w:val="01E0"/>
      </w:tblPr>
      <w:tblGrid>
        <w:gridCol w:w="1276"/>
        <w:gridCol w:w="2977"/>
        <w:gridCol w:w="1215"/>
        <w:gridCol w:w="1620"/>
        <w:gridCol w:w="1559"/>
        <w:gridCol w:w="997"/>
      </w:tblGrid>
      <w:tr>
        <w:trPr>
          <w:trHeight w:val="402" w:hRule="exact"/>
        </w:trPr>
        <w:tc>
          <w:tcPr>
            <w:tcW w:w="1276" w:type="dxa"/>
            <w:vMerge w:val="restart"/>
            <w:tcBorders>
              <w:top w:val="single" w:sz="4" w:space="0" w:color="000000"/>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广州广电银通金融电子科技有限公司</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7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4"/>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76"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广州广电汇通金融服务有限公司</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76"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广州广电运通信息科技有限公司</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7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4"/>
              <w:jc w:val="center"/>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76"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江苏汇通金融数据股份有限公司</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76"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深圳市创自技术有限公司</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7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4"/>
              <w:jc w:val="center"/>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76"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广州支点创业投资有限公司</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76" w:type="dxa"/>
            <w:vMerge/>
            <w:tcBorders>
              <w:left w:val="single" w:sz="4" w:space="0" w:color="000000"/>
              <w:bottom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广州广电运通智能科技有限公司</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7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4"/>
              <w:jc w:val="center"/>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7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解永生</w:t>
            </w:r>
          </w:p>
        </w:tc>
        <w:tc>
          <w:tcPr>
            <w:tcW w:w="29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广州广电运通智能科技有限公司</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
              <w:jc w:val="center"/>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76" w:type="dxa"/>
            <w:vMerge/>
            <w:tcBorders>
              <w:left w:val="single" w:sz="4" w:space="0" w:color="000000"/>
              <w:right w:val="single" w:sz="4" w:space="0" w:color="000000"/>
            </w:tcBorders>
          </w:tcPr>
          <w:p>
            <w:pPr/>
          </w:p>
        </w:tc>
        <w:tc>
          <w:tcPr>
            <w:tcW w:w="2977" w:type="dxa"/>
            <w:vMerge/>
            <w:tcBorders>
              <w:left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7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4"/>
              <w:jc w:val="center"/>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16" w:hRule="exact"/>
        </w:trPr>
        <w:tc>
          <w:tcPr>
            <w:tcW w:w="1276" w:type="dxa"/>
            <w:vMerge/>
            <w:tcBorders>
              <w:left w:val="single" w:sz="4" w:space="0" w:color="000000"/>
              <w:right w:val="single" w:sz="4" w:space="0" w:color="000000"/>
            </w:tcBorders>
          </w:tcPr>
          <w:p>
            <w:pPr/>
          </w:p>
        </w:tc>
        <w:tc>
          <w:tcPr>
            <w:tcW w:w="2977" w:type="dxa"/>
            <w:vMerge/>
            <w:tcBorders>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7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16" w:hRule="exact"/>
        </w:trPr>
        <w:tc>
          <w:tcPr>
            <w:tcW w:w="1276" w:type="dxa"/>
            <w:vMerge/>
            <w:tcBorders>
              <w:left w:val="single" w:sz="4" w:space="0" w:color="000000"/>
              <w:bottom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2" w:right="0"/>
              <w:jc w:val="left"/>
              <w:rPr>
                <w:rFonts w:ascii="宋体" w:hAnsi="宋体" w:cs="宋体" w:eastAsia="宋体" w:hint="default"/>
                <w:sz w:val="18"/>
                <w:szCs w:val="18"/>
              </w:rPr>
            </w:pPr>
            <w:r>
              <w:rPr>
                <w:rFonts w:ascii="宋体" w:hAnsi="宋体" w:cs="宋体" w:eastAsia="宋体" w:hint="default"/>
                <w:sz w:val="18"/>
                <w:szCs w:val="18"/>
              </w:rPr>
              <w:t>深圳市创自技术有限公司</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7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4"/>
              <w:jc w:val="center"/>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7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罗一明</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深圳市信义科技有限公司</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7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4"/>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76"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广州辉远电子技术有限公司</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7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4"/>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76" w:type="dxa"/>
            <w:vMerge/>
            <w:tcBorders>
              <w:left w:val="single" w:sz="4" w:space="0" w:color="000000"/>
              <w:bottom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广州广电汇通金融服务有限公司</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7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4"/>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7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钟  勇</w:t>
            </w:r>
          </w:p>
        </w:tc>
        <w:tc>
          <w:tcPr>
            <w:tcW w:w="2977"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广州支点创业投资有限公司</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7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4"/>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76" w:type="dxa"/>
            <w:vMerge/>
            <w:tcBorders>
              <w:left w:val="single" w:sz="4" w:space="0" w:color="000000"/>
              <w:right w:val="single" w:sz="4" w:space="0" w:color="000000"/>
            </w:tcBorders>
          </w:tcPr>
          <w:p>
            <w:pPr/>
          </w:p>
        </w:tc>
        <w:tc>
          <w:tcPr>
            <w:tcW w:w="2977" w:type="dxa"/>
            <w:vMerge/>
            <w:tcBorders>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7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76"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广州市龙源环保科技有限公司</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75"/>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4"/>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76" w:type="dxa"/>
            <w:vMerge/>
            <w:tcBorders>
              <w:left w:val="single" w:sz="4" w:space="0" w:color="000000"/>
              <w:bottom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江苏汇通金融数据股份有限公司</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7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4"/>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162"/>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36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2"/>
        <w:ind w:left="132" w:right="0"/>
        <w:jc w:val="both"/>
      </w:pPr>
      <w:r>
        <w:rPr/>
        <w:t>公司现任及报告期内离任董事、监事和高级管理人员近三年证券监管机构处罚的情况</w:t>
      </w:r>
    </w:p>
    <w:p>
      <w:pPr>
        <w:pStyle w:val="BodyText"/>
        <w:spacing w:line="240" w:lineRule="auto" w:before="115"/>
        <w:ind w:left="132"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24"/>
          <w:szCs w:val="24"/>
        </w:rPr>
      </w:pPr>
    </w:p>
    <w:p>
      <w:pPr>
        <w:pStyle w:val="Heading2"/>
        <w:spacing w:line="240" w:lineRule="auto"/>
        <w:ind w:left="132" w:right="0"/>
        <w:jc w:val="both"/>
        <w:rPr>
          <w:b w:val="0"/>
          <w:bCs w:val="0"/>
        </w:rPr>
      </w:pPr>
      <w:bookmarkStart w:name="四、董事、监事、高级管理人员报酬情况" w:id="128"/>
      <w:bookmarkEnd w:id="128"/>
      <w:r>
        <w:rPr>
          <w:b w:val="0"/>
          <w:bCs w:val="0"/>
        </w:rPr>
      </w:r>
      <w:r>
        <w:rPr/>
        <w:t>四、董事、监事、高级管理人员报酬情况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492" w:right="1122" w:hanging="360"/>
        <w:jc w:val="left"/>
      </w:pPr>
      <w:r>
        <w:rPr/>
        <w:t>董事、监事、高级管理人员报酬的决策程序、确定依据、实际支付情况 </w:t>
      </w:r>
      <w:r>
        <w:rPr>
          <w:spacing w:val="-2"/>
        </w:rPr>
        <w:t>在公司任职的董事、监事未在公司领薪，兼任公司董事、监事的高管、员工不以董事、监事职务领取报酬。高管人员按</w:t>
      </w:r>
    </w:p>
    <w:p>
      <w:pPr>
        <w:pStyle w:val="BodyText"/>
        <w:spacing w:line="224" w:lineRule="exact"/>
        <w:ind w:left="132" w:right="0"/>
        <w:jc w:val="both"/>
      </w:pPr>
      <w:r>
        <w:rPr/>
        <w:t>其职务根据公司董事会批准的《高管层年度业绩考核与薪酬管理办法》，在每年年初落实有关考核指标及相关事项，在年度</w:t>
      </w:r>
    </w:p>
    <w:p>
      <w:pPr>
        <w:pStyle w:val="BodyText"/>
        <w:spacing w:line="309" w:lineRule="auto" w:before="76"/>
        <w:ind w:left="132" w:right="1132"/>
        <w:jc w:val="both"/>
      </w:pPr>
      <w:r>
        <w:rPr>
          <w:spacing w:val="-2"/>
        </w:rPr>
        <w:t>结束后对全年计划完成情况进行考核，由董事会薪酬与考核委员会审议通过相关议案后，提交董事会审议，按照考核结果兑</w:t>
      </w:r>
      <w:r>
        <w:rPr>
          <w:spacing w:val="-65"/>
        </w:rPr>
        <w:t> </w:t>
      </w:r>
      <w:r>
        <w:rPr>
          <w:spacing w:val="-65"/>
        </w:rPr>
      </w:r>
      <w:r>
        <w:rPr/>
        <w:t>现绩效年薪和奖励。独立董事津贴按照股东大会决议执行，为每人</w:t>
      </w:r>
      <w:r>
        <w:rPr>
          <w:spacing w:val="-46"/>
        </w:rPr>
        <w:t> </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万元</w:t>
      </w:r>
      <w:r>
        <w:rPr>
          <w:rFonts w:ascii="Times New Roman" w:hAnsi="Times New Roman" w:cs="Times New Roman" w:eastAsia="Times New Roman" w:hint="default"/>
        </w:rPr>
        <w:t>/</w:t>
      </w:r>
      <w:r>
        <w:rPr/>
        <w:t>年，均按具体任职时间及规定发放；独立董事参 加会议发生的差旅费，办公费等履职费用由本公司承担。</w:t>
      </w:r>
    </w:p>
    <w:p>
      <w:pPr>
        <w:pStyle w:val="BodyText"/>
        <w:spacing w:line="240" w:lineRule="auto" w:before="65"/>
        <w:ind w:left="132" w:right="0"/>
        <w:jc w:val="both"/>
      </w:pPr>
      <w:r>
        <w:rPr/>
        <w:t>公司报告期内董事、监事和高级管理人员报酬情况</w:t>
      </w:r>
    </w:p>
    <w:p>
      <w:pPr>
        <w:pStyle w:val="BodyText"/>
        <w:spacing w:line="240" w:lineRule="auto" w:before="117"/>
        <w:ind w:left="0" w:right="1132"/>
        <w:jc w:val="right"/>
      </w:pPr>
      <w:r>
        <w:rPr/>
        <w:t>单位：万元</w:t>
      </w:r>
    </w:p>
    <w:p>
      <w:pPr>
        <w:spacing w:line="240" w:lineRule="auto" w:before="0"/>
        <w:rPr>
          <w:rFonts w:ascii="宋体" w:hAnsi="宋体" w:cs="宋体" w:eastAsia="宋体" w:hint="default"/>
          <w:sz w:val="8"/>
          <w:szCs w:val="8"/>
        </w:rPr>
      </w:pPr>
    </w:p>
    <w:tbl>
      <w:tblPr>
        <w:tblW w:w="0" w:type="auto"/>
        <w:jc w:val="left"/>
        <w:tblInd w:w="129" w:type="dxa"/>
        <w:tblLayout w:type="fixed"/>
        <w:tblCellMar>
          <w:top w:w="0" w:type="dxa"/>
          <w:left w:w="0" w:type="dxa"/>
          <w:bottom w:w="0" w:type="dxa"/>
          <w:right w:w="0" w:type="dxa"/>
        </w:tblCellMar>
        <w:tblLook w:val="01E0"/>
      </w:tblPr>
      <w:tblGrid>
        <w:gridCol w:w="851"/>
        <w:gridCol w:w="1843"/>
        <w:gridCol w:w="567"/>
        <w:gridCol w:w="567"/>
        <w:gridCol w:w="992"/>
        <w:gridCol w:w="2410"/>
        <w:gridCol w:w="2341"/>
      </w:tblGrid>
      <w:tr>
        <w:trPr>
          <w:trHeight w:val="402" w:hRule="exact"/>
        </w:trPr>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0" w:right="0"/>
              <w:jc w:val="left"/>
              <w:rPr>
                <w:rFonts w:ascii="宋体" w:hAnsi="宋体" w:cs="宋体" w:eastAsia="宋体" w:hint="default"/>
                <w:sz w:val="18"/>
                <w:szCs w:val="18"/>
              </w:rPr>
            </w:pPr>
            <w:r>
              <w:rPr>
                <w:rFonts w:ascii="宋体" w:hAnsi="宋体" w:cs="宋体" w:eastAsia="宋体" w:hint="default"/>
                <w:sz w:val="18"/>
                <w:szCs w:val="18"/>
              </w:rPr>
              <w:t>从公司获得的税前报酬总额</w:t>
            </w:r>
          </w:p>
        </w:tc>
        <w:tc>
          <w:tcPr>
            <w:tcW w:w="23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是否在公司关联方获取报酬</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黄跃珍</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叶子瑜</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董事、总经理</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57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220.00</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0"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杨文峰</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center"/>
        <w:rPr>
          <w:rFonts w:ascii="宋体" w:hAnsi="宋体" w:cs="宋体" w:eastAsia="宋体" w:hint="default"/>
          <w:sz w:val="18"/>
          <w:szCs w:val="18"/>
        </w:rPr>
        <w:sectPr>
          <w:pgSz w:w="11910" w:h="16840"/>
          <w:pgMar w:header="878" w:footer="978" w:top="1100" w:bottom="1160" w:left="1000" w:right="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851"/>
        <w:gridCol w:w="1843"/>
        <w:gridCol w:w="567"/>
        <w:gridCol w:w="567"/>
        <w:gridCol w:w="992"/>
        <w:gridCol w:w="2410"/>
        <w:gridCol w:w="2341"/>
      </w:tblGrid>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49"/>
              <w:jc w:val="right"/>
              <w:rPr>
                <w:rFonts w:ascii="宋体" w:hAnsi="宋体" w:cs="宋体" w:eastAsia="宋体" w:hint="default"/>
                <w:sz w:val="18"/>
                <w:szCs w:val="18"/>
              </w:rPr>
            </w:pPr>
            <w:r>
              <w:rPr>
                <w:rFonts w:ascii="宋体" w:hAnsi="宋体" w:cs="宋体" w:eastAsia="宋体" w:hint="default"/>
                <w:sz w:val="18"/>
                <w:szCs w:val="18"/>
              </w:rPr>
              <w:t>陈  荣</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87"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88" w:right="0"/>
              <w:jc w:val="left"/>
              <w:rPr>
                <w:rFonts w:ascii="Times New Roman" w:hAnsi="Times New Roman" w:cs="Times New Roman" w:eastAsia="Times New Roman" w:hint="default"/>
                <w:sz w:val="18"/>
                <w:szCs w:val="18"/>
              </w:rPr>
            </w:pPr>
            <w:r>
              <w:rPr>
                <w:rFonts w:ascii="Times New Roman"/>
                <w:sz w:val="18"/>
              </w:rPr>
              <w:t>34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7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49"/>
              <w:jc w:val="right"/>
              <w:rPr>
                <w:rFonts w:ascii="宋体" w:hAnsi="宋体" w:cs="宋体" w:eastAsia="宋体" w:hint="default"/>
                <w:sz w:val="18"/>
                <w:szCs w:val="18"/>
              </w:rPr>
            </w:pPr>
            <w:r>
              <w:rPr>
                <w:rFonts w:ascii="宋体" w:hAnsi="宋体" w:cs="宋体" w:eastAsia="宋体" w:hint="default"/>
                <w:sz w:val="18"/>
                <w:szCs w:val="18"/>
              </w:rPr>
              <w:t>陈建良</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465" w:right="7" w:hanging="442"/>
              <w:jc w:val="left"/>
              <w:rPr>
                <w:rFonts w:ascii="宋体" w:hAnsi="宋体" w:cs="宋体" w:eastAsia="宋体" w:hint="default"/>
                <w:sz w:val="18"/>
                <w:szCs w:val="18"/>
              </w:rPr>
            </w:pPr>
            <w:r>
              <w:rPr>
                <w:rFonts w:ascii="宋体" w:hAnsi="宋体" w:cs="宋体" w:eastAsia="宋体" w:hint="default"/>
                <w:sz w:val="18"/>
                <w:szCs w:val="18"/>
              </w:rPr>
              <w:t>董事、常务副总经理、 财务负责人</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87"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88" w:right="0"/>
              <w:jc w:val="left"/>
              <w:rPr>
                <w:rFonts w:ascii="Times New Roman" w:hAnsi="Times New Roman" w:cs="Times New Roman" w:eastAsia="Times New Roman" w:hint="default"/>
                <w:sz w:val="18"/>
                <w:szCs w:val="18"/>
              </w:rPr>
            </w:pPr>
            <w:r>
              <w:rPr>
                <w:rFonts w:ascii="Times New Roman"/>
                <w:sz w:val="18"/>
              </w:rPr>
              <w:t>53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194.45</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7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49"/>
              <w:jc w:val="right"/>
              <w:rPr>
                <w:rFonts w:ascii="宋体" w:hAnsi="宋体" w:cs="宋体" w:eastAsia="宋体" w:hint="default"/>
                <w:sz w:val="18"/>
                <w:szCs w:val="18"/>
              </w:rPr>
            </w:pPr>
            <w:r>
              <w:rPr>
                <w:rFonts w:ascii="宋体" w:hAnsi="宋体" w:cs="宋体" w:eastAsia="宋体" w:hint="default"/>
                <w:sz w:val="18"/>
                <w:szCs w:val="18"/>
              </w:rPr>
              <w:t>罗攀峰</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董事、常务副总经理</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87"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88" w:right="0"/>
              <w:jc w:val="left"/>
              <w:rPr>
                <w:rFonts w:ascii="Times New Roman" w:hAnsi="Times New Roman" w:cs="Times New Roman" w:eastAsia="Times New Roman" w:hint="default"/>
                <w:sz w:val="18"/>
                <w:szCs w:val="18"/>
              </w:rPr>
            </w:pPr>
            <w:r>
              <w:rPr>
                <w:rFonts w:ascii="Times New Roman"/>
                <w:sz w:val="18"/>
              </w:rPr>
              <w:t>44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141.07</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7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9"/>
              <w:jc w:val="right"/>
              <w:rPr>
                <w:rFonts w:ascii="宋体" w:hAnsi="宋体" w:cs="宋体" w:eastAsia="宋体" w:hint="default"/>
                <w:sz w:val="18"/>
                <w:szCs w:val="18"/>
              </w:rPr>
            </w:pPr>
            <w:r>
              <w:rPr>
                <w:rFonts w:ascii="宋体" w:hAnsi="宋体" w:cs="宋体" w:eastAsia="宋体" w:hint="default"/>
                <w:sz w:val="18"/>
                <w:szCs w:val="18"/>
              </w:rPr>
              <w:t>朱桂龙</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87"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88" w:right="0"/>
              <w:jc w:val="left"/>
              <w:rPr>
                <w:rFonts w:ascii="Times New Roman" w:hAnsi="Times New Roman" w:cs="Times New Roman" w:eastAsia="Times New Roman" w:hint="default"/>
                <w:sz w:val="18"/>
                <w:szCs w:val="18"/>
              </w:rPr>
            </w:pPr>
            <w:r>
              <w:rPr>
                <w:rFonts w:ascii="Times New Roman"/>
                <w:sz w:val="18"/>
              </w:rPr>
              <w:t>56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8.00</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7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49"/>
              <w:jc w:val="right"/>
              <w:rPr>
                <w:rFonts w:ascii="宋体" w:hAnsi="宋体" w:cs="宋体" w:eastAsia="宋体" w:hint="default"/>
                <w:sz w:val="18"/>
                <w:szCs w:val="18"/>
              </w:rPr>
            </w:pPr>
            <w:r>
              <w:rPr>
                <w:rFonts w:ascii="宋体" w:hAnsi="宋体" w:cs="宋体" w:eastAsia="宋体" w:hint="default"/>
                <w:sz w:val="18"/>
                <w:szCs w:val="18"/>
              </w:rPr>
              <w:t>杨  闰</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87"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88" w:right="0"/>
              <w:jc w:val="left"/>
              <w:rPr>
                <w:rFonts w:ascii="Times New Roman" w:hAnsi="Times New Roman" w:cs="Times New Roman" w:eastAsia="Times New Roman" w:hint="default"/>
                <w:sz w:val="18"/>
                <w:szCs w:val="18"/>
              </w:rPr>
            </w:pPr>
            <w:r>
              <w:rPr>
                <w:rFonts w:ascii="Times New Roman"/>
                <w:sz w:val="18"/>
              </w:rPr>
              <w:t>44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8.00</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7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9"/>
              <w:jc w:val="right"/>
              <w:rPr>
                <w:rFonts w:ascii="宋体" w:hAnsi="宋体" w:cs="宋体" w:eastAsia="宋体" w:hint="default"/>
                <w:sz w:val="18"/>
                <w:szCs w:val="18"/>
              </w:rPr>
            </w:pPr>
            <w:r>
              <w:rPr>
                <w:rFonts w:ascii="宋体" w:hAnsi="宋体" w:cs="宋体" w:eastAsia="宋体" w:hint="default"/>
                <w:sz w:val="18"/>
                <w:szCs w:val="18"/>
              </w:rPr>
              <w:t>邢良文</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87"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88" w:right="0"/>
              <w:jc w:val="left"/>
              <w:rPr>
                <w:rFonts w:ascii="Times New Roman" w:hAnsi="Times New Roman" w:cs="Times New Roman" w:eastAsia="Times New Roman" w:hint="default"/>
                <w:sz w:val="18"/>
                <w:szCs w:val="18"/>
              </w:rPr>
            </w:pPr>
            <w:r>
              <w:rPr>
                <w:rFonts w:ascii="Times New Roman"/>
                <w:sz w:val="18"/>
              </w:rPr>
              <w:t>57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8.00</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7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49"/>
              <w:jc w:val="right"/>
              <w:rPr>
                <w:rFonts w:ascii="宋体" w:hAnsi="宋体" w:cs="宋体" w:eastAsia="宋体" w:hint="default"/>
                <w:sz w:val="18"/>
                <w:szCs w:val="18"/>
              </w:rPr>
            </w:pPr>
            <w:r>
              <w:rPr>
                <w:rFonts w:ascii="宋体" w:hAnsi="宋体" w:cs="宋体" w:eastAsia="宋体" w:hint="default"/>
                <w:sz w:val="18"/>
                <w:szCs w:val="18"/>
              </w:rPr>
              <w:t>诸  岗</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监事会主席</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87"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88" w:right="0"/>
              <w:jc w:val="left"/>
              <w:rPr>
                <w:rFonts w:ascii="Times New Roman" w:hAnsi="Times New Roman" w:cs="Times New Roman" w:eastAsia="Times New Roman" w:hint="default"/>
                <w:sz w:val="18"/>
                <w:szCs w:val="18"/>
              </w:rPr>
            </w:pPr>
            <w:r>
              <w:rPr>
                <w:rFonts w:ascii="Times New Roman"/>
                <w:sz w:val="18"/>
              </w:rPr>
              <w:t>47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7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9"/>
              <w:jc w:val="right"/>
              <w:rPr>
                <w:rFonts w:ascii="宋体" w:hAnsi="宋体" w:cs="宋体" w:eastAsia="宋体" w:hint="default"/>
                <w:sz w:val="18"/>
                <w:szCs w:val="18"/>
              </w:rPr>
            </w:pPr>
            <w:r>
              <w:rPr>
                <w:rFonts w:ascii="宋体" w:hAnsi="宋体" w:cs="宋体" w:eastAsia="宋体" w:hint="default"/>
                <w:sz w:val="18"/>
                <w:szCs w:val="18"/>
              </w:rPr>
              <w:t>肖勋勇</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87"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88" w:right="0"/>
              <w:jc w:val="left"/>
              <w:rPr>
                <w:rFonts w:ascii="Times New Roman" w:hAnsi="Times New Roman" w:cs="Times New Roman" w:eastAsia="Times New Roman" w:hint="default"/>
                <w:sz w:val="18"/>
                <w:szCs w:val="18"/>
              </w:rPr>
            </w:pPr>
            <w:r>
              <w:rPr>
                <w:rFonts w:ascii="Times New Roman"/>
                <w:sz w:val="18"/>
              </w:rPr>
              <w:t>50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7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49"/>
              <w:jc w:val="right"/>
              <w:rPr>
                <w:rFonts w:ascii="宋体" w:hAnsi="宋体" w:cs="宋体" w:eastAsia="宋体" w:hint="default"/>
                <w:sz w:val="18"/>
                <w:szCs w:val="18"/>
              </w:rPr>
            </w:pPr>
            <w:r>
              <w:rPr>
                <w:rFonts w:ascii="宋体" w:hAnsi="宋体" w:cs="宋体" w:eastAsia="宋体" w:hint="default"/>
                <w:sz w:val="18"/>
                <w:szCs w:val="18"/>
              </w:rPr>
              <w:t>邝建洲</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职工监事</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87"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88" w:right="0"/>
              <w:jc w:val="left"/>
              <w:rPr>
                <w:rFonts w:ascii="Times New Roman" w:hAnsi="Times New Roman" w:cs="Times New Roman" w:eastAsia="Times New Roman" w:hint="default"/>
                <w:sz w:val="18"/>
                <w:szCs w:val="18"/>
              </w:rPr>
            </w:pPr>
            <w:r>
              <w:rPr>
                <w:rFonts w:ascii="Times New Roman"/>
                <w:sz w:val="18"/>
              </w:rPr>
              <w:t>50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65.00</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7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9"/>
              <w:jc w:val="right"/>
              <w:rPr>
                <w:rFonts w:ascii="宋体" w:hAnsi="宋体" w:cs="宋体" w:eastAsia="宋体" w:hint="default"/>
                <w:sz w:val="18"/>
                <w:szCs w:val="18"/>
              </w:rPr>
            </w:pPr>
            <w:r>
              <w:rPr>
                <w:rFonts w:ascii="宋体" w:hAnsi="宋体" w:cs="宋体" w:eastAsia="宋体" w:hint="default"/>
                <w:sz w:val="18"/>
                <w:szCs w:val="18"/>
              </w:rPr>
              <w:t>李叶东</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87"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88" w:right="0"/>
              <w:jc w:val="left"/>
              <w:rPr>
                <w:rFonts w:ascii="Times New Roman" w:hAnsi="Times New Roman" w:cs="Times New Roman" w:eastAsia="Times New Roman" w:hint="default"/>
                <w:sz w:val="18"/>
                <w:szCs w:val="18"/>
              </w:rPr>
            </w:pPr>
            <w:r>
              <w:rPr>
                <w:rFonts w:ascii="Times New Roman"/>
                <w:sz w:val="18"/>
              </w:rPr>
              <w:t>49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171.17</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7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49"/>
              <w:jc w:val="right"/>
              <w:rPr>
                <w:rFonts w:ascii="宋体" w:hAnsi="宋体" w:cs="宋体" w:eastAsia="宋体" w:hint="default"/>
                <w:sz w:val="18"/>
                <w:szCs w:val="18"/>
              </w:rPr>
            </w:pPr>
            <w:r>
              <w:rPr>
                <w:rFonts w:ascii="宋体" w:hAnsi="宋体" w:cs="宋体" w:eastAsia="宋体" w:hint="default"/>
                <w:sz w:val="18"/>
                <w:szCs w:val="18"/>
              </w:rPr>
              <w:t>魏  东</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87"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88" w:right="0"/>
              <w:jc w:val="left"/>
              <w:rPr>
                <w:rFonts w:ascii="Times New Roman" w:hAnsi="Times New Roman" w:cs="Times New Roman" w:eastAsia="Times New Roman" w:hint="default"/>
                <w:sz w:val="18"/>
                <w:szCs w:val="18"/>
              </w:rPr>
            </w:pPr>
            <w:r>
              <w:rPr>
                <w:rFonts w:ascii="Times New Roman"/>
                <w:sz w:val="18"/>
              </w:rPr>
              <w:t>43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118.71</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7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9"/>
              <w:jc w:val="right"/>
              <w:rPr>
                <w:rFonts w:ascii="宋体" w:hAnsi="宋体" w:cs="宋体" w:eastAsia="宋体" w:hint="default"/>
                <w:sz w:val="18"/>
                <w:szCs w:val="18"/>
              </w:rPr>
            </w:pPr>
            <w:r>
              <w:rPr>
                <w:rFonts w:ascii="宋体" w:hAnsi="宋体" w:cs="宋体" w:eastAsia="宋体" w:hint="default"/>
                <w:sz w:val="18"/>
                <w:szCs w:val="18"/>
              </w:rPr>
              <w:t>解永生</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87"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88" w:right="0"/>
              <w:jc w:val="left"/>
              <w:rPr>
                <w:rFonts w:ascii="Times New Roman" w:hAnsi="Times New Roman" w:cs="Times New Roman" w:eastAsia="Times New Roman" w:hint="default"/>
                <w:sz w:val="18"/>
                <w:szCs w:val="18"/>
              </w:rPr>
            </w:pPr>
            <w:r>
              <w:rPr>
                <w:rFonts w:ascii="Times New Roman"/>
                <w:sz w:val="18"/>
              </w:rPr>
              <w:t>45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147.00</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7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49"/>
              <w:jc w:val="right"/>
              <w:rPr>
                <w:rFonts w:ascii="宋体" w:hAnsi="宋体" w:cs="宋体" w:eastAsia="宋体" w:hint="default"/>
                <w:sz w:val="18"/>
                <w:szCs w:val="18"/>
              </w:rPr>
            </w:pPr>
            <w:r>
              <w:rPr>
                <w:rFonts w:ascii="宋体" w:hAnsi="宋体" w:cs="宋体" w:eastAsia="宋体" w:hint="default"/>
                <w:sz w:val="18"/>
                <w:szCs w:val="18"/>
              </w:rPr>
              <w:t>罗一明</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87"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88" w:right="0"/>
              <w:jc w:val="left"/>
              <w:rPr>
                <w:rFonts w:ascii="Times New Roman" w:hAnsi="Times New Roman" w:cs="Times New Roman" w:eastAsia="Times New Roman" w:hint="default"/>
                <w:sz w:val="18"/>
                <w:szCs w:val="18"/>
              </w:rPr>
            </w:pPr>
            <w:r>
              <w:rPr>
                <w:rFonts w:ascii="Times New Roman"/>
                <w:sz w:val="18"/>
              </w:rPr>
              <w:t>44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80.00</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7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9"/>
              <w:jc w:val="right"/>
              <w:rPr>
                <w:rFonts w:ascii="宋体" w:hAnsi="宋体" w:cs="宋体" w:eastAsia="宋体" w:hint="default"/>
                <w:sz w:val="18"/>
                <w:szCs w:val="18"/>
              </w:rPr>
            </w:pPr>
            <w:r>
              <w:rPr>
                <w:rFonts w:ascii="宋体" w:hAnsi="宋体" w:cs="宋体" w:eastAsia="宋体" w:hint="default"/>
                <w:sz w:val="18"/>
                <w:szCs w:val="18"/>
              </w:rPr>
              <w:t>钟  勇</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87"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88" w:right="0"/>
              <w:jc w:val="left"/>
              <w:rPr>
                <w:rFonts w:ascii="Times New Roman" w:hAnsi="Times New Roman" w:cs="Times New Roman" w:eastAsia="Times New Roman" w:hint="default"/>
                <w:sz w:val="18"/>
                <w:szCs w:val="18"/>
              </w:rPr>
            </w:pPr>
            <w:r>
              <w:rPr>
                <w:rFonts w:ascii="Times New Roman"/>
                <w:sz w:val="18"/>
              </w:rPr>
              <w:t>47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143.51</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7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49"/>
              <w:jc w:val="right"/>
              <w:rPr>
                <w:rFonts w:ascii="宋体" w:hAnsi="宋体" w:cs="宋体" w:eastAsia="宋体" w:hint="default"/>
                <w:sz w:val="18"/>
                <w:szCs w:val="18"/>
              </w:rPr>
            </w:pPr>
            <w:r>
              <w:rPr>
                <w:rFonts w:ascii="宋体" w:hAnsi="宋体" w:cs="宋体" w:eastAsia="宋体" w:hint="default"/>
                <w:sz w:val="18"/>
                <w:szCs w:val="18"/>
              </w:rPr>
              <w:t>蒋春晨</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副总经理、财务负责人</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87"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88" w:right="0"/>
              <w:jc w:val="left"/>
              <w:rPr>
                <w:rFonts w:ascii="Times New Roman" w:hAnsi="Times New Roman" w:cs="Times New Roman" w:eastAsia="Times New Roman" w:hint="default"/>
                <w:sz w:val="18"/>
                <w:szCs w:val="18"/>
              </w:rPr>
            </w:pPr>
            <w:r>
              <w:rPr>
                <w:rFonts w:ascii="Times New Roman"/>
                <w:sz w:val="18"/>
              </w:rPr>
              <w:t>56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91.92</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7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9"/>
              <w:jc w:val="right"/>
              <w:rPr>
                <w:rFonts w:ascii="宋体" w:hAnsi="宋体" w:cs="宋体" w:eastAsia="宋体" w:hint="default"/>
                <w:sz w:val="18"/>
                <w:szCs w:val="18"/>
              </w:rPr>
            </w:pPr>
            <w:r>
              <w:rPr>
                <w:rFonts w:ascii="宋体" w:hAnsi="宋体" w:cs="宋体" w:eastAsia="宋体" w:hint="default"/>
                <w:sz w:val="18"/>
                <w:szCs w:val="18"/>
              </w:rPr>
              <w:t>韩  莹</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87"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88" w:right="0"/>
              <w:jc w:val="left"/>
              <w:rPr>
                <w:rFonts w:ascii="Times New Roman" w:hAnsi="Times New Roman" w:cs="Times New Roman" w:eastAsia="Times New Roman" w:hint="default"/>
                <w:sz w:val="18"/>
                <w:szCs w:val="18"/>
              </w:rPr>
            </w:pPr>
            <w:r>
              <w:rPr>
                <w:rFonts w:ascii="Times New Roman"/>
                <w:sz w:val="18"/>
              </w:rPr>
              <w:t>47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92.00</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7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18" w:right="0"/>
              <w:jc w:val="left"/>
              <w:rPr>
                <w:rFonts w:ascii="Times New Roman" w:hAnsi="Times New Roman" w:cs="Times New Roman" w:eastAsia="Times New Roman" w:hint="default"/>
                <w:sz w:val="18"/>
                <w:szCs w:val="18"/>
              </w:rPr>
            </w:pPr>
            <w:r>
              <w:rPr>
                <w:rFonts w:ascii="Times New Roman"/>
                <w:sz w:val="18"/>
              </w:rPr>
              <w:t>--</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0" w:right="0"/>
              <w:jc w:val="left"/>
              <w:rPr>
                <w:rFonts w:ascii="Times New Roman" w:hAnsi="Times New Roman" w:cs="Times New Roman" w:eastAsia="Times New Roman" w:hint="default"/>
                <w:sz w:val="18"/>
                <w:szCs w:val="18"/>
              </w:rPr>
            </w:pPr>
            <w:r>
              <w:rPr>
                <w:rFonts w:ascii="Times New Roman"/>
                <w:sz w:val="18"/>
              </w:rPr>
              <w:t>--</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3" w:right="0"/>
              <w:jc w:val="center"/>
              <w:rPr>
                <w:rFonts w:ascii="Times New Roman" w:hAnsi="Times New Roman" w:cs="Times New Roman" w:eastAsia="Times New Roman" w:hint="default"/>
                <w:sz w:val="18"/>
                <w:szCs w:val="18"/>
              </w:rPr>
            </w:pPr>
            <w:r>
              <w:rPr>
                <w:rFonts w:ascii="Times New Roman"/>
                <w:sz w:val="18"/>
              </w:rPr>
              <w:t>--</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1,488.83</w:t>
            </w:r>
          </w:p>
        </w:tc>
        <w:tc>
          <w:tcPr>
            <w:tcW w:w="23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106" w:right="0"/>
              <w:jc w:val="left"/>
              <w:rPr>
                <w:rFonts w:ascii="Times New Roman" w:hAnsi="Times New Roman" w:cs="Times New Roman" w:eastAsia="Times New Roman" w:hint="default"/>
                <w:sz w:val="18"/>
                <w:szCs w:val="18"/>
              </w:rPr>
            </w:pPr>
            <w:r>
              <w:rPr>
                <w:rFonts w:ascii="Times New Roman"/>
                <w:sz w:val="18"/>
              </w:rPr>
              <w:t>--</w:t>
            </w:r>
          </w:p>
        </w:tc>
      </w:tr>
    </w:tbl>
    <w:p>
      <w:pPr>
        <w:pStyle w:val="BodyText"/>
        <w:spacing w:line="340" w:lineRule="auto" w:before="51"/>
        <w:ind w:right="6254"/>
        <w:jc w:val="left"/>
      </w:pPr>
      <w:r>
        <w:rPr/>
        <w:t>注：蒋春晨、韩莹于</w:t>
      </w:r>
      <w:r>
        <w:rPr>
          <w:spacing w:val="-45"/>
        </w:rPr>
        <w:t> </w:t>
      </w:r>
      <w:r>
        <w:rPr>
          <w:rFonts w:ascii="Times New Roman" w:hAnsi="Times New Roman" w:cs="Times New Roman" w:eastAsia="Times New Roman" w:hint="default"/>
        </w:rPr>
        <w:t>2020</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21</w:t>
      </w:r>
      <w:r>
        <w:rPr>
          <w:rFonts w:ascii="Times New Roman" w:hAnsi="Times New Roman" w:cs="Times New Roman" w:eastAsia="Times New Roman" w:hint="default"/>
          <w:spacing w:val="-3"/>
        </w:rPr>
        <w:t> </w:t>
      </w:r>
      <w:r>
        <w:rPr/>
        <w:t>日离职。 公司董事、高级管理人员报告期内被授予的股权激励情况</w:t>
      </w:r>
    </w:p>
    <w:p>
      <w:pPr>
        <w:pStyle w:val="BodyText"/>
        <w:spacing w:line="240" w:lineRule="auto" w:before="39"/>
        <w:ind w:right="13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394"/>
        <w:jc w:val="left"/>
        <w:rPr>
          <w:b w:val="0"/>
          <w:bCs w:val="0"/>
        </w:rPr>
      </w:pPr>
      <w:bookmarkStart w:name="五、公司员工情况" w:id="129"/>
      <w:bookmarkEnd w:id="129"/>
      <w:r>
        <w:rPr>
          <w:b w:val="0"/>
          <w:bCs w:val="0"/>
        </w:rPr>
      </w:r>
      <w:r>
        <w:rPr/>
        <w:t>五、公司员工情况</w:t>
      </w:r>
      <w:r>
        <w:rPr>
          <w:b w:val="0"/>
          <w:bCs w:val="0"/>
        </w:rPr>
      </w:r>
    </w:p>
    <w:p>
      <w:pPr>
        <w:spacing w:line="240" w:lineRule="auto" w:before="6"/>
        <w:rPr>
          <w:rFonts w:ascii="宋体" w:hAnsi="宋体" w:cs="宋体" w:eastAsia="宋体" w:hint="default"/>
          <w:b/>
          <w:bCs/>
          <w:sz w:val="25"/>
          <w:szCs w:val="25"/>
        </w:rPr>
      </w:pPr>
    </w:p>
    <w:p>
      <w:pPr>
        <w:pStyle w:val="Heading5"/>
        <w:spacing w:line="240" w:lineRule="auto"/>
        <w:ind w:right="1394"/>
        <w:jc w:val="left"/>
        <w:rPr>
          <w:b w:val="0"/>
          <w:bCs w:val="0"/>
        </w:rPr>
      </w:pPr>
      <w:bookmarkStart w:name="1、员工数量、专业构成及教育程度" w:id="130"/>
      <w:bookmarkEnd w:id="130"/>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2"/>
        <w:rPr>
          <w:rFonts w:ascii="宋体" w:hAnsi="宋体" w:cs="宋体" w:eastAsia="宋体" w:hint="default"/>
          <w:b/>
          <w:bCs/>
          <w:sz w:val="26"/>
          <w:szCs w:val="26"/>
        </w:rPr>
      </w:pPr>
    </w:p>
    <w:tbl>
      <w:tblPr>
        <w:tblW w:w="0" w:type="auto"/>
        <w:jc w:val="left"/>
        <w:tblInd w:w="109" w:type="dxa"/>
        <w:tblLayout w:type="fixed"/>
        <w:tblCellMar>
          <w:top w:w="0" w:type="dxa"/>
          <w:left w:w="0" w:type="dxa"/>
          <w:bottom w:w="0" w:type="dxa"/>
          <w:right w:w="0" w:type="dxa"/>
        </w:tblCellMar>
        <w:tblLook w:val="01E0"/>
      </w:tblPr>
      <w:tblGrid>
        <w:gridCol w:w="4784"/>
        <w:gridCol w:w="4784"/>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1,932</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24,086</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26,018</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26,018</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577"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1,029</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566</w:t>
            </w:r>
          </w:p>
        </w:tc>
      </w:tr>
      <w:tr>
        <w:trPr>
          <w:trHeight w:val="400"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2,708</w:t>
            </w:r>
          </w:p>
        </w:tc>
      </w:tr>
    </w:tbl>
    <w:p>
      <w:pPr>
        <w:spacing w:after="0" w:line="240" w:lineRule="auto"/>
        <w:jc w:val="right"/>
        <w:rPr>
          <w:rFonts w:ascii="Times New Roman" w:hAnsi="Times New Roman" w:cs="Times New Roman" w:eastAsia="Times New Roman" w:hint="default"/>
          <w:sz w:val="18"/>
          <w:szCs w:val="18"/>
        </w:rPr>
        <w:sectPr>
          <w:pgSz w:w="11910" w:h="16840"/>
          <w:pgMar w:header="878" w:footer="978" w:top="1100" w:bottom="1160" w:left="102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09" w:type="dxa"/>
        <w:tblLayout w:type="fixed"/>
        <w:tblCellMar>
          <w:top w:w="0" w:type="dxa"/>
          <w:left w:w="0" w:type="dxa"/>
          <w:bottom w:w="0" w:type="dxa"/>
          <w:right w:w="0" w:type="dxa"/>
        </w:tblCellMar>
        <w:tblLook w:val="01E0"/>
      </w:tblPr>
      <w:tblGrid>
        <w:gridCol w:w="4784"/>
        <w:gridCol w:w="4784"/>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188</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317</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服务人员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20,285</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管理人员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925</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26,018</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研究生及以上</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388</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本科及大专</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13,259</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中专</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8,658</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中专以下</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3,713</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26,018</w:t>
            </w:r>
          </w:p>
        </w:tc>
      </w:tr>
    </w:tbl>
    <w:p>
      <w:pPr>
        <w:spacing w:line="240" w:lineRule="auto" w:before="3"/>
        <w:rPr>
          <w:rFonts w:ascii="Times New Roman" w:hAnsi="Times New Roman" w:cs="Times New Roman" w:eastAsia="Times New Roman" w:hint="default"/>
          <w:sz w:val="6"/>
          <w:szCs w:val="6"/>
        </w:rPr>
      </w:pPr>
    </w:p>
    <w:p>
      <w:pPr>
        <w:spacing w:line="4332" w:lineRule="exact"/>
        <w:ind w:left="115"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6"/>
          <w:sz w:val="20"/>
          <w:szCs w:val="20"/>
        </w:rPr>
        <w:drawing>
          <wp:inline distT="0" distB="0" distL="0" distR="0">
            <wp:extent cx="4812301" cy="2751201"/>
            <wp:effectExtent l="0" t="0" r="0" b="0"/>
            <wp:docPr id="5" name="image4.png" descr=""/>
            <wp:cNvGraphicFramePr>
              <a:graphicFrameLocks noChangeAspect="1"/>
            </wp:cNvGraphicFramePr>
            <a:graphic>
              <a:graphicData uri="http://schemas.openxmlformats.org/drawingml/2006/picture">
                <pic:pic>
                  <pic:nvPicPr>
                    <pic:cNvPr id="6" name="image4.png"/>
                    <pic:cNvPicPr/>
                  </pic:nvPicPr>
                  <pic:blipFill>
                    <a:blip r:embed="rId35" cstate="print"/>
                    <a:stretch>
                      <a:fillRect/>
                    </a:stretch>
                  </pic:blipFill>
                  <pic:spPr>
                    <a:xfrm>
                      <a:off x="0" y="0"/>
                      <a:ext cx="4812301" cy="2751201"/>
                    </a:xfrm>
                    <a:prstGeom prst="rect">
                      <a:avLst/>
                    </a:prstGeom>
                  </pic:spPr>
                </pic:pic>
              </a:graphicData>
            </a:graphic>
          </wp:inline>
        </w:drawing>
      </w:r>
      <w:r>
        <w:rPr>
          <w:rFonts w:ascii="Times New Roman" w:hAnsi="Times New Roman" w:cs="Times New Roman" w:eastAsia="Times New Roman" w:hint="default"/>
          <w:position w:val="-86"/>
          <w:sz w:val="20"/>
          <w:szCs w:val="20"/>
        </w:rPr>
      </w:r>
    </w:p>
    <w:p>
      <w:pPr>
        <w:spacing w:line="240" w:lineRule="auto" w:before="7"/>
        <w:rPr>
          <w:rFonts w:ascii="Times New Roman" w:hAnsi="Times New Roman" w:cs="Times New Roman" w:eastAsia="Times New Roman" w:hint="default"/>
          <w:sz w:val="10"/>
          <w:szCs w:val="10"/>
        </w:rPr>
      </w:pPr>
    </w:p>
    <w:p>
      <w:pPr>
        <w:spacing w:line="4407" w:lineRule="exact"/>
        <w:ind w:left="115"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7"/>
          <w:sz w:val="20"/>
          <w:szCs w:val="20"/>
        </w:rPr>
        <w:drawing>
          <wp:inline distT="0" distB="0" distL="0" distR="0">
            <wp:extent cx="4893078" cy="2798635"/>
            <wp:effectExtent l="0" t="0" r="0" b="0"/>
            <wp:docPr id="7" name="image5.png" descr=""/>
            <wp:cNvGraphicFramePr>
              <a:graphicFrameLocks noChangeAspect="1"/>
            </wp:cNvGraphicFramePr>
            <a:graphic>
              <a:graphicData uri="http://schemas.openxmlformats.org/drawingml/2006/picture">
                <pic:pic>
                  <pic:nvPicPr>
                    <pic:cNvPr id="8" name="image5.png"/>
                    <pic:cNvPicPr/>
                  </pic:nvPicPr>
                  <pic:blipFill>
                    <a:blip r:embed="rId36" cstate="print"/>
                    <a:stretch>
                      <a:fillRect/>
                    </a:stretch>
                  </pic:blipFill>
                  <pic:spPr>
                    <a:xfrm>
                      <a:off x="0" y="0"/>
                      <a:ext cx="4893078" cy="2798635"/>
                    </a:xfrm>
                    <a:prstGeom prst="rect">
                      <a:avLst/>
                    </a:prstGeom>
                  </pic:spPr>
                </pic:pic>
              </a:graphicData>
            </a:graphic>
          </wp:inline>
        </w:drawing>
      </w:r>
      <w:r>
        <w:rPr>
          <w:rFonts w:ascii="Times New Roman" w:hAnsi="Times New Roman" w:cs="Times New Roman" w:eastAsia="Times New Roman" w:hint="default"/>
          <w:position w:val="-87"/>
          <w:sz w:val="20"/>
          <w:szCs w:val="20"/>
        </w:rPr>
      </w:r>
    </w:p>
    <w:p>
      <w:pPr>
        <w:spacing w:after="0" w:line="4407" w:lineRule="exact"/>
        <w:rPr>
          <w:rFonts w:ascii="Times New Roman" w:hAnsi="Times New Roman" w:cs="Times New Roman" w:eastAsia="Times New Roman" w:hint="default"/>
          <w:sz w:val="20"/>
          <w:szCs w:val="20"/>
        </w:rPr>
        <w:sectPr>
          <w:pgSz w:w="11910" w:h="16840"/>
          <w:pgMar w:header="878" w:footer="978" w:top="1100" w:bottom="1160" w:left="1020" w:right="0"/>
        </w:sectPr>
      </w:pPr>
    </w:p>
    <w:p>
      <w:pPr>
        <w:spacing w:line="240" w:lineRule="auto" w:before="4"/>
        <w:rPr>
          <w:rFonts w:ascii="Times New Roman" w:hAnsi="Times New Roman" w:cs="Times New Roman" w:eastAsia="Times New Roman" w:hint="default"/>
          <w:sz w:val="24"/>
          <w:szCs w:val="24"/>
        </w:rPr>
      </w:pPr>
    </w:p>
    <w:p>
      <w:pPr>
        <w:pStyle w:val="Heading5"/>
        <w:spacing w:line="240" w:lineRule="auto" w:before="37"/>
        <w:ind w:right="1394"/>
        <w:jc w:val="left"/>
        <w:rPr>
          <w:b w:val="0"/>
          <w:bCs w:val="0"/>
        </w:rPr>
      </w:pPr>
      <w:bookmarkStart w:name="2、薪酬政策" w:id="131"/>
      <w:bookmarkEnd w:id="131"/>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11"/>
        <w:rPr>
          <w:rFonts w:ascii="宋体" w:hAnsi="宋体" w:cs="宋体" w:eastAsia="宋体" w:hint="default"/>
          <w:b/>
          <w:bCs/>
          <w:sz w:val="26"/>
          <w:szCs w:val="26"/>
        </w:rPr>
      </w:pPr>
    </w:p>
    <w:p>
      <w:pPr>
        <w:pStyle w:val="BodyText"/>
        <w:spacing w:line="316" w:lineRule="auto"/>
        <w:ind w:right="1132" w:firstLine="360"/>
        <w:jc w:val="both"/>
      </w:pPr>
      <w:r>
        <w:rPr>
          <w:spacing w:val="-2"/>
        </w:rPr>
        <w:t>为适应企业发展需要，充分发挥薪酬的激励作用，以公平、竞争、激励、经济、合法的原则制定薪酬政策。根据岗位价</w:t>
      </w:r>
      <w:r>
        <w:rPr/>
        <w:t> </w:t>
      </w:r>
      <w:r>
        <w:rPr>
          <w:spacing w:val="-2"/>
        </w:rPr>
        <w:t>值、个人能力、工作绩效结合市场薪酬水平和公司的支付能力提供具有竞争力的薪酬水平。同时，结合各板块的业务特点和</w:t>
      </w:r>
      <w:r>
        <w:rPr>
          <w:spacing w:val="-66"/>
        </w:rPr>
        <w:t> </w:t>
      </w:r>
      <w:r>
        <w:rPr>
          <w:spacing w:val="-66"/>
        </w:rPr>
      </w:r>
      <w:r>
        <w:rPr>
          <w:spacing w:val="-2"/>
        </w:rPr>
        <w:t>激励需要构建相对科学的考核体系，建立考核与工资、奖金、调薪、晋升及培训挂钩的机制，为骨干员工和优秀人才提供中</w:t>
      </w:r>
      <w:r>
        <w:rPr>
          <w:spacing w:val="-65"/>
        </w:rPr>
        <w:t> </w:t>
      </w:r>
      <w:r>
        <w:rPr>
          <w:spacing w:val="-65"/>
        </w:rPr>
      </w:r>
      <w:r>
        <w:rPr/>
        <w:t>长期的激励政策，最大限度地发挥和调动员工的积极性和主动性。</w:t>
      </w:r>
    </w:p>
    <w:p>
      <w:pPr>
        <w:spacing w:line="240" w:lineRule="auto" w:before="2"/>
        <w:rPr>
          <w:rFonts w:ascii="宋体" w:hAnsi="宋体" w:cs="宋体" w:eastAsia="宋体" w:hint="default"/>
          <w:sz w:val="23"/>
          <w:szCs w:val="23"/>
        </w:rPr>
      </w:pPr>
    </w:p>
    <w:p>
      <w:pPr>
        <w:pStyle w:val="Heading5"/>
        <w:spacing w:line="240" w:lineRule="auto"/>
        <w:ind w:right="1394"/>
        <w:jc w:val="left"/>
        <w:rPr>
          <w:b w:val="0"/>
          <w:bCs w:val="0"/>
        </w:rPr>
      </w:pPr>
      <w:bookmarkStart w:name="3、培训计划" w:id="132"/>
      <w:bookmarkEnd w:id="132"/>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11"/>
        <w:rPr>
          <w:rFonts w:ascii="宋体" w:hAnsi="宋体" w:cs="宋体" w:eastAsia="宋体" w:hint="default"/>
          <w:b/>
          <w:bCs/>
          <w:sz w:val="26"/>
          <w:szCs w:val="26"/>
        </w:rPr>
      </w:pPr>
    </w:p>
    <w:p>
      <w:pPr>
        <w:pStyle w:val="BodyText"/>
        <w:spacing w:line="307" w:lineRule="auto"/>
        <w:ind w:right="1034" w:firstLine="360"/>
        <w:jc w:val="left"/>
      </w:pPr>
      <w:r>
        <w:rPr>
          <w:spacing w:val="-2"/>
        </w:rPr>
        <w:t>公司建立了以支持发展战略为目标，以贴近业务流程为基础，以解决业务实际问题为出发点的实战型培训体系。从培训</w:t>
      </w:r>
      <w:r>
        <w:rPr/>
        <w:t> </w:t>
      </w:r>
      <w:r>
        <w:rPr>
          <w:spacing w:val="-2"/>
        </w:rPr>
        <w:t>资源、政策等方面覆盖公司各业务系统及各子公司，为帮助员工成长、支持公司战略完成贡献最大的力量。</w:t>
      </w:r>
      <w:r>
        <w:rPr>
          <w:rFonts w:ascii="Times New Roman" w:hAnsi="Times New Roman" w:cs="Times New Roman" w:eastAsia="Times New Roman" w:hint="default"/>
          <w:spacing w:val="-2"/>
        </w:rPr>
        <w:t>2019</w:t>
      </w:r>
      <w:r>
        <w:rPr>
          <w:spacing w:val="-2"/>
        </w:rPr>
        <w:t>年公司共培</w:t>
      </w:r>
      <w:r>
        <w:rPr>
          <w:spacing w:val="-64"/>
        </w:rPr>
        <w:t> </w:t>
      </w:r>
      <w:r>
        <w:rPr>
          <w:spacing w:val="-2"/>
        </w:rPr>
        <w:t>训</w:t>
      </w:r>
      <w:r>
        <w:rPr>
          <w:rFonts w:ascii="Times New Roman" w:hAnsi="Times New Roman" w:cs="Times New Roman" w:eastAsia="Times New Roman" w:hint="default"/>
          <w:spacing w:val="-2"/>
        </w:rPr>
        <w:t>66</w:t>
      </w:r>
      <w:r>
        <w:rPr>
          <w:spacing w:val="-2"/>
        </w:rPr>
        <w:t>场次，培训总课时</w:t>
      </w:r>
      <w:r>
        <w:rPr>
          <w:rFonts w:ascii="Times New Roman" w:hAnsi="Times New Roman" w:cs="Times New Roman" w:eastAsia="Times New Roman" w:hint="default"/>
          <w:spacing w:val="-2"/>
        </w:rPr>
        <w:t>24,675</w:t>
      </w:r>
      <w:r>
        <w:rPr>
          <w:spacing w:val="-2"/>
        </w:rPr>
        <w:t>小时，合计培训</w:t>
      </w:r>
      <w:r>
        <w:rPr>
          <w:rFonts w:ascii="Times New Roman" w:hAnsi="Times New Roman" w:cs="Times New Roman" w:eastAsia="Times New Roman" w:hint="default"/>
          <w:spacing w:val="-2"/>
        </w:rPr>
        <w:t>2,137</w:t>
      </w:r>
      <w:r>
        <w:rPr>
          <w:spacing w:val="-2"/>
        </w:rPr>
        <w:t>人次，大大提高了公司员工的综合素质，为企业的发展进一步提升了竞争</w:t>
      </w:r>
      <w:r>
        <w:rPr>
          <w:spacing w:val="-59"/>
        </w:rPr>
        <w:t> </w:t>
      </w:r>
      <w:r>
        <w:rPr>
          <w:spacing w:val="-59"/>
        </w:rPr>
      </w:r>
      <w:r>
        <w:rPr/>
        <w:t>力。</w:t>
      </w:r>
      <w:r>
        <w:rPr>
          <w:rFonts w:ascii="Times New Roman" w:hAnsi="Times New Roman" w:cs="Times New Roman" w:eastAsia="Times New Roman" w:hint="default"/>
        </w:rPr>
        <w:t>2020</w:t>
      </w:r>
      <w:r>
        <w:rPr/>
        <w:t>年，公司年度培训工作将以年度经营方针为指导，围绕年度发展战略，结合业务实际，系统性构筑培训发展能力， 主抓干部队伍建设和专业技术人才梯队建设。同时，全面推行线上学习，利用移动学习优势提高培训效率及培训管理水平， 助推公司业绩目标达成和战略实施。</w:t>
      </w:r>
    </w:p>
    <w:p>
      <w:pPr>
        <w:spacing w:line="240" w:lineRule="auto" w:before="11"/>
        <w:rPr>
          <w:rFonts w:ascii="宋体" w:hAnsi="宋体" w:cs="宋体" w:eastAsia="宋体" w:hint="default"/>
          <w:sz w:val="23"/>
          <w:szCs w:val="23"/>
        </w:rPr>
      </w:pPr>
    </w:p>
    <w:p>
      <w:pPr>
        <w:pStyle w:val="Heading5"/>
        <w:spacing w:line="240" w:lineRule="auto"/>
        <w:ind w:right="1394"/>
        <w:jc w:val="left"/>
        <w:rPr>
          <w:b w:val="0"/>
          <w:bCs w:val="0"/>
        </w:rPr>
      </w:pPr>
      <w:bookmarkStart w:name="4、劳务外包情况" w:id="133"/>
      <w:bookmarkEnd w:id="133"/>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13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after="0" w:line="240" w:lineRule="auto"/>
        <w:jc w:val="left"/>
        <w:sectPr>
          <w:pgSz w:w="11910" w:h="16840"/>
          <w:pgMar w:header="878" w:footer="978" w:top="1100" w:bottom="116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pStyle w:val="Heading1"/>
        <w:spacing w:line="240" w:lineRule="auto"/>
        <w:ind w:right="1017"/>
        <w:jc w:val="center"/>
        <w:rPr>
          <w:b w:val="0"/>
          <w:bCs w:val="0"/>
        </w:rPr>
      </w:pPr>
      <w:bookmarkStart w:name="第十节 公司治理" w:id="134"/>
      <w:bookmarkEnd w:id="134"/>
      <w:r>
        <w:rPr>
          <w:b w:val="0"/>
          <w:bCs w:val="0"/>
        </w:rPr>
      </w:r>
      <w:bookmarkStart w:name="_bookmark9" w:id="135"/>
      <w:bookmarkEnd w:id="135"/>
      <w:r>
        <w:rPr>
          <w:b w:val="0"/>
          <w:bCs w:val="0"/>
        </w:rPr>
      </w:r>
      <w:r>
        <w:rPr/>
        <w:t>第十节</w:t>
      </w:r>
      <w:r>
        <w:rPr>
          <w:spacing w:val="-7"/>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pStyle w:val="Heading2"/>
        <w:spacing w:line="240" w:lineRule="auto" w:before="26"/>
        <w:ind w:right="1394"/>
        <w:jc w:val="left"/>
        <w:rPr>
          <w:b w:val="0"/>
          <w:bCs w:val="0"/>
        </w:rPr>
      </w:pPr>
      <w:bookmarkStart w:name="一、公司治理的基本状况" w:id="136"/>
      <w:bookmarkEnd w:id="136"/>
      <w:r>
        <w:rPr>
          <w:b w:val="0"/>
          <w:bCs w:val="0"/>
        </w:rPr>
      </w:r>
      <w:r>
        <w:rPr/>
        <w:t>一、公司治理的基本状况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132" w:firstLine="357"/>
        <w:jc w:val="both"/>
      </w:pPr>
      <w:r>
        <w:rPr>
          <w:spacing w:val="-2"/>
        </w:rPr>
        <w:t>公司严格按照《公司法》《证券法》《上市公司治理准则》《深圳证券交易所上市公司规范运作指引》及《深圳证券交</w:t>
      </w:r>
      <w:r>
        <w:rPr/>
        <w:t> </w:t>
      </w:r>
      <w:r>
        <w:rPr>
          <w:spacing w:val="-2"/>
        </w:rPr>
        <w:t>易所股票上市规则》等法律法规的要求规范运作，并结合公司自身的情况，不断优化公司治理结构，建立健全公司治理及内</w:t>
      </w:r>
      <w:r>
        <w:rPr>
          <w:spacing w:val="-66"/>
        </w:rPr>
        <w:t> </w:t>
      </w:r>
      <w:r>
        <w:rPr>
          <w:spacing w:val="-66"/>
        </w:rPr>
      </w:r>
      <w:r>
        <w:rPr/>
        <w:t>部控制的各项规章制度，加强信息披露，积极开展投资者关系管理，维护公司及股东的利益，确保公司规范、健康发展。</w:t>
      </w:r>
    </w:p>
    <w:p>
      <w:pPr>
        <w:pStyle w:val="BodyText"/>
        <w:spacing w:line="240" w:lineRule="auto" w:before="139"/>
        <w:ind w:left="472" w:right="1394"/>
        <w:jc w:val="left"/>
      </w:pPr>
      <w:r>
        <w:rPr/>
        <w:t>报告期内，公司治理各项具体工作如下：</w:t>
      </w:r>
    </w:p>
    <w:p>
      <w:pPr>
        <w:pStyle w:val="BodyText"/>
        <w:spacing w:line="314" w:lineRule="auto" w:before="117"/>
        <w:ind w:right="1130" w:firstLine="360"/>
        <w:jc w:val="both"/>
      </w:pPr>
      <w:r>
        <w:rPr>
          <w:rFonts w:ascii="Times New Roman" w:hAnsi="Times New Roman" w:cs="Times New Roman" w:eastAsia="Times New Roman" w:hint="default"/>
        </w:rPr>
        <w:t>1</w:t>
      </w:r>
      <w:r>
        <w:rPr/>
        <w:t>、关于股东与股东大会：根据《上市公司股东大会规则》《深圳证券交易所上市公司规范运作指引》等有关规定和要 </w:t>
      </w:r>
      <w:r>
        <w:rPr>
          <w:spacing w:val="-2"/>
        </w:rPr>
        <w:t>求，公司制定了《股东大会议事规则》并切实执行。报告期内，公司共召开三次股东大会，会议均由董事会召集召开，并聘</w:t>
      </w:r>
      <w:r>
        <w:rPr>
          <w:spacing w:val="-63"/>
        </w:rPr>
        <w:t> </w:t>
      </w:r>
      <w:r>
        <w:rPr>
          <w:spacing w:val="-63"/>
        </w:rPr>
      </w:r>
      <w:r>
        <w:rPr>
          <w:spacing w:val="-2"/>
        </w:rPr>
        <w:t>请了律师进行现场见证；三次会议均开通了网络投票，切实保障股东特别是中小股东的合法权益。现场见证律师出具的《法</w:t>
      </w:r>
      <w:r>
        <w:rPr>
          <w:spacing w:val="-64"/>
        </w:rPr>
        <w:t> </w:t>
      </w:r>
      <w:r>
        <w:rPr>
          <w:spacing w:val="-64"/>
        </w:rPr>
      </w:r>
      <w:r>
        <w:rPr>
          <w:spacing w:val="-2"/>
        </w:rPr>
        <w:t>律意见书》认为公司三次股东大会的召集和召开程序、出席会议人员的资格和召集人资格、表决程序和表决结果均符合法律</w:t>
      </w:r>
      <w:r>
        <w:rPr>
          <w:spacing w:val="-63"/>
        </w:rPr>
        <w:t> </w:t>
      </w:r>
      <w:r>
        <w:rPr>
          <w:spacing w:val="-63"/>
        </w:rPr>
      </w:r>
      <w:r>
        <w:rPr/>
        <w:t>法规及《公司章程》的规定，合法有效。</w:t>
      </w:r>
    </w:p>
    <w:p>
      <w:pPr>
        <w:pStyle w:val="BodyText"/>
        <w:spacing w:line="312" w:lineRule="auto" w:before="61"/>
        <w:ind w:right="1130" w:firstLine="360"/>
        <w:jc w:val="both"/>
      </w:pPr>
      <w:r>
        <w:rPr>
          <w:rFonts w:ascii="Times New Roman" w:hAnsi="Times New Roman" w:cs="Times New Roman" w:eastAsia="Times New Roman" w:hint="default"/>
        </w:rPr>
        <w:t>2</w:t>
      </w:r>
      <w:r>
        <w:rPr/>
        <w:t>、关于公司与控股股东：公司在业务、人员、资产、机构、财务上独立于控股股东。报告期内，公司控股股东严格规 </w:t>
      </w:r>
      <w:r>
        <w:rPr>
          <w:spacing w:val="-2"/>
        </w:rPr>
        <w:t>范自己的行为，依法行使股东权利并承担相应义务，没有超越公司股东大会、董事会及监事会等决策机构直接或间接干预公</w:t>
      </w:r>
      <w:r>
        <w:rPr>
          <w:spacing w:val="-63"/>
        </w:rPr>
        <w:t> </w:t>
      </w:r>
      <w:r>
        <w:rPr>
          <w:spacing w:val="-63"/>
        </w:rPr>
      </w:r>
      <w:r>
        <w:rPr>
          <w:spacing w:val="-2"/>
        </w:rPr>
        <w:t>司的决策和经营活动的行为；公司控股股东严格遵守相关承诺，不存在与公司进行同业竞争的行为；公司没有为控股股东及</w:t>
      </w:r>
      <w:r>
        <w:rPr>
          <w:spacing w:val="-63"/>
        </w:rPr>
        <w:t> </w:t>
      </w:r>
      <w:r>
        <w:rPr>
          <w:spacing w:val="-63"/>
        </w:rPr>
      </w:r>
      <w:r>
        <w:rPr/>
        <w:t>其子公司提供担保，也不存在公司控股股东非经营性占用公司资金的行为。</w:t>
      </w:r>
    </w:p>
    <w:p>
      <w:pPr>
        <w:pStyle w:val="BodyText"/>
        <w:spacing w:line="240" w:lineRule="auto" w:before="61"/>
        <w:ind w:left="472" w:right="0"/>
        <w:jc w:val="left"/>
      </w:pPr>
      <w:r>
        <w:rPr>
          <w:rFonts w:ascii="Times New Roman" w:hAnsi="Times New Roman" w:cs="Times New Roman" w:eastAsia="Times New Roman" w:hint="default"/>
        </w:rPr>
        <w:t>3</w:t>
      </w:r>
      <w:r>
        <w:rPr/>
        <w:t>、关于董事与董事会：根据《公司法》《深圳证券交易所股票上市规则》《深圳证券交易所上市公司规范运作指引》</w:t>
      </w:r>
    </w:p>
    <w:p>
      <w:pPr>
        <w:pStyle w:val="BodyText"/>
        <w:spacing w:line="312" w:lineRule="auto" w:before="63"/>
        <w:ind w:right="1024"/>
        <w:jc w:val="left"/>
      </w:pPr>
      <w:r>
        <w:rPr>
          <w:spacing w:val="-2"/>
        </w:rPr>
        <w:t>《公司章程》等有关规定和要求，公司制定了《董事会议事规则》《独立董事工作细则》并切实执行。报告期内，公司共召</w:t>
      </w:r>
      <w:r>
        <w:rPr>
          <w:spacing w:val="-60"/>
        </w:rPr>
        <w:t> </w:t>
      </w:r>
      <w:r>
        <w:rPr>
          <w:spacing w:val="-60"/>
        </w:rPr>
      </w:r>
      <w:r>
        <w:rPr>
          <w:rFonts w:ascii="Times New Roman" w:hAnsi="Times New Roman" w:cs="Times New Roman" w:eastAsia="Times New Roman" w:hint="default"/>
        </w:rPr>
        <w:t>10 </w:t>
      </w:r>
      <w:r>
        <w:rPr/>
        <w:t>次董事会，会议的召集与召开程序、出席会议人员的资格、会议表决程序、表决结果和决议内容均符合法律法规和《公</w:t>
      </w:r>
      <w:r>
        <w:rPr>
          <w:spacing w:val="-45"/>
        </w:rPr>
        <w:t> </w:t>
      </w:r>
      <w:r>
        <w:rPr>
          <w:spacing w:val="-45"/>
        </w:rPr>
      </w:r>
      <w:r>
        <w:rPr>
          <w:spacing w:val="-4"/>
        </w:rPr>
        <w:t>司章程》的规定。报告期内，公司全体董事认真履行诚实守信、勤勉尽责的义务，出席各董事会和股东大会，签署相关文件，</w:t>
      </w:r>
      <w:r>
        <w:rPr>
          <w:spacing w:val="-40"/>
        </w:rPr>
        <w:t> </w:t>
      </w:r>
      <w:r>
        <w:rPr>
          <w:spacing w:val="-40"/>
        </w:rPr>
      </w:r>
      <w:r>
        <w:rPr/>
        <w:t>同时积极参加相关培训，熟悉有关法律法规，维护公司和股东的利益。</w:t>
      </w:r>
    </w:p>
    <w:p>
      <w:pPr>
        <w:pStyle w:val="BodyText"/>
        <w:spacing w:line="240" w:lineRule="auto" w:before="63"/>
        <w:ind w:left="472" w:right="0"/>
        <w:jc w:val="left"/>
      </w:pPr>
      <w:r>
        <w:rPr>
          <w:rFonts w:ascii="Times New Roman" w:hAnsi="Times New Roman" w:cs="Times New Roman" w:eastAsia="Times New Roman" w:hint="default"/>
        </w:rPr>
        <w:t>4</w:t>
      </w:r>
      <w:r>
        <w:rPr/>
        <w:t>、关于监事与监事会：根据《公司法》《深圳证券交易所股票上市规则》《深圳证券交易所上市公司规范运作指引》</w:t>
      </w:r>
    </w:p>
    <w:p>
      <w:pPr>
        <w:pStyle w:val="BodyText"/>
        <w:spacing w:line="312" w:lineRule="auto" w:before="63"/>
        <w:ind w:right="1125"/>
        <w:jc w:val="both"/>
      </w:pPr>
      <w:r>
        <w:rPr>
          <w:spacing w:val="-2"/>
        </w:rPr>
        <w:t>《公司章程》等有关规定和要求，公司制定了《监事会议事规则》并切实执行。报告期内，公司共召开</w:t>
      </w:r>
      <w:r>
        <w:rPr>
          <w:spacing w:val="-37"/>
        </w:rPr>
        <w:t> </w:t>
      </w:r>
      <w:r>
        <w:rPr>
          <w:rFonts w:ascii="Times New Roman" w:hAnsi="Times New Roman" w:cs="Times New Roman" w:eastAsia="Times New Roman" w:hint="default"/>
        </w:rPr>
        <w:t>7</w:t>
      </w:r>
      <w:r>
        <w:rPr>
          <w:rFonts w:ascii="Times New Roman" w:hAnsi="Times New Roman" w:cs="Times New Roman" w:eastAsia="Times New Roman" w:hint="default"/>
          <w:spacing w:val="12"/>
        </w:rPr>
        <w:t> </w:t>
      </w:r>
      <w:r>
        <w:rPr>
          <w:spacing w:val="-2"/>
        </w:rPr>
        <w:t>次监事会，会议的</w:t>
      </w:r>
      <w:r>
        <w:rPr>
          <w:spacing w:val="-87"/>
        </w:rPr>
        <w:t> </w:t>
      </w:r>
      <w:r>
        <w:rPr>
          <w:spacing w:val="-87"/>
        </w:rPr>
      </w:r>
      <w:r>
        <w:rPr>
          <w:spacing w:val="-2"/>
        </w:rPr>
        <w:t>召集、召开和表决程序符合法律法规和《公司章程》的规定。报告期内，公司全体监事在《公司法》《公司章程》和股东大</w:t>
      </w:r>
      <w:r>
        <w:rPr>
          <w:spacing w:val="-61"/>
        </w:rPr>
        <w:t> </w:t>
      </w:r>
      <w:r>
        <w:rPr>
          <w:spacing w:val="-61"/>
        </w:rPr>
      </w:r>
      <w:r>
        <w:rPr>
          <w:spacing w:val="-2"/>
        </w:rPr>
        <w:t>会赋予的职权范围内积极行使监督权，对公司定期报告、募集资金使用、财务状况、股权转让、监事选举事项等进行审核并</w:t>
      </w:r>
      <w:r>
        <w:rPr>
          <w:spacing w:val="-63"/>
        </w:rPr>
        <w:t> </w:t>
      </w:r>
      <w:r>
        <w:rPr>
          <w:spacing w:val="-63"/>
        </w:rPr>
      </w:r>
      <w:r>
        <w:rPr/>
        <w:t>发表意见，保护公司、股东、债权人的合法权益。</w:t>
      </w:r>
    </w:p>
    <w:p>
      <w:pPr>
        <w:pStyle w:val="BodyText"/>
        <w:spacing w:line="312" w:lineRule="auto" w:before="63"/>
        <w:ind w:right="1130" w:firstLine="360"/>
        <w:jc w:val="both"/>
      </w:pPr>
      <w:r>
        <w:rPr>
          <w:rFonts w:ascii="Times New Roman" w:hAnsi="Times New Roman" w:cs="Times New Roman" w:eastAsia="Times New Roman" w:hint="default"/>
        </w:rPr>
        <w:t>5</w:t>
      </w:r>
      <w:r>
        <w:rPr/>
        <w:t>、关于绩效评价和激励约束机制：公司根据自身业务、经营情况，建立了企业绩效评价激励体系和激励约束机制，将 </w:t>
      </w:r>
      <w:r>
        <w:rPr>
          <w:spacing w:val="-2"/>
        </w:rPr>
        <w:t>经营管理层和员工的收入与企业经营业绩相挂钩，同时实施了员工持股计划，进一步完善了核心员工与全体股东的利益共享</w:t>
      </w:r>
      <w:r>
        <w:rPr>
          <w:spacing w:val="-64"/>
        </w:rPr>
        <w:t> </w:t>
      </w:r>
      <w:r>
        <w:rPr>
          <w:spacing w:val="-64"/>
        </w:rPr>
      </w:r>
      <w:r>
        <w:rPr>
          <w:spacing w:val="-2"/>
        </w:rPr>
        <w:t>和风险共担机制，激发员工积极性和创造性，提高工作效率；公司高级管理人员的聘任公开、透明，高管薪酬由薪酬考核委</w:t>
      </w:r>
      <w:r>
        <w:rPr>
          <w:spacing w:val="-63"/>
        </w:rPr>
        <w:t> </w:t>
      </w:r>
      <w:r>
        <w:rPr>
          <w:spacing w:val="-63"/>
        </w:rPr>
      </w:r>
      <w:r>
        <w:rPr/>
        <w:t>员会核定并经董事会审核通过。</w:t>
      </w:r>
    </w:p>
    <w:p>
      <w:pPr>
        <w:pStyle w:val="BodyText"/>
        <w:spacing w:line="309" w:lineRule="auto" w:before="61"/>
        <w:ind w:right="0" w:firstLine="360"/>
        <w:jc w:val="left"/>
      </w:pPr>
      <w:r>
        <w:rPr>
          <w:rFonts w:ascii="Times New Roman" w:hAnsi="Times New Roman" w:cs="Times New Roman" w:eastAsia="Times New Roman" w:hint="default"/>
        </w:rPr>
        <w:t>6</w:t>
      </w:r>
      <w:r>
        <w:rPr/>
        <w:t>、关于利益相关者：报告期内，公司在注重企业经营的同时，充分尊重和维护利益相关者的合法权利，诚信对待供应 </w:t>
      </w:r>
      <w:r>
        <w:rPr>
          <w:spacing w:val="-4"/>
        </w:rPr>
        <w:t>商和客户，加强与各方的沟通和合作，努力实现公司、股东、员工、客户、供应商、最终用户、社会等各方利益的协调平衡，</w:t>
      </w:r>
      <w:r>
        <w:rPr>
          <w:spacing w:val="-42"/>
        </w:rPr>
        <w:t> </w:t>
      </w:r>
      <w:r>
        <w:rPr>
          <w:spacing w:val="-42"/>
        </w:rPr>
      </w:r>
      <w:r>
        <w:rPr/>
        <w:t>共同推动公司持续、稳健发展。</w:t>
      </w:r>
    </w:p>
    <w:p>
      <w:pPr>
        <w:pStyle w:val="BodyText"/>
        <w:spacing w:line="240" w:lineRule="auto" w:before="65"/>
        <w:ind w:left="472" w:right="0"/>
        <w:jc w:val="left"/>
      </w:pPr>
      <w:r>
        <w:rPr>
          <w:rFonts w:ascii="Times New Roman" w:hAnsi="Times New Roman" w:cs="Times New Roman" w:eastAsia="Times New Roman" w:hint="default"/>
        </w:rPr>
        <w:t>7</w:t>
      </w:r>
      <w:r>
        <w:rPr/>
        <w:t>、关于信息披露与透明度：公司严格按照《深圳证券交易所股票上市规则》等相关法律法规及《信息披露管理制度》</w:t>
      </w:r>
    </w:p>
    <w:p>
      <w:pPr>
        <w:pStyle w:val="BodyText"/>
        <w:spacing w:line="309" w:lineRule="auto" w:before="63"/>
        <w:ind w:right="0"/>
        <w:jc w:val="left"/>
      </w:pPr>
      <w:r>
        <w:rPr>
          <w:spacing w:val="-2"/>
        </w:rPr>
        <w:t>《投资者关系管理制度》等制度的要求，真实、准确、完整、及时、公平地履行信息披露义务，报告期内，公司信息披露工</w:t>
      </w:r>
      <w:r>
        <w:rPr>
          <w:spacing w:val="-62"/>
        </w:rPr>
        <w:t> </w:t>
      </w:r>
      <w:r>
        <w:rPr>
          <w:spacing w:val="-62"/>
        </w:rPr>
      </w:r>
      <w:r>
        <w:rPr>
          <w:spacing w:val="9"/>
        </w:rPr>
        <w:t>作继续荣获深交所信息披露</w:t>
      </w:r>
      <w:r>
        <w:rPr>
          <w:rFonts w:ascii="Times New Roman" w:hAnsi="Times New Roman" w:cs="Times New Roman" w:eastAsia="Times New Roman" w:hint="default"/>
          <w:spacing w:val="9"/>
        </w:rPr>
        <w:t>“</w:t>
      </w:r>
      <w:r>
        <w:rPr>
          <w:spacing w:val="9"/>
        </w:rPr>
        <w:t>优秀（</w:t>
      </w:r>
      <w:r>
        <w:rPr>
          <w:rFonts w:ascii="Times New Roman" w:hAnsi="Times New Roman" w:cs="Times New Roman" w:eastAsia="Times New Roman" w:hint="default"/>
          <w:spacing w:val="9"/>
        </w:rPr>
        <w:t>A</w:t>
      </w:r>
      <w:r>
        <w:rPr>
          <w:spacing w:val="9"/>
        </w:rPr>
        <w:t>）</w:t>
      </w:r>
      <w:r>
        <w:rPr>
          <w:rFonts w:ascii="Times New Roman" w:hAnsi="Times New Roman" w:cs="Times New Roman" w:eastAsia="Times New Roman" w:hint="default"/>
          <w:spacing w:val="9"/>
        </w:rPr>
        <w:t>”</w:t>
      </w:r>
      <w:r>
        <w:rPr>
          <w:spacing w:val="9"/>
        </w:rPr>
        <w:t>考评，公司指定《证券时报》《中国证券报》《上海证券报》和巨潮资讯网</w:t>
      </w:r>
      <w:r>
        <w:rPr>
          <w:spacing w:val="-47"/>
        </w:rPr>
        <w:t> </w:t>
      </w:r>
      <w:r>
        <w:rPr>
          <w:spacing w:val="-47"/>
        </w:rPr>
      </w:r>
      <w:hyperlink r:id="rId10">
        <w:r>
          <w:rPr>
            <w:rFonts w:ascii="Times New Roman" w:hAnsi="Times New Roman" w:cs="Times New Roman" w:eastAsia="Times New Roman" w:hint="default"/>
          </w:rPr>
          <w:t>www.cninfo.com.cn</w:t>
        </w:r>
      </w:hyperlink>
      <w:r>
        <w:rPr>
          <w:rFonts w:ascii="Times New Roman" w:hAnsi="Times New Roman" w:cs="Times New Roman" w:eastAsia="Times New Roman" w:hint="default"/>
        </w:rPr>
        <w:t> </w:t>
      </w:r>
      <w:r>
        <w:rPr/>
        <w:t>为公司信息披露的报纸和网站，通过网上说明会、投资者关系互动平台、电话接听、专用电子信箱、接</w:t>
      </w:r>
      <w:r>
        <w:rPr>
          <w:spacing w:val="-68"/>
        </w:rPr>
        <w:t> </w:t>
      </w:r>
      <w:r>
        <w:rPr>
          <w:spacing w:val="-68"/>
        </w:rPr>
      </w:r>
      <w:r>
        <w:rPr>
          <w:spacing w:val="-4"/>
        </w:rPr>
        <w:t>待投资者和调研机构的来访及咨询、路演及反路演等多种方式，与投资者进行沟通、交流，提高公司运作的公开性和透明度，</w:t>
      </w:r>
      <w:r>
        <w:rPr>
          <w:spacing w:val="-43"/>
        </w:rPr>
        <w:t> </w:t>
      </w:r>
      <w:r>
        <w:rPr>
          <w:spacing w:val="-43"/>
        </w:rPr>
      </w:r>
      <w:r>
        <w:rPr/>
        <w:t>确保公司所有股东以平等的机会获取公司信息。</w:t>
      </w:r>
    </w:p>
    <w:p>
      <w:pPr>
        <w:pStyle w:val="BodyText"/>
        <w:spacing w:line="240" w:lineRule="auto" w:before="65"/>
        <w:ind w:right="1394"/>
        <w:jc w:val="left"/>
      </w:pPr>
      <w:r>
        <w:rPr/>
        <w:t>公司治理的实际状况与中国证监会发布的有关上市公司治理的规范性文件是否存在重大差异</w:t>
      </w:r>
    </w:p>
    <w:p>
      <w:pPr>
        <w:spacing w:after="0" w:line="240" w:lineRule="auto"/>
        <w:jc w:val="left"/>
        <w:sectPr>
          <w:pgSz w:w="11910" w:h="16840"/>
          <w:pgMar w:header="878" w:footer="978" w:top="1100" w:bottom="1160" w:left="1020" w:right="0"/>
        </w:sectPr>
      </w:pPr>
    </w:p>
    <w:p>
      <w:pPr>
        <w:spacing w:line="240" w:lineRule="auto" w:before="1"/>
        <w:rPr>
          <w:rFonts w:ascii="宋体" w:hAnsi="宋体" w:cs="宋体" w:eastAsia="宋体" w:hint="default"/>
          <w:sz w:val="22"/>
          <w:szCs w:val="22"/>
        </w:rPr>
      </w:pPr>
    </w:p>
    <w:p>
      <w:pPr>
        <w:pStyle w:val="BodyText"/>
        <w:spacing w:line="338" w:lineRule="auto" w:before="44"/>
        <w:ind w:left="252" w:right="35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否 公司治理的实际状况与中国证监会发布的有关上市公司治理的规范性文件不存在重大差异。</w:t>
      </w:r>
    </w:p>
    <w:p>
      <w:pPr>
        <w:spacing w:line="240" w:lineRule="auto" w:before="6"/>
        <w:rPr>
          <w:rFonts w:ascii="宋体" w:hAnsi="宋体" w:cs="宋体" w:eastAsia="宋体" w:hint="default"/>
          <w:sz w:val="19"/>
          <w:szCs w:val="19"/>
        </w:rPr>
      </w:pPr>
    </w:p>
    <w:p>
      <w:pPr>
        <w:pStyle w:val="Heading2"/>
        <w:spacing w:line="240" w:lineRule="auto"/>
        <w:ind w:left="252" w:right="0"/>
        <w:jc w:val="left"/>
        <w:rPr>
          <w:b w:val="0"/>
          <w:bCs w:val="0"/>
        </w:rPr>
      </w:pPr>
      <w:bookmarkStart w:name="二、公司相对于控股股东在业务、人员、资产、机构、财务等方面的独立情况" w:id="137"/>
      <w:bookmarkEnd w:id="137"/>
      <w:r>
        <w:rPr>
          <w:b w:val="0"/>
          <w:bCs w:val="0"/>
        </w:rPr>
      </w:r>
      <w:r>
        <w:rPr/>
        <w:t>二、公司相对于控股股东在业务、人员、资产、机构、财务等方面的独立情况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612" w:right="0"/>
        <w:jc w:val="left"/>
      </w:pPr>
      <w:r>
        <w:rPr/>
        <w:t>报告期内，公司与控股股东在业务、人员、资产、机构、财务等方面完全分开，具有独立完整的业务及自主经营能力。</w:t>
      </w:r>
    </w:p>
    <w:p>
      <w:pPr>
        <w:pStyle w:val="BodyText"/>
        <w:spacing w:line="328" w:lineRule="auto" w:before="76"/>
        <w:ind w:left="252" w:right="1132" w:firstLine="360"/>
        <w:jc w:val="both"/>
      </w:pPr>
      <w:r>
        <w:rPr>
          <w:rFonts w:ascii="Times New Roman" w:hAnsi="Times New Roman" w:cs="Times New Roman" w:eastAsia="Times New Roman" w:hint="default"/>
        </w:rPr>
        <w:t>1</w:t>
      </w:r>
      <w:r>
        <w:rPr/>
        <w:t>、业务独立情况：公司业务独立于控股股东、实际控制人及其控制的其他企业，拥有独立完整的生产、研发、销售和 </w:t>
      </w:r>
      <w:r>
        <w:rPr>
          <w:spacing w:val="-2"/>
        </w:rPr>
        <w:t>服务系统，独立开展业务，不依赖于股东或其它任何关联方，与控股股东、实际控制人及其控制的其他企业不存在同业竞争</w:t>
      </w:r>
      <w:r>
        <w:rPr>
          <w:spacing w:val="-66"/>
        </w:rPr>
        <w:t> </w:t>
      </w:r>
      <w:r>
        <w:rPr>
          <w:spacing w:val="-66"/>
        </w:rPr>
      </w:r>
      <w:r>
        <w:rPr/>
        <w:t>或者显失公平的关联交易。</w:t>
      </w:r>
    </w:p>
    <w:p>
      <w:pPr>
        <w:pStyle w:val="BodyText"/>
        <w:spacing w:line="312" w:lineRule="auto" w:before="50"/>
        <w:ind w:left="252" w:right="1132" w:firstLine="360"/>
        <w:jc w:val="both"/>
      </w:pPr>
      <w:r>
        <w:rPr>
          <w:rFonts w:ascii="Times New Roman" w:hAnsi="Times New Roman" w:cs="Times New Roman" w:eastAsia="Times New Roman" w:hint="default"/>
        </w:rPr>
        <w:t>2</w:t>
      </w:r>
      <w:r>
        <w:rPr/>
        <w:t>、人员独立情况：公司人员、劳动、人事及工资关系完全独立。公司拥有独立的员工队伍，并已建立完善的劳动用工 </w:t>
      </w:r>
      <w:r>
        <w:rPr>
          <w:spacing w:val="-2"/>
        </w:rPr>
        <w:t>和人事管理制度，拥有独立的劳动用工权利，不存在受控股股东干涉的现象。公司总经理、副总经理和其他高级管理人员以</w:t>
      </w:r>
      <w:r>
        <w:rPr>
          <w:spacing w:val="-66"/>
        </w:rPr>
        <w:t> </w:t>
      </w:r>
      <w:r>
        <w:rPr>
          <w:spacing w:val="-66"/>
        </w:rPr>
      </w:r>
      <w:r>
        <w:rPr>
          <w:spacing w:val="-2"/>
        </w:rPr>
        <w:t>及核心技术人员等均专职在本公司及控股子公司工作并领取薪酬，未在控股股东、实际控制人及其控制的其他企业中担任除</w:t>
      </w:r>
      <w:r>
        <w:rPr>
          <w:spacing w:val="-64"/>
        </w:rPr>
        <w:t> </w:t>
      </w:r>
      <w:r>
        <w:rPr>
          <w:spacing w:val="-64"/>
        </w:rPr>
      </w:r>
      <w:r>
        <w:rPr/>
        <w:t>董事、监事以外的任何职务及领取薪酬。</w:t>
      </w:r>
    </w:p>
    <w:p>
      <w:pPr>
        <w:pStyle w:val="BodyText"/>
        <w:spacing w:line="312" w:lineRule="auto" w:before="63"/>
        <w:ind w:left="252" w:right="1034" w:firstLine="360"/>
        <w:jc w:val="left"/>
      </w:pPr>
      <w:r>
        <w:rPr>
          <w:rFonts w:ascii="Times New Roman" w:hAnsi="Times New Roman" w:cs="Times New Roman" w:eastAsia="Times New Roman" w:hint="default"/>
        </w:rPr>
        <w:t>3</w:t>
      </w:r>
      <w:r>
        <w:rPr/>
        <w:t>、资产独立情况：公司拥有独立于控股股东的生产经营场所，拥有独立完整的资产结构，拥有独立的生产系统、辅助 生产系统和配套设施、土地使用权、房屋所有权等资产，拥有独立的采购和销售系统，对所有资产拥有完全的控制支配权。 </w:t>
      </w:r>
      <w:r>
        <w:rPr>
          <w:spacing w:val="-2"/>
        </w:rPr>
        <w:t>公司不存在资产、资金被控股股东、实际控制人及其控制的其他企业违规占用而损害公司利益的情况；不存在以承包、委托</w:t>
      </w:r>
      <w:r>
        <w:rPr>
          <w:spacing w:val="-66"/>
        </w:rPr>
        <w:t> </w:t>
      </w:r>
      <w:r>
        <w:rPr>
          <w:spacing w:val="-66"/>
        </w:rPr>
      </w:r>
      <w:r>
        <w:rPr/>
        <w:t>经营、租赁或其他类似方式，依赖股东单位及其他关联方进行生产经营的情况。</w:t>
      </w:r>
    </w:p>
    <w:p>
      <w:pPr>
        <w:pStyle w:val="BodyText"/>
        <w:spacing w:line="300" w:lineRule="auto" w:before="61"/>
        <w:ind w:left="252" w:right="1141" w:firstLine="360"/>
        <w:jc w:val="both"/>
      </w:pPr>
      <w:r>
        <w:rPr>
          <w:rFonts w:ascii="Times New Roman" w:hAnsi="Times New Roman" w:cs="Times New Roman" w:eastAsia="Times New Roman" w:hint="default"/>
        </w:rPr>
        <w:t>4</w:t>
      </w:r>
      <w:r>
        <w:rPr/>
        <w:t>、财务独立情况：公司设有独立的财务会计部门，配备独立的财务会计人员，建立了独立的会计核算体系和财务管理 制度，独立进行财务决策，并严格实施内部审计制度；公司开设了独立银行账户，依法独立纳税。</w:t>
      </w:r>
    </w:p>
    <w:p>
      <w:pPr>
        <w:pStyle w:val="BodyText"/>
        <w:spacing w:line="300" w:lineRule="auto" w:before="72"/>
        <w:ind w:left="252" w:right="1041" w:firstLine="360"/>
        <w:jc w:val="both"/>
      </w:pPr>
      <w:r>
        <w:rPr>
          <w:rFonts w:ascii="Times New Roman" w:hAnsi="Times New Roman" w:cs="Times New Roman" w:eastAsia="Times New Roman" w:hint="default"/>
          <w:spacing w:val="-2"/>
        </w:rPr>
        <w:t>5</w:t>
      </w:r>
      <w:r>
        <w:rPr>
          <w:spacing w:val="-2"/>
        </w:rPr>
        <w:t>、机构独立情况：公司建立了健全的法人治理机构，公司根据《公司法》和《公司章程》及其他有关法律法规的规定，</w:t>
      </w:r>
      <w:r>
        <w:rPr/>
        <w:t> 设立了股东大会、董事会、监事会以及经营管理层，并制定了相关议事规则和工作细则。</w:t>
      </w:r>
    </w:p>
    <w:p>
      <w:pPr>
        <w:pStyle w:val="BodyText"/>
        <w:spacing w:line="316" w:lineRule="auto" w:before="72"/>
        <w:ind w:left="252" w:right="1132" w:firstLine="360"/>
        <w:jc w:val="both"/>
      </w:pPr>
      <w:r>
        <w:rPr>
          <w:spacing w:val="-2"/>
        </w:rPr>
        <w:t>公司已经按照法律、法规的规定和公司的实际情况设置了公司的组织机构，独立于控股股东和其他关联方，具有健全的</w:t>
      </w:r>
      <w:r>
        <w:rPr/>
        <w:t> </w:t>
      </w:r>
      <w:r>
        <w:rPr>
          <w:spacing w:val="-2"/>
        </w:rPr>
        <w:t>内部经营管理机构，独立行使经营管理职权，公司及其职能部门与控股股东及其职能部门之间不存在上下级关系，不存在与</w:t>
      </w:r>
      <w:r>
        <w:rPr>
          <w:spacing w:val="-65"/>
        </w:rPr>
        <w:t> </w:t>
      </w:r>
      <w:r>
        <w:rPr>
          <w:spacing w:val="-65"/>
        </w:rPr>
      </w:r>
      <w:r>
        <w:rPr/>
        <w:t>控股股东及其下属企业机构混同或从属的情形。</w:t>
      </w:r>
    </w:p>
    <w:p>
      <w:pPr>
        <w:spacing w:line="240" w:lineRule="auto" w:before="9"/>
        <w:rPr>
          <w:rFonts w:ascii="宋体" w:hAnsi="宋体" w:cs="宋体" w:eastAsia="宋体" w:hint="default"/>
          <w:sz w:val="20"/>
          <w:szCs w:val="20"/>
        </w:rPr>
      </w:pPr>
    </w:p>
    <w:p>
      <w:pPr>
        <w:pStyle w:val="Heading2"/>
        <w:spacing w:line="240" w:lineRule="auto"/>
        <w:ind w:left="252" w:right="3554"/>
        <w:jc w:val="left"/>
        <w:rPr>
          <w:b w:val="0"/>
          <w:bCs w:val="0"/>
        </w:rPr>
      </w:pPr>
      <w:bookmarkStart w:name="三、同业竞争情况" w:id="138"/>
      <w:bookmarkEnd w:id="138"/>
      <w:r>
        <w:rPr>
          <w:b w:val="0"/>
          <w:bCs w:val="0"/>
        </w:rPr>
      </w:r>
      <w:r>
        <w:rPr/>
        <w:t>三、同业竞争情况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252" w:right="35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24"/>
          <w:szCs w:val="24"/>
        </w:rPr>
      </w:pPr>
    </w:p>
    <w:p>
      <w:pPr>
        <w:pStyle w:val="Heading2"/>
        <w:spacing w:line="240" w:lineRule="auto"/>
        <w:ind w:left="252" w:right="3554"/>
        <w:jc w:val="left"/>
        <w:rPr>
          <w:b w:val="0"/>
          <w:bCs w:val="0"/>
        </w:rPr>
      </w:pPr>
      <w:bookmarkStart w:name="四、报告期内召开的年度股东大会和临时股东大会的有关情况" w:id="139"/>
      <w:bookmarkEnd w:id="139"/>
      <w:r>
        <w:rPr>
          <w:b w:val="0"/>
          <w:bCs w:val="0"/>
        </w:rPr>
      </w:r>
      <w:r>
        <w:rPr/>
        <w:t>四、报告期内召开的年度股东大会和临时股东大会的有关情况</w:t>
      </w:r>
      <w:r>
        <w:rPr>
          <w:b w:val="0"/>
          <w:bCs w:val="0"/>
        </w:rPr>
      </w:r>
    </w:p>
    <w:p>
      <w:pPr>
        <w:spacing w:line="240" w:lineRule="auto" w:before="6"/>
        <w:rPr>
          <w:rFonts w:ascii="宋体" w:hAnsi="宋体" w:cs="宋体" w:eastAsia="宋体" w:hint="default"/>
          <w:b/>
          <w:bCs/>
          <w:sz w:val="25"/>
          <w:szCs w:val="25"/>
        </w:rPr>
      </w:pPr>
    </w:p>
    <w:p>
      <w:pPr>
        <w:pStyle w:val="Heading5"/>
        <w:spacing w:line="240" w:lineRule="auto"/>
        <w:ind w:left="252" w:right="3554"/>
        <w:jc w:val="left"/>
        <w:rPr>
          <w:b w:val="0"/>
          <w:bCs w:val="0"/>
        </w:rPr>
      </w:pPr>
      <w:bookmarkStart w:name="1、本报告期股东大会情况" w:id="140"/>
      <w:bookmarkEnd w:id="140"/>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8"/>
          <w:szCs w:val="28"/>
        </w:rPr>
      </w:pPr>
    </w:p>
    <w:p>
      <w:pPr>
        <w:pStyle w:val="BodyText"/>
        <w:spacing w:line="240" w:lineRule="auto" w:before="44"/>
        <w:ind w:left="0" w:right="1142"/>
        <w:jc w:val="right"/>
      </w:pPr>
      <w:r>
        <w:rPr/>
        <w:pict>
          <v:shape style="position:absolute;margin-left:49.360001pt;margin-top:-54.08828pt;width:486.15pt;height:162.3pt;mso-position-horizontal-relative:page;mso-position-vertical-relative:paragraph;z-index:15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60"/>
                    <w:gridCol w:w="850"/>
                    <w:gridCol w:w="851"/>
                    <w:gridCol w:w="1559"/>
                    <w:gridCol w:w="1559"/>
                    <w:gridCol w:w="3329"/>
                  </w:tblGrid>
                  <w:tr>
                    <w:trPr>
                      <w:trHeight w:val="714"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9"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50" w:right="58" w:hanging="89"/>
                          <w:jc w:val="left"/>
                          <w:rPr>
                            <w:rFonts w:ascii="宋体" w:hAnsi="宋体" w:cs="宋体" w:eastAsia="宋体" w:hint="default"/>
                            <w:sz w:val="18"/>
                            <w:szCs w:val="18"/>
                          </w:rPr>
                        </w:pPr>
                        <w:r>
                          <w:rPr>
                            <w:rFonts w:ascii="宋体" w:hAnsi="宋体" w:cs="宋体" w:eastAsia="宋体" w:hint="default"/>
                            <w:sz w:val="18"/>
                            <w:szCs w:val="18"/>
                          </w:rPr>
                          <w:t>投资者参 与比例</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3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303" w:hRule="exact"/>
                    </w:trPr>
                    <w:tc>
                      <w:tcPr>
                        <w:tcW w:w="1560"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1559" w:type="dxa"/>
                        <w:tcBorders>
                          <w:top w:val="single" w:sz="4" w:space="0" w:color="000000"/>
                          <w:left w:val="single" w:sz="4" w:space="0" w:color="000000"/>
                          <w:bottom w:val="nil" w:sz="6" w:space="0" w:color="auto"/>
                          <w:right w:val="single" w:sz="4" w:space="0" w:color="000000"/>
                        </w:tcBorders>
                      </w:tcPr>
                      <w:p>
                        <w:pPr/>
                      </w:p>
                    </w:tc>
                    <w:tc>
                      <w:tcPr>
                        <w:tcW w:w="1559" w:type="dxa"/>
                        <w:tcBorders>
                          <w:top w:val="single" w:sz="4" w:space="0" w:color="000000"/>
                          <w:left w:val="single" w:sz="4" w:space="0" w:color="000000"/>
                          <w:bottom w:val="nil" w:sz="6" w:space="0" w:color="auto"/>
                          <w:right w:val="single" w:sz="4" w:space="0" w:color="000000"/>
                        </w:tcBorders>
                      </w:tcPr>
                      <w:p>
                        <w:pPr/>
                      </w:p>
                    </w:tc>
                    <w:tc>
                      <w:tcPr>
                        <w:tcW w:w="332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公告编号：临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2019-035</w:t>
                        </w:r>
                      </w:p>
                    </w:tc>
                  </w:tr>
                  <w:tr>
                    <w:trPr>
                      <w:trHeight w:val="504" w:hRule="exact"/>
                    </w:trPr>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6"/>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年度股东大会</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183" w:lineRule="exact"/>
                          <w:ind w:left="23" w:right="0"/>
                          <w:jc w:val="left"/>
                          <w:rPr>
                            <w:rFonts w:ascii="宋体" w:hAnsi="宋体" w:cs="宋体" w:eastAsia="宋体" w:hint="default"/>
                            <w:sz w:val="18"/>
                            <w:szCs w:val="18"/>
                          </w:rPr>
                        </w:pPr>
                        <w:r>
                          <w:rPr>
                            <w:rFonts w:ascii="宋体" w:hAnsi="宋体" w:cs="宋体" w:eastAsia="宋体" w:hint="default"/>
                            <w:sz w:val="18"/>
                            <w:szCs w:val="18"/>
                          </w:rPr>
                          <w:t>年度股东</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大会</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146"/>
                          <w:ind w:right="18"/>
                          <w:jc w:val="right"/>
                          <w:rPr>
                            <w:rFonts w:ascii="Times New Roman" w:hAnsi="Times New Roman" w:cs="Times New Roman" w:eastAsia="Times New Roman" w:hint="default"/>
                            <w:sz w:val="18"/>
                            <w:szCs w:val="18"/>
                          </w:rPr>
                        </w:pPr>
                        <w:r>
                          <w:rPr>
                            <w:rFonts w:ascii="Times New Roman"/>
                            <w:spacing w:val="-1"/>
                            <w:sz w:val="18"/>
                          </w:rPr>
                          <w:t>53.9107%</w:t>
                        </w: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40" w:lineRule="auto" w:before="106"/>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40" w:lineRule="auto" w:before="10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3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4"/>
                          <w:ind w:left="23" w:right="0"/>
                          <w:jc w:val="left"/>
                          <w:rPr>
                            <w:rFonts w:ascii="宋体" w:hAnsi="宋体" w:cs="宋体" w:eastAsia="宋体" w:hint="default"/>
                            <w:sz w:val="18"/>
                            <w:szCs w:val="18"/>
                          </w:rPr>
                        </w:pPr>
                        <w:r>
                          <w:rPr>
                            <w:rFonts w:ascii="宋体" w:hAnsi="宋体" w:cs="宋体" w:eastAsia="宋体" w:hint="default"/>
                            <w:sz w:val="18"/>
                            <w:szCs w:val="18"/>
                          </w:rPr>
                          <w:t>公告名称</w:t>
                        </w:r>
                        <w:r>
                          <w:rPr>
                            <w:rFonts w:ascii="宋体" w:hAnsi="宋体" w:cs="宋体" w:eastAsia="宋体" w:hint="default"/>
                            <w:spacing w:val="-10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年度股东大会决议公告</w:t>
                        </w:r>
                      </w:p>
                    </w:tc>
                  </w:tr>
                  <w:tr>
                    <w:trPr>
                      <w:trHeight w:val="299" w:hRule="exact"/>
                    </w:trPr>
                    <w:tc>
                      <w:tcPr>
                        <w:tcW w:w="1560"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1559" w:type="dxa"/>
                        <w:tcBorders>
                          <w:top w:val="nil" w:sz="6" w:space="0" w:color="auto"/>
                          <w:left w:val="single" w:sz="4" w:space="0" w:color="000000"/>
                          <w:bottom w:val="single" w:sz="4" w:space="0" w:color="000000"/>
                          <w:right w:val="single" w:sz="4" w:space="0" w:color="000000"/>
                        </w:tcBorders>
                      </w:tcPr>
                      <w:p>
                        <w:pPr/>
                      </w:p>
                    </w:tc>
                    <w:tc>
                      <w:tcPr>
                        <w:tcW w:w="1559" w:type="dxa"/>
                        <w:tcBorders>
                          <w:top w:val="nil" w:sz="6" w:space="0" w:color="auto"/>
                          <w:left w:val="single" w:sz="4" w:space="0" w:color="000000"/>
                          <w:bottom w:val="single" w:sz="4" w:space="0" w:color="000000"/>
                          <w:right w:val="single" w:sz="4" w:space="0" w:color="000000"/>
                        </w:tcBorders>
                      </w:tcPr>
                      <w:p>
                        <w:pPr/>
                      </w:p>
                    </w:tc>
                    <w:tc>
                      <w:tcPr>
                        <w:tcW w:w="3329" w:type="dxa"/>
                        <w:tcBorders>
                          <w:top w:val="nil" w:sz="6" w:space="0" w:color="auto"/>
                          <w:left w:val="single" w:sz="4" w:space="0" w:color="000000"/>
                          <w:bottom w:val="single" w:sz="4" w:space="0" w:color="000000"/>
                          <w:right w:val="single" w:sz="4" w:space="0" w:color="000000"/>
                        </w:tcBorders>
                      </w:tcPr>
                      <w:p>
                        <w:pPr>
                          <w:pStyle w:val="TableParagraph"/>
                          <w:spacing w:line="202" w:lineRule="exact"/>
                          <w:ind w:left="23" w:right="0"/>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披露网站：巨潮资讯网</w:t>
                        </w:r>
                        <w:r>
                          <w:rPr>
                            <w:rFonts w:ascii="宋体" w:hAnsi="宋体" w:cs="宋体" w:eastAsia="宋体" w:hint="default"/>
                            <w:spacing w:val="-54"/>
                            <w:sz w:val="18"/>
                            <w:szCs w:val="18"/>
                          </w:rPr>
                          <w:t> </w:t>
                        </w:r>
                        <w:hyperlink r:id="rId10">
                          <w:r>
                            <w:rPr>
                              <w:rFonts w:ascii="Times New Roman" w:hAnsi="Times New Roman" w:cs="Times New Roman" w:eastAsia="Times New Roman" w:hint="default"/>
                              <w:sz w:val="18"/>
                              <w:szCs w:val="18"/>
                            </w:rPr>
                            <w:t>www.cninfo.com.cn</w:t>
                          </w:r>
                        </w:hyperlink>
                      </w:p>
                    </w:tc>
                  </w:tr>
                  <w:tr>
                    <w:trPr>
                      <w:trHeight w:val="381" w:hRule="exact"/>
                    </w:trPr>
                    <w:tc>
                      <w:tcPr>
                        <w:tcW w:w="1560"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1559" w:type="dxa"/>
                        <w:tcBorders>
                          <w:top w:val="single" w:sz="4" w:space="0" w:color="000000"/>
                          <w:left w:val="single" w:sz="4" w:space="0" w:color="000000"/>
                          <w:bottom w:val="nil" w:sz="6" w:space="0" w:color="auto"/>
                          <w:right w:val="single" w:sz="4" w:space="0" w:color="000000"/>
                        </w:tcBorders>
                      </w:tcPr>
                      <w:p>
                        <w:pPr/>
                      </w:p>
                    </w:tc>
                    <w:tc>
                      <w:tcPr>
                        <w:tcW w:w="1559" w:type="dxa"/>
                        <w:tcBorders>
                          <w:top w:val="single" w:sz="4" w:space="0" w:color="000000"/>
                          <w:left w:val="single" w:sz="4" w:space="0" w:color="000000"/>
                          <w:bottom w:val="nil" w:sz="6" w:space="0" w:color="auto"/>
                          <w:right w:val="single" w:sz="4" w:space="0" w:color="000000"/>
                        </w:tcBorders>
                      </w:tcPr>
                      <w:p>
                        <w:pPr/>
                      </w:p>
                    </w:tc>
                    <w:tc>
                      <w:tcPr>
                        <w:tcW w:w="332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公告编号：临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2019-045</w:t>
                        </w:r>
                      </w:p>
                    </w:tc>
                  </w:tr>
                  <w:tr>
                    <w:trPr>
                      <w:trHeight w:val="661" w:hRule="exact"/>
                    </w:trPr>
                    <w:tc>
                      <w:tcPr>
                        <w:tcW w:w="1560" w:type="dxa"/>
                        <w:tcBorders>
                          <w:top w:val="nil" w:sz="6" w:space="0" w:color="auto"/>
                          <w:left w:val="single" w:sz="4" w:space="0" w:color="000000"/>
                          <w:bottom w:val="nil" w:sz="6" w:space="0" w:color="auto"/>
                          <w:right w:val="single" w:sz="4" w:space="0" w:color="000000"/>
                        </w:tcBorders>
                      </w:tcPr>
                      <w:p>
                        <w:pPr>
                          <w:pStyle w:val="TableParagraph"/>
                          <w:spacing w:line="300" w:lineRule="auto" w:before="28"/>
                          <w:ind w:left="414" w:right="32" w:hanging="382"/>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年第一次临时 股东大会</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316" w:lineRule="auto" w:before="26"/>
                          <w:ind w:left="23" w:right="95"/>
                          <w:jc w:val="left"/>
                          <w:rPr>
                            <w:rFonts w:ascii="宋体" w:hAnsi="宋体" w:cs="宋体" w:eastAsia="宋体" w:hint="default"/>
                            <w:sz w:val="18"/>
                            <w:szCs w:val="18"/>
                          </w:rPr>
                        </w:pPr>
                        <w:r>
                          <w:rPr>
                            <w:rFonts w:ascii="宋体" w:hAnsi="宋体" w:cs="宋体" w:eastAsia="宋体" w:hint="default"/>
                            <w:sz w:val="18"/>
                            <w:szCs w:val="18"/>
                          </w:rPr>
                          <w:t>临时股东 大会</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54.3618%</w:t>
                        </w: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329" w:type="dxa"/>
                        <w:tcBorders>
                          <w:top w:val="nil" w:sz="6" w:space="0" w:color="auto"/>
                          <w:left w:val="single" w:sz="4" w:space="0" w:color="000000"/>
                          <w:bottom w:val="nil" w:sz="6" w:space="0" w:color="auto"/>
                          <w:right w:val="single" w:sz="4" w:space="0" w:color="000000"/>
                        </w:tcBorders>
                      </w:tcPr>
                      <w:p>
                        <w:pPr>
                          <w:pStyle w:val="TableParagraph"/>
                          <w:spacing w:line="300" w:lineRule="auto" w:before="26"/>
                          <w:ind w:left="23" w:right="20"/>
                          <w:jc w:val="left"/>
                          <w:rPr>
                            <w:rFonts w:ascii="宋体" w:hAnsi="宋体" w:cs="宋体" w:eastAsia="宋体" w:hint="default"/>
                            <w:sz w:val="18"/>
                            <w:szCs w:val="18"/>
                          </w:rPr>
                        </w:pPr>
                        <w:r>
                          <w:rPr>
                            <w:rFonts w:ascii="宋体" w:hAnsi="宋体" w:cs="宋体" w:eastAsia="宋体" w:hint="default"/>
                            <w:sz w:val="18"/>
                            <w:szCs w:val="18"/>
                          </w:rPr>
                          <w:t>公告名称：《</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年第一次临时股东大会 决议公告》</w:t>
                        </w:r>
                      </w:p>
                    </w:tc>
                  </w:tr>
                  <w:tr>
                    <w:trPr>
                      <w:trHeight w:val="373" w:hRule="exact"/>
                    </w:trPr>
                    <w:tc>
                      <w:tcPr>
                        <w:tcW w:w="1560"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1559" w:type="dxa"/>
                        <w:tcBorders>
                          <w:top w:val="nil" w:sz="6" w:space="0" w:color="auto"/>
                          <w:left w:val="single" w:sz="4" w:space="0" w:color="000000"/>
                          <w:bottom w:val="single" w:sz="4" w:space="0" w:color="000000"/>
                          <w:right w:val="single" w:sz="4" w:space="0" w:color="000000"/>
                        </w:tcBorders>
                      </w:tcPr>
                      <w:p>
                        <w:pPr/>
                      </w:p>
                    </w:tc>
                    <w:tc>
                      <w:tcPr>
                        <w:tcW w:w="1559" w:type="dxa"/>
                        <w:tcBorders>
                          <w:top w:val="nil" w:sz="6" w:space="0" w:color="auto"/>
                          <w:left w:val="single" w:sz="4" w:space="0" w:color="000000"/>
                          <w:bottom w:val="single" w:sz="4" w:space="0" w:color="000000"/>
                          <w:right w:val="single" w:sz="4" w:space="0" w:color="000000"/>
                        </w:tcBorders>
                      </w:tcPr>
                      <w:p>
                        <w:pPr/>
                      </w:p>
                    </w:tc>
                    <w:tc>
                      <w:tcPr>
                        <w:tcW w:w="332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9"/>
                          <w:ind w:left="23" w:right="0"/>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披露网站：巨潮资讯网</w:t>
                        </w:r>
                        <w:r>
                          <w:rPr>
                            <w:rFonts w:ascii="宋体" w:hAnsi="宋体" w:cs="宋体" w:eastAsia="宋体" w:hint="default"/>
                            <w:spacing w:val="-54"/>
                            <w:sz w:val="18"/>
                            <w:szCs w:val="18"/>
                          </w:rPr>
                          <w:t> </w:t>
                        </w:r>
                        <w:hyperlink r:id="rId10">
                          <w:r>
                            <w:rPr>
                              <w:rFonts w:ascii="Times New Roman" w:hAnsi="Times New Roman" w:cs="Times New Roman" w:eastAsia="Times New Roman" w:hint="default"/>
                              <w:sz w:val="18"/>
                              <w:szCs w:val="18"/>
                            </w:rPr>
                            <w:t>www.cninfo.com.cn</w:t>
                          </w:r>
                        </w:hyperlink>
                      </w:p>
                    </w:tc>
                  </w:tr>
                </w:tbl>
                <w:p>
                  <w:pPr/>
                </w:p>
              </w:txbxContent>
            </v:textbox>
            <w10:wrap type="none"/>
          </v:shape>
        </w:pict>
      </w:r>
      <w:r>
        <w:rPr/>
        <w:t>》</w:t>
      </w:r>
    </w:p>
    <w:p>
      <w:pPr>
        <w:spacing w:after="0" w:line="240" w:lineRule="auto"/>
        <w:jc w:val="right"/>
        <w:sectPr>
          <w:pgSz w:w="11910" w:h="16840"/>
          <w:pgMar w:header="878" w:footer="978" w:top="1100" w:bottom="1160" w:left="880" w:right="0"/>
        </w:sectPr>
      </w:pPr>
    </w:p>
    <w:p>
      <w:pPr>
        <w:spacing w:line="240" w:lineRule="auto" w:before="8"/>
        <w:rPr>
          <w:rFonts w:ascii="宋体" w:hAnsi="宋体" w:cs="宋体" w:eastAsia="宋体" w:hint="default"/>
          <w:sz w:val="24"/>
          <w:szCs w:val="24"/>
        </w:rPr>
      </w:pPr>
    </w:p>
    <w:tbl>
      <w:tblPr>
        <w:tblW w:w="0" w:type="auto"/>
        <w:jc w:val="left"/>
        <w:tblInd w:w="107" w:type="dxa"/>
        <w:tblLayout w:type="fixed"/>
        <w:tblCellMar>
          <w:top w:w="0" w:type="dxa"/>
          <w:left w:w="0" w:type="dxa"/>
          <w:bottom w:w="0" w:type="dxa"/>
          <w:right w:w="0" w:type="dxa"/>
        </w:tblCellMar>
        <w:tblLook w:val="01E0"/>
      </w:tblPr>
      <w:tblGrid>
        <w:gridCol w:w="1560"/>
        <w:gridCol w:w="850"/>
        <w:gridCol w:w="851"/>
        <w:gridCol w:w="1559"/>
        <w:gridCol w:w="1559"/>
        <w:gridCol w:w="3329"/>
      </w:tblGrid>
      <w:tr>
        <w:trPr>
          <w:trHeight w:val="382" w:hRule="exact"/>
        </w:trPr>
        <w:tc>
          <w:tcPr>
            <w:tcW w:w="1560"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1559" w:type="dxa"/>
            <w:tcBorders>
              <w:top w:val="single" w:sz="4" w:space="0" w:color="000000"/>
              <w:left w:val="single" w:sz="4" w:space="0" w:color="000000"/>
              <w:bottom w:val="nil" w:sz="6" w:space="0" w:color="auto"/>
              <w:right w:val="single" w:sz="4" w:space="0" w:color="000000"/>
            </w:tcBorders>
          </w:tcPr>
          <w:p>
            <w:pPr/>
          </w:p>
        </w:tc>
        <w:tc>
          <w:tcPr>
            <w:tcW w:w="1559" w:type="dxa"/>
            <w:tcBorders>
              <w:top w:val="single" w:sz="4" w:space="0" w:color="000000"/>
              <w:left w:val="single" w:sz="4" w:space="0" w:color="000000"/>
              <w:bottom w:val="nil" w:sz="6" w:space="0" w:color="auto"/>
              <w:right w:val="single" w:sz="4" w:space="0" w:color="000000"/>
            </w:tcBorders>
          </w:tcPr>
          <w:p>
            <w:pPr/>
          </w:p>
        </w:tc>
        <w:tc>
          <w:tcPr>
            <w:tcW w:w="332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公告编号：临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2019-070</w:t>
            </w:r>
          </w:p>
        </w:tc>
      </w:tr>
      <w:tr>
        <w:trPr>
          <w:trHeight w:val="661" w:hRule="exact"/>
        </w:trPr>
        <w:tc>
          <w:tcPr>
            <w:tcW w:w="1560" w:type="dxa"/>
            <w:tcBorders>
              <w:top w:val="nil" w:sz="6" w:space="0" w:color="auto"/>
              <w:left w:val="single" w:sz="4" w:space="0" w:color="000000"/>
              <w:bottom w:val="nil" w:sz="6" w:space="0" w:color="auto"/>
              <w:right w:val="single" w:sz="4" w:space="0" w:color="000000"/>
            </w:tcBorders>
          </w:tcPr>
          <w:p>
            <w:pPr>
              <w:pStyle w:val="TableParagraph"/>
              <w:spacing w:line="300" w:lineRule="auto" w:before="28"/>
              <w:ind w:left="414" w:right="32" w:hanging="382"/>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年第二次临时 股东大会</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316" w:lineRule="auto" w:before="26"/>
              <w:ind w:left="23" w:right="95"/>
              <w:jc w:val="left"/>
              <w:rPr>
                <w:rFonts w:ascii="宋体" w:hAnsi="宋体" w:cs="宋体" w:eastAsia="宋体" w:hint="default"/>
                <w:sz w:val="18"/>
                <w:szCs w:val="18"/>
              </w:rPr>
            </w:pPr>
            <w:r>
              <w:rPr>
                <w:rFonts w:ascii="宋体" w:hAnsi="宋体" w:cs="宋体" w:eastAsia="宋体" w:hint="default"/>
                <w:sz w:val="18"/>
                <w:szCs w:val="18"/>
              </w:rPr>
              <w:t>临时股东 大会</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54.3779%</w:t>
            </w: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329" w:type="dxa"/>
            <w:tcBorders>
              <w:top w:val="nil" w:sz="6" w:space="0" w:color="auto"/>
              <w:left w:val="single" w:sz="4" w:space="0" w:color="000000"/>
              <w:bottom w:val="nil" w:sz="6" w:space="0" w:color="auto"/>
              <w:right w:val="single" w:sz="4" w:space="0" w:color="000000"/>
            </w:tcBorders>
          </w:tcPr>
          <w:p>
            <w:pPr>
              <w:pStyle w:val="TableParagraph"/>
              <w:spacing w:line="300" w:lineRule="auto" w:before="26"/>
              <w:ind w:left="23" w:right="20"/>
              <w:jc w:val="left"/>
              <w:rPr>
                <w:rFonts w:ascii="宋体" w:hAnsi="宋体" w:cs="宋体" w:eastAsia="宋体" w:hint="default"/>
                <w:sz w:val="18"/>
                <w:szCs w:val="18"/>
              </w:rPr>
            </w:pPr>
            <w:r>
              <w:rPr>
                <w:rFonts w:ascii="宋体" w:hAnsi="宋体" w:cs="宋体" w:eastAsia="宋体" w:hint="default"/>
                <w:sz w:val="18"/>
                <w:szCs w:val="18"/>
              </w:rPr>
              <w:t>公告名称：《</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年第二次临时股东大会 决议公告》</w:t>
            </w:r>
          </w:p>
        </w:tc>
      </w:tr>
      <w:tr>
        <w:trPr>
          <w:trHeight w:val="375" w:hRule="exact"/>
        </w:trPr>
        <w:tc>
          <w:tcPr>
            <w:tcW w:w="1560"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1559" w:type="dxa"/>
            <w:tcBorders>
              <w:top w:val="nil" w:sz="6" w:space="0" w:color="auto"/>
              <w:left w:val="single" w:sz="4" w:space="0" w:color="000000"/>
              <w:bottom w:val="single" w:sz="4" w:space="0" w:color="000000"/>
              <w:right w:val="single" w:sz="4" w:space="0" w:color="000000"/>
            </w:tcBorders>
          </w:tcPr>
          <w:p>
            <w:pPr/>
          </w:p>
        </w:tc>
        <w:tc>
          <w:tcPr>
            <w:tcW w:w="1559" w:type="dxa"/>
            <w:tcBorders>
              <w:top w:val="nil" w:sz="6" w:space="0" w:color="auto"/>
              <w:left w:val="single" w:sz="4" w:space="0" w:color="000000"/>
              <w:bottom w:val="single" w:sz="4" w:space="0" w:color="000000"/>
              <w:right w:val="single" w:sz="4" w:space="0" w:color="000000"/>
            </w:tcBorders>
          </w:tcPr>
          <w:p>
            <w:pPr/>
          </w:p>
        </w:tc>
        <w:tc>
          <w:tcPr>
            <w:tcW w:w="332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9"/>
              <w:ind w:left="23" w:right="0"/>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披露网站：巨潮资讯网</w:t>
            </w:r>
            <w:r>
              <w:rPr>
                <w:rFonts w:ascii="宋体" w:hAnsi="宋体" w:cs="宋体" w:eastAsia="宋体" w:hint="default"/>
                <w:spacing w:val="-54"/>
                <w:sz w:val="18"/>
                <w:szCs w:val="18"/>
              </w:rPr>
              <w:t> </w:t>
            </w:r>
            <w:hyperlink r:id="rId10">
              <w:r>
                <w:rPr>
                  <w:rFonts w:ascii="Times New Roman" w:hAnsi="Times New Roman" w:cs="Times New Roman" w:eastAsia="Times New Roman" w:hint="default"/>
                  <w:sz w:val="18"/>
                  <w:szCs w:val="18"/>
                </w:rPr>
                <w:t>www.cninfo.com.cn</w:t>
              </w:r>
            </w:hyperlink>
          </w:p>
        </w:tc>
      </w:tr>
    </w:tbl>
    <w:p>
      <w:pPr>
        <w:spacing w:line="240" w:lineRule="auto" w:before="10"/>
        <w:rPr>
          <w:rFonts w:ascii="宋体" w:hAnsi="宋体" w:cs="宋体" w:eastAsia="宋体" w:hint="default"/>
          <w:sz w:val="19"/>
          <w:szCs w:val="19"/>
        </w:rPr>
      </w:pPr>
    </w:p>
    <w:p>
      <w:pPr>
        <w:pStyle w:val="Heading5"/>
        <w:spacing w:line="240" w:lineRule="auto" w:before="37"/>
        <w:ind w:left="252" w:right="3554"/>
        <w:jc w:val="left"/>
        <w:rPr>
          <w:b w:val="0"/>
          <w:bCs w:val="0"/>
        </w:rPr>
      </w:pPr>
      <w:bookmarkStart w:name="2、表决权恢复的优先股股东请求召开临时股东大会" w:id="141"/>
      <w:bookmarkEnd w:id="141"/>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left="252" w:right="35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24"/>
          <w:szCs w:val="24"/>
        </w:rPr>
      </w:pPr>
    </w:p>
    <w:p>
      <w:pPr>
        <w:pStyle w:val="Heading2"/>
        <w:spacing w:line="240" w:lineRule="auto"/>
        <w:ind w:left="252" w:right="3554"/>
        <w:jc w:val="left"/>
        <w:rPr>
          <w:b w:val="0"/>
          <w:bCs w:val="0"/>
        </w:rPr>
      </w:pPr>
      <w:bookmarkStart w:name="五、报告期内独立董事履行职责的情况" w:id="142"/>
      <w:bookmarkEnd w:id="142"/>
      <w:r>
        <w:rPr>
          <w:b w:val="0"/>
          <w:bCs w:val="0"/>
        </w:rPr>
      </w:r>
      <w:r>
        <w:rPr/>
        <w:t>五、报告期内独立董事履行职责的情况</w:t>
      </w:r>
      <w:r>
        <w:rPr>
          <w:b w:val="0"/>
          <w:bCs w:val="0"/>
        </w:rPr>
      </w:r>
    </w:p>
    <w:p>
      <w:pPr>
        <w:spacing w:line="240" w:lineRule="auto" w:before="6"/>
        <w:rPr>
          <w:rFonts w:ascii="宋体" w:hAnsi="宋体" w:cs="宋体" w:eastAsia="宋体" w:hint="default"/>
          <w:b/>
          <w:bCs/>
          <w:sz w:val="25"/>
          <w:szCs w:val="25"/>
        </w:rPr>
      </w:pPr>
    </w:p>
    <w:p>
      <w:pPr>
        <w:pStyle w:val="Heading5"/>
        <w:spacing w:line="240" w:lineRule="auto"/>
        <w:ind w:left="252" w:right="3554"/>
        <w:jc w:val="left"/>
        <w:rPr>
          <w:b w:val="0"/>
          <w:bCs w:val="0"/>
        </w:rPr>
      </w:pPr>
      <w:bookmarkStart w:name="1、独立董事出席董事会及股东大会的情况" w:id="143"/>
      <w:bookmarkEnd w:id="143"/>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1"/>
        <w:rPr>
          <w:rFonts w:ascii="宋体" w:hAnsi="宋体" w:cs="宋体" w:eastAsia="宋体" w:hint="default"/>
          <w:b/>
          <w:bCs/>
          <w:sz w:val="26"/>
          <w:szCs w:val="26"/>
        </w:rPr>
      </w:pPr>
    </w:p>
    <w:tbl>
      <w:tblPr>
        <w:tblW w:w="0" w:type="auto"/>
        <w:jc w:val="left"/>
        <w:tblInd w:w="130" w:type="dxa"/>
        <w:tblLayout w:type="fixed"/>
        <w:tblCellMar>
          <w:top w:w="0" w:type="dxa"/>
          <w:left w:w="0" w:type="dxa"/>
          <w:bottom w:w="0" w:type="dxa"/>
          <w:right w:w="0" w:type="dxa"/>
        </w:tblCellMar>
        <w:tblLook w:val="01E0"/>
      </w:tblPr>
      <w:tblGrid>
        <w:gridCol w:w="842"/>
        <w:gridCol w:w="1324"/>
        <w:gridCol w:w="1324"/>
        <w:gridCol w:w="1324"/>
        <w:gridCol w:w="1324"/>
        <w:gridCol w:w="1044"/>
        <w:gridCol w:w="1701"/>
        <w:gridCol w:w="992"/>
      </w:tblGrid>
      <w:tr>
        <w:trPr>
          <w:trHeight w:val="402" w:hRule="exact"/>
        </w:trPr>
        <w:tc>
          <w:tcPr>
            <w:tcW w:w="9875"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714" w:hRule="exact"/>
        </w:trPr>
        <w:tc>
          <w:tcPr>
            <w:tcW w:w="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46" w:right="143"/>
              <w:jc w:val="left"/>
              <w:rPr>
                <w:rFonts w:ascii="宋体" w:hAnsi="宋体" w:cs="宋体" w:eastAsia="宋体" w:hint="default"/>
                <w:sz w:val="18"/>
                <w:szCs w:val="18"/>
              </w:rPr>
            </w:pPr>
            <w:r>
              <w:rPr>
                <w:rFonts w:ascii="宋体" w:hAnsi="宋体" w:cs="宋体" w:eastAsia="宋体" w:hint="default"/>
                <w:sz w:val="18"/>
                <w:szCs w:val="18"/>
              </w:rPr>
              <w:t>独立董 事姓名</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8" w:right="114"/>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87" w:right="115" w:hanging="272"/>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7" w:right="11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87" w:right="114" w:hanging="269"/>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6" w:right="155" w:hanging="89"/>
              <w:jc w:val="left"/>
              <w:rPr>
                <w:rFonts w:ascii="宋体" w:hAnsi="宋体" w:cs="宋体" w:eastAsia="宋体" w:hint="default"/>
                <w:sz w:val="18"/>
                <w:szCs w:val="18"/>
              </w:rPr>
            </w:pPr>
            <w:r>
              <w:rPr>
                <w:rFonts w:ascii="宋体" w:hAnsi="宋体" w:cs="宋体" w:eastAsia="宋体" w:hint="default"/>
                <w:sz w:val="18"/>
                <w:szCs w:val="18"/>
              </w:rPr>
              <w:t>缺席董事 会次数</w:t>
            </w:r>
          </w:p>
        </w:tc>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6" w:right="123"/>
              <w:jc w:val="left"/>
              <w:rPr>
                <w:rFonts w:ascii="宋体" w:hAnsi="宋体" w:cs="宋体" w:eastAsia="宋体" w:hint="default"/>
                <w:sz w:val="18"/>
                <w:szCs w:val="18"/>
              </w:rPr>
            </w:pPr>
            <w:r>
              <w:rPr>
                <w:rFonts w:ascii="宋体" w:hAnsi="宋体" w:cs="宋体" w:eastAsia="宋体" w:hint="default"/>
                <w:sz w:val="18"/>
                <w:szCs w:val="18"/>
              </w:rPr>
              <w:t>是否连续两次未亲 自参加董事会会议</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31" w:right="128"/>
              <w:jc w:val="left"/>
              <w:rPr>
                <w:rFonts w:ascii="宋体" w:hAnsi="宋体" w:cs="宋体" w:eastAsia="宋体" w:hint="default"/>
                <w:sz w:val="18"/>
                <w:szCs w:val="18"/>
              </w:rPr>
            </w:pPr>
            <w:r>
              <w:rPr>
                <w:rFonts w:ascii="宋体" w:hAnsi="宋体" w:cs="宋体" w:eastAsia="宋体" w:hint="default"/>
                <w:sz w:val="18"/>
                <w:szCs w:val="18"/>
              </w:rPr>
              <w:t>出席股东 大会次数</w:t>
            </w:r>
          </w:p>
        </w:tc>
      </w:tr>
      <w:tr>
        <w:trPr>
          <w:trHeight w:val="402" w:hRule="exact"/>
        </w:trPr>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朱桂龙</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10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2</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8</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609"/>
              <w:jc w:val="right"/>
              <w:rPr>
                <w:rFonts w:ascii="Times New Roman" w:hAnsi="Times New Roman" w:cs="Times New Roman" w:eastAsia="Times New Roman" w:hint="default"/>
                <w:sz w:val="18"/>
                <w:szCs w:val="18"/>
              </w:rPr>
            </w:pPr>
            <w:r>
              <w:rPr>
                <w:rFonts w:ascii="Times New Roman"/>
                <w:sz w:val="18"/>
              </w:rPr>
              <w:t>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0</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446" w:right="0"/>
              <w:jc w:val="lef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杨  闰</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8</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09"/>
              <w:jc w:val="right"/>
              <w:rPr>
                <w:rFonts w:ascii="Times New Roman" w:hAnsi="Times New Roman" w:cs="Times New Roman" w:eastAsia="Times New Roman" w:hint="default"/>
                <w:sz w:val="18"/>
                <w:szCs w:val="18"/>
              </w:rPr>
            </w:pPr>
            <w:r>
              <w:rPr>
                <w:rFonts w:ascii="Times New Roman"/>
                <w:sz w:val="18"/>
              </w:rPr>
              <w:t>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6" w:right="0"/>
              <w:jc w:val="lef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邢良文</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10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2</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8</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609"/>
              <w:jc w:val="right"/>
              <w:rPr>
                <w:rFonts w:ascii="Times New Roman" w:hAnsi="Times New Roman" w:cs="Times New Roman" w:eastAsia="Times New Roman" w:hint="default"/>
                <w:sz w:val="18"/>
                <w:szCs w:val="18"/>
              </w:rPr>
            </w:pPr>
            <w:r>
              <w:rPr>
                <w:rFonts w:ascii="Times New Roman"/>
                <w:sz w:val="18"/>
              </w:rPr>
              <w:t>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0</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446" w:right="0"/>
              <w:jc w:val="left"/>
              <w:rPr>
                <w:rFonts w:ascii="Times New Roman" w:hAnsi="Times New Roman" w:cs="Times New Roman" w:eastAsia="Times New Roman" w:hint="default"/>
                <w:sz w:val="18"/>
                <w:szCs w:val="18"/>
              </w:rPr>
            </w:pPr>
            <w:r>
              <w:rPr>
                <w:rFonts w:ascii="Times New Roman"/>
                <w:sz w:val="18"/>
              </w:rPr>
              <w:t>3</w:t>
            </w:r>
          </w:p>
        </w:tc>
      </w:tr>
    </w:tbl>
    <w:p>
      <w:pPr>
        <w:pStyle w:val="BodyText"/>
        <w:spacing w:line="360" w:lineRule="auto" w:before="49"/>
        <w:ind w:left="252" w:right="8054"/>
        <w:jc w:val="left"/>
      </w:pPr>
      <w:r>
        <w:rPr/>
        <w:t>连续两次未亲自出席董事会的说明 无</w:t>
      </w:r>
    </w:p>
    <w:p>
      <w:pPr>
        <w:spacing w:line="240" w:lineRule="auto" w:before="9"/>
        <w:rPr>
          <w:rFonts w:ascii="宋体" w:hAnsi="宋体" w:cs="宋体" w:eastAsia="宋体" w:hint="default"/>
          <w:sz w:val="20"/>
          <w:szCs w:val="20"/>
        </w:rPr>
      </w:pPr>
    </w:p>
    <w:p>
      <w:pPr>
        <w:pStyle w:val="Heading5"/>
        <w:spacing w:line="240" w:lineRule="auto"/>
        <w:ind w:left="252" w:right="3554"/>
        <w:jc w:val="left"/>
        <w:rPr>
          <w:b w:val="0"/>
          <w:bCs w:val="0"/>
        </w:rPr>
      </w:pPr>
      <w:bookmarkStart w:name="2、独立董事对公司有关事项提出异议的情况" w:id="144"/>
      <w:bookmarkEnd w:id="144"/>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0"/>
        <w:rPr>
          <w:rFonts w:ascii="宋体" w:hAnsi="宋体" w:cs="宋体" w:eastAsia="宋体" w:hint="default"/>
          <w:b/>
          <w:bCs/>
          <w:sz w:val="27"/>
          <w:szCs w:val="27"/>
        </w:rPr>
      </w:pPr>
    </w:p>
    <w:p>
      <w:pPr>
        <w:pStyle w:val="BodyText"/>
        <w:spacing w:line="240" w:lineRule="auto"/>
        <w:ind w:left="252" w:right="3554"/>
        <w:jc w:val="left"/>
      </w:pPr>
      <w:r>
        <w:rPr/>
        <w:t>独立董事对公司有关事项是否提出异议</w:t>
      </w:r>
    </w:p>
    <w:p>
      <w:pPr>
        <w:pStyle w:val="BodyText"/>
        <w:spacing w:line="340" w:lineRule="auto" w:before="115"/>
        <w:ind w:left="252" w:right="697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否 报告期内独立董事对公司有关事项未提出异议。</w:t>
      </w:r>
    </w:p>
    <w:p>
      <w:pPr>
        <w:spacing w:line="240" w:lineRule="auto" w:before="10"/>
        <w:rPr>
          <w:rFonts w:ascii="宋体" w:hAnsi="宋体" w:cs="宋体" w:eastAsia="宋体" w:hint="default"/>
          <w:sz w:val="21"/>
          <w:szCs w:val="21"/>
        </w:rPr>
      </w:pPr>
    </w:p>
    <w:p>
      <w:pPr>
        <w:pStyle w:val="Heading5"/>
        <w:spacing w:line="240" w:lineRule="auto"/>
        <w:ind w:left="252" w:right="3554"/>
        <w:jc w:val="left"/>
        <w:rPr>
          <w:b w:val="0"/>
          <w:bCs w:val="0"/>
        </w:rPr>
      </w:pPr>
      <w:bookmarkStart w:name="3、独立董事履行职责的其他说明" w:id="145"/>
      <w:bookmarkEnd w:id="145"/>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left="252" w:right="3554"/>
        <w:jc w:val="left"/>
      </w:pPr>
      <w:r>
        <w:rPr/>
        <w:t>独立董事对公司有关建议是否被采纳</w:t>
      </w:r>
    </w:p>
    <w:p>
      <w:pPr>
        <w:pStyle w:val="BodyText"/>
        <w:spacing w:line="340" w:lineRule="auto" w:before="117"/>
        <w:ind w:left="252" w:right="67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否 独立董事对公司有关建议被采纳或未被采纳的说明</w:t>
      </w:r>
    </w:p>
    <w:p>
      <w:pPr>
        <w:pStyle w:val="BodyText"/>
        <w:spacing w:line="314" w:lineRule="auto" w:before="39"/>
        <w:ind w:left="252" w:right="1041" w:firstLine="360"/>
        <w:jc w:val="both"/>
      </w:pPr>
      <w:r>
        <w:rPr>
          <w:spacing w:val="-2"/>
        </w:rPr>
        <w:t>公司独立董事根据《公司法》《证券法》《公司章程》和公司《独立董事工作制度》等法律法规的规定，关注公司运作</w:t>
      </w:r>
      <w:r>
        <w:rPr/>
        <w:t> </w:t>
      </w:r>
      <w:r>
        <w:rPr>
          <w:spacing w:val="-2"/>
        </w:rPr>
        <w:t>的规范性，独立履行职责，对公司的制度完善和日常经营决策等方面提出了许多宝贵的专业性意见，对报告期内公司使用闲</w:t>
      </w:r>
      <w:r>
        <w:rPr>
          <w:spacing w:val="-65"/>
        </w:rPr>
        <w:t> </w:t>
      </w:r>
      <w:r>
        <w:rPr>
          <w:spacing w:val="-65"/>
        </w:rPr>
      </w:r>
      <w:r>
        <w:rPr>
          <w:spacing w:val="-2"/>
        </w:rPr>
        <w:t>置自有资金进行现金管理、公司子公司使用部分暂时闲置募集资金进行现金管理、公司关联方资金往来、对外担保情况、内</w:t>
      </w:r>
      <w:r>
        <w:rPr>
          <w:spacing w:val="-66"/>
        </w:rPr>
        <w:t> </w:t>
      </w:r>
      <w:r>
        <w:rPr>
          <w:spacing w:val="-66"/>
        </w:rPr>
      </w:r>
      <w:r>
        <w:rPr/>
        <w:t>部控制自我评价报告、</w:t>
      </w:r>
      <w:r>
        <w:rPr>
          <w:rFonts w:ascii="Times New Roman" w:hAnsi="Times New Roman" w:cs="Times New Roman" w:eastAsia="Times New Roman" w:hint="default"/>
        </w:rPr>
        <w:t>2018 </w:t>
      </w:r>
      <w:r>
        <w:rPr/>
        <w:t>年度利润分配预案、</w:t>
      </w:r>
      <w:r>
        <w:rPr>
          <w:rFonts w:ascii="Times New Roman" w:hAnsi="Times New Roman" w:cs="Times New Roman" w:eastAsia="Times New Roman" w:hint="default"/>
        </w:rPr>
        <w:t>2019 </w:t>
      </w:r>
      <w:r>
        <w:rPr/>
        <w:t>年度日常关联交易、</w:t>
      </w:r>
      <w:r>
        <w:rPr>
          <w:rFonts w:ascii="Times New Roman" w:hAnsi="Times New Roman" w:cs="Times New Roman" w:eastAsia="Times New Roman" w:hint="default"/>
        </w:rPr>
        <w:t>2018</w:t>
      </w:r>
      <w:r>
        <w:rPr>
          <w:rFonts w:ascii="Times New Roman" w:hAnsi="Times New Roman" w:cs="Times New Roman" w:eastAsia="Times New Roman" w:hint="default"/>
          <w:spacing w:val="-27"/>
        </w:rPr>
        <w:t> </w:t>
      </w:r>
      <w:r>
        <w:rPr/>
        <w:t>年度高管薪酬、续聘会计师事务所、会计政 </w:t>
      </w:r>
      <w:r>
        <w:rPr>
          <w:spacing w:val="-2"/>
        </w:rPr>
        <w:t>策变更、公司及子公司</w:t>
      </w:r>
      <w:r>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6"/>
        </w:rPr>
        <w:t> </w:t>
      </w:r>
      <w:r>
        <w:rPr>
          <w:spacing w:val="-2"/>
        </w:rPr>
        <w:t>年开展外汇套期保值业务、计提资产减值准备、部分存货报废处置、募集资金存放与使用情况、</w:t>
      </w:r>
    </w:p>
    <w:p>
      <w:pPr>
        <w:pStyle w:val="BodyText"/>
        <w:spacing w:line="300" w:lineRule="auto" w:before="1"/>
        <w:ind w:left="252" w:right="0"/>
        <w:jc w:val="left"/>
      </w:pPr>
      <w:r>
        <w:rPr/>
        <w:t>变更部分募集资金用途、为子公司提供担保、增加</w:t>
      </w:r>
      <w:r>
        <w:rPr>
          <w:spacing w:val="-4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年度日常关联交易预计额度、聘任高级管理人员等需要独立董事发 </w:t>
      </w:r>
      <w:r>
        <w:rPr>
          <w:spacing w:val="-4"/>
        </w:rPr>
        <w:t>表意见的事项出具了独立、公正的独立董事意见，为完善公司监督机制，维护公司和全体股东的合法权益发挥了应有的作用。</w:t>
      </w:r>
    </w:p>
    <w:p>
      <w:pPr>
        <w:spacing w:after="0" w:line="300" w:lineRule="auto"/>
        <w:jc w:val="left"/>
        <w:sectPr>
          <w:pgSz w:w="11910" w:h="16840"/>
          <w:pgMar w:header="878" w:footer="978" w:top="1100" w:bottom="1160" w:left="880" w:right="0"/>
        </w:sectPr>
      </w:pPr>
    </w:p>
    <w:p>
      <w:pPr>
        <w:spacing w:line="240" w:lineRule="auto" w:before="10"/>
        <w:rPr>
          <w:rFonts w:ascii="宋体" w:hAnsi="宋体" w:cs="宋体" w:eastAsia="宋体" w:hint="default"/>
          <w:sz w:val="19"/>
          <w:szCs w:val="19"/>
        </w:rPr>
      </w:pPr>
    </w:p>
    <w:p>
      <w:pPr>
        <w:pStyle w:val="Heading2"/>
        <w:spacing w:line="240" w:lineRule="auto" w:before="26"/>
        <w:ind w:right="1394"/>
        <w:jc w:val="left"/>
        <w:rPr>
          <w:b w:val="0"/>
          <w:bCs w:val="0"/>
        </w:rPr>
      </w:pPr>
      <w:bookmarkStart w:name="六、董事会下设专门委员会在报告期内履行职责情况" w:id="146"/>
      <w:bookmarkEnd w:id="146"/>
      <w:r>
        <w:rPr>
          <w:b w:val="0"/>
          <w:bCs w:val="0"/>
        </w:rPr>
      </w:r>
      <w:r>
        <w:rPr/>
        <w:t>六、董事会下设专门委员会在报告期内履行职责情况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472" w:right="1394"/>
        <w:jc w:val="left"/>
      </w:pPr>
      <w:r>
        <w:rPr>
          <w:rFonts w:ascii="Times New Roman" w:hAnsi="Times New Roman" w:cs="Times New Roman" w:eastAsia="Times New Roman" w:hint="default"/>
        </w:rPr>
        <w:t>1</w:t>
      </w:r>
      <w:r>
        <w:rPr/>
        <w:t>、审计委员会</w:t>
      </w:r>
    </w:p>
    <w:p>
      <w:pPr>
        <w:pStyle w:val="BodyText"/>
        <w:spacing w:line="314" w:lineRule="auto" w:before="103"/>
        <w:ind w:right="0" w:firstLine="360"/>
        <w:jc w:val="left"/>
      </w:pPr>
      <w:r>
        <w:rPr>
          <w:rFonts w:ascii="Times New Roman" w:hAnsi="Times New Roman" w:cs="Times New Roman" w:eastAsia="Times New Roman" w:hint="default"/>
        </w:rPr>
        <w:t>2019</w:t>
      </w:r>
      <w:r>
        <w:rPr/>
        <w:t>年，董事会审计委员会召开了</w:t>
      </w:r>
      <w:r>
        <w:rPr>
          <w:rFonts w:ascii="Times New Roman" w:hAnsi="Times New Roman" w:cs="Times New Roman" w:eastAsia="Times New Roman" w:hint="default"/>
        </w:rPr>
        <w:t>7</w:t>
      </w:r>
      <w:r>
        <w:rPr/>
        <w:t>次会议，严格按照《审计委员会工作细则》开展各项工作，对公司审计部提交的季 </w:t>
      </w:r>
      <w:r>
        <w:rPr>
          <w:spacing w:val="-4"/>
        </w:rPr>
        <w:t>度经营审计报告、季度及年度募集资金存放与使用情况的专项报告、年度内部控制自我评价报告、内部审计工作计划及总结、</w:t>
      </w:r>
      <w:r>
        <w:rPr>
          <w:spacing w:val="-40"/>
        </w:rPr>
        <w:t> </w:t>
      </w:r>
      <w:r>
        <w:rPr>
          <w:spacing w:val="-40"/>
        </w:rPr>
      </w:r>
      <w:r>
        <w:rPr>
          <w:spacing w:val="-4"/>
        </w:rPr>
        <w:t>外部审计机构的工作总结报告、续聘会计师事务所等事项进行审议，对相关事项讨论后，形成决议提交公司董事会进行审议；</w:t>
      </w:r>
      <w:r>
        <w:rPr>
          <w:spacing w:val="-40"/>
        </w:rPr>
        <w:t> </w:t>
      </w:r>
      <w:r>
        <w:rPr>
          <w:spacing w:val="-40"/>
        </w:rPr>
      </w:r>
      <w:r>
        <w:rPr>
          <w:spacing w:val="-2"/>
        </w:rPr>
        <w:t>对内部控制的实施情况进行监督；严格按照《董事会审计委员会年报工作规程》对年审会计师完成审计工作情况及其执业质</w:t>
      </w:r>
      <w:r>
        <w:rPr>
          <w:spacing w:val="-63"/>
        </w:rPr>
        <w:t> </w:t>
      </w:r>
      <w:r>
        <w:rPr>
          <w:spacing w:val="-63"/>
        </w:rPr>
      </w:r>
      <w:r>
        <w:rPr/>
        <w:t>量进行全面客观的评价，提高年报的披露质量。</w:t>
      </w:r>
    </w:p>
    <w:p>
      <w:pPr>
        <w:pStyle w:val="BodyText"/>
        <w:spacing w:line="240" w:lineRule="auto" w:before="59"/>
        <w:ind w:left="472" w:right="1394"/>
        <w:jc w:val="left"/>
      </w:pPr>
      <w:r>
        <w:rPr>
          <w:rFonts w:ascii="Times New Roman" w:hAnsi="Times New Roman" w:cs="Times New Roman" w:eastAsia="Times New Roman" w:hint="default"/>
        </w:rPr>
        <w:t>2</w:t>
      </w:r>
      <w:r>
        <w:rPr/>
        <w:t>、薪酬与考核委员会</w:t>
      </w:r>
    </w:p>
    <w:p>
      <w:pPr>
        <w:pStyle w:val="BodyText"/>
        <w:spacing w:line="300" w:lineRule="auto" w:before="103"/>
        <w:ind w:right="1124" w:firstLine="360"/>
        <w:jc w:val="left"/>
      </w:pPr>
      <w:r>
        <w:rPr>
          <w:rFonts w:ascii="Times New Roman" w:hAnsi="Times New Roman" w:cs="Times New Roman" w:eastAsia="Times New Roman" w:hint="default"/>
        </w:rPr>
        <w:t>2019</w:t>
      </w:r>
      <w:r>
        <w:rPr/>
        <w:t>年，董事会薪酬与考核委员会召开了</w:t>
      </w:r>
      <w:r>
        <w:rPr>
          <w:rFonts w:ascii="Times New Roman" w:hAnsi="Times New Roman" w:cs="Times New Roman" w:eastAsia="Times New Roman" w:hint="default"/>
        </w:rPr>
        <w:t>1</w:t>
      </w:r>
      <w:r>
        <w:rPr/>
        <w:t>次会议，对公司高级管理人员进行考核，确定其</w:t>
      </w:r>
      <w:r>
        <w:rPr>
          <w:rFonts w:ascii="Times New Roman" w:hAnsi="Times New Roman" w:cs="Times New Roman" w:eastAsia="Times New Roman" w:hint="default"/>
        </w:rPr>
        <w:t>2018</w:t>
      </w:r>
      <w:r>
        <w:rPr/>
        <w:t>年薪酬及</w:t>
      </w:r>
      <w:r>
        <w:rPr>
          <w:rFonts w:ascii="Times New Roman" w:hAnsi="Times New Roman" w:cs="Times New Roman" w:eastAsia="Times New Roman" w:hint="default"/>
        </w:rPr>
        <w:t>2019</w:t>
      </w:r>
      <w:r>
        <w:rPr/>
        <w:t>年度考核 目标，并形成议案提交董事会审议。</w:t>
      </w:r>
    </w:p>
    <w:p>
      <w:pPr>
        <w:pStyle w:val="BodyText"/>
        <w:spacing w:line="240" w:lineRule="auto" w:before="72"/>
        <w:ind w:left="472" w:right="1394"/>
        <w:jc w:val="left"/>
      </w:pPr>
      <w:r>
        <w:rPr>
          <w:rFonts w:ascii="Times New Roman" w:hAnsi="Times New Roman" w:cs="Times New Roman" w:eastAsia="Times New Roman" w:hint="default"/>
        </w:rPr>
        <w:t>3</w:t>
      </w:r>
      <w:r>
        <w:rPr/>
        <w:t>、提名委员会</w:t>
      </w:r>
    </w:p>
    <w:p>
      <w:pPr>
        <w:pStyle w:val="BodyText"/>
        <w:spacing w:line="309" w:lineRule="auto" w:before="101"/>
        <w:ind w:right="1130" w:firstLine="360"/>
        <w:jc w:val="both"/>
      </w:pPr>
      <w:r>
        <w:rPr>
          <w:rFonts w:ascii="Times New Roman" w:hAnsi="Times New Roman" w:cs="Times New Roman" w:eastAsia="Times New Roman" w:hint="default"/>
        </w:rPr>
        <w:t>2019</w:t>
      </w:r>
      <w:r>
        <w:rPr/>
        <w:t>年，董事会提名委员会召开了</w:t>
      </w:r>
      <w:r>
        <w:rPr>
          <w:rFonts w:ascii="Times New Roman" w:hAnsi="Times New Roman" w:cs="Times New Roman" w:eastAsia="Times New Roman" w:hint="default"/>
        </w:rPr>
        <w:t>1</w:t>
      </w:r>
      <w:r>
        <w:rPr/>
        <w:t>次会议，审议通过了《关于聘任罗一明为公司副总经理的议案》。提名委员会委员 </w:t>
      </w:r>
      <w:r>
        <w:rPr>
          <w:spacing w:val="-2"/>
        </w:rPr>
        <w:t>对罗一明从其职业、学历、职称、详细的工作经历、全部兼职等情况切实进行了审查，审议通过上述提名，并形成议案提交</w:t>
      </w:r>
      <w:r>
        <w:rPr>
          <w:spacing w:val="-63"/>
        </w:rPr>
        <w:t> </w:t>
      </w:r>
      <w:r>
        <w:rPr>
          <w:spacing w:val="-63"/>
        </w:rPr>
      </w:r>
      <w:r>
        <w:rPr/>
        <w:t>董事会审议。</w:t>
      </w:r>
    </w:p>
    <w:p>
      <w:pPr>
        <w:pStyle w:val="BodyText"/>
        <w:spacing w:line="240" w:lineRule="auto" w:before="65"/>
        <w:ind w:left="472" w:right="1394"/>
        <w:jc w:val="left"/>
      </w:pPr>
      <w:r>
        <w:rPr>
          <w:rFonts w:ascii="Times New Roman" w:hAnsi="Times New Roman" w:cs="Times New Roman" w:eastAsia="Times New Roman" w:hint="default"/>
        </w:rPr>
        <w:t>4</w:t>
      </w:r>
      <w:r>
        <w:rPr/>
        <w:t>、战略与投资委员会</w:t>
      </w:r>
    </w:p>
    <w:p>
      <w:pPr>
        <w:pStyle w:val="BodyText"/>
        <w:spacing w:line="300" w:lineRule="auto" w:before="103"/>
        <w:ind w:right="0" w:firstLine="360"/>
        <w:jc w:val="left"/>
      </w:pPr>
      <w:r>
        <w:rPr>
          <w:rFonts w:ascii="Times New Roman" w:hAnsi="Times New Roman" w:cs="Times New Roman" w:eastAsia="Times New Roman" w:hint="default"/>
          <w:spacing w:val="-2"/>
        </w:rPr>
        <w:t>2019</w:t>
      </w:r>
      <w:r>
        <w:rPr>
          <w:spacing w:val="-2"/>
        </w:rPr>
        <w:t>年，董事会战略与投资委员会共召开了</w:t>
      </w:r>
      <w:r>
        <w:rPr>
          <w:rFonts w:ascii="Times New Roman" w:hAnsi="Times New Roman" w:cs="Times New Roman" w:eastAsia="Times New Roman" w:hint="default"/>
          <w:spacing w:val="-2"/>
        </w:rPr>
        <w:t>2</w:t>
      </w:r>
      <w:r>
        <w:rPr>
          <w:spacing w:val="-2"/>
        </w:rPr>
        <w:t>次会议，就公司战略与投资事项，先后形成</w:t>
      </w:r>
      <w:r>
        <w:rPr>
          <w:rFonts w:ascii="Times New Roman" w:hAnsi="Times New Roman" w:cs="Times New Roman" w:eastAsia="Times New Roman" w:hint="default"/>
          <w:spacing w:val="-2"/>
        </w:rPr>
        <w:t>4</w:t>
      </w:r>
      <w:r>
        <w:rPr>
          <w:spacing w:val="-2"/>
        </w:rPr>
        <w:t>项议案，达到董事会审议标准</w:t>
      </w:r>
      <w:r>
        <w:rPr/>
        <w:t> 的议案均已提交董事会审议。</w:t>
      </w:r>
    </w:p>
    <w:p>
      <w:pPr>
        <w:spacing w:line="240" w:lineRule="auto" w:before="8"/>
        <w:rPr>
          <w:rFonts w:ascii="宋体" w:hAnsi="宋体" w:cs="宋体" w:eastAsia="宋体" w:hint="default"/>
          <w:sz w:val="21"/>
          <w:szCs w:val="21"/>
        </w:rPr>
      </w:pPr>
    </w:p>
    <w:p>
      <w:pPr>
        <w:pStyle w:val="Heading2"/>
        <w:spacing w:line="240" w:lineRule="auto"/>
        <w:ind w:right="1394"/>
        <w:jc w:val="left"/>
        <w:rPr>
          <w:b w:val="0"/>
          <w:bCs w:val="0"/>
        </w:rPr>
      </w:pPr>
      <w:bookmarkStart w:name="七、监事会工作情况" w:id="147"/>
      <w:bookmarkEnd w:id="147"/>
      <w:r>
        <w:rPr>
          <w:b w:val="0"/>
          <w:bCs w:val="0"/>
        </w:rPr>
      </w:r>
      <w:r>
        <w:rPr/>
        <w:t>七、监事会工作情况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394"/>
        <w:jc w:val="left"/>
      </w:pPr>
      <w:r>
        <w:rPr/>
        <w:t>监事会在报告期内的监督活动中发现公司是否存在风险</w:t>
      </w:r>
    </w:p>
    <w:p>
      <w:pPr>
        <w:pStyle w:val="BodyText"/>
        <w:spacing w:line="338" w:lineRule="auto" w:before="117"/>
        <w:ind w:right="76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否 监事会对报告期内的监督事项无异议。</w:t>
      </w:r>
    </w:p>
    <w:p>
      <w:pPr>
        <w:spacing w:line="240" w:lineRule="auto" w:before="8"/>
        <w:rPr>
          <w:rFonts w:ascii="宋体" w:hAnsi="宋体" w:cs="宋体" w:eastAsia="宋体" w:hint="default"/>
          <w:sz w:val="19"/>
          <w:szCs w:val="19"/>
        </w:rPr>
      </w:pPr>
    </w:p>
    <w:p>
      <w:pPr>
        <w:pStyle w:val="Heading2"/>
        <w:spacing w:line="240" w:lineRule="auto"/>
        <w:ind w:right="1394"/>
        <w:jc w:val="left"/>
        <w:rPr>
          <w:b w:val="0"/>
          <w:bCs w:val="0"/>
        </w:rPr>
      </w:pPr>
      <w:bookmarkStart w:name="八、高级管理人员的考评及激励情况" w:id="148"/>
      <w:bookmarkEnd w:id="148"/>
      <w:r>
        <w:rPr>
          <w:b w:val="0"/>
          <w:bCs w:val="0"/>
        </w:rPr>
      </w:r>
      <w:r>
        <w:rPr/>
        <w:t>八、高级管理人员的考评及激励情况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132" w:firstLine="360"/>
        <w:jc w:val="both"/>
      </w:pPr>
      <w:r>
        <w:rPr>
          <w:spacing w:val="-2"/>
        </w:rPr>
        <w:t>公司建立健全了高级管理人员绩效考评体系、薪酬制度以及《高管层年度业绩考核与薪酬管理办法》。公司高级管理人</w:t>
      </w:r>
      <w:r>
        <w:rPr/>
        <w:t> </w:t>
      </w:r>
      <w:r>
        <w:rPr>
          <w:spacing w:val="-2"/>
        </w:rPr>
        <w:t>员的工作绩效与其收入直接挂钩，每年年初，公司与高管层分别签订年度经营责任书，落实有关考核指标及相关事项。在年</w:t>
      </w:r>
      <w:r>
        <w:rPr>
          <w:spacing w:val="-66"/>
        </w:rPr>
        <w:t> </w:t>
      </w:r>
      <w:r>
        <w:rPr>
          <w:spacing w:val="-66"/>
        </w:rPr>
      </w:r>
      <w:r>
        <w:rPr>
          <w:spacing w:val="-2"/>
        </w:rPr>
        <w:t>度结束后，由董事会薪酬与考核委员会负责按量化考核指标，对高管责任目标完成情况进行考评，制定薪酬方案报公司董事</w:t>
      </w:r>
      <w:r>
        <w:rPr>
          <w:spacing w:val="-65"/>
        </w:rPr>
        <w:t> </w:t>
      </w:r>
      <w:r>
        <w:rPr>
          <w:spacing w:val="-65"/>
        </w:rPr>
      </w:r>
      <w:r>
        <w:rPr/>
        <w:t>会审批。</w:t>
      </w:r>
    </w:p>
    <w:p>
      <w:pPr>
        <w:spacing w:line="240" w:lineRule="auto" w:before="9"/>
        <w:rPr>
          <w:rFonts w:ascii="宋体" w:hAnsi="宋体" w:cs="宋体" w:eastAsia="宋体" w:hint="default"/>
          <w:sz w:val="20"/>
          <w:szCs w:val="20"/>
        </w:rPr>
      </w:pPr>
    </w:p>
    <w:p>
      <w:pPr>
        <w:pStyle w:val="Heading2"/>
        <w:spacing w:line="240" w:lineRule="auto"/>
        <w:ind w:right="1394"/>
        <w:jc w:val="left"/>
        <w:rPr>
          <w:b w:val="0"/>
          <w:bCs w:val="0"/>
        </w:rPr>
      </w:pPr>
      <w:bookmarkStart w:name="九、内部控制评价报告" w:id="149"/>
      <w:bookmarkEnd w:id="149"/>
      <w:r>
        <w:rPr>
          <w:b w:val="0"/>
          <w:bCs w:val="0"/>
        </w:rPr>
      </w:r>
      <w:r>
        <w:rPr/>
        <w:t>九、内部控制评价报告</w:t>
      </w:r>
      <w:r>
        <w:rPr>
          <w:b w:val="0"/>
          <w:bCs w:val="0"/>
        </w:rPr>
      </w:r>
    </w:p>
    <w:p>
      <w:pPr>
        <w:spacing w:line="240" w:lineRule="auto" w:before="6"/>
        <w:rPr>
          <w:rFonts w:ascii="宋体" w:hAnsi="宋体" w:cs="宋体" w:eastAsia="宋体" w:hint="default"/>
          <w:b/>
          <w:bCs/>
          <w:sz w:val="25"/>
          <w:szCs w:val="25"/>
        </w:rPr>
      </w:pPr>
    </w:p>
    <w:p>
      <w:pPr>
        <w:pStyle w:val="Heading5"/>
        <w:spacing w:line="240" w:lineRule="auto"/>
        <w:ind w:right="1394"/>
        <w:jc w:val="left"/>
        <w:rPr>
          <w:b w:val="0"/>
          <w:bCs w:val="0"/>
        </w:rPr>
      </w:pPr>
      <w:bookmarkStart w:name="1、报告期内发现的内部控制重大缺陷的具体情况" w:id="150"/>
      <w:bookmarkEnd w:id="150"/>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13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否</w:t>
      </w:r>
    </w:p>
    <w:p>
      <w:pPr>
        <w:spacing w:line="240" w:lineRule="auto" w:before="6"/>
        <w:rPr>
          <w:rFonts w:ascii="宋体" w:hAnsi="宋体" w:cs="宋体" w:eastAsia="宋体" w:hint="default"/>
          <w:sz w:val="26"/>
          <w:szCs w:val="26"/>
        </w:rPr>
      </w:pPr>
    </w:p>
    <w:p>
      <w:pPr>
        <w:pStyle w:val="Heading5"/>
        <w:spacing w:line="240" w:lineRule="auto"/>
        <w:ind w:right="1394"/>
        <w:jc w:val="left"/>
        <w:rPr>
          <w:b w:val="0"/>
          <w:bCs w:val="0"/>
        </w:rPr>
      </w:pPr>
      <w:bookmarkStart w:name="2、内控自我评价报告" w:id="151"/>
      <w:bookmarkEnd w:id="151"/>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3"/>
        <w:rPr>
          <w:rFonts w:ascii="宋体" w:hAnsi="宋体" w:cs="宋体" w:eastAsia="宋体" w:hint="default"/>
          <w:b/>
          <w:bCs/>
          <w:sz w:val="26"/>
          <w:szCs w:val="26"/>
        </w:rPr>
      </w:pPr>
    </w:p>
    <w:tbl>
      <w:tblPr>
        <w:tblW w:w="0" w:type="auto"/>
        <w:jc w:val="left"/>
        <w:tblInd w:w="109" w:type="dxa"/>
        <w:tblLayout w:type="fixed"/>
        <w:tblCellMar>
          <w:top w:w="0" w:type="dxa"/>
          <w:left w:w="0" w:type="dxa"/>
          <w:bottom w:w="0" w:type="dxa"/>
          <w:right w:w="0" w:type="dxa"/>
        </w:tblCellMar>
        <w:tblLook w:val="01E0"/>
      </w:tblPr>
      <w:tblGrid>
        <w:gridCol w:w="3194"/>
        <w:gridCol w:w="6729"/>
      </w:tblGrid>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刊登在巨潮资讯网</w:t>
            </w:r>
            <w:r>
              <w:rPr>
                <w:rFonts w:ascii="宋体" w:hAnsi="宋体" w:cs="宋体" w:eastAsia="宋体" w:hint="default"/>
                <w:spacing w:val="-49"/>
                <w:sz w:val="18"/>
                <w:szCs w:val="18"/>
              </w:rPr>
              <w:t> </w:t>
            </w:r>
            <w:hyperlink r:id="rId10">
              <w:r>
                <w:rPr>
                  <w:rFonts w:ascii="Times New Roman" w:hAnsi="Times New Roman" w:cs="Times New Roman" w:eastAsia="Times New Roman" w:hint="default"/>
                  <w:sz w:val="18"/>
                  <w:szCs w:val="18"/>
                </w:rPr>
                <w:t>www.cninfo.com.cn</w:t>
              </w:r>
            </w:hyperlink>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上的《</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年度内部控制自我评价报告》</w:t>
            </w:r>
          </w:p>
        </w:tc>
      </w:tr>
      <w:tr>
        <w:trPr>
          <w:trHeight w:val="400"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2" w:right="0"/>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w:t>
            </w:r>
          </w:p>
        </w:tc>
        <w:tc>
          <w:tcPr>
            <w:tcW w:w="6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100%</w:t>
            </w:r>
          </w:p>
        </w:tc>
      </w:tr>
    </w:tbl>
    <w:p>
      <w:pPr>
        <w:spacing w:after="0" w:line="240" w:lineRule="auto"/>
        <w:jc w:val="left"/>
        <w:rPr>
          <w:rFonts w:ascii="Times New Roman" w:hAnsi="Times New Roman" w:cs="Times New Roman" w:eastAsia="Times New Roman" w:hint="default"/>
          <w:sz w:val="18"/>
          <w:szCs w:val="18"/>
        </w:rPr>
        <w:sectPr>
          <w:pgSz w:w="11910" w:h="16840"/>
          <w:pgMar w:header="878" w:footer="978" w:top="1100" w:bottom="1160" w:left="1020" w:right="0"/>
        </w:sectPr>
      </w:pPr>
    </w:p>
    <w:p>
      <w:pPr>
        <w:spacing w:line="240" w:lineRule="auto" w:before="0"/>
        <w:rPr>
          <w:rFonts w:ascii="宋体" w:hAnsi="宋体" w:cs="宋体" w:eastAsia="宋体" w:hint="default"/>
          <w:b/>
          <w:bCs/>
          <w:sz w:val="20"/>
          <w:szCs w:val="20"/>
        </w:rPr>
      </w:pPr>
      <w:r>
        <w:rPr/>
        <w:pict>
          <v:shape style="position:absolute;margin-left:376.679993pt;margin-top:525.700012pt;width:176.1pt;height:234.15pt;mso-position-horizontal-relative:page;mso-position-vertical-relative:page;z-index:-1487392"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40"/>
                    <w:ind w:left="0" w:right="0"/>
                    <w:jc w:val="left"/>
                  </w:pPr>
                  <w:r>
                    <w:rPr/>
                    <w:t>。</w:t>
                  </w:r>
                </w:p>
              </w:txbxContent>
            </v:textbox>
            <w10:wrap type="none"/>
          </v:shape>
        </w:pict>
      </w:r>
      <w:r>
        <w:rPr/>
        <w:pict>
          <v:shape style="position:absolute;margin-left:56.459999pt;margin-top:72.000023pt;width:496.9pt;height:688.2pt;mso-position-horizontal-relative:page;mso-position-vertical-relative:page;z-index:16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94"/>
                    <w:gridCol w:w="3323"/>
                    <w:gridCol w:w="3406"/>
                  </w:tblGrid>
                  <w:tr>
                    <w:trPr>
                      <w:trHeight w:val="36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财务报表资产总额的比例</w:t>
                        </w:r>
                      </w:p>
                    </w:tc>
                    <w:tc>
                      <w:tcPr>
                        <w:tcW w:w="6729" w:type="dxa"/>
                        <w:gridSpan w:val="2"/>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99"/>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7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992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4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7186"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left="22"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3" w:right="48" w:firstLine="360"/>
                          <w:jc w:val="left"/>
                          <w:rPr>
                            <w:rFonts w:ascii="宋体" w:hAnsi="宋体" w:cs="宋体" w:eastAsia="宋体" w:hint="default"/>
                            <w:sz w:val="18"/>
                            <w:szCs w:val="18"/>
                          </w:rPr>
                        </w:pPr>
                        <w:r>
                          <w:rPr>
                            <w:rFonts w:ascii="宋体" w:hAnsi="宋体" w:cs="宋体" w:eastAsia="宋体" w:hint="default"/>
                            <w:sz w:val="18"/>
                            <w:szCs w:val="18"/>
                          </w:rPr>
                          <w:t>公司确定的财务报告内部控制缺陷评 价的定性标准如下：</w:t>
                        </w:r>
                      </w:p>
                      <w:p>
                        <w:pPr>
                          <w:pStyle w:val="TableParagraph"/>
                          <w:spacing w:line="240" w:lineRule="auto" w:before="19"/>
                          <w:ind w:left="383" w:right="0"/>
                          <w:jc w:val="left"/>
                          <w:rPr>
                            <w:rFonts w:ascii="宋体" w:hAnsi="宋体" w:cs="宋体" w:eastAsia="宋体" w:hint="default"/>
                            <w:sz w:val="18"/>
                            <w:szCs w:val="18"/>
                          </w:rPr>
                        </w:pPr>
                        <w:r>
                          <w:rPr>
                            <w:rFonts w:ascii="宋体" w:hAnsi="宋体" w:cs="宋体" w:eastAsia="宋体" w:hint="default"/>
                            <w:sz w:val="18"/>
                            <w:szCs w:val="18"/>
                          </w:rPr>
                          <w:t>财务报告重大缺陷的迹象包括：</w:t>
                        </w:r>
                      </w:p>
                      <w:p>
                        <w:pPr>
                          <w:pStyle w:val="TableParagraph"/>
                          <w:spacing w:line="316" w:lineRule="auto" w:before="76"/>
                          <w:ind w:left="23" w:right="48" w:firstLine="360"/>
                          <w:jc w:val="left"/>
                          <w:rPr>
                            <w:rFonts w:ascii="宋体" w:hAnsi="宋体" w:cs="宋体" w:eastAsia="宋体" w:hint="default"/>
                            <w:sz w:val="18"/>
                            <w:szCs w:val="18"/>
                          </w:rPr>
                        </w:pPr>
                        <w:r>
                          <w:rPr>
                            <w:rFonts w:ascii="宋体" w:hAnsi="宋体" w:cs="宋体" w:eastAsia="宋体" w:hint="default"/>
                            <w:sz w:val="18"/>
                            <w:szCs w:val="18"/>
                          </w:rPr>
                          <w:t>①公司董事、监事和高级管理人员的 舞弊行为；</w:t>
                        </w:r>
                      </w:p>
                      <w:p>
                        <w:pPr>
                          <w:pStyle w:val="TableParagraph"/>
                          <w:spacing w:line="240" w:lineRule="auto" w:before="19"/>
                          <w:ind w:left="383" w:right="0"/>
                          <w:jc w:val="left"/>
                          <w:rPr>
                            <w:rFonts w:ascii="宋体" w:hAnsi="宋体" w:cs="宋体" w:eastAsia="宋体" w:hint="default"/>
                            <w:sz w:val="18"/>
                            <w:szCs w:val="18"/>
                          </w:rPr>
                        </w:pPr>
                        <w:r>
                          <w:rPr>
                            <w:rFonts w:ascii="宋体" w:hAnsi="宋体" w:cs="宋体" w:eastAsia="宋体" w:hint="default"/>
                            <w:sz w:val="18"/>
                            <w:szCs w:val="18"/>
                          </w:rPr>
                          <w:t>②公司更正已公布的财务报告；</w:t>
                        </w:r>
                      </w:p>
                      <w:p>
                        <w:pPr>
                          <w:pStyle w:val="TableParagraph"/>
                          <w:spacing w:line="316" w:lineRule="auto" w:before="76"/>
                          <w:ind w:left="23" w:right="48" w:firstLine="360"/>
                          <w:jc w:val="left"/>
                          <w:rPr>
                            <w:rFonts w:ascii="宋体" w:hAnsi="宋体" w:cs="宋体" w:eastAsia="宋体" w:hint="default"/>
                            <w:sz w:val="18"/>
                            <w:szCs w:val="18"/>
                          </w:rPr>
                        </w:pPr>
                        <w:r>
                          <w:rPr>
                            <w:rFonts w:ascii="宋体" w:hAnsi="宋体" w:cs="宋体" w:eastAsia="宋体" w:hint="default"/>
                            <w:sz w:val="18"/>
                            <w:szCs w:val="18"/>
                          </w:rPr>
                          <w:t>③注册会计师发现的却未被公司内部 控制识别的当期财务报告中的重大错报；</w:t>
                        </w:r>
                      </w:p>
                      <w:p>
                        <w:pPr>
                          <w:pStyle w:val="TableParagraph"/>
                          <w:spacing w:line="316" w:lineRule="auto" w:before="19"/>
                          <w:ind w:left="23" w:right="48" w:firstLine="360"/>
                          <w:jc w:val="left"/>
                          <w:rPr>
                            <w:rFonts w:ascii="宋体" w:hAnsi="宋体" w:cs="宋体" w:eastAsia="宋体" w:hint="default"/>
                            <w:sz w:val="18"/>
                            <w:szCs w:val="18"/>
                          </w:rPr>
                        </w:pPr>
                        <w:r>
                          <w:rPr>
                            <w:rFonts w:ascii="宋体" w:hAnsi="宋体" w:cs="宋体" w:eastAsia="宋体" w:hint="default"/>
                            <w:sz w:val="18"/>
                            <w:szCs w:val="18"/>
                          </w:rPr>
                          <w:t>④审计委员会和审计部门对公司的对 外财务报告和财务报告内部控制监督无 效。</w:t>
                        </w:r>
                      </w:p>
                      <w:p>
                        <w:pPr>
                          <w:pStyle w:val="TableParagraph"/>
                          <w:spacing w:line="240" w:lineRule="auto" w:before="19"/>
                          <w:ind w:left="383" w:right="0"/>
                          <w:jc w:val="left"/>
                          <w:rPr>
                            <w:rFonts w:ascii="宋体" w:hAnsi="宋体" w:cs="宋体" w:eastAsia="宋体" w:hint="default"/>
                            <w:sz w:val="18"/>
                            <w:szCs w:val="18"/>
                          </w:rPr>
                        </w:pPr>
                        <w:r>
                          <w:rPr>
                            <w:rFonts w:ascii="宋体" w:hAnsi="宋体" w:cs="宋体" w:eastAsia="宋体" w:hint="default"/>
                            <w:sz w:val="18"/>
                            <w:szCs w:val="18"/>
                          </w:rPr>
                          <w:t>财务报告重要缺陷的迹象包括：</w:t>
                        </w:r>
                      </w:p>
                      <w:p>
                        <w:pPr>
                          <w:pStyle w:val="TableParagraph"/>
                          <w:spacing w:line="316" w:lineRule="auto" w:before="76"/>
                          <w:ind w:left="23" w:right="48" w:firstLine="360"/>
                          <w:jc w:val="left"/>
                          <w:rPr>
                            <w:rFonts w:ascii="宋体" w:hAnsi="宋体" w:cs="宋体" w:eastAsia="宋体" w:hint="default"/>
                            <w:sz w:val="18"/>
                            <w:szCs w:val="18"/>
                          </w:rPr>
                        </w:pPr>
                        <w:r>
                          <w:rPr>
                            <w:rFonts w:ascii="宋体" w:hAnsi="宋体" w:cs="宋体" w:eastAsia="宋体" w:hint="default"/>
                            <w:sz w:val="18"/>
                            <w:szCs w:val="18"/>
                          </w:rPr>
                          <w:t>①未依照公认会计准则选择和应用会 计政策；</w:t>
                        </w:r>
                      </w:p>
                      <w:p>
                        <w:pPr>
                          <w:pStyle w:val="TableParagraph"/>
                          <w:spacing w:line="240" w:lineRule="auto" w:before="19"/>
                          <w:ind w:left="383" w:right="0"/>
                          <w:jc w:val="left"/>
                          <w:rPr>
                            <w:rFonts w:ascii="宋体" w:hAnsi="宋体" w:cs="宋体" w:eastAsia="宋体" w:hint="default"/>
                            <w:sz w:val="18"/>
                            <w:szCs w:val="18"/>
                          </w:rPr>
                        </w:pPr>
                        <w:r>
                          <w:rPr>
                            <w:rFonts w:ascii="宋体" w:hAnsi="宋体" w:cs="宋体" w:eastAsia="宋体" w:hint="default"/>
                            <w:sz w:val="18"/>
                            <w:szCs w:val="18"/>
                          </w:rPr>
                          <w:t>②未建立反舞弊程序和控制措施；</w:t>
                        </w:r>
                      </w:p>
                      <w:p>
                        <w:pPr>
                          <w:pStyle w:val="TableParagraph"/>
                          <w:spacing w:line="316" w:lineRule="auto" w:before="76"/>
                          <w:ind w:left="23" w:right="48" w:firstLine="360"/>
                          <w:jc w:val="both"/>
                          <w:rPr>
                            <w:rFonts w:ascii="宋体" w:hAnsi="宋体" w:cs="宋体" w:eastAsia="宋体" w:hint="default"/>
                            <w:sz w:val="18"/>
                            <w:szCs w:val="18"/>
                          </w:rPr>
                        </w:pPr>
                        <w:r>
                          <w:rPr>
                            <w:rFonts w:ascii="宋体" w:hAnsi="宋体" w:cs="宋体" w:eastAsia="宋体" w:hint="default"/>
                            <w:sz w:val="18"/>
                            <w:szCs w:val="18"/>
                          </w:rPr>
                          <w:t>③对于非常规或特殊交易的账务处理 没有建立相应的控制机制或没有实施且没 有相应的补偿性控制；</w:t>
                        </w:r>
                      </w:p>
                      <w:p>
                        <w:pPr>
                          <w:pStyle w:val="TableParagraph"/>
                          <w:spacing w:line="316" w:lineRule="auto" w:before="19"/>
                          <w:ind w:left="23" w:right="48" w:firstLine="360"/>
                          <w:jc w:val="both"/>
                          <w:rPr>
                            <w:rFonts w:ascii="宋体" w:hAnsi="宋体" w:cs="宋体" w:eastAsia="宋体" w:hint="default"/>
                            <w:sz w:val="18"/>
                            <w:szCs w:val="18"/>
                          </w:rPr>
                        </w:pPr>
                        <w:r>
                          <w:rPr>
                            <w:rFonts w:ascii="宋体" w:hAnsi="宋体" w:cs="宋体" w:eastAsia="宋体" w:hint="default"/>
                            <w:sz w:val="18"/>
                            <w:szCs w:val="18"/>
                          </w:rPr>
                          <w:t>④对于期末财务报告过程的控制存在 一项或多项缺陷且不能合理保证编制的财 务报表达到真实、完整的目标。</w:t>
                        </w:r>
                      </w:p>
                      <w:p>
                        <w:pPr>
                          <w:pStyle w:val="TableParagraph"/>
                          <w:spacing w:line="316" w:lineRule="auto" w:before="19"/>
                          <w:ind w:left="23" w:right="48" w:firstLine="360"/>
                          <w:jc w:val="left"/>
                          <w:rPr>
                            <w:rFonts w:ascii="宋体" w:hAnsi="宋体" w:cs="宋体" w:eastAsia="宋体" w:hint="default"/>
                            <w:sz w:val="18"/>
                            <w:szCs w:val="18"/>
                          </w:rPr>
                        </w:pPr>
                        <w:r>
                          <w:rPr>
                            <w:rFonts w:ascii="宋体" w:hAnsi="宋体" w:cs="宋体" w:eastAsia="宋体" w:hint="default"/>
                            <w:sz w:val="18"/>
                            <w:szCs w:val="18"/>
                          </w:rPr>
                          <w:t>一般缺陷是指除上述重大缺陷、重要 缺陷之外的其他控制缺陷。</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60"/>
                          <w:ind w:left="24" w:right="130" w:firstLine="360"/>
                          <w:jc w:val="left"/>
                          <w:rPr>
                            <w:rFonts w:ascii="宋体" w:hAnsi="宋体" w:cs="宋体" w:eastAsia="宋体" w:hint="default"/>
                            <w:sz w:val="18"/>
                            <w:szCs w:val="18"/>
                          </w:rPr>
                        </w:pPr>
                        <w:r>
                          <w:rPr>
                            <w:rFonts w:ascii="宋体" w:hAnsi="宋体" w:cs="宋体" w:eastAsia="宋体" w:hint="default"/>
                            <w:sz w:val="18"/>
                            <w:szCs w:val="18"/>
                          </w:rPr>
                          <w:t>公司确定的非财务报告内部控制缺陷 评价的定性标准如下：</w:t>
                        </w:r>
                      </w:p>
                      <w:p>
                        <w:pPr>
                          <w:pStyle w:val="TableParagraph"/>
                          <w:spacing w:line="316" w:lineRule="auto" w:before="19"/>
                          <w:ind w:left="24" w:right="22" w:firstLine="360"/>
                          <w:jc w:val="left"/>
                          <w:rPr>
                            <w:rFonts w:ascii="宋体" w:hAnsi="宋体" w:cs="宋体" w:eastAsia="宋体" w:hint="default"/>
                            <w:sz w:val="18"/>
                            <w:szCs w:val="18"/>
                          </w:rPr>
                        </w:pPr>
                        <w:r>
                          <w:rPr>
                            <w:rFonts w:ascii="宋体" w:hAnsi="宋体" w:cs="宋体" w:eastAsia="宋体" w:hint="default"/>
                            <w:sz w:val="18"/>
                            <w:szCs w:val="18"/>
                          </w:rPr>
                          <w:t>非财务报告缺陷认定主要以缺陷对业 </w:t>
                        </w:r>
                        <w:r>
                          <w:rPr>
                            <w:rFonts w:ascii="宋体" w:hAnsi="宋体" w:cs="宋体" w:eastAsia="宋体" w:hint="default"/>
                            <w:spacing w:val="-4"/>
                            <w:sz w:val="18"/>
                            <w:szCs w:val="18"/>
                          </w:rPr>
                          <w:t>务流程有效性的影响程度、发生的可能性作</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判定。</w:t>
                        </w:r>
                      </w:p>
                      <w:p>
                        <w:pPr>
                          <w:pStyle w:val="TableParagraph"/>
                          <w:spacing w:line="316" w:lineRule="auto" w:before="19"/>
                          <w:ind w:left="24" w:right="22" w:firstLine="360"/>
                          <w:jc w:val="left"/>
                          <w:rPr>
                            <w:rFonts w:ascii="宋体" w:hAnsi="宋体" w:cs="宋体" w:eastAsia="宋体" w:hint="default"/>
                            <w:sz w:val="18"/>
                            <w:szCs w:val="18"/>
                          </w:rPr>
                        </w:pPr>
                        <w:r>
                          <w:rPr>
                            <w:rFonts w:ascii="宋体" w:hAnsi="宋体" w:cs="宋体" w:eastAsia="宋体" w:hint="default"/>
                            <w:spacing w:val="-5"/>
                            <w:sz w:val="18"/>
                            <w:szCs w:val="18"/>
                          </w:rPr>
                          <w:t>①如果缺陷发生的可能性较小，会降低</w:t>
                        </w:r>
                        <w:r>
                          <w:rPr>
                            <w:rFonts w:ascii="宋体" w:hAnsi="宋体" w:cs="宋体" w:eastAsia="宋体" w:hint="default"/>
                            <w:sz w:val="18"/>
                            <w:szCs w:val="18"/>
                          </w:rPr>
                          <w:t> 工作效率或效果、或加大效果的不确定性 或使之偏离预期目标为一般缺陷；</w:t>
                        </w:r>
                      </w:p>
                      <w:p>
                        <w:pPr>
                          <w:pStyle w:val="TableParagraph"/>
                          <w:spacing w:line="316" w:lineRule="auto" w:before="19"/>
                          <w:ind w:left="24" w:right="22" w:firstLine="360"/>
                          <w:jc w:val="both"/>
                          <w:rPr>
                            <w:rFonts w:ascii="宋体" w:hAnsi="宋体" w:cs="宋体" w:eastAsia="宋体" w:hint="default"/>
                            <w:sz w:val="18"/>
                            <w:szCs w:val="18"/>
                          </w:rPr>
                        </w:pPr>
                        <w:r>
                          <w:rPr>
                            <w:rFonts w:ascii="宋体" w:hAnsi="宋体" w:cs="宋体" w:eastAsia="宋体" w:hint="default"/>
                            <w:spacing w:val="-5"/>
                            <w:sz w:val="18"/>
                            <w:szCs w:val="18"/>
                          </w:rPr>
                          <w:t>②如果缺陷发生的可能性较高，会显著</w:t>
                        </w:r>
                        <w:r>
                          <w:rPr>
                            <w:rFonts w:ascii="宋体" w:hAnsi="宋体" w:cs="宋体" w:eastAsia="宋体" w:hint="default"/>
                            <w:sz w:val="18"/>
                            <w:szCs w:val="18"/>
                          </w:rPr>
                          <w:t> </w:t>
                        </w:r>
                        <w:r>
                          <w:rPr>
                            <w:rFonts w:ascii="宋体" w:hAnsi="宋体" w:cs="宋体" w:eastAsia="宋体" w:hint="default"/>
                            <w:spacing w:val="-4"/>
                            <w:sz w:val="18"/>
                            <w:szCs w:val="18"/>
                          </w:rPr>
                          <w:t>降低工作效率或效果、或显著加大效果的不</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
                            <w:sz w:val="18"/>
                            <w:szCs w:val="18"/>
                          </w:rPr>
                          <w:t>确定性、或使之显著偏离预期目标为重要缺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陷；</w:t>
                        </w:r>
                      </w:p>
                      <w:p>
                        <w:pPr>
                          <w:pStyle w:val="TableParagraph"/>
                          <w:spacing w:line="316" w:lineRule="auto" w:before="19"/>
                          <w:ind w:left="24" w:right="22" w:firstLine="360"/>
                          <w:jc w:val="left"/>
                          <w:rPr>
                            <w:rFonts w:ascii="宋体" w:hAnsi="宋体" w:cs="宋体" w:eastAsia="宋体" w:hint="default"/>
                            <w:sz w:val="18"/>
                            <w:szCs w:val="18"/>
                          </w:rPr>
                        </w:pPr>
                        <w:r>
                          <w:rPr>
                            <w:rFonts w:ascii="宋体" w:hAnsi="宋体" w:cs="宋体" w:eastAsia="宋体" w:hint="default"/>
                            <w:spacing w:val="-5"/>
                            <w:sz w:val="18"/>
                            <w:szCs w:val="18"/>
                          </w:rPr>
                          <w:t>③如果缺陷发生的可能性高，会严重降</w:t>
                        </w:r>
                        <w:r>
                          <w:rPr>
                            <w:rFonts w:ascii="宋体" w:hAnsi="宋体" w:cs="宋体" w:eastAsia="宋体" w:hint="default"/>
                            <w:sz w:val="18"/>
                            <w:szCs w:val="18"/>
                          </w:rPr>
                          <w:t> </w:t>
                        </w:r>
                        <w:r>
                          <w:rPr>
                            <w:rFonts w:ascii="宋体" w:hAnsi="宋体" w:cs="宋体" w:eastAsia="宋体" w:hint="default"/>
                            <w:spacing w:val="-4"/>
                            <w:sz w:val="18"/>
                            <w:szCs w:val="18"/>
                          </w:rPr>
                          <w:t>低工作效率或效果、或严重加大效果的不确</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定性、或使之严重偏离预期目标为重大缺 陷。</w:t>
                        </w:r>
                      </w:p>
                    </w:tc>
                  </w:tr>
                  <w:tr>
                    <w:trPr>
                      <w:trHeight w:val="4688"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3" w:right="48" w:firstLine="360"/>
                          <w:jc w:val="both"/>
                          <w:rPr>
                            <w:rFonts w:ascii="宋体" w:hAnsi="宋体" w:cs="宋体" w:eastAsia="宋体" w:hint="default"/>
                            <w:sz w:val="18"/>
                            <w:szCs w:val="18"/>
                          </w:rPr>
                        </w:pPr>
                        <w:r>
                          <w:rPr>
                            <w:rFonts w:ascii="宋体" w:hAnsi="宋体" w:cs="宋体" w:eastAsia="宋体" w:hint="default"/>
                            <w:sz w:val="18"/>
                            <w:szCs w:val="18"/>
                          </w:rPr>
                          <w:t>公司确定的财务报告内部控制缺陷评 价的定量标准如下：</w:t>
                        </w:r>
                      </w:p>
                      <w:p>
                        <w:pPr>
                          <w:pStyle w:val="TableParagraph"/>
                          <w:spacing w:line="316" w:lineRule="auto" w:before="19"/>
                          <w:ind w:left="23" w:right="48" w:firstLine="360"/>
                          <w:jc w:val="both"/>
                          <w:rPr>
                            <w:rFonts w:ascii="宋体" w:hAnsi="宋体" w:cs="宋体" w:eastAsia="宋体" w:hint="default"/>
                            <w:sz w:val="18"/>
                            <w:szCs w:val="18"/>
                          </w:rPr>
                        </w:pPr>
                        <w:r>
                          <w:rPr>
                            <w:rFonts w:ascii="宋体" w:hAnsi="宋体" w:cs="宋体" w:eastAsia="宋体" w:hint="default"/>
                            <w:sz w:val="18"/>
                            <w:szCs w:val="18"/>
                          </w:rPr>
                          <w:t>定量标准以营业收入、资产总额作为 衡量指标。</w:t>
                        </w:r>
                      </w:p>
                      <w:p>
                        <w:pPr>
                          <w:pStyle w:val="TableParagraph"/>
                          <w:spacing w:line="316" w:lineRule="auto" w:before="19"/>
                          <w:ind w:left="23" w:right="48" w:firstLine="360"/>
                          <w:jc w:val="both"/>
                          <w:rPr>
                            <w:rFonts w:ascii="宋体" w:hAnsi="宋体" w:cs="宋体" w:eastAsia="宋体" w:hint="default"/>
                            <w:sz w:val="18"/>
                            <w:szCs w:val="18"/>
                          </w:rPr>
                        </w:pPr>
                        <w:r>
                          <w:rPr>
                            <w:rFonts w:ascii="宋体" w:hAnsi="宋体" w:cs="宋体" w:eastAsia="宋体" w:hint="default"/>
                            <w:sz w:val="18"/>
                            <w:szCs w:val="18"/>
                          </w:rPr>
                          <w:t>内部控制缺陷可能导致或导致的损失 与利润表相关的，以营业收入指标衡量。</w:t>
                        </w:r>
                      </w:p>
                      <w:p>
                        <w:pPr>
                          <w:pStyle w:val="TableParagraph"/>
                          <w:spacing w:line="316" w:lineRule="auto" w:before="19"/>
                          <w:ind w:left="23" w:right="48" w:firstLine="360"/>
                          <w:jc w:val="both"/>
                          <w:rPr>
                            <w:rFonts w:ascii="宋体" w:hAnsi="宋体" w:cs="宋体" w:eastAsia="宋体" w:hint="default"/>
                            <w:sz w:val="18"/>
                            <w:szCs w:val="18"/>
                          </w:rPr>
                        </w:pPr>
                        <w:r>
                          <w:rPr>
                            <w:rFonts w:ascii="宋体" w:hAnsi="宋体" w:cs="宋体" w:eastAsia="宋体" w:hint="default"/>
                            <w:sz w:val="18"/>
                            <w:szCs w:val="18"/>
                          </w:rPr>
                          <w:t>①如果该缺陷单独或连同其他缺陷可 能导致的财务报告错报金额小于营业收入 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，则认定为一般缺陷；</w:t>
                        </w:r>
                      </w:p>
                      <w:p>
                        <w:pPr>
                          <w:pStyle w:val="TableParagraph"/>
                          <w:spacing w:line="300" w:lineRule="auto"/>
                          <w:ind w:left="23" w:right="168" w:firstLine="360"/>
                          <w:jc w:val="left"/>
                          <w:rPr>
                            <w:rFonts w:ascii="宋体" w:hAnsi="宋体" w:cs="宋体" w:eastAsia="宋体" w:hint="default"/>
                            <w:sz w:val="18"/>
                            <w:szCs w:val="18"/>
                          </w:rPr>
                        </w:pPr>
                        <w:r>
                          <w:rPr>
                            <w:rFonts w:ascii="宋体" w:hAnsi="宋体" w:cs="宋体" w:eastAsia="宋体" w:hint="default"/>
                            <w:sz w:val="18"/>
                            <w:szCs w:val="18"/>
                          </w:rPr>
                          <w:t>②如果超过营业收入的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但小于 </w:t>
                        </w:r>
                        <w:r>
                          <w:rPr>
                            <w:rFonts w:ascii="Times New Roman" w:hAnsi="Times New Roman" w:cs="Times New Roman" w:eastAsia="Times New Roman" w:hint="default"/>
                            <w:sz w:val="18"/>
                            <w:szCs w:val="18"/>
                          </w:rPr>
                          <w:t>1%</w:t>
                        </w:r>
                        <w:r>
                          <w:rPr>
                            <w:rFonts w:ascii="宋体" w:hAnsi="宋体" w:cs="宋体" w:eastAsia="宋体" w:hint="default"/>
                            <w:sz w:val="18"/>
                            <w:szCs w:val="18"/>
                          </w:rPr>
                          <w:t>，则认定为重要缺陷；</w:t>
                        </w:r>
                      </w:p>
                      <w:p>
                        <w:pPr>
                          <w:pStyle w:val="TableParagraph"/>
                          <w:spacing w:line="300" w:lineRule="auto" w:before="13"/>
                          <w:ind w:left="23" w:right="21" w:firstLine="360"/>
                          <w:jc w:val="both"/>
                          <w:rPr>
                            <w:rFonts w:ascii="宋体" w:hAnsi="宋体" w:cs="宋体" w:eastAsia="宋体" w:hint="default"/>
                            <w:sz w:val="18"/>
                            <w:szCs w:val="18"/>
                          </w:rPr>
                        </w:pPr>
                        <w:r>
                          <w:rPr>
                            <w:rFonts w:ascii="宋体" w:hAnsi="宋体" w:cs="宋体" w:eastAsia="宋体" w:hint="default"/>
                            <w:sz w:val="18"/>
                            <w:szCs w:val="18"/>
                          </w:rPr>
                          <w:t>③如果超过营业收入的</w:t>
                        </w:r>
                        <w:r>
                          <w:rPr>
                            <w:rFonts w:ascii="宋体" w:hAnsi="宋体" w:cs="宋体" w:eastAsia="宋体" w:hint="default"/>
                            <w:spacing w:val="-42"/>
                            <w:sz w:val="18"/>
                            <w:szCs w:val="18"/>
                          </w:rPr>
                          <w:t> </w:t>
                        </w:r>
                        <w:r>
                          <w:rPr>
                            <w:rFonts w:ascii="Times New Roman" w:hAnsi="Times New Roman" w:cs="Times New Roman" w:eastAsia="Times New Roman" w:hint="default"/>
                            <w:spacing w:val="-12"/>
                            <w:sz w:val="18"/>
                            <w:szCs w:val="18"/>
                          </w:rPr>
                          <w:t>1%</w:t>
                        </w:r>
                        <w:r>
                          <w:rPr>
                            <w:rFonts w:ascii="宋体" w:hAnsi="宋体" w:cs="宋体" w:eastAsia="宋体" w:hint="default"/>
                            <w:spacing w:val="-12"/>
                            <w:sz w:val="18"/>
                            <w:szCs w:val="18"/>
                          </w:rPr>
                          <w:t>，则认定为</w:t>
                        </w:r>
                        <w:r>
                          <w:rPr>
                            <w:rFonts w:ascii="宋体" w:hAnsi="宋体" w:cs="宋体" w:eastAsia="宋体" w:hint="default"/>
                            <w:sz w:val="18"/>
                            <w:szCs w:val="18"/>
                          </w:rPr>
                          <w:t> 重大缺陷。</w:t>
                        </w:r>
                      </w:p>
                      <w:p>
                        <w:pPr>
                          <w:pStyle w:val="TableParagraph"/>
                          <w:spacing w:line="316" w:lineRule="auto" w:before="31"/>
                          <w:ind w:left="23" w:right="48" w:firstLine="360"/>
                          <w:jc w:val="both"/>
                          <w:rPr>
                            <w:rFonts w:ascii="宋体" w:hAnsi="宋体" w:cs="宋体" w:eastAsia="宋体" w:hint="default"/>
                            <w:sz w:val="18"/>
                            <w:szCs w:val="18"/>
                          </w:rPr>
                        </w:pPr>
                        <w:r>
                          <w:rPr>
                            <w:rFonts w:ascii="宋体" w:hAnsi="宋体" w:cs="宋体" w:eastAsia="宋体" w:hint="default"/>
                            <w:sz w:val="18"/>
                            <w:szCs w:val="18"/>
                          </w:rPr>
                          <w:t>内部控制缺陷可能导致或导致的损失 </w:t>
                        </w:r>
                        <w:r>
                          <w:rPr>
                            <w:rFonts w:ascii="宋体" w:hAnsi="宋体" w:cs="宋体" w:eastAsia="宋体" w:hint="default"/>
                            <w:spacing w:val="-4"/>
                            <w:sz w:val="18"/>
                            <w:szCs w:val="18"/>
                          </w:rPr>
                          <w:t>与资产管理相关的，以资产总额指标衡量</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4" w:right="130" w:firstLine="360"/>
                          <w:jc w:val="left"/>
                          <w:rPr>
                            <w:rFonts w:ascii="宋体" w:hAnsi="宋体" w:cs="宋体" w:eastAsia="宋体" w:hint="default"/>
                            <w:sz w:val="18"/>
                            <w:szCs w:val="18"/>
                          </w:rPr>
                        </w:pPr>
                        <w:r>
                          <w:rPr>
                            <w:rFonts w:ascii="宋体" w:hAnsi="宋体" w:cs="宋体" w:eastAsia="宋体" w:hint="default"/>
                            <w:sz w:val="18"/>
                            <w:szCs w:val="18"/>
                          </w:rPr>
                          <w:t>公司确定的非财务报告内部控制缺陷 评价的定量标准如下：</w:t>
                        </w:r>
                      </w:p>
                      <w:p>
                        <w:pPr>
                          <w:pStyle w:val="TableParagraph"/>
                          <w:spacing w:line="316" w:lineRule="auto" w:before="19"/>
                          <w:ind w:left="24" w:right="22" w:firstLine="360"/>
                          <w:jc w:val="left"/>
                          <w:rPr>
                            <w:rFonts w:ascii="宋体" w:hAnsi="宋体" w:cs="宋体" w:eastAsia="宋体" w:hint="default"/>
                            <w:sz w:val="18"/>
                            <w:szCs w:val="18"/>
                          </w:rPr>
                        </w:pPr>
                        <w:r>
                          <w:rPr>
                            <w:rFonts w:ascii="宋体" w:hAnsi="宋体" w:cs="宋体" w:eastAsia="宋体" w:hint="default"/>
                            <w:spacing w:val="-5"/>
                            <w:sz w:val="18"/>
                            <w:szCs w:val="18"/>
                          </w:rPr>
                          <w:t>定量标准以营业收入、资产总额作为衡</w:t>
                        </w:r>
                        <w:r>
                          <w:rPr>
                            <w:rFonts w:ascii="宋体" w:hAnsi="宋体" w:cs="宋体" w:eastAsia="宋体" w:hint="default"/>
                            <w:sz w:val="18"/>
                            <w:szCs w:val="18"/>
                          </w:rPr>
                          <w:t> 量指标。</w:t>
                        </w:r>
                      </w:p>
                      <w:p>
                        <w:pPr>
                          <w:pStyle w:val="TableParagraph"/>
                          <w:spacing w:line="316" w:lineRule="auto" w:before="19"/>
                          <w:ind w:left="24" w:right="130" w:firstLine="360"/>
                          <w:jc w:val="left"/>
                          <w:rPr>
                            <w:rFonts w:ascii="宋体" w:hAnsi="宋体" w:cs="宋体" w:eastAsia="宋体" w:hint="default"/>
                            <w:sz w:val="18"/>
                            <w:szCs w:val="18"/>
                          </w:rPr>
                        </w:pPr>
                        <w:r>
                          <w:rPr>
                            <w:rFonts w:ascii="宋体" w:hAnsi="宋体" w:cs="宋体" w:eastAsia="宋体" w:hint="default"/>
                            <w:sz w:val="18"/>
                            <w:szCs w:val="18"/>
                          </w:rPr>
                          <w:t>内部控制缺陷可能导致或导致的损失 与利润报表相关的，以营业收入指标衡量</w:t>
                        </w:r>
                      </w:p>
                      <w:p>
                        <w:pPr>
                          <w:pStyle w:val="TableParagraph"/>
                          <w:spacing w:line="316" w:lineRule="auto" w:before="19"/>
                          <w:ind w:left="24" w:right="130" w:firstLine="360"/>
                          <w:jc w:val="both"/>
                          <w:rPr>
                            <w:rFonts w:ascii="宋体" w:hAnsi="宋体" w:cs="宋体" w:eastAsia="宋体" w:hint="default"/>
                            <w:sz w:val="18"/>
                            <w:szCs w:val="18"/>
                          </w:rPr>
                        </w:pPr>
                        <w:r>
                          <w:rPr>
                            <w:rFonts w:ascii="宋体" w:hAnsi="宋体" w:cs="宋体" w:eastAsia="宋体" w:hint="default"/>
                            <w:sz w:val="18"/>
                            <w:szCs w:val="18"/>
                          </w:rPr>
                          <w:t>①如果该缺陷单独或连同其他缺陷可 能导致的财务报告错报金额小于营业收入 的</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，则认定为一般缺陷；</w:t>
                        </w:r>
                      </w:p>
                      <w:p>
                        <w:pPr>
                          <w:pStyle w:val="TableParagraph"/>
                          <w:spacing w:line="300" w:lineRule="auto"/>
                          <w:ind w:left="24" w:right="252" w:firstLine="360"/>
                          <w:jc w:val="left"/>
                          <w:rPr>
                            <w:rFonts w:ascii="宋体" w:hAnsi="宋体" w:cs="宋体" w:eastAsia="宋体" w:hint="default"/>
                            <w:sz w:val="18"/>
                            <w:szCs w:val="18"/>
                          </w:rPr>
                        </w:pPr>
                        <w:r>
                          <w:rPr>
                            <w:rFonts w:ascii="宋体" w:hAnsi="宋体" w:cs="宋体" w:eastAsia="宋体" w:hint="default"/>
                            <w:sz w:val="18"/>
                            <w:szCs w:val="18"/>
                          </w:rPr>
                          <w:t>②如果超过营业收入的</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但小于 </w:t>
                        </w:r>
                        <w:r>
                          <w:rPr>
                            <w:rFonts w:ascii="Times New Roman" w:hAnsi="Times New Roman" w:cs="Times New Roman" w:eastAsia="Times New Roman" w:hint="default"/>
                            <w:sz w:val="18"/>
                            <w:szCs w:val="18"/>
                          </w:rPr>
                          <w:t>1%</w:t>
                        </w:r>
                        <w:r>
                          <w:rPr>
                            <w:rFonts w:ascii="宋体" w:hAnsi="宋体" w:cs="宋体" w:eastAsia="宋体" w:hint="default"/>
                            <w:sz w:val="18"/>
                            <w:szCs w:val="18"/>
                          </w:rPr>
                          <w:t>，则认定为重要缺陷；</w:t>
                        </w:r>
                      </w:p>
                      <w:p>
                        <w:pPr>
                          <w:pStyle w:val="TableParagraph"/>
                          <w:spacing w:line="300" w:lineRule="auto" w:before="13"/>
                          <w:ind w:left="24" w:right="27" w:firstLine="360"/>
                          <w:jc w:val="left"/>
                          <w:rPr>
                            <w:rFonts w:ascii="宋体" w:hAnsi="宋体" w:cs="宋体" w:eastAsia="宋体" w:hint="default"/>
                            <w:sz w:val="18"/>
                            <w:szCs w:val="18"/>
                          </w:rPr>
                        </w:pPr>
                        <w:r>
                          <w:rPr>
                            <w:rFonts w:ascii="宋体" w:hAnsi="宋体" w:cs="宋体" w:eastAsia="宋体" w:hint="default"/>
                            <w:sz w:val="18"/>
                            <w:szCs w:val="18"/>
                          </w:rPr>
                          <w:t>③如果超过营业收入的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，则认定为 重大缺陷。</w:t>
                        </w:r>
                      </w:p>
                      <w:p>
                        <w:pPr>
                          <w:pStyle w:val="TableParagraph"/>
                          <w:spacing w:line="316" w:lineRule="auto" w:before="31"/>
                          <w:ind w:left="24" w:right="130" w:firstLine="360"/>
                          <w:jc w:val="left"/>
                          <w:rPr>
                            <w:rFonts w:ascii="宋体" w:hAnsi="宋体" w:cs="宋体" w:eastAsia="宋体" w:hint="default"/>
                            <w:sz w:val="18"/>
                            <w:szCs w:val="18"/>
                          </w:rPr>
                        </w:pPr>
                        <w:r>
                          <w:rPr>
                            <w:rFonts w:ascii="宋体" w:hAnsi="宋体" w:cs="宋体" w:eastAsia="宋体" w:hint="default"/>
                            <w:sz w:val="18"/>
                            <w:szCs w:val="18"/>
                          </w:rPr>
                          <w:t>内部控制缺陷可能导致或导致的损失 与资产管理相关的，以资产总额指标衡量</w:t>
                        </w:r>
                      </w:p>
                    </w:tc>
                  </w:tr>
                </w:tbl>
                <w:p>
                  <w:pPr/>
                </w:p>
              </w:txbxContent>
            </v:textbox>
            <w10:wrap type="none"/>
          </v:shape>
        </w:pict>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6"/>
          <w:szCs w:val="16"/>
        </w:rPr>
      </w:pPr>
    </w:p>
    <w:p>
      <w:pPr>
        <w:pStyle w:val="BodyText"/>
        <w:spacing w:line="240" w:lineRule="auto"/>
        <w:ind w:left="0" w:right="805"/>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3"/>
          <w:szCs w:val="23"/>
        </w:rPr>
      </w:pPr>
    </w:p>
    <w:p>
      <w:pPr>
        <w:spacing w:line="4685" w:lineRule="exact"/>
        <w:ind w:left="6634" w:right="0" w:firstLine="0"/>
        <w:rPr>
          <w:rFonts w:ascii="宋体" w:hAnsi="宋体" w:cs="宋体" w:eastAsia="宋体" w:hint="default"/>
          <w:sz w:val="20"/>
          <w:szCs w:val="20"/>
        </w:rPr>
      </w:pPr>
      <w:r>
        <w:rPr>
          <w:rFonts w:ascii="宋体" w:hAnsi="宋体" w:cs="宋体" w:eastAsia="宋体" w:hint="default"/>
          <w:position w:val="-93"/>
          <w:sz w:val="20"/>
          <w:szCs w:val="20"/>
        </w:rPr>
        <w:pict>
          <v:group style="width:172.3pt;height:234.25pt;mso-position-horizontal-relative:char;mso-position-vertical-relative:line" coordorigin="0,0" coordsize="3446,4685">
            <v:group style="position:absolute;left:0;top:0;width:3401;height:4685" coordorigin="0,0" coordsize="3401,4685">
              <v:shape style="position:absolute;left:0;top:0;width:3401;height:4685" coordorigin="0,0" coordsize="3401,4685" path="m0,0l3401,0,3401,4685,0,4685,0,0xe" filled="true" fillcolor="#ffffff" stroked="false">
                <v:path arrowok="t"/>
                <v:fill type="solid"/>
              </v:shape>
              <v:shape style="position:absolute;left:3266;top:1627;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v:shape style="position:absolute;left:3266;top:4435;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v:group>
          </v:group>
        </w:pict>
      </w:r>
      <w:r>
        <w:rPr>
          <w:rFonts w:ascii="宋体" w:hAnsi="宋体" w:cs="宋体" w:eastAsia="宋体" w:hint="default"/>
          <w:position w:val="-93"/>
          <w:sz w:val="20"/>
          <w:szCs w:val="20"/>
        </w:rPr>
      </w:r>
    </w:p>
    <w:p>
      <w:pPr>
        <w:spacing w:after="0" w:line="4685" w:lineRule="exact"/>
        <w:rPr>
          <w:rFonts w:ascii="宋体" w:hAnsi="宋体" w:cs="宋体" w:eastAsia="宋体" w:hint="default"/>
          <w:sz w:val="20"/>
          <w:szCs w:val="20"/>
        </w:rPr>
        <w:sectPr>
          <w:pgSz w:w="11910" w:h="16840"/>
          <w:pgMar w:header="878" w:footer="978" w:top="1100" w:bottom="1160" w:left="1020" w:right="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3194"/>
        <w:gridCol w:w="3323"/>
        <w:gridCol w:w="3406"/>
      </w:tblGrid>
      <w:tr>
        <w:trPr>
          <w:trHeight w:val="318" w:hRule="exact"/>
        </w:trPr>
        <w:tc>
          <w:tcPr>
            <w:tcW w:w="3194" w:type="dxa"/>
            <w:vMerge w:val="restart"/>
            <w:tcBorders>
              <w:top w:val="single" w:sz="4" w:space="0" w:color="000000"/>
              <w:left w:val="single" w:sz="4" w:space="0" w:color="000000"/>
              <w:right w:val="single" w:sz="4" w:space="0" w:color="000000"/>
            </w:tcBorders>
            <w:shd w:val="clear" w:color="auto" w:fill="D2D2D2"/>
          </w:tcPr>
          <w:p>
            <w:pPr/>
          </w:p>
        </w:tc>
        <w:tc>
          <w:tcPr>
            <w:tcW w:w="332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right="48"/>
              <w:jc w:val="right"/>
              <w:rPr>
                <w:rFonts w:ascii="宋体" w:hAnsi="宋体" w:cs="宋体" w:eastAsia="宋体" w:hint="default"/>
                <w:sz w:val="18"/>
                <w:szCs w:val="18"/>
              </w:rPr>
            </w:pPr>
            <w:r>
              <w:rPr>
                <w:rFonts w:ascii="宋体" w:hAnsi="宋体" w:cs="宋体" w:eastAsia="宋体" w:hint="default"/>
                <w:sz w:val="18"/>
                <w:szCs w:val="18"/>
              </w:rPr>
              <w:t>①如果该缺陷单独或连同其他缺陷可</w:t>
            </w:r>
          </w:p>
        </w:tc>
        <w:tc>
          <w:tcPr>
            <w:tcW w:w="340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384" w:right="0"/>
              <w:jc w:val="left"/>
              <w:rPr>
                <w:rFonts w:ascii="宋体" w:hAnsi="宋体" w:cs="宋体" w:eastAsia="宋体" w:hint="default"/>
                <w:sz w:val="18"/>
                <w:szCs w:val="18"/>
              </w:rPr>
            </w:pPr>
            <w:r>
              <w:rPr>
                <w:rFonts w:ascii="宋体" w:hAnsi="宋体" w:cs="宋体" w:eastAsia="宋体" w:hint="default"/>
                <w:sz w:val="18"/>
                <w:szCs w:val="18"/>
              </w:rPr>
              <w:t>①如果该缺陷单独或连同其他缺陷可</w:t>
            </w: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能导致的财务报告错报金额小于资产总额</w:t>
            </w:r>
          </w:p>
        </w:tc>
        <w:tc>
          <w:tcPr>
            <w:tcW w:w="340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能导致的财务报告错报金额小于资产总额</w:t>
            </w:r>
          </w:p>
        </w:tc>
      </w:tr>
      <w:tr>
        <w:trPr>
          <w:trHeight w:val="316" w:hRule="exact"/>
        </w:trPr>
        <w:tc>
          <w:tcPr>
            <w:tcW w:w="3194" w:type="dxa"/>
            <w:vMerge/>
            <w:tcBorders>
              <w:left w:val="single" w:sz="4" w:space="0" w:color="000000"/>
              <w:right w:val="single" w:sz="4" w:space="0" w:color="000000"/>
            </w:tcBorders>
            <w:shd w:val="clear" w:color="auto" w:fill="D2D2D2"/>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，则认定为一般缺陷；</w:t>
            </w:r>
          </w:p>
        </w:tc>
        <w:tc>
          <w:tcPr>
            <w:tcW w:w="340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的</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，则认定为一般缺陷；</w:t>
            </w: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383" w:right="0"/>
              <w:jc w:val="left"/>
              <w:rPr>
                <w:rFonts w:ascii="宋体" w:hAnsi="宋体" w:cs="宋体" w:eastAsia="宋体" w:hint="default"/>
                <w:sz w:val="18"/>
                <w:szCs w:val="18"/>
              </w:rPr>
            </w:pPr>
            <w:r>
              <w:rPr>
                <w:rFonts w:ascii="宋体" w:hAnsi="宋体" w:cs="宋体" w:eastAsia="宋体" w:hint="default"/>
                <w:sz w:val="18"/>
                <w:szCs w:val="18"/>
              </w:rPr>
              <w:t>②如果超过资产总额的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但小于</w:t>
            </w:r>
          </w:p>
        </w:tc>
        <w:tc>
          <w:tcPr>
            <w:tcW w:w="340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31"/>
              <w:jc w:val="right"/>
              <w:rPr>
                <w:rFonts w:ascii="宋体" w:hAnsi="宋体" w:cs="宋体" w:eastAsia="宋体" w:hint="default"/>
                <w:sz w:val="18"/>
                <w:szCs w:val="18"/>
              </w:rPr>
            </w:pPr>
            <w:r>
              <w:rPr>
                <w:rFonts w:ascii="宋体" w:hAnsi="宋体" w:cs="宋体" w:eastAsia="宋体" w:hint="default"/>
                <w:sz w:val="18"/>
                <w:szCs w:val="18"/>
              </w:rPr>
              <w:t>②如果超过资产总额</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但小于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，则认定为重要缺陷；</w:t>
            </w:r>
          </w:p>
        </w:tc>
        <w:tc>
          <w:tcPr>
            <w:tcW w:w="340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则认定为重要缺陷；</w:t>
            </w: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21"/>
              <w:jc w:val="right"/>
              <w:rPr>
                <w:rFonts w:ascii="宋体" w:hAnsi="宋体" w:cs="宋体" w:eastAsia="宋体" w:hint="default"/>
                <w:sz w:val="18"/>
                <w:szCs w:val="18"/>
              </w:rPr>
            </w:pPr>
            <w:r>
              <w:rPr>
                <w:rFonts w:ascii="宋体" w:hAnsi="宋体" w:cs="宋体" w:eastAsia="宋体" w:hint="default"/>
                <w:sz w:val="18"/>
                <w:szCs w:val="18"/>
              </w:rPr>
              <w:t>③如果超过资产总额</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4"/>
                <w:sz w:val="18"/>
                <w:szCs w:val="18"/>
              </w:rPr>
              <w:t>%</w:t>
            </w:r>
            <w:r>
              <w:rPr>
                <w:rFonts w:ascii="宋体" w:hAnsi="宋体" w:cs="宋体" w:eastAsia="宋体" w:hint="default"/>
                <w:spacing w:val="-77"/>
                <w:sz w:val="18"/>
                <w:szCs w:val="18"/>
              </w:rPr>
              <w:t>，</w:t>
            </w:r>
            <w:r>
              <w:rPr>
                <w:rFonts w:ascii="宋体" w:hAnsi="宋体" w:cs="宋体" w:eastAsia="宋体" w:hint="default"/>
                <w:sz w:val="18"/>
                <w:szCs w:val="18"/>
              </w:rPr>
              <w:t>则认定为重</w:t>
            </w:r>
          </w:p>
        </w:tc>
        <w:tc>
          <w:tcPr>
            <w:tcW w:w="340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27"/>
              <w:jc w:val="right"/>
              <w:rPr>
                <w:rFonts w:ascii="宋体" w:hAnsi="宋体" w:cs="宋体" w:eastAsia="宋体" w:hint="default"/>
                <w:sz w:val="18"/>
                <w:szCs w:val="18"/>
              </w:rPr>
            </w:pPr>
            <w:r>
              <w:rPr>
                <w:rFonts w:ascii="宋体" w:hAnsi="宋体" w:cs="宋体" w:eastAsia="宋体" w:hint="default"/>
                <w:sz w:val="18"/>
                <w:szCs w:val="18"/>
              </w:rPr>
              <w:t>③如果超过资产总额</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，则认定为重</w:t>
            </w:r>
          </w:p>
        </w:tc>
      </w:tr>
      <w:tr>
        <w:trPr>
          <w:trHeight w:val="312" w:hRule="exact"/>
        </w:trPr>
        <w:tc>
          <w:tcPr>
            <w:tcW w:w="3194" w:type="dxa"/>
            <w:vMerge/>
            <w:tcBorders>
              <w:left w:val="single" w:sz="4" w:space="0" w:color="000000"/>
              <w:bottom w:val="single" w:sz="4" w:space="0" w:color="000000"/>
              <w:right w:val="single" w:sz="4" w:space="0" w:color="000000"/>
            </w:tcBorders>
            <w:shd w:val="clear" w:color="auto" w:fill="D2D2D2"/>
          </w:tcPr>
          <w:p>
            <w:pPr/>
          </w:p>
        </w:tc>
        <w:tc>
          <w:tcPr>
            <w:tcW w:w="332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大缺陷。</w:t>
            </w:r>
          </w:p>
        </w:tc>
        <w:tc>
          <w:tcPr>
            <w:tcW w:w="340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大缺陷。</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7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7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7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7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0</w:t>
            </w:r>
          </w:p>
        </w:tc>
      </w:tr>
    </w:tbl>
    <w:p>
      <w:pPr>
        <w:spacing w:line="240" w:lineRule="auto" w:before="1"/>
        <w:rPr>
          <w:rFonts w:ascii="宋体" w:hAnsi="宋体" w:cs="宋体" w:eastAsia="宋体" w:hint="default"/>
          <w:sz w:val="18"/>
          <w:szCs w:val="18"/>
        </w:rPr>
      </w:pPr>
    </w:p>
    <w:p>
      <w:pPr>
        <w:pStyle w:val="Heading2"/>
        <w:spacing w:line="240" w:lineRule="auto" w:before="26"/>
        <w:ind w:right="1394"/>
        <w:jc w:val="left"/>
        <w:rPr>
          <w:b w:val="0"/>
          <w:bCs w:val="0"/>
        </w:rPr>
      </w:pPr>
      <w:bookmarkStart w:name="十、内部控制审计报告或鉴证报告" w:id="152"/>
      <w:bookmarkEnd w:id="152"/>
      <w:r>
        <w:rPr>
          <w:b w:val="0"/>
          <w:bCs w:val="0"/>
        </w:rPr>
      </w:r>
      <w:r>
        <w:rPr/>
        <w:t>十、内部控制审计报告或鉴证报告</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394"/>
        <w:jc w:val="left"/>
      </w:pPr>
      <w:r>
        <w:rPr/>
        <w:t>内部控制鉴证报告</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662"/>
        <w:gridCol w:w="6906"/>
      </w:tblGrid>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内部控制鉴证报告中的审议意见段</w:t>
            </w:r>
          </w:p>
        </w:tc>
      </w:tr>
      <w:tr>
        <w:trPr>
          <w:trHeight w:val="714"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22" w:right="82"/>
              <w:jc w:val="left"/>
              <w:rPr>
                <w:rFonts w:ascii="宋体" w:hAnsi="宋体" w:cs="宋体" w:eastAsia="宋体" w:hint="default"/>
                <w:sz w:val="18"/>
                <w:szCs w:val="18"/>
              </w:rPr>
            </w:pPr>
            <w:r>
              <w:rPr>
                <w:rFonts w:ascii="宋体" w:hAnsi="宋体" w:cs="宋体" w:eastAsia="宋体" w:hint="default"/>
                <w:sz w:val="18"/>
                <w:szCs w:val="18"/>
              </w:rPr>
              <w:t>我们认为，贵公司按照财政部等五部委颁发的《企业内部控制基本规范》及相关规定于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日在所有重大方 面保持了与财务报表相关的有效的内部控制。</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内控鉴证报告披露情况</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内部控制鉴证报告全文披露日期</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内部控制鉴证报告全文披露索引</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刊登在巨潮资讯网</w:t>
            </w:r>
            <w:r>
              <w:rPr>
                <w:rFonts w:ascii="宋体" w:hAnsi="宋体" w:cs="宋体" w:eastAsia="宋体" w:hint="default"/>
                <w:spacing w:val="-50"/>
                <w:sz w:val="18"/>
                <w:szCs w:val="18"/>
              </w:rPr>
              <w:t> </w:t>
            </w:r>
            <w:hyperlink r:id="rId10">
              <w:r>
                <w:rPr>
                  <w:rFonts w:ascii="Times New Roman" w:hAnsi="Times New Roman" w:cs="Times New Roman" w:eastAsia="Times New Roman" w:hint="default"/>
                  <w:sz w:val="18"/>
                  <w:szCs w:val="18"/>
                </w:rPr>
                <w:t>www.cninfo.com.cn</w:t>
              </w:r>
            </w:hyperlink>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上的《内部控制鉴证报告》</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内控鉴证报告意见类型</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标准无保留意见</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0"/>
        <w:ind w:right="1394"/>
        <w:jc w:val="left"/>
      </w:pPr>
      <w:r>
        <w:rPr/>
        <w:t>会计师事务所是否出具非标准意见的内部控制鉴证报告</w:t>
      </w:r>
    </w:p>
    <w:p>
      <w:pPr>
        <w:pStyle w:val="BodyText"/>
        <w:spacing w:line="340" w:lineRule="auto" w:before="117"/>
        <w:ind w:right="463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否 会计师事务所出具的内部控制鉴证报告与董事会的自我评价报告意见是否一致</w:t>
      </w:r>
    </w:p>
    <w:p>
      <w:pPr>
        <w:pStyle w:val="BodyText"/>
        <w:spacing w:line="240" w:lineRule="auto" w:before="39"/>
        <w:ind w:right="13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否</w:t>
      </w:r>
    </w:p>
    <w:p>
      <w:pPr>
        <w:spacing w:after="0" w:line="240" w:lineRule="auto"/>
        <w:jc w:val="left"/>
        <w:sectPr>
          <w:footerReference w:type="default" r:id="rId37"/>
          <w:pgSz w:w="11910" w:h="16840"/>
          <w:pgMar w:footer="978" w:header="878" w:top="1100" w:bottom="1160" w:left="1020" w:right="0"/>
          <w:pgNumType w:start="9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pStyle w:val="Heading1"/>
        <w:spacing w:line="240" w:lineRule="auto"/>
        <w:ind w:left="2928" w:right="1394"/>
        <w:jc w:val="left"/>
        <w:rPr>
          <w:b w:val="0"/>
          <w:bCs w:val="0"/>
        </w:rPr>
      </w:pPr>
      <w:bookmarkStart w:name="第十一节 公司债券相关情况" w:id="153"/>
      <w:bookmarkEnd w:id="153"/>
      <w:r>
        <w:rPr>
          <w:b w:val="0"/>
          <w:bCs w:val="0"/>
        </w:rPr>
      </w:r>
      <w:bookmarkStart w:name="_bookmark10" w:id="154"/>
      <w:bookmarkEnd w:id="154"/>
      <w:r>
        <w:rPr>
          <w:b w:val="0"/>
          <w:bCs w:val="0"/>
        </w:rPr>
      </w:r>
      <w:r>
        <w:rPr/>
        <w:t>第十一节</w:t>
      </w:r>
      <w:r>
        <w:rPr>
          <w:spacing w:val="-11"/>
        </w:rPr>
        <w:t> </w:t>
      </w:r>
      <w:r>
        <w:rPr/>
        <w:t>公司债券相关情况</w:t>
      </w:r>
      <w:r>
        <w:rPr>
          <w:b w:val="0"/>
          <w:bCs w:val="0"/>
        </w:rPr>
      </w:r>
    </w:p>
    <w:p>
      <w:pPr>
        <w:spacing w:line="240" w:lineRule="auto" w:before="6"/>
        <w:rPr>
          <w:rFonts w:ascii="宋体" w:hAnsi="宋体" w:cs="宋体" w:eastAsia="宋体" w:hint="default"/>
          <w:b/>
          <w:bCs/>
          <w:sz w:val="42"/>
          <w:szCs w:val="42"/>
        </w:rPr>
      </w:pPr>
    </w:p>
    <w:p>
      <w:pPr>
        <w:pStyle w:val="BodyText"/>
        <w:spacing w:line="360" w:lineRule="auto"/>
        <w:ind w:right="2114"/>
        <w:jc w:val="left"/>
      </w:pPr>
      <w:r>
        <w:rPr/>
        <w:t>公司是否存在公开发行并在证券交易所上市，且在年度报告批准报出日未到期或到期未能全额兑付的公司债券 否</w:t>
      </w:r>
    </w:p>
    <w:p>
      <w:pPr>
        <w:spacing w:after="0" w:line="360" w:lineRule="auto"/>
        <w:jc w:val="left"/>
        <w:sectPr>
          <w:pgSz w:w="11910" w:h="16840"/>
          <w:pgMar w:header="878" w:footer="978" w:top="1100" w:bottom="116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pStyle w:val="Heading1"/>
        <w:spacing w:line="240" w:lineRule="auto"/>
        <w:ind w:left="3248" w:right="765"/>
        <w:jc w:val="left"/>
        <w:rPr>
          <w:b w:val="0"/>
          <w:bCs w:val="0"/>
        </w:rPr>
      </w:pPr>
      <w:bookmarkStart w:name="第十二节 财务报告" w:id="155"/>
      <w:bookmarkEnd w:id="155"/>
      <w:r>
        <w:rPr>
          <w:b w:val="0"/>
          <w:bCs w:val="0"/>
        </w:rPr>
      </w:r>
      <w:bookmarkStart w:name="_bookmark11" w:id="156"/>
      <w:bookmarkEnd w:id="156"/>
      <w:r>
        <w:rPr>
          <w:b w:val="0"/>
          <w:bCs w:val="0"/>
        </w:rPr>
      </w:r>
      <w:r>
        <w:rPr/>
        <w:t>第十二节</w:t>
      </w:r>
      <w:r>
        <w:rPr>
          <w:spacing w:val="-8"/>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8"/>
          <w:szCs w:val="28"/>
        </w:rPr>
      </w:pPr>
    </w:p>
    <w:p>
      <w:pPr>
        <w:pStyle w:val="Heading2"/>
        <w:spacing w:line="240" w:lineRule="auto" w:before="26"/>
        <w:ind w:left="457" w:right="765"/>
        <w:jc w:val="left"/>
        <w:rPr>
          <w:b w:val="0"/>
          <w:bCs w:val="0"/>
        </w:rPr>
      </w:pPr>
      <w:bookmarkStart w:name="一、审计报告" w:id="157"/>
      <w:bookmarkEnd w:id="157"/>
      <w:r>
        <w:rPr>
          <w:b w:val="0"/>
          <w:bCs w:val="0"/>
        </w:rPr>
      </w:r>
      <w:r>
        <w:rPr/>
        <w:t>一、审计报告</w:t>
      </w:r>
      <w:r>
        <w:rPr>
          <w:b w:val="0"/>
          <w:bCs w:val="0"/>
        </w:rPr>
      </w:r>
    </w:p>
    <w:p>
      <w:pPr>
        <w:spacing w:line="240" w:lineRule="auto" w:before="11"/>
        <w:rPr>
          <w:rFonts w:ascii="宋体" w:hAnsi="宋体" w:cs="宋体" w:eastAsia="宋体" w:hint="default"/>
          <w:b/>
          <w:bCs/>
          <w:sz w:val="25"/>
          <w:szCs w:val="25"/>
        </w:rPr>
      </w:pPr>
    </w:p>
    <w:tbl>
      <w:tblPr>
        <w:tblW w:w="0" w:type="auto"/>
        <w:jc w:val="left"/>
        <w:tblInd w:w="452" w:type="dxa"/>
        <w:tblLayout w:type="fixed"/>
        <w:tblCellMar>
          <w:top w:w="0" w:type="dxa"/>
          <w:left w:w="0" w:type="dxa"/>
          <w:bottom w:w="0" w:type="dxa"/>
          <w:right w:w="0" w:type="dxa"/>
        </w:tblCellMar>
        <w:tblLook w:val="01E0"/>
      </w:tblPr>
      <w:tblGrid>
        <w:gridCol w:w="4111"/>
        <w:gridCol w:w="4111"/>
      </w:tblGrid>
      <w:tr>
        <w:trPr>
          <w:trHeight w:val="323" w:hRule="exact"/>
        </w:trPr>
        <w:tc>
          <w:tcPr>
            <w:tcW w:w="41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324" w:hRule="exact"/>
        </w:trPr>
        <w:tc>
          <w:tcPr>
            <w:tcW w:w="41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323" w:hRule="exact"/>
        </w:trPr>
        <w:tc>
          <w:tcPr>
            <w:tcW w:w="41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324" w:hRule="exact"/>
        </w:trPr>
        <w:tc>
          <w:tcPr>
            <w:tcW w:w="41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信会师报字</w:t>
            </w:r>
            <w:r>
              <w:rPr>
                <w:rFonts w:ascii="Times New Roman" w:hAnsi="Times New Roman" w:cs="Times New Roman" w:eastAsia="Times New Roman" w:hint="default"/>
                <w:sz w:val="18"/>
                <w:szCs w:val="18"/>
              </w:rPr>
              <w:t>[2020]</w:t>
            </w:r>
            <w:r>
              <w:rPr>
                <w:rFonts w:ascii="宋体" w:hAnsi="宋体" w:cs="宋体" w:eastAsia="宋体" w:hint="default"/>
                <w:sz w:val="18"/>
                <w:szCs w:val="18"/>
              </w:rPr>
              <w:t>第</w:t>
            </w:r>
            <w:r>
              <w:rPr>
                <w:rFonts w:ascii="Times New Roman" w:hAnsi="Times New Roman" w:cs="Times New Roman" w:eastAsia="Times New Roman" w:hint="default"/>
                <w:sz w:val="18"/>
                <w:szCs w:val="18"/>
              </w:rPr>
              <w:t>ZC10097</w:t>
            </w:r>
            <w:r>
              <w:rPr>
                <w:rFonts w:ascii="宋体" w:hAnsi="宋体" w:cs="宋体" w:eastAsia="宋体" w:hint="default"/>
                <w:sz w:val="18"/>
                <w:szCs w:val="18"/>
              </w:rPr>
              <w:t>号</w:t>
            </w:r>
          </w:p>
        </w:tc>
      </w:tr>
      <w:tr>
        <w:trPr>
          <w:trHeight w:val="323" w:hRule="exact"/>
        </w:trPr>
        <w:tc>
          <w:tcPr>
            <w:tcW w:w="41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王建民、滕海军</w:t>
            </w:r>
          </w:p>
        </w:tc>
      </w:tr>
    </w:tbl>
    <w:p>
      <w:pPr>
        <w:spacing w:line="240" w:lineRule="auto" w:before="4"/>
        <w:rPr>
          <w:rFonts w:ascii="宋体" w:hAnsi="宋体" w:cs="宋体" w:eastAsia="宋体" w:hint="default"/>
          <w:b/>
          <w:bCs/>
          <w:sz w:val="10"/>
          <w:szCs w:val="10"/>
        </w:rPr>
      </w:pPr>
    </w:p>
    <w:p>
      <w:pPr>
        <w:pStyle w:val="Heading6"/>
        <w:spacing w:line="240" w:lineRule="auto" w:before="44"/>
        <w:ind w:left="4233" w:right="5571"/>
        <w:jc w:val="center"/>
        <w:rPr>
          <w:b w:val="0"/>
          <w:bCs w:val="0"/>
        </w:rPr>
      </w:pPr>
      <w:r>
        <w:rPr/>
        <w:t>审计报告</w:t>
      </w:r>
      <w:r>
        <w:rPr>
          <w:b w:val="0"/>
          <w:bCs w:val="0"/>
        </w:rPr>
      </w:r>
    </w:p>
    <w:p>
      <w:pPr>
        <w:spacing w:line="240" w:lineRule="auto" w:before="7"/>
        <w:rPr>
          <w:rFonts w:ascii="宋体" w:hAnsi="宋体" w:cs="宋体" w:eastAsia="宋体" w:hint="default"/>
          <w:b/>
          <w:bCs/>
          <w:sz w:val="15"/>
          <w:szCs w:val="15"/>
        </w:rPr>
      </w:pPr>
    </w:p>
    <w:p>
      <w:pPr>
        <w:pStyle w:val="Heading6"/>
        <w:spacing w:line="362" w:lineRule="auto"/>
        <w:ind w:left="817" w:right="6295" w:hanging="360"/>
        <w:jc w:val="left"/>
        <w:rPr>
          <w:b w:val="0"/>
          <w:bCs w:val="0"/>
        </w:rPr>
      </w:pPr>
      <w:r>
        <w:rPr/>
        <w:t>广州广电运通金融电子股份有限公司全体股东：</w:t>
      </w:r>
      <w:r>
        <w:rPr>
          <w:w w:val="99"/>
        </w:rPr>
        <w:t> </w:t>
      </w:r>
      <w:r>
        <w:rPr/>
        <w:t>一、审计意见</w:t>
      </w:r>
      <w:r>
        <w:rPr>
          <w:b w:val="0"/>
          <w:bCs w:val="0"/>
        </w:rPr>
      </w:r>
    </w:p>
    <w:p>
      <w:pPr>
        <w:pStyle w:val="BodyText"/>
        <w:spacing w:line="232" w:lineRule="exact" w:before="50"/>
        <w:ind w:left="457" w:right="1795" w:firstLine="360"/>
        <w:jc w:val="both"/>
      </w:pPr>
      <w:r>
        <w:rPr/>
        <w:t>我们审计了广州广电运通金融电子股份有限公司（以下简称“广电运通”）财务报表，包括</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 </w:t>
      </w:r>
      <w:r>
        <w:rPr/>
        <w:t>月</w:t>
      </w:r>
      <w:r>
        <w:rPr>
          <w:rFonts w:ascii="Times New Roman" w:hAnsi="Times New Roman" w:cs="Times New Roman" w:eastAsia="Times New Roman" w:hint="default"/>
        </w:rPr>
        <w:t>31</w:t>
      </w:r>
      <w:r>
        <w:rPr/>
        <w:t>日的合并及母公司资产负债表，</w:t>
      </w:r>
      <w:r>
        <w:rPr>
          <w:rFonts w:ascii="Times New Roman" w:hAnsi="Times New Roman" w:cs="Times New Roman" w:eastAsia="Times New Roman" w:hint="default"/>
        </w:rPr>
        <w:t>2019</w:t>
      </w:r>
      <w:r>
        <w:rPr/>
        <w:t>年度的合并及母公司利润表、合并及母公司现金流量表、合并及</w:t>
      </w:r>
      <w:r>
        <w:rPr>
          <w:spacing w:val="-68"/>
        </w:rPr>
        <w:t> </w:t>
      </w:r>
      <w:r>
        <w:rPr>
          <w:spacing w:val="-68"/>
        </w:rPr>
      </w:r>
      <w:r>
        <w:rPr/>
        <w:t>母公司股东权益变动表以及相关财务报表附注。</w:t>
      </w:r>
    </w:p>
    <w:p>
      <w:pPr>
        <w:pStyle w:val="BodyText"/>
        <w:spacing w:line="236" w:lineRule="exact" w:before="117"/>
        <w:ind w:left="457" w:right="1796" w:firstLine="360"/>
        <w:jc w:val="both"/>
      </w:pPr>
      <w:r>
        <w:rPr/>
        <w:t>我们认为，后附的财务报表在所有重大方面按照企业会计准则的规定编制，公允反映了广电运通</w:t>
      </w:r>
      <w:r>
        <w:rPr>
          <w:rFonts w:ascii="Times New Roman" w:hAnsi="Times New Roman" w:cs="Times New Roman" w:eastAsia="Times New Roman" w:hint="default"/>
        </w:rPr>
        <w:t>2019 </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日的合并及母公司财务状况以及</w:t>
      </w:r>
      <w:r>
        <w:rPr>
          <w:rFonts w:ascii="Times New Roman" w:hAnsi="Times New Roman" w:cs="Times New Roman" w:eastAsia="Times New Roman" w:hint="default"/>
        </w:rPr>
        <w:t>2019</w:t>
      </w:r>
      <w:r>
        <w:rPr/>
        <w:t>年度的合并及母公司经营成果和现金流量。</w:t>
      </w:r>
    </w:p>
    <w:p>
      <w:pPr>
        <w:spacing w:line="352" w:lineRule="exact" w:before="24"/>
        <w:ind w:left="817" w:right="765" w:firstLine="0"/>
        <w:jc w:val="left"/>
        <w:rPr>
          <w:rFonts w:ascii="宋体" w:hAnsi="宋体" w:cs="宋体" w:eastAsia="宋体" w:hint="default"/>
          <w:sz w:val="18"/>
          <w:szCs w:val="18"/>
        </w:rPr>
      </w:pPr>
      <w:r>
        <w:rPr>
          <w:rFonts w:ascii="宋体" w:hAnsi="宋体" w:cs="宋体" w:eastAsia="宋体" w:hint="default"/>
          <w:b/>
          <w:bCs/>
          <w:sz w:val="18"/>
          <w:szCs w:val="18"/>
        </w:rPr>
        <w:t>二、形成审计意见的基础</w:t>
      </w:r>
      <w:r>
        <w:rPr>
          <w:rFonts w:ascii="宋体" w:hAnsi="宋体" w:cs="宋体" w:eastAsia="宋体" w:hint="default"/>
          <w:b/>
          <w:bCs/>
          <w:w w:val="99"/>
          <w:sz w:val="18"/>
          <w:szCs w:val="18"/>
        </w:rPr>
        <w:t> </w:t>
      </w:r>
      <w:r>
        <w:rPr>
          <w:rFonts w:ascii="宋体" w:hAnsi="宋体" w:cs="宋体" w:eastAsia="宋体" w:hint="default"/>
          <w:sz w:val="18"/>
          <w:szCs w:val="18"/>
        </w:rPr>
        <w:t>我们按照中国注册会计师审计准则的规定执行了审计工作。审计报告的“注册会计师对财务报表审计</w:t>
      </w:r>
    </w:p>
    <w:p>
      <w:pPr>
        <w:pStyle w:val="BodyText"/>
        <w:spacing w:line="188" w:lineRule="exact"/>
        <w:ind w:left="457" w:right="765"/>
        <w:jc w:val="left"/>
      </w:pPr>
      <w:r>
        <w:rPr/>
        <w:t>的责任”部分进一步阐述了我们在这些准则下的责任。按照中国注册会计师职业道德守则，我们独立于广</w:t>
      </w:r>
    </w:p>
    <w:p>
      <w:pPr>
        <w:pStyle w:val="BodyText"/>
        <w:spacing w:line="232" w:lineRule="exact" w:before="24"/>
        <w:ind w:left="457" w:right="765"/>
        <w:jc w:val="left"/>
      </w:pPr>
      <w:r>
        <w:rPr/>
        <w:t>电运通，并履行了职业道德方面的其他责任。我们相信，我们获取的审计证据是充分、适当的，为发表审</w:t>
      </w:r>
      <w:r>
        <w:rPr>
          <w:spacing w:val="-63"/>
        </w:rPr>
        <w:t> </w:t>
      </w:r>
      <w:r>
        <w:rPr>
          <w:spacing w:val="-63"/>
        </w:rPr>
      </w:r>
      <w:r>
        <w:rPr/>
        <w:t>计意见提供了基础。</w:t>
      </w:r>
    </w:p>
    <w:p>
      <w:pPr>
        <w:pStyle w:val="BodyText"/>
        <w:spacing w:line="356" w:lineRule="exact" w:before="21"/>
        <w:ind w:left="726" w:right="765" w:firstLine="91"/>
        <w:jc w:val="left"/>
      </w:pPr>
      <w:r>
        <w:rPr>
          <w:rFonts w:ascii="宋体" w:hAnsi="宋体" w:cs="宋体" w:eastAsia="宋体" w:hint="default"/>
          <w:b/>
          <w:bCs/>
        </w:rPr>
        <w:t>三、关键审计事项</w:t>
      </w:r>
      <w:r>
        <w:rPr>
          <w:rFonts w:ascii="宋体" w:hAnsi="宋体" w:cs="宋体" w:eastAsia="宋体" w:hint="default"/>
          <w:b/>
          <w:bCs/>
          <w:w w:val="99"/>
        </w:rPr>
        <w:t> </w:t>
      </w:r>
      <w:r>
        <w:rPr>
          <w:spacing w:val="-2"/>
        </w:rPr>
        <w:t>关键审计事项是我们根据职业判断，认为对本期财务报表审计最为重要的事项。这些事项的应对以对财</w:t>
      </w:r>
    </w:p>
    <w:p>
      <w:pPr>
        <w:pStyle w:val="BodyText"/>
        <w:spacing w:line="186" w:lineRule="exact"/>
        <w:ind w:left="457" w:right="765"/>
        <w:jc w:val="left"/>
      </w:pPr>
      <w:r>
        <w:rPr/>
        <w:t>务报表整体进行审计并形成审计意见为背景，我们不对这些事项单独发表意见。我们确定下列事项是需要</w:t>
      </w:r>
    </w:p>
    <w:p>
      <w:pPr>
        <w:pStyle w:val="BodyText"/>
        <w:spacing w:line="234" w:lineRule="exact"/>
        <w:ind w:left="457" w:right="765"/>
        <w:jc w:val="left"/>
      </w:pPr>
      <w:r>
        <w:rPr/>
        <w:t>在审计报告中沟通的关键审计事项。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2"/>
          <w:szCs w:val="22"/>
        </w:rPr>
      </w:pPr>
    </w:p>
    <w:p>
      <w:pPr>
        <w:pStyle w:val="BodyText"/>
        <w:spacing w:line="240" w:lineRule="auto" w:before="44"/>
        <w:ind w:left="0" w:right="1400"/>
        <w:jc w:val="right"/>
      </w:pPr>
      <w:r>
        <w:rPr/>
        <w:pict>
          <v:shape style="position:absolute;margin-left:72.089996pt;margin-top:-33.257271pt;width:451.5pt;height:183.85pt;mso-position-horizontal-relative:page;mso-position-vertical-relative:paragraph;z-index:16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866"/>
                    <w:gridCol w:w="5142"/>
                  </w:tblGrid>
                  <w:tr>
                    <w:trPr>
                      <w:trHeight w:val="364" w:hRule="exact"/>
                    </w:trPr>
                    <w:tc>
                      <w:tcPr>
                        <w:tcW w:w="3866" w:type="dxa"/>
                        <w:tcBorders>
                          <w:top w:val="single" w:sz="6" w:space="0" w:color="000000"/>
                          <w:left w:val="single" w:sz="6" w:space="0" w:color="000000"/>
                          <w:bottom w:val="single" w:sz="6" w:space="0" w:color="000000"/>
                          <w:right w:val="single" w:sz="6" w:space="0" w:color="000000"/>
                        </w:tcBorders>
                      </w:tcPr>
                      <w:p>
                        <w:pPr>
                          <w:pStyle w:val="TableParagraph"/>
                          <w:spacing w:line="218" w:lineRule="exact"/>
                          <w:ind w:left="1" w:right="0"/>
                          <w:jc w:val="center"/>
                          <w:rPr>
                            <w:rFonts w:ascii="宋体" w:hAnsi="宋体" w:cs="宋体" w:eastAsia="宋体" w:hint="default"/>
                            <w:sz w:val="18"/>
                            <w:szCs w:val="18"/>
                          </w:rPr>
                        </w:pPr>
                        <w:r>
                          <w:rPr>
                            <w:rFonts w:ascii="宋体" w:hAnsi="宋体" w:cs="宋体" w:eastAsia="宋体" w:hint="default"/>
                            <w:b/>
                            <w:bCs/>
                            <w:sz w:val="18"/>
                            <w:szCs w:val="18"/>
                          </w:rPr>
                          <w:t>关键审计事项</w:t>
                        </w:r>
                        <w:r>
                          <w:rPr>
                            <w:rFonts w:ascii="宋体" w:hAnsi="宋体" w:cs="宋体" w:eastAsia="宋体" w:hint="default"/>
                            <w:sz w:val="18"/>
                            <w:szCs w:val="18"/>
                          </w:rPr>
                        </w:r>
                      </w:p>
                    </w:tc>
                    <w:tc>
                      <w:tcPr>
                        <w:tcW w:w="5142" w:type="dxa"/>
                        <w:tcBorders>
                          <w:top w:val="single" w:sz="6" w:space="0" w:color="000000"/>
                          <w:left w:val="single" w:sz="6" w:space="0" w:color="000000"/>
                          <w:bottom w:val="single" w:sz="6" w:space="0" w:color="000000"/>
                          <w:right w:val="single" w:sz="6" w:space="0" w:color="000000"/>
                        </w:tcBorders>
                      </w:tcPr>
                      <w:p>
                        <w:pPr>
                          <w:pStyle w:val="TableParagraph"/>
                          <w:spacing w:line="218" w:lineRule="exact"/>
                          <w:ind w:left="1392" w:right="0"/>
                          <w:jc w:val="left"/>
                          <w:rPr>
                            <w:rFonts w:ascii="宋体" w:hAnsi="宋体" w:cs="宋体" w:eastAsia="宋体" w:hint="default"/>
                            <w:sz w:val="18"/>
                            <w:szCs w:val="18"/>
                          </w:rPr>
                        </w:pPr>
                        <w:r>
                          <w:rPr>
                            <w:rFonts w:ascii="宋体" w:hAnsi="宋体" w:cs="宋体" w:eastAsia="宋体" w:hint="default"/>
                            <w:b/>
                            <w:bCs/>
                            <w:sz w:val="18"/>
                            <w:szCs w:val="18"/>
                          </w:rPr>
                          <w:t>该事项在审计中是如何应对的</w:t>
                        </w:r>
                        <w:r>
                          <w:rPr>
                            <w:rFonts w:ascii="宋体" w:hAnsi="宋体" w:cs="宋体" w:eastAsia="宋体" w:hint="default"/>
                            <w:sz w:val="18"/>
                            <w:szCs w:val="18"/>
                          </w:rPr>
                        </w:r>
                      </w:p>
                    </w:tc>
                  </w:tr>
                  <w:tr>
                    <w:trPr>
                      <w:trHeight w:val="349" w:hRule="exact"/>
                    </w:trPr>
                    <w:tc>
                      <w:tcPr>
                        <w:tcW w:w="9008" w:type="dxa"/>
                        <w:gridSpan w:val="2"/>
                        <w:tcBorders>
                          <w:top w:val="single" w:sz="6" w:space="0" w:color="000000"/>
                          <w:left w:val="single" w:sz="6" w:space="0" w:color="000000"/>
                          <w:bottom w:val="single" w:sz="6" w:space="0" w:color="000000"/>
                          <w:right w:val="single" w:sz="6" w:space="0" w:color="000000"/>
                        </w:tcBorders>
                      </w:tcPr>
                      <w:p>
                        <w:pPr>
                          <w:pStyle w:val="TableParagraph"/>
                          <w:spacing w:line="216" w:lineRule="exact"/>
                          <w:ind w:left="2" w:right="0"/>
                          <w:jc w:val="left"/>
                          <w:rPr>
                            <w:rFonts w:ascii="宋体" w:hAnsi="宋体" w:cs="宋体" w:eastAsia="宋体" w:hint="default"/>
                            <w:sz w:val="18"/>
                            <w:szCs w:val="18"/>
                          </w:rPr>
                        </w:pPr>
                        <w:r>
                          <w:rPr>
                            <w:rFonts w:ascii="宋体" w:hAnsi="宋体" w:cs="宋体" w:eastAsia="宋体" w:hint="default"/>
                            <w:sz w:val="18"/>
                            <w:szCs w:val="18"/>
                          </w:rPr>
                          <w:t>（一）收入的确认</w:t>
                        </w:r>
                      </w:p>
                    </w:tc>
                  </w:tr>
                  <w:tr>
                    <w:trPr>
                      <w:trHeight w:val="255" w:hRule="exact"/>
                    </w:trPr>
                    <w:tc>
                      <w:tcPr>
                        <w:tcW w:w="3866" w:type="dxa"/>
                        <w:tcBorders>
                          <w:top w:val="single" w:sz="6" w:space="0" w:color="000000"/>
                          <w:left w:val="single" w:sz="6" w:space="0" w:color="000000"/>
                          <w:bottom w:val="nil" w:sz="6" w:space="0" w:color="auto"/>
                          <w:right w:val="single" w:sz="6" w:space="0" w:color="000000"/>
                        </w:tcBorders>
                      </w:tcPr>
                      <w:p>
                        <w:pPr>
                          <w:pStyle w:val="TableParagraph"/>
                          <w:spacing w:line="217" w:lineRule="exact"/>
                          <w:ind w:left="2" w:right="0"/>
                          <w:jc w:val="left"/>
                          <w:rPr>
                            <w:rFonts w:ascii="宋体" w:hAnsi="宋体" w:cs="宋体" w:eastAsia="宋体" w:hint="default"/>
                            <w:sz w:val="18"/>
                            <w:szCs w:val="18"/>
                          </w:rPr>
                        </w:pPr>
                        <w:r>
                          <w:rPr>
                            <w:rFonts w:ascii="宋体" w:hAnsi="宋体" w:cs="宋体" w:eastAsia="宋体" w:hint="default"/>
                            <w:sz w:val="18"/>
                            <w:szCs w:val="18"/>
                          </w:rPr>
                          <w:t>由于收入是公司的关键绩效指标之一，涉及各种</w:t>
                        </w:r>
                      </w:p>
                    </w:tc>
                    <w:tc>
                      <w:tcPr>
                        <w:tcW w:w="5142" w:type="dxa"/>
                        <w:tcBorders>
                          <w:top w:val="single" w:sz="6" w:space="0" w:color="000000"/>
                          <w:left w:val="single" w:sz="6" w:space="0" w:color="000000"/>
                          <w:bottom w:val="nil" w:sz="6" w:space="0" w:color="auto"/>
                          <w:right w:val="single" w:sz="6" w:space="0" w:color="000000"/>
                        </w:tcBorders>
                      </w:tcPr>
                      <w:p>
                        <w:pPr>
                          <w:pStyle w:val="TableParagraph"/>
                          <w:spacing w:line="231" w:lineRule="exact"/>
                          <w:ind w:left="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）选取样本，检查关键的销售合同</w:t>
                        </w:r>
                        <w:r>
                          <w:rPr>
                            <w:rFonts w:ascii="Times New Roman" w:hAnsi="Times New Roman" w:cs="Times New Roman" w:eastAsia="Times New Roman" w:hint="default"/>
                            <w:sz w:val="18"/>
                            <w:szCs w:val="18"/>
                          </w:rPr>
                          <w:t>/</w:t>
                        </w:r>
                        <w:r>
                          <w:rPr>
                            <w:rFonts w:ascii="宋体" w:hAnsi="宋体" w:cs="宋体" w:eastAsia="宋体" w:hint="default"/>
                            <w:sz w:val="18"/>
                            <w:szCs w:val="18"/>
                          </w:rPr>
                          <w:t>订单以识别相关合同条款</w:t>
                        </w:r>
                      </w:p>
                    </w:tc>
                  </w:tr>
                  <w:tr>
                    <w:trPr>
                      <w:trHeight w:val="229" w:hRule="exact"/>
                    </w:trPr>
                    <w:tc>
                      <w:tcPr>
                        <w:tcW w:w="3866" w:type="dxa"/>
                        <w:tcBorders>
                          <w:top w:val="nil" w:sz="6" w:space="0" w:color="auto"/>
                          <w:left w:val="single" w:sz="6" w:space="0" w:color="000000"/>
                          <w:bottom w:val="nil" w:sz="6" w:space="0" w:color="auto"/>
                          <w:right w:val="single" w:sz="6" w:space="0" w:color="000000"/>
                        </w:tcBorders>
                      </w:tcPr>
                      <w:p>
                        <w:pPr>
                          <w:pStyle w:val="TableParagraph"/>
                          <w:spacing w:line="203" w:lineRule="exact"/>
                          <w:ind w:left="2" w:right="0"/>
                          <w:jc w:val="left"/>
                          <w:rPr>
                            <w:rFonts w:ascii="宋体" w:hAnsi="宋体" w:cs="宋体" w:eastAsia="宋体" w:hint="default"/>
                            <w:sz w:val="18"/>
                            <w:szCs w:val="18"/>
                          </w:rPr>
                        </w:pPr>
                        <w:r>
                          <w:rPr>
                            <w:rFonts w:ascii="宋体" w:hAnsi="宋体" w:cs="宋体" w:eastAsia="宋体" w:hint="default"/>
                            <w:sz w:val="18"/>
                            <w:szCs w:val="18"/>
                          </w:rPr>
                          <w:t>合同条款，且收入存在可能被确认于不正确的期</w:t>
                        </w:r>
                      </w:p>
                    </w:tc>
                    <w:tc>
                      <w:tcPr>
                        <w:tcW w:w="5142" w:type="dxa"/>
                        <w:tcBorders>
                          <w:top w:val="nil" w:sz="6" w:space="0" w:color="auto"/>
                          <w:left w:val="single" w:sz="6" w:space="0" w:color="000000"/>
                          <w:bottom w:val="nil" w:sz="6" w:space="0" w:color="auto"/>
                          <w:right w:val="single" w:sz="6" w:space="0" w:color="000000"/>
                        </w:tcBorders>
                      </w:tcPr>
                      <w:p>
                        <w:pPr>
                          <w:pStyle w:val="TableParagraph"/>
                          <w:spacing w:line="203" w:lineRule="exact"/>
                          <w:ind w:left="3" w:right="0"/>
                          <w:jc w:val="left"/>
                          <w:rPr>
                            <w:rFonts w:ascii="宋体" w:hAnsi="宋体" w:cs="宋体" w:eastAsia="宋体" w:hint="default"/>
                            <w:sz w:val="18"/>
                            <w:szCs w:val="18"/>
                          </w:rPr>
                        </w:pPr>
                        <w:r>
                          <w:rPr>
                            <w:rFonts w:ascii="宋体" w:hAnsi="宋体" w:cs="宋体" w:eastAsia="宋体" w:hint="default"/>
                            <w:sz w:val="18"/>
                            <w:szCs w:val="18"/>
                          </w:rPr>
                          <w:t>评价广电运通的收入确认的会计政策是否符合企业会计准则的要</w:t>
                        </w:r>
                      </w:p>
                    </w:tc>
                  </w:tr>
                  <w:tr>
                    <w:trPr>
                      <w:trHeight w:val="233" w:hRule="exact"/>
                    </w:trPr>
                    <w:tc>
                      <w:tcPr>
                        <w:tcW w:w="3866"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2" w:right="0"/>
                          <w:jc w:val="left"/>
                          <w:rPr>
                            <w:rFonts w:ascii="宋体" w:hAnsi="宋体" w:cs="宋体" w:eastAsia="宋体" w:hint="default"/>
                            <w:sz w:val="18"/>
                            <w:szCs w:val="18"/>
                          </w:rPr>
                        </w:pPr>
                        <w:r>
                          <w:rPr>
                            <w:rFonts w:ascii="宋体" w:hAnsi="宋体" w:cs="宋体" w:eastAsia="宋体" w:hint="default"/>
                            <w:sz w:val="18"/>
                            <w:szCs w:val="18"/>
                          </w:rPr>
                          <w:t>间的固有风险，我们将公司收入确认识别为关键</w:t>
                        </w:r>
                      </w:p>
                    </w:tc>
                    <w:tc>
                      <w:tcPr>
                        <w:tcW w:w="5142"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3" w:right="0"/>
                          <w:jc w:val="left"/>
                          <w:rPr>
                            <w:rFonts w:ascii="宋体" w:hAnsi="宋体" w:cs="宋体" w:eastAsia="宋体" w:hint="default"/>
                            <w:sz w:val="18"/>
                            <w:szCs w:val="18"/>
                          </w:rPr>
                        </w:pPr>
                        <w:r>
                          <w:rPr>
                            <w:rFonts w:ascii="宋体" w:hAnsi="宋体" w:cs="宋体" w:eastAsia="宋体" w:hint="default"/>
                            <w:sz w:val="18"/>
                            <w:szCs w:val="18"/>
                          </w:rPr>
                          <w:t>求；</w:t>
                        </w:r>
                      </w:p>
                    </w:tc>
                  </w:tr>
                  <w:tr>
                    <w:trPr>
                      <w:trHeight w:val="239" w:hRule="exact"/>
                    </w:trPr>
                    <w:tc>
                      <w:tcPr>
                        <w:tcW w:w="3866"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2" w:right="0"/>
                          <w:jc w:val="left"/>
                          <w:rPr>
                            <w:rFonts w:ascii="宋体" w:hAnsi="宋体" w:cs="宋体" w:eastAsia="宋体" w:hint="default"/>
                            <w:sz w:val="18"/>
                            <w:szCs w:val="18"/>
                          </w:rPr>
                        </w:pPr>
                        <w:r>
                          <w:rPr>
                            <w:rFonts w:ascii="宋体" w:hAnsi="宋体" w:cs="宋体" w:eastAsia="宋体" w:hint="default"/>
                            <w:sz w:val="18"/>
                            <w:szCs w:val="18"/>
                          </w:rPr>
                          <w:t>审计事项。</w:t>
                        </w:r>
                      </w:p>
                    </w:tc>
                    <w:tc>
                      <w:tcPr>
                        <w:tcW w:w="5142" w:type="dxa"/>
                        <w:tcBorders>
                          <w:top w:val="nil" w:sz="6" w:space="0" w:color="auto"/>
                          <w:left w:val="single" w:sz="6" w:space="0" w:color="000000"/>
                          <w:bottom w:val="nil" w:sz="6" w:space="0" w:color="auto"/>
                          <w:right w:val="single" w:sz="6" w:space="0" w:color="000000"/>
                        </w:tcBorders>
                      </w:tcPr>
                      <w:p>
                        <w:pPr>
                          <w:pStyle w:val="TableParagraph"/>
                          <w:spacing w:line="220" w:lineRule="exact"/>
                          <w:ind w:left="3" w:right="-5"/>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）在抽样的基础上，将本年度记录的收入核对至相关的合同、</w:t>
                        </w:r>
                      </w:p>
                    </w:tc>
                  </w:tr>
                  <w:tr>
                    <w:trPr>
                      <w:trHeight w:val="229" w:hRule="exact"/>
                    </w:trPr>
                    <w:tc>
                      <w:tcPr>
                        <w:tcW w:w="3866" w:type="dxa"/>
                        <w:tcBorders>
                          <w:top w:val="nil" w:sz="6" w:space="0" w:color="auto"/>
                          <w:left w:val="single" w:sz="6" w:space="0" w:color="000000"/>
                          <w:bottom w:val="nil" w:sz="6" w:space="0" w:color="auto"/>
                          <w:right w:val="single" w:sz="6" w:space="0" w:color="000000"/>
                        </w:tcBorders>
                      </w:tcPr>
                      <w:p>
                        <w:pPr/>
                      </w:p>
                    </w:tc>
                    <w:tc>
                      <w:tcPr>
                        <w:tcW w:w="5142" w:type="dxa"/>
                        <w:tcBorders>
                          <w:top w:val="nil" w:sz="6" w:space="0" w:color="auto"/>
                          <w:left w:val="single" w:sz="6" w:space="0" w:color="000000"/>
                          <w:bottom w:val="nil" w:sz="6" w:space="0" w:color="auto"/>
                          <w:right w:val="single" w:sz="6" w:space="0" w:color="000000"/>
                        </w:tcBorders>
                      </w:tcPr>
                      <w:p>
                        <w:pPr>
                          <w:pStyle w:val="TableParagraph"/>
                          <w:spacing w:line="203" w:lineRule="exact"/>
                          <w:ind w:left="3" w:right="0"/>
                          <w:jc w:val="left"/>
                          <w:rPr>
                            <w:rFonts w:ascii="宋体" w:hAnsi="宋体" w:cs="宋体" w:eastAsia="宋体" w:hint="default"/>
                            <w:sz w:val="18"/>
                            <w:szCs w:val="18"/>
                          </w:rPr>
                        </w:pPr>
                        <w:r>
                          <w:rPr>
                            <w:rFonts w:ascii="宋体" w:hAnsi="宋体" w:cs="宋体" w:eastAsia="宋体" w:hint="default"/>
                            <w:sz w:val="18"/>
                            <w:szCs w:val="18"/>
                          </w:rPr>
                          <w:t>销售发票、签收单、结算单等支持性文件，以评价收入是否按照</w:t>
                        </w:r>
                      </w:p>
                    </w:tc>
                  </w:tr>
                  <w:tr>
                    <w:trPr>
                      <w:trHeight w:val="233" w:hRule="exact"/>
                    </w:trPr>
                    <w:tc>
                      <w:tcPr>
                        <w:tcW w:w="3866" w:type="dxa"/>
                        <w:tcBorders>
                          <w:top w:val="nil" w:sz="6" w:space="0" w:color="auto"/>
                          <w:left w:val="single" w:sz="6" w:space="0" w:color="000000"/>
                          <w:bottom w:val="nil" w:sz="6" w:space="0" w:color="auto"/>
                          <w:right w:val="single" w:sz="6" w:space="0" w:color="000000"/>
                        </w:tcBorders>
                      </w:tcPr>
                      <w:p>
                        <w:pPr/>
                      </w:p>
                    </w:tc>
                    <w:tc>
                      <w:tcPr>
                        <w:tcW w:w="5142"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3" w:right="0"/>
                          <w:jc w:val="left"/>
                          <w:rPr>
                            <w:rFonts w:ascii="宋体" w:hAnsi="宋体" w:cs="宋体" w:eastAsia="宋体" w:hint="default"/>
                            <w:sz w:val="18"/>
                            <w:szCs w:val="18"/>
                          </w:rPr>
                        </w:pPr>
                        <w:r>
                          <w:rPr>
                            <w:rFonts w:ascii="宋体" w:hAnsi="宋体" w:cs="宋体" w:eastAsia="宋体" w:hint="default"/>
                            <w:sz w:val="18"/>
                            <w:szCs w:val="18"/>
                          </w:rPr>
                          <w:t>广电运通的会计政策予以确认；</w:t>
                        </w:r>
                      </w:p>
                    </w:tc>
                  </w:tr>
                  <w:tr>
                    <w:trPr>
                      <w:trHeight w:val="239" w:hRule="exact"/>
                    </w:trPr>
                    <w:tc>
                      <w:tcPr>
                        <w:tcW w:w="3866" w:type="dxa"/>
                        <w:tcBorders>
                          <w:top w:val="nil" w:sz="6" w:space="0" w:color="auto"/>
                          <w:left w:val="single" w:sz="6" w:space="0" w:color="000000"/>
                          <w:bottom w:val="nil" w:sz="6" w:space="0" w:color="auto"/>
                          <w:right w:val="single" w:sz="6" w:space="0" w:color="000000"/>
                        </w:tcBorders>
                      </w:tcPr>
                      <w:p>
                        <w:pPr/>
                      </w:p>
                    </w:tc>
                    <w:tc>
                      <w:tcPr>
                        <w:tcW w:w="5142" w:type="dxa"/>
                        <w:tcBorders>
                          <w:top w:val="nil" w:sz="6" w:space="0" w:color="auto"/>
                          <w:left w:val="single" w:sz="6" w:space="0" w:color="000000"/>
                          <w:bottom w:val="nil" w:sz="6" w:space="0" w:color="auto"/>
                          <w:right w:val="single" w:sz="6" w:space="0" w:color="000000"/>
                        </w:tcBorders>
                      </w:tcPr>
                      <w:p>
                        <w:pPr>
                          <w:pStyle w:val="TableParagraph"/>
                          <w:spacing w:line="220" w:lineRule="exact"/>
                          <w:ind w:left="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）在抽样的基础上，将临近资产负债表日前后记录的收入与相</w:t>
                        </w:r>
                      </w:p>
                    </w:tc>
                  </w:tr>
                  <w:tr>
                    <w:trPr>
                      <w:trHeight w:val="229" w:hRule="exact"/>
                    </w:trPr>
                    <w:tc>
                      <w:tcPr>
                        <w:tcW w:w="3866" w:type="dxa"/>
                        <w:tcBorders>
                          <w:top w:val="nil" w:sz="6" w:space="0" w:color="auto"/>
                          <w:left w:val="single" w:sz="6" w:space="0" w:color="000000"/>
                          <w:bottom w:val="nil" w:sz="6" w:space="0" w:color="auto"/>
                          <w:right w:val="single" w:sz="6" w:space="0" w:color="000000"/>
                        </w:tcBorders>
                      </w:tcPr>
                      <w:p>
                        <w:pPr/>
                      </w:p>
                    </w:tc>
                    <w:tc>
                      <w:tcPr>
                        <w:tcW w:w="5142" w:type="dxa"/>
                        <w:tcBorders>
                          <w:top w:val="nil" w:sz="6" w:space="0" w:color="auto"/>
                          <w:left w:val="single" w:sz="6" w:space="0" w:color="000000"/>
                          <w:bottom w:val="nil" w:sz="6" w:space="0" w:color="auto"/>
                          <w:right w:val="single" w:sz="6" w:space="0" w:color="000000"/>
                        </w:tcBorders>
                      </w:tcPr>
                      <w:p>
                        <w:pPr>
                          <w:pStyle w:val="TableParagraph"/>
                          <w:spacing w:line="203" w:lineRule="exact"/>
                          <w:ind w:left="3" w:right="0"/>
                          <w:jc w:val="left"/>
                          <w:rPr>
                            <w:rFonts w:ascii="宋体" w:hAnsi="宋体" w:cs="宋体" w:eastAsia="宋体" w:hint="default"/>
                            <w:sz w:val="18"/>
                            <w:szCs w:val="18"/>
                          </w:rPr>
                        </w:pPr>
                        <w:r>
                          <w:rPr>
                            <w:rFonts w:ascii="宋体" w:hAnsi="宋体" w:cs="宋体" w:eastAsia="宋体" w:hint="default"/>
                            <w:sz w:val="18"/>
                            <w:szCs w:val="18"/>
                          </w:rPr>
                          <w:t>关的合同、销售发票、签收单、结算单等支持性文件相互核对，</w:t>
                        </w:r>
                      </w:p>
                    </w:tc>
                  </w:tr>
                  <w:tr>
                    <w:trPr>
                      <w:trHeight w:val="233" w:hRule="exact"/>
                    </w:trPr>
                    <w:tc>
                      <w:tcPr>
                        <w:tcW w:w="3866" w:type="dxa"/>
                        <w:tcBorders>
                          <w:top w:val="nil" w:sz="6" w:space="0" w:color="auto"/>
                          <w:left w:val="single" w:sz="6" w:space="0" w:color="000000"/>
                          <w:bottom w:val="nil" w:sz="6" w:space="0" w:color="auto"/>
                          <w:right w:val="single" w:sz="6" w:space="0" w:color="000000"/>
                        </w:tcBorders>
                      </w:tcPr>
                      <w:p>
                        <w:pPr/>
                      </w:p>
                    </w:tc>
                    <w:tc>
                      <w:tcPr>
                        <w:tcW w:w="5142"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3" w:right="0"/>
                          <w:jc w:val="left"/>
                          <w:rPr>
                            <w:rFonts w:ascii="宋体" w:hAnsi="宋体" w:cs="宋体" w:eastAsia="宋体" w:hint="default"/>
                            <w:sz w:val="18"/>
                            <w:szCs w:val="18"/>
                          </w:rPr>
                        </w:pPr>
                        <w:r>
                          <w:rPr>
                            <w:rFonts w:ascii="宋体" w:hAnsi="宋体" w:cs="宋体" w:eastAsia="宋体" w:hint="default"/>
                            <w:sz w:val="18"/>
                            <w:szCs w:val="18"/>
                          </w:rPr>
                          <w:t>以评价收入是否记录于恰当期间；</w:t>
                        </w:r>
                      </w:p>
                    </w:tc>
                  </w:tr>
                  <w:tr>
                    <w:trPr>
                      <w:trHeight w:val="237" w:hRule="exact"/>
                    </w:trPr>
                    <w:tc>
                      <w:tcPr>
                        <w:tcW w:w="3866" w:type="dxa"/>
                        <w:tcBorders>
                          <w:top w:val="nil" w:sz="6" w:space="0" w:color="auto"/>
                          <w:left w:val="single" w:sz="6" w:space="0" w:color="000000"/>
                          <w:bottom w:val="nil" w:sz="6" w:space="0" w:color="auto"/>
                          <w:right w:val="single" w:sz="6" w:space="0" w:color="000000"/>
                        </w:tcBorders>
                      </w:tcPr>
                      <w:p>
                        <w:pPr/>
                      </w:p>
                    </w:tc>
                    <w:tc>
                      <w:tcPr>
                        <w:tcW w:w="5142" w:type="dxa"/>
                        <w:tcBorders>
                          <w:top w:val="nil" w:sz="6" w:space="0" w:color="auto"/>
                          <w:left w:val="single" w:sz="6" w:space="0" w:color="000000"/>
                          <w:bottom w:val="nil" w:sz="6" w:space="0" w:color="auto"/>
                          <w:right w:val="single" w:sz="6" w:space="0" w:color="000000"/>
                        </w:tcBorders>
                      </w:tcPr>
                      <w:p>
                        <w:pPr>
                          <w:pStyle w:val="TableParagraph"/>
                          <w:spacing w:line="220" w:lineRule="exact"/>
                          <w:ind w:left="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）根据客户的交易特点和性质，选取样本，就于资产负债表日</w:t>
                        </w:r>
                      </w:p>
                    </w:tc>
                  </w:tr>
                  <w:tr>
                    <w:trPr>
                      <w:trHeight w:val="247" w:hRule="exact"/>
                    </w:trPr>
                    <w:tc>
                      <w:tcPr>
                        <w:tcW w:w="3866" w:type="dxa"/>
                        <w:tcBorders>
                          <w:top w:val="nil" w:sz="6" w:space="0" w:color="auto"/>
                          <w:left w:val="single" w:sz="6" w:space="0" w:color="000000"/>
                          <w:bottom w:val="single" w:sz="6" w:space="0" w:color="000000"/>
                          <w:right w:val="single" w:sz="6" w:space="0" w:color="000000"/>
                        </w:tcBorders>
                      </w:tcPr>
                      <w:p>
                        <w:pPr/>
                      </w:p>
                    </w:tc>
                    <w:tc>
                      <w:tcPr>
                        <w:tcW w:w="5142" w:type="dxa"/>
                        <w:tcBorders>
                          <w:top w:val="nil" w:sz="6" w:space="0" w:color="auto"/>
                          <w:left w:val="single" w:sz="6" w:space="0" w:color="000000"/>
                          <w:bottom w:val="single" w:sz="6" w:space="0" w:color="000000"/>
                          <w:right w:val="single" w:sz="6" w:space="0" w:color="000000"/>
                        </w:tcBorders>
                      </w:tcPr>
                      <w:p>
                        <w:pPr>
                          <w:pStyle w:val="TableParagraph"/>
                          <w:spacing w:line="203" w:lineRule="exact"/>
                          <w:ind w:left="3" w:right="0"/>
                          <w:jc w:val="left"/>
                          <w:rPr>
                            <w:rFonts w:ascii="宋体" w:hAnsi="宋体" w:cs="宋体" w:eastAsia="宋体" w:hint="default"/>
                            <w:sz w:val="18"/>
                            <w:szCs w:val="18"/>
                          </w:rPr>
                        </w:pPr>
                        <w:r>
                          <w:rPr>
                            <w:rFonts w:ascii="宋体" w:hAnsi="宋体" w:cs="宋体" w:eastAsia="宋体" w:hint="default"/>
                            <w:sz w:val="18"/>
                            <w:szCs w:val="18"/>
                          </w:rPr>
                          <w:t>的应收账款余额及本年度的销售交易金额执行函证程序。</w:t>
                        </w:r>
                      </w:p>
                    </w:tc>
                  </w:tr>
                  <w:tr>
                    <w:trPr>
                      <w:trHeight w:val="347" w:hRule="exact"/>
                    </w:trPr>
                    <w:tc>
                      <w:tcPr>
                        <w:tcW w:w="9008" w:type="dxa"/>
                        <w:gridSpan w:val="2"/>
                        <w:tcBorders>
                          <w:top w:val="single" w:sz="6" w:space="0" w:color="000000"/>
                          <w:left w:val="single" w:sz="6" w:space="0" w:color="000000"/>
                          <w:bottom w:val="single" w:sz="6" w:space="0" w:color="000000"/>
                          <w:right w:val="single" w:sz="6" w:space="0" w:color="000000"/>
                        </w:tcBorders>
                      </w:tcPr>
                      <w:p>
                        <w:pPr>
                          <w:pStyle w:val="TableParagraph"/>
                          <w:spacing w:line="217" w:lineRule="exact"/>
                          <w:ind w:left="2" w:right="0"/>
                          <w:jc w:val="left"/>
                          <w:rPr>
                            <w:rFonts w:ascii="宋体" w:hAnsi="宋体" w:cs="宋体" w:eastAsia="宋体" w:hint="default"/>
                            <w:sz w:val="18"/>
                            <w:szCs w:val="18"/>
                          </w:rPr>
                        </w:pPr>
                        <w:r>
                          <w:rPr>
                            <w:rFonts w:ascii="宋体" w:hAnsi="宋体" w:cs="宋体" w:eastAsia="宋体" w:hint="default"/>
                            <w:sz w:val="18"/>
                            <w:szCs w:val="18"/>
                          </w:rPr>
                          <w:t>（二）商誉减值</w:t>
                        </w:r>
                      </w:p>
                    </w:tc>
                  </w:tr>
                </w:tbl>
                <w:p>
                  <w:pPr/>
                </w:p>
              </w:txbxContent>
            </v:textbox>
            <w10:wrap type="none"/>
          </v:shape>
        </w:pict>
      </w:r>
      <w:r>
        <w:rPr/>
        <w:t>，</w:t>
      </w:r>
    </w:p>
    <w:p>
      <w:pPr>
        <w:spacing w:after="0" w:line="240" w:lineRule="auto"/>
        <w:jc w:val="right"/>
        <w:sectPr>
          <w:headerReference w:type="default" r:id="rId38"/>
          <w:footerReference w:type="default" r:id="rId39"/>
          <w:pgSz w:w="11910" w:h="16840"/>
          <w:pgMar w:header="712" w:footer="1264" w:top="980" w:bottom="1460" w:left="1340" w:right="0"/>
          <w:pgNumType w:start="92"/>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tbl>
      <w:tblPr>
        <w:tblW w:w="0" w:type="auto"/>
        <w:jc w:val="left"/>
        <w:tblInd w:w="101" w:type="dxa"/>
        <w:tblLayout w:type="fixed"/>
        <w:tblCellMar>
          <w:top w:w="0" w:type="dxa"/>
          <w:left w:w="0" w:type="dxa"/>
          <w:bottom w:w="0" w:type="dxa"/>
          <w:right w:w="0" w:type="dxa"/>
        </w:tblCellMar>
        <w:tblLook w:val="01E0"/>
      </w:tblPr>
      <w:tblGrid>
        <w:gridCol w:w="3866"/>
        <w:gridCol w:w="5142"/>
      </w:tblGrid>
      <w:tr>
        <w:trPr>
          <w:trHeight w:val="256" w:hRule="exact"/>
        </w:trPr>
        <w:tc>
          <w:tcPr>
            <w:tcW w:w="3866" w:type="dxa"/>
            <w:tcBorders>
              <w:top w:val="single" w:sz="6" w:space="0" w:color="000000"/>
              <w:left w:val="single" w:sz="6" w:space="0" w:color="000000"/>
              <w:bottom w:val="nil" w:sz="6" w:space="0" w:color="auto"/>
              <w:right w:val="single" w:sz="6" w:space="0" w:color="000000"/>
            </w:tcBorders>
          </w:tcPr>
          <w:p>
            <w:pPr>
              <w:pStyle w:val="TableParagraph"/>
              <w:spacing w:line="232" w:lineRule="exact"/>
              <w:ind w:left="2"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日，广电运通商誉余额</w:t>
            </w:r>
          </w:p>
        </w:tc>
        <w:tc>
          <w:tcPr>
            <w:tcW w:w="5142" w:type="dxa"/>
            <w:tcBorders>
              <w:top w:val="single" w:sz="6" w:space="0" w:color="000000"/>
              <w:left w:val="single" w:sz="6" w:space="0" w:color="000000"/>
              <w:bottom w:val="nil" w:sz="6" w:space="0" w:color="auto"/>
              <w:right w:val="single" w:sz="6" w:space="0" w:color="000000"/>
            </w:tcBorders>
          </w:tcPr>
          <w:p>
            <w:pPr>
              <w:pStyle w:val="TableParagraph"/>
              <w:spacing w:line="232" w:lineRule="exact"/>
              <w:ind w:left="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）分析管理层对商誉所属资产组认定和进行商誉减值测试时采</w:t>
            </w:r>
          </w:p>
        </w:tc>
      </w:tr>
      <w:tr>
        <w:trPr>
          <w:trHeight w:val="233" w:hRule="exact"/>
        </w:trPr>
        <w:tc>
          <w:tcPr>
            <w:tcW w:w="3866" w:type="dxa"/>
            <w:tcBorders>
              <w:top w:val="nil" w:sz="6" w:space="0" w:color="auto"/>
              <w:left w:val="single" w:sz="6" w:space="0" w:color="000000"/>
              <w:bottom w:val="nil" w:sz="6" w:space="0" w:color="auto"/>
              <w:right w:val="single" w:sz="6" w:space="0" w:color="000000"/>
            </w:tcBorders>
          </w:tcPr>
          <w:p>
            <w:pPr>
              <w:pStyle w:val="TableParagraph"/>
              <w:spacing w:line="216" w:lineRule="exact"/>
              <w:ind w:left="2"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109,060.44</w:t>
            </w:r>
            <w:r>
              <w:rPr>
                <w:rFonts w:ascii="宋体" w:hAnsi="宋体" w:cs="宋体" w:eastAsia="宋体" w:hint="default"/>
                <w:spacing w:val="-2"/>
                <w:sz w:val="18"/>
                <w:szCs w:val="18"/>
              </w:rPr>
              <w:t>万元，减值准备余额</w:t>
            </w:r>
            <w:r>
              <w:rPr>
                <w:rFonts w:ascii="Times New Roman" w:hAnsi="Times New Roman" w:cs="Times New Roman" w:eastAsia="Times New Roman" w:hint="default"/>
                <w:spacing w:val="-2"/>
                <w:sz w:val="18"/>
                <w:szCs w:val="18"/>
              </w:rPr>
              <w:t>11,190.76</w:t>
            </w:r>
            <w:r>
              <w:rPr>
                <w:rFonts w:ascii="宋体" w:hAnsi="宋体" w:cs="宋体" w:eastAsia="宋体" w:hint="default"/>
                <w:spacing w:val="-2"/>
                <w:sz w:val="18"/>
                <w:szCs w:val="18"/>
              </w:rPr>
              <w:t>万元。由</w:t>
            </w:r>
          </w:p>
        </w:tc>
        <w:tc>
          <w:tcPr>
            <w:tcW w:w="5142" w:type="dxa"/>
            <w:tcBorders>
              <w:top w:val="nil" w:sz="6" w:space="0" w:color="auto"/>
              <w:left w:val="single" w:sz="6" w:space="0" w:color="000000"/>
              <w:bottom w:val="nil" w:sz="6" w:space="0" w:color="auto"/>
              <w:right w:val="single" w:sz="6" w:space="0" w:color="000000"/>
            </w:tcBorders>
          </w:tcPr>
          <w:p>
            <w:pPr>
              <w:pStyle w:val="TableParagraph"/>
              <w:spacing w:line="203" w:lineRule="exact"/>
              <w:ind w:left="3" w:right="0"/>
              <w:jc w:val="left"/>
              <w:rPr>
                <w:rFonts w:ascii="宋体" w:hAnsi="宋体" w:cs="宋体" w:eastAsia="宋体" w:hint="default"/>
                <w:sz w:val="18"/>
                <w:szCs w:val="18"/>
              </w:rPr>
            </w:pPr>
            <w:r>
              <w:rPr>
                <w:rFonts w:ascii="宋体" w:hAnsi="宋体" w:cs="宋体" w:eastAsia="宋体" w:hint="default"/>
                <w:sz w:val="18"/>
                <w:szCs w:val="18"/>
              </w:rPr>
              <w:t>用的关键假设和方法，检查相关的假设和方法的合理性。</w:t>
            </w:r>
          </w:p>
        </w:tc>
      </w:tr>
      <w:tr>
        <w:trPr>
          <w:trHeight w:val="234" w:hRule="exact"/>
        </w:trPr>
        <w:tc>
          <w:tcPr>
            <w:tcW w:w="3866" w:type="dxa"/>
            <w:tcBorders>
              <w:top w:val="nil" w:sz="6" w:space="0" w:color="auto"/>
              <w:left w:val="single" w:sz="6" w:space="0" w:color="000000"/>
              <w:bottom w:val="nil" w:sz="6" w:space="0" w:color="auto"/>
              <w:right w:val="single" w:sz="6" w:space="0" w:color="000000"/>
            </w:tcBorders>
          </w:tcPr>
          <w:p>
            <w:pPr>
              <w:pStyle w:val="TableParagraph"/>
              <w:spacing w:line="203" w:lineRule="exact"/>
              <w:ind w:left="2" w:right="0"/>
              <w:jc w:val="left"/>
              <w:rPr>
                <w:rFonts w:ascii="宋体" w:hAnsi="宋体" w:cs="宋体" w:eastAsia="宋体" w:hint="default"/>
                <w:sz w:val="18"/>
                <w:szCs w:val="18"/>
              </w:rPr>
            </w:pPr>
            <w:r>
              <w:rPr>
                <w:rFonts w:ascii="宋体" w:hAnsi="宋体" w:cs="宋体" w:eastAsia="宋体" w:hint="default"/>
                <w:sz w:val="18"/>
                <w:szCs w:val="18"/>
              </w:rPr>
              <w:t>于商誉余额较大，且原始金额是基于标的公司未</w:t>
            </w:r>
          </w:p>
        </w:tc>
        <w:tc>
          <w:tcPr>
            <w:tcW w:w="5142" w:type="dxa"/>
            <w:tcBorders>
              <w:top w:val="nil" w:sz="6" w:space="0" w:color="auto"/>
              <w:left w:val="single" w:sz="6" w:space="0" w:color="000000"/>
              <w:bottom w:val="nil" w:sz="6" w:space="0" w:color="auto"/>
              <w:right w:val="single" w:sz="6" w:space="0" w:color="000000"/>
            </w:tcBorders>
          </w:tcPr>
          <w:p>
            <w:pPr>
              <w:pStyle w:val="TableParagraph"/>
              <w:spacing w:line="216" w:lineRule="exact"/>
              <w:ind w:left="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）复核管理层编制的商誉所属资产组可收回余额计算表。</w:t>
            </w:r>
          </w:p>
        </w:tc>
      </w:tr>
      <w:tr>
        <w:trPr>
          <w:trHeight w:val="234" w:hRule="exact"/>
        </w:trPr>
        <w:tc>
          <w:tcPr>
            <w:tcW w:w="3866" w:type="dxa"/>
            <w:tcBorders>
              <w:top w:val="nil" w:sz="6" w:space="0" w:color="auto"/>
              <w:left w:val="single" w:sz="6" w:space="0" w:color="000000"/>
              <w:bottom w:val="nil" w:sz="6" w:space="0" w:color="auto"/>
              <w:right w:val="single" w:sz="6" w:space="0" w:color="000000"/>
            </w:tcBorders>
          </w:tcPr>
          <w:p>
            <w:pPr>
              <w:pStyle w:val="TableParagraph"/>
              <w:spacing w:line="201" w:lineRule="exact"/>
              <w:ind w:left="2" w:right="0"/>
              <w:jc w:val="left"/>
              <w:rPr>
                <w:rFonts w:ascii="宋体" w:hAnsi="宋体" w:cs="宋体" w:eastAsia="宋体" w:hint="default"/>
                <w:sz w:val="18"/>
                <w:szCs w:val="18"/>
              </w:rPr>
            </w:pPr>
            <w:r>
              <w:rPr>
                <w:rFonts w:ascii="宋体" w:hAnsi="宋体" w:cs="宋体" w:eastAsia="宋体" w:hint="default"/>
                <w:sz w:val="18"/>
                <w:szCs w:val="18"/>
              </w:rPr>
              <w:t>来盈利能力评估确定的，标的公司盈利能力的评</w:t>
            </w:r>
          </w:p>
        </w:tc>
        <w:tc>
          <w:tcPr>
            <w:tcW w:w="5142" w:type="dxa"/>
            <w:tcBorders>
              <w:top w:val="nil" w:sz="6" w:space="0" w:color="auto"/>
              <w:left w:val="single" w:sz="6" w:space="0" w:color="000000"/>
              <w:bottom w:val="nil" w:sz="6" w:space="0" w:color="auto"/>
              <w:right w:val="single" w:sz="6" w:space="0" w:color="000000"/>
            </w:tcBorders>
          </w:tcPr>
          <w:p>
            <w:pPr>
              <w:pStyle w:val="TableParagraph"/>
              <w:spacing w:line="215" w:lineRule="exact"/>
              <w:ind w:left="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）比较商誉所属资产组的账面价值与可收回金额的差异，确认</w:t>
            </w:r>
          </w:p>
        </w:tc>
      </w:tr>
      <w:tr>
        <w:trPr>
          <w:trHeight w:val="229" w:hRule="exact"/>
        </w:trPr>
        <w:tc>
          <w:tcPr>
            <w:tcW w:w="3866" w:type="dxa"/>
            <w:tcBorders>
              <w:top w:val="nil" w:sz="6" w:space="0" w:color="auto"/>
              <w:left w:val="single" w:sz="6" w:space="0" w:color="000000"/>
              <w:bottom w:val="nil" w:sz="6" w:space="0" w:color="auto"/>
              <w:right w:val="single" w:sz="6" w:space="0" w:color="000000"/>
            </w:tcBorders>
          </w:tcPr>
          <w:p>
            <w:pPr>
              <w:pStyle w:val="TableParagraph"/>
              <w:spacing w:line="203" w:lineRule="exact"/>
              <w:ind w:left="2" w:right="0"/>
              <w:jc w:val="left"/>
              <w:rPr>
                <w:rFonts w:ascii="宋体" w:hAnsi="宋体" w:cs="宋体" w:eastAsia="宋体" w:hint="default"/>
                <w:sz w:val="18"/>
                <w:szCs w:val="18"/>
              </w:rPr>
            </w:pPr>
            <w:r>
              <w:rPr>
                <w:rFonts w:ascii="宋体" w:hAnsi="宋体" w:cs="宋体" w:eastAsia="宋体" w:hint="default"/>
                <w:sz w:val="18"/>
                <w:szCs w:val="18"/>
              </w:rPr>
              <w:t>估涉及管理层的重大判断，因此我们将商誉减值</w:t>
            </w:r>
          </w:p>
        </w:tc>
        <w:tc>
          <w:tcPr>
            <w:tcW w:w="5142" w:type="dxa"/>
            <w:tcBorders>
              <w:top w:val="nil" w:sz="6" w:space="0" w:color="auto"/>
              <w:left w:val="single" w:sz="6" w:space="0" w:color="000000"/>
              <w:bottom w:val="nil" w:sz="6" w:space="0" w:color="auto"/>
              <w:right w:val="single" w:sz="6" w:space="0" w:color="000000"/>
            </w:tcBorders>
          </w:tcPr>
          <w:p>
            <w:pPr>
              <w:pStyle w:val="TableParagraph"/>
              <w:spacing w:line="203" w:lineRule="exact"/>
              <w:ind w:left="3" w:right="0"/>
              <w:jc w:val="left"/>
              <w:rPr>
                <w:rFonts w:ascii="宋体" w:hAnsi="宋体" w:cs="宋体" w:eastAsia="宋体" w:hint="default"/>
                <w:sz w:val="18"/>
                <w:szCs w:val="18"/>
              </w:rPr>
            </w:pPr>
            <w:r>
              <w:rPr>
                <w:rFonts w:ascii="宋体" w:hAnsi="宋体" w:cs="宋体" w:eastAsia="宋体" w:hint="default"/>
                <w:sz w:val="18"/>
                <w:szCs w:val="18"/>
              </w:rPr>
              <w:t>是否存在商誉减值的情况。</w:t>
            </w:r>
          </w:p>
        </w:tc>
      </w:tr>
      <w:tr>
        <w:trPr>
          <w:trHeight w:val="314" w:hRule="exact"/>
        </w:trPr>
        <w:tc>
          <w:tcPr>
            <w:tcW w:w="3866" w:type="dxa"/>
            <w:tcBorders>
              <w:top w:val="nil" w:sz="6" w:space="0" w:color="auto"/>
              <w:left w:val="single" w:sz="6" w:space="0" w:color="000000"/>
              <w:bottom w:val="single" w:sz="6" w:space="0" w:color="000000"/>
              <w:right w:val="single" w:sz="6" w:space="0" w:color="000000"/>
            </w:tcBorders>
          </w:tcPr>
          <w:p>
            <w:pPr>
              <w:pStyle w:val="TableParagraph"/>
              <w:spacing w:line="206" w:lineRule="exact"/>
              <w:ind w:left="2" w:right="0"/>
              <w:jc w:val="left"/>
              <w:rPr>
                <w:rFonts w:ascii="宋体" w:hAnsi="宋体" w:cs="宋体" w:eastAsia="宋体" w:hint="default"/>
                <w:sz w:val="18"/>
                <w:szCs w:val="18"/>
              </w:rPr>
            </w:pPr>
            <w:r>
              <w:rPr>
                <w:rFonts w:ascii="宋体" w:hAnsi="宋体" w:cs="宋体" w:eastAsia="宋体" w:hint="default"/>
                <w:sz w:val="18"/>
                <w:szCs w:val="18"/>
              </w:rPr>
              <w:t>作为关键审计事项。</w:t>
            </w:r>
          </w:p>
        </w:tc>
        <w:tc>
          <w:tcPr>
            <w:tcW w:w="5142" w:type="dxa"/>
            <w:tcBorders>
              <w:top w:val="nil" w:sz="6" w:space="0" w:color="auto"/>
              <w:left w:val="single" w:sz="6" w:space="0" w:color="000000"/>
              <w:bottom w:val="single" w:sz="6" w:space="0" w:color="000000"/>
              <w:right w:val="single" w:sz="6" w:space="0" w:color="000000"/>
            </w:tcBorders>
          </w:tcPr>
          <w:p>
            <w:pPr/>
          </w:p>
        </w:tc>
      </w:tr>
    </w:tbl>
    <w:p>
      <w:pPr>
        <w:pStyle w:val="BodyText"/>
        <w:spacing w:line="352" w:lineRule="exact" w:before="22"/>
        <w:ind w:left="817" w:right="765"/>
        <w:jc w:val="left"/>
      </w:pPr>
      <w:r>
        <w:rPr>
          <w:rFonts w:ascii="宋体" w:hAnsi="宋体" w:cs="宋体" w:eastAsia="宋体" w:hint="default"/>
          <w:b/>
          <w:bCs/>
        </w:rPr>
        <w:t>四、其他信息</w:t>
      </w:r>
      <w:r>
        <w:rPr>
          <w:rFonts w:ascii="宋体" w:hAnsi="宋体" w:cs="宋体" w:eastAsia="宋体" w:hint="default"/>
          <w:b/>
          <w:bCs/>
          <w:w w:val="99"/>
        </w:rPr>
        <w:t> </w:t>
      </w:r>
      <w:r>
        <w:rPr/>
        <w:t>广电运通管理层（以下简称管理层）对其他信息负责。其他信息包括广电运通</w:t>
      </w:r>
      <w:r>
        <w:rPr>
          <w:rFonts w:ascii="Times New Roman" w:hAnsi="Times New Roman" w:cs="Times New Roman" w:eastAsia="Times New Roman" w:hint="default"/>
        </w:rPr>
        <w:t>2019</w:t>
      </w:r>
      <w:r>
        <w:rPr/>
        <w:t>年年度报告中涵盖</w:t>
      </w:r>
    </w:p>
    <w:p>
      <w:pPr>
        <w:pStyle w:val="BodyText"/>
        <w:spacing w:line="188" w:lineRule="exact"/>
        <w:ind w:left="457" w:right="765"/>
        <w:jc w:val="left"/>
      </w:pPr>
      <w:r>
        <w:rPr/>
        <w:t>的信息，但不包括财务报表和我们的审计报告。</w:t>
      </w:r>
    </w:p>
    <w:p>
      <w:pPr>
        <w:pStyle w:val="BodyText"/>
        <w:spacing w:line="350" w:lineRule="atLeast" w:before="2"/>
        <w:ind w:left="817" w:right="765"/>
        <w:jc w:val="left"/>
      </w:pPr>
      <w:r>
        <w:rPr/>
        <w:t>我们对财务报表发表的审计意见不涵盖其他信息，我们也不对其他信息发表任何形式的鉴证结论。 结合我们对财务报表的审计，我们的责任是阅读其他信息，在此过程中，考虑其他信息是否与财务报</w:t>
      </w:r>
    </w:p>
    <w:p>
      <w:pPr>
        <w:pStyle w:val="BodyText"/>
        <w:spacing w:line="235" w:lineRule="exact"/>
        <w:ind w:left="457" w:right="765"/>
        <w:jc w:val="left"/>
      </w:pPr>
      <w:r>
        <w:rPr/>
        <w:t>表或我们在审计过程中了解到的情况存在重大不一致或者似乎存在重大错报。</w:t>
      </w:r>
    </w:p>
    <w:p>
      <w:pPr>
        <w:pStyle w:val="BodyText"/>
        <w:spacing w:line="232" w:lineRule="exact" w:before="142"/>
        <w:ind w:left="457" w:right="1793" w:firstLine="360"/>
        <w:jc w:val="both"/>
      </w:pPr>
      <w:r>
        <w:rPr/>
        <w:t>基于我们已执行的工作，如果我们确定其他信息存在重大错报，我们应当报告该事实。在这方面，我 们无任何事项需要报告。</w:t>
      </w:r>
    </w:p>
    <w:p>
      <w:pPr>
        <w:spacing w:line="352" w:lineRule="exact" w:before="27"/>
        <w:ind w:left="817" w:right="765" w:firstLine="115"/>
        <w:jc w:val="left"/>
        <w:rPr>
          <w:rFonts w:ascii="宋体" w:hAnsi="宋体" w:cs="宋体" w:eastAsia="宋体" w:hint="default"/>
          <w:sz w:val="18"/>
          <w:szCs w:val="18"/>
        </w:rPr>
      </w:pPr>
      <w:r>
        <w:rPr>
          <w:rFonts w:ascii="宋体" w:hAnsi="宋体" w:cs="宋体" w:eastAsia="宋体" w:hint="default"/>
          <w:b/>
          <w:bCs/>
          <w:sz w:val="18"/>
          <w:szCs w:val="18"/>
        </w:rPr>
        <w:t>五、管理层和治理层对财务报表的责任</w:t>
      </w:r>
      <w:r>
        <w:rPr>
          <w:rFonts w:ascii="宋体" w:hAnsi="宋体" w:cs="宋体" w:eastAsia="宋体" w:hint="default"/>
          <w:b/>
          <w:bCs/>
          <w:w w:val="99"/>
          <w:sz w:val="18"/>
          <w:szCs w:val="18"/>
        </w:rPr>
        <w:t> </w:t>
      </w:r>
      <w:r>
        <w:rPr>
          <w:rFonts w:ascii="宋体" w:hAnsi="宋体" w:cs="宋体" w:eastAsia="宋体" w:hint="default"/>
          <w:sz w:val="18"/>
          <w:szCs w:val="18"/>
        </w:rPr>
        <w:t>管理层负责按照企业会计准则的规定编制财务报表，使其实现公允反映，并设计、执行和维护必要的</w:t>
      </w:r>
    </w:p>
    <w:p>
      <w:pPr>
        <w:pStyle w:val="BodyText"/>
        <w:spacing w:line="188" w:lineRule="exact"/>
        <w:ind w:left="457" w:right="765"/>
        <w:jc w:val="left"/>
      </w:pPr>
      <w:r>
        <w:rPr/>
        <w:t>内部控制，以使财务报表不存在由于舞弊或错误导致的重大错报。</w:t>
      </w:r>
    </w:p>
    <w:p>
      <w:pPr>
        <w:pStyle w:val="BodyText"/>
        <w:spacing w:line="240" w:lineRule="auto" w:before="117"/>
        <w:ind w:left="457" w:right="1706" w:firstLine="360"/>
        <w:jc w:val="both"/>
      </w:pPr>
      <w:r>
        <w:rPr>
          <w:spacing w:val="-6"/>
        </w:rPr>
        <w:t>在编制财务报表时，管理层负责评估广电运通的持续经营能力，披露与持续经营相关的事项（如适用），</w:t>
      </w:r>
      <w:r>
        <w:rPr/>
        <w:t> 并运用持续经营假设，除非计划进行清算、终止运营或别无其他现实的选择。</w:t>
      </w:r>
    </w:p>
    <w:p>
      <w:pPr>
        <w:spacing w:line="360" w:lineRule="auto" w:before="117"/>
        <w:ind w:left="817" w:right="6310" w:firstLine="0"/>
        <w:jc w:val="left"/>
        <w:rPr>
          <w:rFonts w:ascii="宋体" w:hAnsi="宋体" w:cs="宋体" w:eastAsia="宋体" w:hint="default"/>
          <w:sz w:val="18"/>
          <w:szCs w:val="18"/>
        </w:rPr>
      </w:pPr>
      <w:r>
        <w:rPr>
          <w:rFonts w:ascii="宋体" w:hAnsi="宋体" w:cs="宋体" w:eastAsia="宋体" w:hint="default"/>
          <w:sz w:val="18"/>
          <w:szCs w:val="18"/>
        </w:rPr>
        <w:t>治理层负责监督广电运通的财务报告过程。 </w:t>
      </w:r>
      <w:r>
        <w:rPr>
          <w:rFonts w:ascii="宋体" w:hAnsi="宋体" w:cs="宋体" w:eastAsia="宋体" w:hint="default"/>
          <w:b/>
          <w:bCs/>
          <w:sz w:val="18"/>
          <w:szCs w:val="18"/>
        </w:rPr>
        <w:t>六、注册会计师对财务报表审计的责任</w:t>
      </w:r>
      <w:r>
        <w:rPr>
          <w:rFonts w:ascii="宋体" w:hAnsi="宋体" w:cs="宋体" w:eastAsia="宋体" w:hint="default"/>
          <w:sz w:val="18"/>
          <w:szCs w:val="18"/>
        </w:rPr>
      </w:r>
    </w:p>
    <w:p>
      <w:pPr>
        <w:pStyle w:val="BodyText"/>
        <w:spacing w:line="237" w:lineRule="auto" w:before="29"/>
        <w:ind w:left="457" w:right="1793" w:firstLine="360"/>
        <w:jc w:val="both"/>
      </w:pPr>
      <w:r>
        <w:rPr/>
        <w:t>我们的目标是对财务报表整体是否不存在由于舞弊或错误导致的重大错报获取合理保证，并出具包含 审计意见的审计报告。合理保证是高水平的保证，但并不能保证按照审计准则执行的审计在某一重大错报</w:t>
      </w:r>
      <w:r>
        <w:rPr>
          <w:spacing w:val="-63"/>
        </w:rPr>
        <w:t> </w:t>
      </w:r>
      <w:r>
        <w:rPr>
          <w:spacing w:val="-63"/>
        </w:rPr>
      </w:r>
      <w:r>
        <w:rPr/>
        <w:t>存在时总能发现。错报可能由于舞弊或错误导致，如果合理预期错报单独或汇总起来可能影响财务报表使</w:t>
      </w:r>
      <w:r>
        <w:rPr>
          <w:spacing w:val="-63"/>
        </w:rPr>
        <w:t> </w:t>
      </w:r>
      <w:r>
        <w:rPr>
          <w:spacing w:val="-63"/>
        </w:rPr>
      </w:r>
      <w:r>
        <w:rPr/>
        <w:t>用者依据财务报表作出的经济决策，则通常认为错报是重大的。</w:t>
      </w:r>
    </w:p>
    <w:p>
      <w:pPr>
        <w:pStyle w:val="BodyText"/>
        <w:spacing w:line="232" w:lineRule="exact" w:before="144"/>
        <w:ind w:left="457" w:right="1793" w:firstLine="360"/>
        <w:jc w:val="both"/>
      </w:pPr>
      <w:r>
        <w:rPr/>
        <w:t>在按照审计准则执行审计工作的过程中，我们运用职业判断，并保持职业怀疑。同时，我们也执行以 下工作：</w:t>
      </w:r>
    </w:p>
    <w:p>
      <w:pPr>
        <w:pStyle w:val="BodyText"/>
        <w:spacing w:line="232" w:lineRule="auto" w:before="102"/>
        <w:ind w:left="457" w:right="765" w:firstLine="360"/>
        <w:jc w:val="left"/>
      </w:pPr>
      <w:r>
        <w:rPr>
          <w:spacing w:val="-4"/>
        </w:rPr>
        <w:t>（</w:t>
      </w:r>
      <w:r>
        <w:rPr>
          <w:rFonts w:ascii="Times New Roman" w:hAnsi="Times New Roman" w:cs="Times New Roman" w:eastAsia="Times New Roman" w:hint="default"/>
          <w:spacing w:val="-4"/>
        </w:rPr>
        <w:t>1</w:t>
      </w:r>
      <w:r>
        <w:rPr>
          <w:spacing w:val="-4"/>
        </w:rPr>
        <w:t>）识别和评估由于舞弊或错误导致的财务报表重大错报风险，设计和实施审计程序以应对这些风险，</w:t>
      </w:r>
      <w:r>
        <w:rPr/>
        <w:t> 并获取充分、适当的审计证据，作为发表审计意见的基础。由于舞弊可能涉及串通、伪造、故意遗漏、虚</w:t>
      </w:r>
      <w:r>
        <w:rPr>
          <w:spacing w:val="-63"/>
        </w:rPr>
        <w:t> </w:t>
      </w:r>
      <w:r>
        <w:rPr>
          <w:spacing w:val="-63"/>
        </w:rPr>
      </w:r>
      <w:r>
        <w:rPr/>
        <w:t>假陈述或凌驾于内部控制之上，未能发现由于舞弊导致的重大错报的风险高于未能发现由于错误导致的重</w:t>
      </w:r>
      <w:r>
        <w:rPr>
          <w:spacing w:val="-63"/>
        </w:rPr>
        <w:t> </w:t>
      </w:r>
      <w:r>
        <w:rPr>
          <w:spacing w:val="-63"/>
        </w:rPr>
      </w:r>
      <w:r>
        <w:rPr/>
        <w:t>大错报的风险。</w:t>
      </w:r>
    </w:p>
    <w:p>
      <w:pPr>
        <w:pStyle w:val="BodyText"/>
        <w:spacing w:line="240" w:lineRule="auto" w:before="118"/>
        <w:ind w:left="817" w:right="765"/>
        <w:jc w:val="left"/>
      </w:pPr>
      <w:r>
        <w:rPr>
          <w:spacing w:val="-4"/>
        </w:rPr>
        <w:t>（</w:t>
      </w:r>
      <w:r>
        <w:rPr>
          <w:rFonts w:ascii="Times New Roman" w:hAnsi="Times New Roman" w:cs="Times New Roman" w:eastAsia="Times New Roman" w:hint="default"/>
          <w:spacing w:val="-4"/>
        </w:rPr>
        <w:t>2</w:t>
      </w:r>
      <w:r>
        <w:rPr>
          <w:spacing w:val="-4"/>
        </w:rPr>
        <w:t>）了解与审计相关的内部控制，以设计恰当的审计程序，但目的并非对内部控制的有效性发表意见。</w:t>
      </w:r>
    </w:p>
    <w:p>
      <w:pPr>
        <w:pStyle w:val="BodyText"/>
        <w:spacing w:line="240" w:lineRule="auto" w:before="103"/>
        <w:ind w:left="817" w:right="765"/>
        <w:jc w:val="left"/>
      </w:pPr>
      <w:r>
        <w:rPr/>
        <w:t>（</w:t>
      </w:r>
      <w:r>
        <w:rPr>
          <w:rFonts w:ascii="Times New Roman" w:hAnsi="Times New Roman" w:cs="Times New Roman" w:eastAsia="Times New Roman" w:hint="default"/>
        </w:rPr>
        <w:t>3</w:t>
      </w:r>
      <w:r>
        <w:rPr/>
        <w:t>）评价管理层选用会计政策的恰当性和作出会计估计及相关披露的合理性。</w:t>
      </w:r>
    </w:p>
    <w:p>
      <w:pPr>
        <w:pStyle w:val="BodyText"/>
        <w:spacing w:line="235" w:lineRule="auto" w:before="108"/>
        <w:ind w:left="457" w:right="1793" w:firstLine="360"/>
        <w:jc w:val="both"/>
      </w:pPr>
      <w:r>
        <w:rPr>
          <w:spacing w:val="-2"/>
        </w:rPr>
        <w:t>（</w:t>
      </w:r>
      <w:r>
        <w:rPr>
          <w:rFonts w:ascii="Times New Roman" w:hAnsi="Times New Roman" w:cs="Times New Roman" w:eastAsia="Times New Roman" w:hint="default"/>
          <w:spacing w:val="-2"/>
        </w:rPr>
        <w:t>4</w:t>
      </w:r>
      <w:r>
        <w:rPr>
          <w:spacing w:val="-2"/>
        </w:rPr>
        <w:t>）对管理层使用持续经营假设的恰当性得出结论。同时，根据获取的审计证据，就可能导致对广电</w:t>
      </w:r>
      <w:r>
        <w:rPr/>
        <w:t> 运通持续经营能力产生重大疑虑的事项或情况是否存在重大不确定性得出结论。如果我们得出结论认为存</w:t>
      </w:r>
      <w:r>
        <w:rPr>
          <w:spacing w:val="-63"/>
        </w:rPr>
        <w:t> </w:t>
      </w:r>
      <w:r>
        <w:rPr>
          <w:spacing w:val="-63"/>
        </w:rPr>
      </w:r>
      <w:r>
        <w:rPr/>
        <w:t>在重大不确定性，审计准则要求我们在审计报告中提请报表使用者注意财务报表中的相关披露；如果披露</w:t>
      </w:r>
      <w:r>
        <w:rPr>
          <w:spacing w:val="-63"/>
        </w:rPr>
        <w:t> </w:t>
      </w:r>
      <w:r>
        <w:rPr>
          <w:spacing w:val="-63"/>
        </w:rPr>
      </w:r>
      <w:r>
        <w:rPr/>
        <w:t>不充分，我们应当发表非无保留意见。我们的结论基于截至审计报告日可获得的信息。然而，未来的事项</w:t>
      </w:r>
      <w:r>
        <w:rPr>
          <w:spacing w:val="-63"/>
        </w:rPr>
        <w:t> </w:t>
      </w:r>
      <w:r>
        <w:rPr>
          <w:spacing w:val="-63"/>
        </w:rPr>
      </w:r>
      <w:r>
        <w:rPr/>
        <w:t>或情况可能导致广电运通不能持续经营。</w:t>
      </w:r>
    </w:p>
    <w:p>
      <w:pPr>
        <w:pStyle w:val="BodyText"/>
        <w:spacing w:line="232" w:lineRule="exact" w:before="142"/>
        <w:ind w:left="457" w:right="1793" w:firstLine="360"/>
        <w:jc w:val="both"/>
      </w:pPr>
      <w:r>
        <w:rPr>
          <w:spacing w:val="-2"/>
        </w:rPr>
        <w:t>（</w:t>
      </w:r>
      <w:r>
        <w:rPr>
          <w:rFonts w:ascii="Times New Roman" w:hAnsi="Times New Roman" w:cs="Times New Roman" w:eastAsia="Times New Roman" w:hint="default"/>
          <w:spacing w:val="-2"/>
        </w:rPr>
        <w:t>5</w:t>
      </w:r>
      <w:r>
        <w:rPr>
          <w:spacing w:val="-2"/>
        </w:rPr>
        <w:t>）评价财务报表的总体列报、结构和内容（包括披露），并评价财务报表是否公允反映相关交易和</w:t>
      </w:r>
      <w:r>
        <w:rPr/>
        <w:t> 事项。</w:t>
      </w:r>
    </w:p>
    <w:p>
      <w:pPr>
        <w:pStyle w:val="BodyText"/>
        <w:spacing w:line="236" w:lineRule="exact" w:before="117"/>
        <w:ind w:left="457" w:right="1796" w:firstLine="360"/>
        <w:jc w:val="both"/>
      </w:pPr>
      <w:r>
        <w:rPr>
          <w:spacing w:val="-2"/>
        </w:rPr>
        <w:t>（</w:t>
      </w:r>
      <w:r>
        <w:rPr>
          <w:rFonts w:ascii="Times New Roman" w:hAnsi="Times New Roman" w:cs="Times New Roman" w:eastAsia="Times New Roman" w:hint="default"/>
          <w:spacing w:val="-2"/>
        </w:rPr>
        <w:t>6</w:t>
      </w:r>
      <w:r>
        <w:rPr>
          <w:spacing w:val="-2"/>
        </w:rPr>
        <w:t>）就广电运通中实体或业务活动的财务信息获取充分、适当的审计证据，以对财务报表发表审计意</w:t>
      </w:r>
      <w:r>
        <w:rPr/>
        <w:t> 见。我们负责指导、监督和执行集团审计，并对审计意见承担全部责任。</w:t>
      </w:r>
    </w:p>
    <w:p>
      <w:pPr>
        <w:pStyle w:val="BodyText"/>
        <w:spacing w:line="232" w:lineRule="exact" w:before="120"/>
        <w:ind w:left="457" w:right="1793" w:firstLine="360"/>
        <w:jc w:val="both"/>
      </w:pPr>
      <w:r>
        <w:rPr/>
        <w:t>我们与治理层就计划的审计范围、时间安排和重大审计发现等事项进行沟通，包括沟通我们在审计中 识别出的值得关注的内部控制缺陷。</w:t>
      </w:r>
    </w:p>
    <w:p>
      <w:pPr>
        <w:pStyle w:val="BodyText"/>
        <w:spacing w:line="240" w:lineRule="auto" w:before="96"/>
        <w:ind w:left="457" w:right="1793" w:firstLine="360"/>
        <w:jc w:val="both"/>
      </w:pPr>
      <w:r>
        <w:rPr/>
        <w:t>我们还就已遵守与独立性相关的职业道德要求向治理层提供声明，并与治理层沟通可能被合理认为影 响我们独立性的所有关系和其他事项，以及相关的防范措施（如适用）。</w:t>
      </w:r>
    </w:p>
    <w:p>
      <w:pPr>
        <w:pStyle w:val="BodyText"/>
        <w:spacing w:line="232" w:lineRule="exact" w:before="142"/>
        <w:ind w:left="457" w:right="1793" w:firstLine="360"/>
        <w:jc w:val="both"/>
      </w:pPr>
      <w:r>
        <w:rPr/>
        <w:t>从与治理层沟通过的事项中，我们确定哪些事项对本期财务报表审计最为重要，因而构成关键审计事 项。我们在审计报告中描述这些事项，除非法律法规禁止公开披露这些事项，或在极少数情形下，如果合</w:t>
      </w:r>
    </w:p>
    <w:p>
      <w:pPr>
        <w:spacing w:after="0" w:line="232" w:lineRule="exact"/>
        <w:jc w:val="both"/>
        <w:sectPr>
          <w:pgSz w:w="11910" w:h="16840"/>
          <w:pgMar w:header="712" w:footer="1264" w:top="980" w:bottom="1460" w:left="1340" w:right="0"/>
        </w:sectPr>
      </w:pPr>
    </w:p>
    <w:p>
      <w:pPr>
        <w:spacing w:line="240" w:lineRule="auto" w:before="5"/>
        <w:rPr>
          <w:rFonts w:ascii="宋体" w:hAnsi="宋体" w:cs="宋体" w:eastAsia="宋体" w:hint="default"/>
          <w:sz w:val="29"/>
          <w:szCs w:val="29"/>
        </w:rPr>
      </w:pPr>
    </w:p>
    <w:p>
      <w:pPr>
        <w:pStyle w:val="BodyText"/>
        <w:spacing w:line="232" w:lineRule="exact" w:before="69"/>
        <w:ind w:left="117" w:right="1603"/>
        <w:jc w:val="left"/>
      </w:pPr>
      <w:r>
        <w:rPr/>
        <w:t>理预期在审计报告中沟通某事项造成的负面后果超过在公众利益方面产生的益处，我们确定不应在审计报</w:t>
      </w:r>
      <w:r>
        <w:rPr>
          <w:spacing w:val="-63"/>
        </w:rPr>
        <w:t> </w:t>
      </w:r>
      <w:r>
        <w:rPr>
          <w:spacing w:val="-63"/>
        </w:rPr>
      </w:r>
      <w:r>
        <w:rPr/>
        <w:t>告中沟通该事项。</w:t>
      </w:r>
    </w:p>
    <w:p>
      <w:pPr>
        <w:spacing w:line="240" w:lineRule="auto" w:before="4"/>
        <w:rPr>
          <w:rFonts w:ascii="宋体" w:hAnsi="宋体" w:cs="宋体" w:eastAsia="宋体" w:hint="default"/>
          <w:sz w:val="23"/>
          <w:szCs w:val="23"/>
        </w:rPr>
      </w:pPr>
    </w:p>
    <w:p>
      <w:pPr>
        <w:pStyle w:val="Heading6"/>
        <w:tabs>
          <w:tab w:pos="5366" w:val="left" w:leader="none"/>
        </w:tabs>
        <w:spacing w:line="234" w:lineRule="exact"/>
        <w:ind w:left="566" w:right="1603"/>
        <w:jc w:val="left"/>
        <w:rPr>
          <w:b w:val="0"/>
          <w:bCs w:val="0"/>
        </w:rPr>
      </w:pPr>
      <w:r>
        <w:rPr>
          <w:w w:val="95"/>
        </w:rPr>
        <w:t>立信会计师事务所</w:t>
        <w:tab/>
      </w:r>
      <w:r>
        <w:rPr>
          <w:spacing w:val="-6"/>
        </w:rPr>
        <w:t>中国注册会计师：王建民（项目合伙人）</w:t>
      </w:r>
      <w:r>
        <w:rPr>
          <w:b w:val="0"/>
          <w:bCs w:val="0"/>
          <w:spacing w:val="-6"/>
        </w:rPr>
      </w:r>
    </w:p>
    <w:p>
      <w:pPr>
        <w:pStyle w:val="Heading6"/>
        <w:spacing w:line="234" w:lineRule="exact"/>
        <w:ind w:left="391" w:right="1603"/>
        <w:jc w:val="left"/>
        <w:rPr>
          <w:b w:val="0"/>
          <w:bCs w:val="0"/>
        </w:rPr>
      </w:pPr>
      <w:r>
        <w:rPr/>
        <w:t>（特殊普通合伙）</w:t>
      </w:r>
      <w:r>
        <w:rPr>
          <w:b w:val="0"/>
          <w:bCs w:val="0"/>
        </w:rPr>
      </w:r>
    </w:p>
    <w:p>
      <w:pPr>
        <w:pStyle w:val="Heading6"/>
        <w:spacing w:line="233" w:lineRule="exact"/>
        <w:ind w:left="5997" w:right="1603"/>
        <w:jc w:val="left"/>
        <w:rPr>
          <w:b w:val="0"/>
          <w:bCs w:val="0"/>
        </w:rPr>
      </w:pPr>
      <w:r>
        <w:rPr/>
        <w:t>中国注册会计师：滕海军</w:t>
      </w:r>
      <w:r>
        <w:rPr>
          <w:b w:val="0"/>
          <w:bCs w:val="0"/>
        </w:rPr>
      </w:r>
    </w:p>
    <w:p>
      <w:pPr>
        <w:spacing w:line="240" w:lineRule="auto" w:before="10"/>
        <w:rPr>
          <w:rFonts w:ascii="宋体" w:hAnsi="宋体" w:cs="宋体" w:eastAsia="宋体" w:hint="default"/>
          <w:b/>
          <w:bCs/>
          <w:sz w:val="15"/>
          <w:szCs w:val="15"/>
        </w:rPr>
      </w:pPr>
    </w:p>
    <w:p>
      <w:pPr>
        <w:pStyle w:val="Heading6"/>
        <w:tabs>
          <w:tab w:pos="6597" w:val="left" w:leader="none"/>
        </w:tabs>
        <w:spacing w:line="240" w:lineRule="auto"/>
        <w:ind w:left="657" w:right="1603"/>
        <w:jc w:val="left"/>
        <w:rPr>
          <w:b w:val="0"/>
          <w:bCs w:val="0"/>
        </w:rPr>
      </w:pPr>
      <w:r>
        <w:rPr>
          <w:spacing w:val="-1"/>
        </w:rPr>
        <w:t>中国</w:t>
      </w:r>
      <w:r>
        <w:rPr>
          <w:rFonts w:ascii="Times New Roman" w:hAnsi="Times New Roman" w:cs="Times New Roman" w:eastAsia="Times New Roman" w:hint="default"/>
          <w:spacing w:val="-1"/>
        </w:rPr>
        <w:t>•</w:t>
      </w:r>
      <w:r>
        <w:rPr>
          <w:spacing w:val="-1"/>
        </w:rPr>
        <w:t>上海</w:t>
        <w:tab/>
      </w:r>
      <w:r>
        <w:rPr>
          <w:rFonts w:ascii="Times New Roman" w:hAnsi="Times New Roman" w:cs="Times New Roman" w:eastAsia="Times New Roman" w:hint="default"/>
          <w:spacing w:val="-1"/>
        </w:rPr>
        <w:t>2020</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27</w:t>
      </w:r>
      <w:r>
        <w:rPr>
          <w:spacing w:val="-1"/>
        </w:rPr>
        <w:t>日</w:t>
      </w:r>
      <w:r>
        <w:rPr>
          <w:b w:val="0"/>
          <w:bCs w:val="0"/>
          <w:spacing w:val="-1"/>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pStyle w:val="Heading2"/>
        <w:spacing w:line="240" w:lineRule="auto" w:before="159"/>
        <w:ind w:left="117" w:right="1603"/>
        <w:jc w:val="left"/>
        <w:rPr>
          <w:b w:val="0"/>
          <w:bCs w:val="0"/>
        </w:rPr>
      </w:pPr>
      <w:bookmarkStart w:name="二、财务报表" w:id="158"/>
      <w:bookmarkEnd w:id="158"/>
      <w:r>
        <w:rPr>
          <w:b w:val="0"/>
          <w:bCs w:val="0"/>
        </w:rPr>
      </w:r>
      <w:r>
        <w:rPr/>
        <w:t>二、财务报表</w:t>
      </w:r>
      <w:r>
        <w:rPr>
          <w:b w:val="0"/>
          <w:bCs w:val="0"/>
        </w:rPr>
      </w:r>
    </w:p>
    <w:p>
      <w:pPr>
        <w:spacing w:line="240" w:lineRule="auto" w:before="9"/>
        <w:rPr>
          <w:rFonts w:ascii="宋体" w:hAnsi="宋体" w:cs="宋体" w:eastAsia="宋体" w:hint="default"/>
          <w:b/>
          <w:bCs/>
          <w:sz w:val="23"/>
          <w:szCs w:val="23"/>
        </w:rPr>
      </w:pPr>
    </w:p>
    <w:p>
      <w:pPr>
        <w:pStyle w:val="BodyText"/>
        <w:spacing w:line="240" w:lineRule="auto"/>
        <w:ind w:left="117" w:right="1603"/>
        <w:jc w:val="left"/>
      </w:pPr>
      <w:r>
        <w:rPr/>
        <w:t>财务附注中报表的单位为：元</w:t>
      </w:r>
    </w:p>
    <w:p>
      <w:pPr>
        <w:spacing w:line="240" w:lineRule="auto" w:before="3"/>
        <w:rPr>
          <w:rFonts w:ascii="宋体" w:hAnsi="宋体" w:cs="宋体" w:eastAsia="宋体" w:hint="default"/>
          <w:sz w:val="22"/>
          <w:szCs w:val="22"/>
        </w:rPr>
      </w:pPr>
    </w:p>
    <w:p>
      <w:pPr>
        <w:pStyle w:val="Heading3"/>
        <w:spacing w:line="240" w:lineRule="auto" w:before="0"/>
        <w:ind w:left="117" w:right="1603"/>
        <w:jc w:val="left"/>
        <w:rPr>
          <w:b w:val="0"/>
          <w:bCs w:val="0"/>
        </w:rPr>
      </w:pPr>
      <w:bookmarkStart w:name="1、合并资产负债表" w:id="159"/>
      <w:bookmarkEnd w:id="159"/>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7"/>
        <w:rPr>
          <w:rFonts w:ascii="宋体" w:hAnsi="宋体" w:cs="宋体" w:eastAsia="宋体" w:hint="default"/>
          <w:b/>
          <w:bCs/>
          <w:sz w:val="18"/>
          <w:szCs w:val="18"/>
        </w:rPr>
      </w:pPr>
    </w:p>
    <w:p>
      <w:pPr>
        <w:spacing w:after="0" w:line="240" w:lineRule="auto"/>
        <w:rPr>
          <w:rFonts w:ascii="宋体" w:hAnsi="宋体" w:cs="宋体" w:eastAsia="宋体" w:hint="default"/>
          <w:sz w:val="18"/>
          <w:szCs w:val="18"/>
        </w:rPr>
        <w:sectPr>
          <w:pgSz w:w="11910" w:h="16840"/>
          <w:pgMar w:header="712" w:footer="1264" w:top="980" w:bottom="1460" w:left="1680" w:right="0"/>
        </w:sectPr>
      </w:pPr>
    </w:p>
    <w:p>
      <w:pPr>
        <w:pStyle w:val="BodyText"/>
        <w:spacing w:line="240" w:lineRule="auto" w:before="44"/>
        <w:ind w:left="117" w:right="0"/>
        <w:jc w:val="left"/>
      </w:pPr>
      <w:r>
        <w:rPr/>
        <w:t>编制单位：广州广电运通金融电子股份有限公司</w:t>
      </w:r>
    </w:p>
    <w:p>
      <w:pPr>
        <w:pStyle w:val="BodyText"/>
        <w:spacing w:line="240" w:lineRule="auto" w:before="40"/>
        <w:ind w:left="0" w:right="0"/>
        <w:jc w:val="right"/>
      </w:pP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45"/>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pStyle w:val="BodyText"/>
        <w:spacing w:line="240" w:lineRule="auto" w:before="120"/>
        <w:ind w:left="117" w:right="0"/>
        <w:jc w:val="left"/>
      </w:pPr>
      <w:r>
        <w:rPr/>
        <w:t>单位：元</w:t>
      </w:r>
    </w:p>
    <w:p>
      <w:pPr>
        <w:spacing w:after="0" w:line="240" w:lineRule="auto"/>
        <w:jc w:val="left"/>
        <w:sectPr>
          <w:type w:val="continuous"/>
          <w:pgSz w:w="11910" w:h="16840"/>
          <w:pgMar w:top="1100" w:bottom="1160" w:left="1680" w:right="0"/>
          <w:cols w:num="2" w:equalWidth="0">
            <w:col w:w="5017" w:space="2575"/>
            <w:col w:w="2638"/>
          </w:cols>
        </w:sectPr>
      </w:pPr>
    </w:p>
    <w:p>
      <w:pPr>
        <w:spacing w:line="240" w:lineRule="auto" w:before="2"/>
        <w:rPr>
          <w:rFonts w:ascii="宋体" w:hAnsi="宋体" w:cs="宋体" w:eastAsia="宋体" w:hint="default"/>
          <w:sz w:val="5"/>
          <w:szCs w:val="5"/>
        </w:rPr>
      </w:pPr>
    </w:p>
    <w:tbl>
      <w:tblPr>
        <w:tblW w:w="0" w:type="auto"/>
        <w:jc w:val="left"/>
        <w:tblInd w:w="112" w:type="dxa"/>
        <w:tblLayout w:type="fixed"/>
        <w:tblCellMar>
          <w:top w:w="0" w:type="dxa"/>
          <w:left w:w="0" w:type="dxa"/>
          <w:bottom w:w="0" w:type="dxa"/>
          <w:right w:w="0" w:type="dxa"/>
        </w:tblCellMar>
        <w:tblLook w:val="01E0"/>
      </w:tblPr>
      <w:tblGrid>
        <w:gridCol w:w="4395"/>
        <w:gridCol w:w="1984"/>
        <w:gridCol w:w="1985"/>
      </w:tblGrid>
      <w:tr>
        <w:trPr>
          <w:trHeight w:val="324"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4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4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323"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4"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38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0"/>
              <w:jc w:val="right"/>
              <w:rPr>
                <w:rFonts w:ascii="Times New Roman" w:hAnsi="Times New Roman" w:cs="Times New Roman" w:eastAsia="Times New Roman" w:hint="default"/>
                <w:sz w:val="18"/>
                <w:szCs w:val="18"/>
              </w:rPr>
            </w:pPr>
            <w:r>
              <w:rPr>
                <w:rFonts w:ascii="Times New Roman"/>
                <w:spacing w:val="-1"/>
                <w:sz w:val="18"/>
              </w:rPr>
              <w:t>4,482,916,067.61</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0"/>
              <w:jc w:val="right"/>
              <w:rPr>
                <w:rFonts w:ascii="Times New Roman" w:hAnsi="Times New Roman" w:cs="Times New Roman" w:eastAsia="Times New Roman" w:hint="default"/>
                <w:sz w:val="18"/>
                <w:szCs w:val="18"/>
              </w:rPr>
            </w:pPr>
            <w:r>
              <w:rPr>
                <w:rFonts w:ascii="Times New Roman"/>
                <w:spacing w:val="-1"/>
                <w:sz w:val="18"/>
              </w:rPr>
              <w:t>4,249,788,473.33</w:t>
            </w:r>
          </w:p>
        </w:tc>
      </w:tr>
      <w:tr>
        <w:trPr>
          <w:trHeight w:val="323"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38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198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38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198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0"/>
              <w:jc w:val="right"/>
              <w:rPr>
                <w:rFonts w:ascii="Times New Roman" w:hAnsi="Times New Roman" w:cs="Times New Roman" w:eastAsia="Times New Roman" w:hint="default"/>
                <w:sz w:val="18"/>
                <w:szCs w:val="18"/>
              </w:rPr>
            </w:pPr>
            <w:r>
              <w:rPr>
                <w:rFonts w:ascii="Times New Roman"/>
                <w:spacing w:val="-1"/>
                <w:sz w:val="18"/>
              </w:rPr>
              <w:t>1,391,850,000.00</w:t>
            </w: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以公允价值计量且其变动计入当期损益的金融资产</w:t>
            </w:r>
          </w:p>
        </w:tc>
        <w:tc>
          <w:tcPr>
            <w:tcW w:w="198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38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198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53,669,695.02</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41,882,197.77</w:t>
            </w:r>
          </w:p>
        </w:tc>
      </w:tr>
      <w:tr>
        <w:trPr>
          <w:trHeight w:val="324"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1,518,071,334.24</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1,311,545,965.04</w:t>
            </w:r>
          </w:p>
        </w:tc>
      </w:tr>
      <w:tr>
        <w:trPr>
          <w:trHeight w:val="323"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0"/>
              <w:jc w:val="right"/>
              <w:rPr>
                <w:rFonts w:ascii="Times New Roman" w:hAnsi="Times New Roman" w:cs="Times New Roman" w:eastAsia="Times New Roman" w:hint="default"/>
                <w:sz w:val="20"/>
                <w:szCs w:val="20"/>
              </w:rPr>
            </w:pPr>
            <w:r>
              <w:rPr>
                <w:rFonts w:ascii="Times New Roman"/>
                <w:w w:val="95"/>
                <w:sz w:val="20"/>
              </w:rPr>
              <w:t>84,575,000.00</w:t>
            </w:r>
            <w:r>
              <w:rPr>
                <w:rFonts w:ascii="Times New Roman"/>
                <w:sz w:val="20"/>
              </w:rPr>
            </w: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38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76,194,727.69</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68,507,879.62</w:t>
            </w:r>
          </w:p>
        </w:tc>
      </w:tr>
      <w:tr>
        <w:trPr>
          <w:trHeight w:val="323"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198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198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38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198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38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106,349,909.02</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109,691,755.92</w:t>
            </w:r>
          </w:p>
        </w:tc>
      </w:tr>
      <w:tr>
        <w:trPr>
          <w:trHeight w:val="324"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562"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198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0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198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198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1,918,033,202.60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1,864,961,109.68</w:t>
            </w:r>
          </w:p>
        </w:tc>
      </w:tr>
      <w:tr>
        <w:trPr>
          <w:trHeight w:val="323"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382"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198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198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54,932,269.00</w:t>
            </w:r>
          </w:p>
        </w:tc>
      </w:tr>
      <w:tr>
        <w:trPr>
          <w:trHeight w:val="323"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198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38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0"/>
              <w:jc w:val="right"/>
              <w:rPr>
                <w:rFonts w:ascii="Times New Roman" w:hAnsi="Times New Roman" w:cs="Times New Roman" w:eastAsia="Times New Roman" w:hint="default"/>
                <w:sz w:val="18"/>
                <w:szCs w:val="18"/>
              </w:rPr>
            </w:pPr>
            <w:r>
              <w:rPr>
                <w:rFonts w:ascii="Times New Roman"/>
                <w:spacing w:val="-1"/>
                <w:sz w:val="18"/>
              </w:rPr>
              <w:t>73,618,822.56</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0"/>
              <w:jc w:val="right"/>
              <w:rPr>
                <w:rFonts w:ascii="Times New Roman" w:hAnsi="Times New Roman" w:cs="Times New Roman" w:eastAsia="Times New Roman" w:hint="default"/>
                <w:sz w:val="18"/>
                <w:szCs w:val="18"/>
              </w:rPr>
            </w:pPr>
            <w:r>
              <w:rPr>
                <w:rFonts w:ascii="Times New Roman"/>
                <w:spacing w:val="-1"/>
                <w:sz w:val="18"/>
              </w:rPr>
              <w:t>1,649,187,547.95</w:t>
            </w:r>
          </w:p>
        </w:tc>
      </w:tr>
      <w:tr>
        <w:trPr>
          <w:trHeight w:val="321"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9,705,278,758.74</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9,350,497,198.31</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100" w:bottom="1160" w:left="1680" w:right="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9"/>
          <w:szCs w:val="19"/>
        </w:rPr>
      </w:pPr>
    </w:p>
    <w:tbl>
      <w:tblPr>
        <w:tblW w:w="0" w:type="auto"/>
        <w:jc w:val="left"/>
        <w:tblInd w:w="112" w:type="dxa"/>
        <w:tblLayout w:type="fixed"/>
        <w:tblCellMar>
          <w:top w:w="0" w:type="dxa"/>
          <w:left w:w="0" w:type="dxa"/>
          <w:bottom w:w="0" w:type="dxa"/>
          <w:right w:w="0" w:type="dxa"/>
        </w:tblCellMar>
        <w:tblLook w:val="01E0"/>
      </w:tblPr>
      <w:tblGrid>
        <w:gridCol w:w="4395"/>
        <w:gridCol w:w="1984"/>
        <w:gridCol w:w="1985"/>
      </w:tblGrid>
      <w:tr>
        <w:trPr>
          <w:trHeight w:val="323"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4"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382"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198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198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98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906,570,668.31</w:t>
            </w:r>
          </w:p>
        </w:tc>
      </w:tr>
      <w:tr>
        <w:trPr>
          <w:trHeight w:val="323"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198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38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198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38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7,787,927.72</w:t>
            </w: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38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639,896,064.55</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626,464,621.74</w:t>
            </w:r>
          </w:p>
        </w:tc>
      </w:tr>
      <w:tr>
        <w:trPr>
          <w:trHeight w:val="323"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1,229,297,627.96</w:t>
            </w: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0.00</w:t>
            </w: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38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49,303,525.51</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52,892,220.34</w:t>
            </w:r>
          </w:p>
        </w:tc>
      </w:tr>
      <w:tr>
        <w:trPr>
          <w:trHeight w:val="323"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1,116,170,777.39</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1,089,049,675.78</w:t>
            </w:r>
          </w:p>
        </w:tc>
      </w:tr>
      <w:tr>
        <w:trPr>
          <w:trHeight w:val="324"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15,468,910.33</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48,288,502.94</w:t>
            </w:r>
          </w:p>
        </w:tc>
      </w:tr>
      <w:tr>
        <w:trPr>
          <w:trHeight w:val="323"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198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38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198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198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214,490,194.78</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151,800,738.04</w:t>
            </w:r>
          </w:p>
        </w:tc>
      </w:tr>
      <w:tr>
        <w:trPr>
          <w:trHeight w:val="324"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38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98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38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978,696,782.44</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1,014,427,563.83</w:t>
            </w:r>
          </w:p>
        </w:tc>
      </w:tr>
      <w:tr>
        <w:trPr>
          <w:trHeight w:val="324"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38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52,640,406.30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18,563,655.95</w:t>
            </w:r>
          </w:p>
        </w:tc>
      </w:tr>
      <w:tr>
        <w:trPr>
          <w:trHeight w:val="323"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164,185,460.68</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163,572,370.81</w:t>
            </w:r>
          </w:p>
        </w:tc>
      </w:tr>
      <w:tr>
        <w:trPr>
          <w:trHeight w:val="324"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13,992,975.26</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18,091,297.30</w:t>
            </w:r>
          </w:p>
        </w:tc>
      </w:tr>
      <w:tr>
        <w:trPr>
          <w:trHeight w:val="323"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4,481,930,652.92</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4,089,721,315.04</w:t>
            </w:r>
          </w:p>
        </w:tc>
      </w:tr>
      <w:tr>
        <w:trPr>
          <w:trHeight w:val="324"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spacing w:val="-1"/>
                <w:sz w:val="18"/>
              </w:rPr>
              <w:t>14,187,209,411.66</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13,440,218,513.35</w:t>
            </w:r>
          </w:p>
        </w:tc>
      </w:tr>
      <w:tr>
        <w:trPr>
          <w:trHeight w:val="323"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3"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80,048,884.48</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23,331,000.00</w:t>
            </w:r>
          </w:p>
        </w:tc>
      </w:tr>
      <w:tr>
        <w:trPr>
          <w:trHeight w:val="324"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38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198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38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198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38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198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以公允价值计量且其变动计入当期损益的金融负债</w:t>
            </w:r>
          </w:p>
        </w:tc>
        <w:tc>
          <w:tcPr>
            <w:tcW w:w="198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198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178,288,094.95</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106,681,293.96</w:t>
            </w:r>
          </w:p>
        </w:tc>
      </w:tr>
      <w:tr>
        <w:trPr>
          <w:trHeight w:val="323"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38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1,031,804,541.11</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823,555,261.61</w:t>
            </w:r>
          </w:p>
        </w:tc>
      </w:tr>
      <w:tr>
        <w:trPr>
          <w:trHeight w:val="324"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1,614,706,695.57</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1,811,160,432.05</w:t>
            </w:r>
          </w:p>
        </w:tc>
      </w:tr>
      <w:tr>
        <w:trPr>
          <w:trHeight w:val="323"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198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382"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198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198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198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198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38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0"/>
              <w:jc w:val="right"/>
              <w:rPr>
                <w:rFonts w:ascii="Times New Roman" w:hAnsi="Times New Roman" w:cs="Times New Roman" w:eastAsia="Times New Roman" w:hint="default"/>
                <w:sz w:val="18"/>
                <w:szCs w:val="18"/>
              </w:rPr>
            </w:pPr>
            <w:r>
              <w:rPr>
                <w:rFonts w:ascii="Times New Roman"/>
                <w:spacing w:val="-1"/>
                <w:sz w:val="18"/>
              </w:rPr>
              <w:t>542,776,366.47</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0"/>
              <w:jc w:val="right"/>
              <w:rPr>
                <w:rFonts w:ascii="Times New Roman" w:hAnsi="Times New Roman" w:cs="Times New Roman" w:eastAsia="Times New Roman" w:hint="default"/>
                <w:sz w:val="18"/>
                <w:szCs w:val="18"/>
              </w:rPr>
            </w:pPr>
            <w:r>
              <w:rPr>
                <w:rFonts w:ascii="Times New Roman"/>
                <w:spacing w:val="-1"/>
                <w:sz w:val="18"/>
              </w:rPr>
              <w:t>520,546,957.11</w:t>
            </w:r>
          </w:p>
        </w:tc>
      </w:tr>
      <w:tr>
        <w:trPr>
          <w:trHeight w:val="323"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38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221,369,722.20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178,719,517.19</w:t>
            </w:r>
          </w:p>
        </w:tc>
      </w:tr>
      <w:tr>
        <w:trPr>
          <w:trHeight w:val="321"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520,368,165.15</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356,624,282.87</w:t>
            </w:r>
          </w:p>
        </w:tc>
      </w:tr>
    </w:tbl>
    <w:p>
      <w:pPr>
        <w:spacing w:after="0" w:line="240" w:lineRule="auto"/>
        <w:jc w:val="right"/>
        <w:rPr>
          <w:rFonts w:ascii="Times New Roman" w:hAnsi="Times New Roman" w:cs="Times New Roman" w:eastAsia="Times New Roman" w:hint="default"/>
          <w:sz w:val="18"/>
          <w:szCs w:val="18"/>
        </w:rPr>
        <w:sectPr>
          <w:pgSz w:w="11910" w:h="16840"/>
          <w:pgMar w:header="712" w:footer="1264" w:top="980" w:bottom="1460" w:left="1680" w:right="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9"/>
          <w:szCs w:val="19"/>
        </w:rPr>
      </w:pPr>
    </w:p>
    <w:tbl>
      <w:tblPr>
        <w:tblW w:w="0" w:type="auto"/>
        <w:jc w:val="left"/>
        <w:tblInd w:w="112" w:type="dxa"/>
        <w:tblLayout w:type="fixed"/>
        <w:tblCellMar>
          <w:top w:w="0" w:type="dxa"/>
          <w:left w:w="0" w:type="dxa"/>
          <w:bottom w:w="0" w:type="dxa"/>
          <w:right w:w="0" w:type="dxa"/>
        </w:tblCellMar>
        <w:tblLook w:val="01E0"/>
      </w:tblPr>
      <w:tblGrid>
        <w:gridCol w:w="4395"/>
        <w:gridCol w:w="1984"/>
        <w:gridCol w:w="1985"/>
      </w:tblGrid>
      <w:tr>
        <w:trPr>
          <w:trHeight w:val="323"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62"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198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67,832.81</w:t>
            </w:r>
          </w:p>
        </w:tc>
      </w:tr>
      <w:tr>
        <w:trPr>
          <w:trHeight w:val="324"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10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1,485,000.00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14,815,400.00</w:t>
            </w:r>
          </w:p>
        </w:tc>
      </w:tr>
      <w:tr>
        <w:trPr>
          <w:trHeight w:val="323"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198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198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198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198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38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98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2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4,189,362,469.93</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3,820,618,744.79</w:t>
            </w:r>
          </w:p>
        </w:tc>
      </w:tr>
      <w:tr>
        <w:trPr>
          <w:trHeight w:val="323"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3"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198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38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98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323"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98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6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198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0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198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382"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198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98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198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38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98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38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51,117,320.20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71,082,333.29</w:t>
            </w:r>
          </w:p>
        </w:tc>
      </w:tr>
      <w:tr>
        <w:trPr>
          <w:trHeight w:val="324"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38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35,162,265.39</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36,915,428.53</w:t>
            </w:r>
          </w:p>
        </w:tc>
      </w:tr>
      <w:tr>
        <w:trPr>
          <w:trHeight w:val="323"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98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86,279,585.59</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109,997,761.82</w:t>
            </w:r>
          </w:p>
        </w:tc>
      </w:tr>
      <w:tr>
        <w:trPr>
          <w:trHeight w:val="323"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4,275,642,055.52</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3,930,616,506.61</w:t>
            </w:r>
          </w:p>
        </w:tc>
      </w:tr>
      <w:tr>
        <w:trPr>
          <w:trHeight w:val="324"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3"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2,408,993,951.00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2,428,885,725.00</w:t>
            </w:r>
          </w:p>
        </w:tc>
      </w:tr>
      <w:tr>
        <w:trPr>
          <w:trHeight w:val="323"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98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56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198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10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198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38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2,008,211,946.49</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2,298,125,819.56</w:t>
            </w:r>
          </w:p>
        </w:tc>
      </w:tr>
      <w:tr>
        <w:trPr>
          <w:trHeight w:val="323"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98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113,006,514.72</w:t>
            </w:r>
          </w:p>
        </w:tc>
      </w:tr>
      <w:tr>
        <w:trPr>
          <w:trHeight w:val="324"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0"/>
              <w:jc w:val="right"/>
              <w:rPr>
                <w:rFonts w:ascii="Times New Roman" w:hAnsi="Times New Roman" w:cs="Times New Roman" w:eastAsia="Times New Roman" w:hint="default"/>
                <w:sz w:val="18"/>
                <w:szCs w:val="18"/>
              </w:rPr>
            </w:pPr>
            <w:r>
              <w:rPr>
                <w:rFonts w:ascii="Times New Roman"/>
                <w:spacing w:val="-1"/>
                <w:sz w:val="18"/>
              </w:rPr>
              <w:t>-274,439,306.85</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0"/>
              <w:jc w:val="right"/>
              <w:rPr>
                <w:rFonts w:ascii="Times New Roman" w:hAnsi="Times New Roman" w:cs="Times New Roman" w:eastAsia="Times New Roman" w:hint="default"/>
                <w:sz w:val="18"/>
                <w:szCs w:val="18"/>
              </w:rPr>
            </w:pPr>
            <w:r>
              <w:rPr>
                <w:rFonts w:ascii="Times New Roman"/>
                <w:spacing w:val="-1"/>
                <w:sz w:val="18"/>
              </w:rPr>
              <w:t>-368,279,676.59</w:t>
            </w:r>
          </w:p>
        </w:tc>
      </w:tr>
      <w:tr>
        <w:trPr>
          <w:trHeight w:val="323"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98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682,259,502.34</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628,593,583.41</w:t>
            </w:r>
          </w:p>
        </w:tc>
      </w:tr>
      <w:tr>
        <w:trPr>
          <w:trHeight w:val="324"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198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4,227,900,992.93</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3,812,670,503.86</w:t>
            </w:r>
          </w:p>
        </w:tc>
      </w:tr>
      <w:tr>
        <w:trPr>
          <w:trHeight w:val="324"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9,052,927,085.91</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8,686,989,440.52</w:t>
            </w:r>
          </w:p>
        </w:tc>
      </w:tr>
      <w:tr>
        <w:trPr>
          <w:trHeight w:val="323"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858,640,270.23</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822,612,566.22</w:t>
            </w:r>
          </w:p>
        </w:tc>
      </w:tr>
      <w:tr>
        <w:trPr>
          <w:trHeight w:val="324"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9,911,567,356.14</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9,509,602,006.74</w:t>
            </w:r>
          </w:p>
        </w:tc>
      </w:tr>
      <w:tr>
        <w:trPr>
          <w:trHeight w:val="323"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Times New Roman" w:hAnsi="Times New Roman" w:cs="Times New Roman" w:eastAsia="Times New Roman" w:hint="default"/>
                <w:sz w:val="18"/>
                <w:szCs w:val="18"/>
              </w:rPr>
            </w:pPr>
            <w:r>
              <w:rPr>
                <w:rFonts w:ascii="Times New Roman"/>
                <w:spacing w:val="-1"/>
                <w:sz w:val="18"/>
              </w:rPr>
              <w:t>14,187,209,411.66</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13,440,218,513.35</w:t>
            </w:r>
          </w:p>
        </w:tc>
      </w:tr>
    </w:tbl>
    <w:p>
      <w:pPr>
        <w:spacing w:line="240" w:lineRule="auto" w:before="8"/>
        <w:rPr>
          <w:rFonts w:ascii="Times New Roman" w:hAnsi="Times New Roman" w:cs="Times New Roman" w:eastAsia="Times New Roman" w:hint="default"/>
          <w:sz w:val="19"/>
          <w:szCs w:val="19"/>
        </w:rPr>
      </w:pPr>
    </w:p>
    <w:p>
      <w:pPr>
        <w:pStyle w:val="BodyText"/>
        <w:tabs>
          <w:tab w:pos="2997" w:val="left" w:leader="none"/>
          <w:tab w:pos="6417" w:val="left" w:leader="none"/>
        </w:tabs>
        <w:spacing w:line="240" w:lineRule="auto" w:before="44"/>
        <w:ind w:left="117" w:right="1603"/>
        <w:jc w:val="left"/>
      </w:pPr>
      <w:r>
        <w:rPr/>
        <w:t>法定代表人：黄跃珍</w:t>
        <w:tab/>
        <w:t>主管会计工作负责人：陈建良</w:t>
        <w:tab/>
        <w:t>会计机构负责人：惠小绒</w:t>
      </w:r>
    </w:p>
    <w:p>
      <w:pPr>
        <w:spacing w:after="0" w:line="240" w:lineRule="auto"/>
        <w:jc w:val="left"/>
        <w:sectPr>
          <w:pgSz w:w="11910" w:h="16840"/>
          <w:pgMar w:header="712" w:footer="1264" w:top="980" w:bottom="1460" w:left="1680" w:right="0"/>
        </w:sectPr>
      </w:pPr>
    </w:p>
    <w:p>
      <w:pPr>
        <w:spacing w:line="240" w:lineRule="auto" w:before="9"/>
        <w:rPr>
          <w:rFonts w:ascii="宋体" w:hAnsi="宋体" w:cs="宋体" w:eastAsia="宋体" w:hint="default"/>
          <w:sz w:val="29"/>
          <w:szCs w:val="29"/>
        </w:rPr>
      </w:pPr>
    </w:p>
    <w:p>
      <w:pPr>
        <w:pStyle w:val="Heading3"/>
        <w:spacing w:line="240" w:lineRule="auto"/>
        <w:ind w:left="117" w:right="1603"/>
        <w:jc w:val="left"/>
        <w:rPr>
          <w:b w:val="0"/>
          <w:bCs w:val="0"/>
        </w:rPr>
      </w:pPr>
      <w:bookmarkStart w:name="2、母公司资产负债表" w:id="160"/>
      <w:bookmarkEnd w:id="160"/>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44"/>
        <w:ind w:left="0" w:right="1796"/>
        <w:jc w:val="right"/>
      </w:pPr>
      <w:r>
        <w:rPr/>
        <w:t>单位：元</w:t>
      </w:r>
    </w:p>
    <w:p>
      <w:pPr>
        <w:spacing w:line="240" w:lineRule="auto" w:before="2"/>
        <w:rPr>
          <w:rFonts w:ascii="宋体" w:hAnsi="宋体" w:cs="宋体" w:eastAsia="宋体" w:hint="default"/>
          <w:sz w:val="5"/>
          <w:szCs w:val="5"/>
        </w:rPr>
      </w:pPr>
    </w:p>
    <w:tbl>
      <w:tblPr>
        <w:tblW w:w="0" w:type="auto"/>
        <w:jc w:val="left"/>
        <w:tblInd w:w="112" w:type="dxa"/>
        <w:tblLayout w:type="fixed"/>
        <w:tblCellMar>
          <w:top w:w="0" w:type="dxa"/>
          <w:left w:w="0" w:type="dxa"/>
          <w:bottom w:w="0" w:type="dxa"/>
          <w:right w:w="0" w:type="dxa"/>
        </w:tblCellMar>
        <w:tblLook w:val="01E0"/>
      </w:tblPr>
      <w:tblGrid>
        <w:gridCol w:w="4395"/>
        <w:gridCol w:w="1984"/>
        <w:gridCol w:w="1985"/>
      </w:tblGrid>
      <w:tr>
        <w:trPr>
          <w:trHeight w:val="323"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4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4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324"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3"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2,108,436,978.03</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1,705,942,946.26</w:t>
            </w:r>
          </w:p>
        </w:tc>
      </w:tr>
      <w:tr>
        <w:trPr>
          <w:trHeight w:val="324"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98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以公允价值计量且其变动计入当期损益的金融资产</w:t>
            </w:r>
          </w:p>
        </w:tc>
        <w:tc>
          <w:tcPr>
            <w:tcW w:w="198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38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198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spacing w:val="-1"/>
                <w:sz w:val="18"/>
              </w:rPr>
              <w:t>134,000.00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3,456,776.00</w:t>
            </w:r>
          </w:p>
        </w:tc>
      </w:tr>
      <w:tr>
        <w:trPr>
          <w:trHeight w:val="323"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587,953,543.97</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515,238,201.29</w:t>
            </w:r>
          </w:p>
        </w:tc>
      </w:tr>
      <w:tr>
        <w:trPr>
          <w:trHeight w:val="324"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382"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198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38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8,056,287.95</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5,551,767.85</w:t>
            </w:r>
          </w:p>
        </w:tc>
      </w:tr>
      <w:tr>
        <w:trPr>
          <w:trHeight w:val="324"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38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459,104,098.21</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111,928,330.69</w:t>
            </w:r>
          </w:p>
        </w:tc>
      </w:tr>
      <w:tr>
        <w:trPr>
          <w:trHeight w:val="323"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62"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198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0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400,000,000.00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20,400,000.00</w:t>
            </w:r>
          </w:p>
        </w:tc>
      </w:tr>
      <w:tr>
        <w:trPr>
          <w:trHeight w:val="323"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1,382,784,279.08</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1,543,573,573.61</w:t>
            </w:r>
          </w:p>
        </w:tc>
      </w:tr>
      <w:tr>
        <w:trPr>
          <w:trHeight w:val="323"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382"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198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198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54,932,269.00</w:t>
            </w:r>
          </w:p>
        </w:tc>
      </w:tr>
      <w:tr>
        <w:trPr>
          <w:trHeight w:val="323"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198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38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0"/>
              <w:jc w:val="right"/>
              <w:rPr>
                <w:rFonts w:ascii="Times New Roman" w:hAnsi="Times New Roman" w:cs="Times New Roman" w:eastAsia="Times New Roman" w:hint="default"/>
                <w:sz w:val="18"/>
                <w:szCs w:val="18"/>
              </w:rPr>
            </w:pPr>
            <w:r>
              <w:rPr>
                <w:rFonts w:ascii="Times New Roman"/>
                <w:spacing w:val="-1"/>
                <w:sz w:val="18"/>
              </w:rPr>
              <w:t>7,248,430.13</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0"/>
              <w:jc w:val="right"/>
              <w:rPr>
                <w:rFonts w:ascii="Times New Roman" w:hAnsi="Times New Roman" w:cs="Times New Roman" w:eastAsia="Times New Roman" w:hint="default"/>
                <w:sz w:val="18"/>
                <w:szCs w:val="18"/>
              </w:rPr>
            </w:pPr>
            <w:r>
              <w:rPr>
                <w:rFonts w:ascii="Times New Roman"/>
                <w:spacing w:val="-1"/>
                <w:sz w:val="18"/>
              </w:rPr>
              <w:t>40,281,949.22</w:t>
            </w:r>
          </w:p>
        </w:tc>
      </w:tr>
      <w:tr>
        <w:trPr>
          <w:trHeight w:val="323"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4,553,717,617.37</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3,980,905,813.92</w:t>
            </w:r>
          </w:p>
        </w:tc>
      </w:tr>
      <w:tr>
        <w:trPr>
          <w:trHeight w:val="324"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3"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198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98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0"/>
              <w:jc w:val="right"/>
              <w:rPr>
                <w:rFonts w:ascii="Times New Roman" w:hAnsi="Times New Roman" w:cs="Times New Roman" w:eastAsia="Times New Roman" w:hint="default"/>
                <w:sz w:val="18"/>
                <w:szCs w:val="18"/>
              </w:rPr>
            </w:pPr>
            <w:r>
              <w:rPr>
                <w:rFonts w:ascii="Times New Roman"/>
                <w:spacing w:val="-1"/>
                <w:sz w:val="18"/>
              </w:rPr>
              <w:t>873,326,585.40</w:t>
            </w:r>
          </w:p>
        </w:tc>
      </w:tr>
      <w:tr>
        <w:trPr>
          <w:trHeight w:val="323"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198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198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98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4,933,396,522.55</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4,615,185,421.81</w:t>
            </w:r>
          </w:p>
        </w:tc>
      </w:tr>
      <w:tr>
        <w:trPr>
          <w:trHeight w:val="324"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382"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1,153,297,682.90</w:t>
            </w: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198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98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309,188,849.81</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327,825,942.41</w:t>
            </w:r>
          </w:p>
        </w:tc>
      </w:tr>
      <w:tr>
        <w:trPr>
          <w:trHeight w:val="323"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38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0"/>
              <w:jc w:val="right"/>
              <w:rPr>
                <w:rFonts w:ascii="Times New Roman" w:hAnsi="Times New Roman" w:cs="Times New Roman" w:eastAsia="Times New Roman" w:hint="default"/>
                <w:sz w:val="18"/>
                <w:szCs w:val="18"/>
              </w:rPr>
            </w:pPr>
            <w:r>
              <w:rPr>
                <w:rFonts w:ascii="Times New Roman"/>
                <w:spacing w:val="-1"/>
                <w:sz w:val="18"/>
              </w:rPr>
              <w:t>5,199,171.04</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0"/>
              <w:jc w:val="right"/>
              <w:rPr>
                <w:rFonts w:ascii="Times New Roman" w:hAnsi="Times New Roman" w:cs="Times New Roman" w:eastAsia="Times New Roman" w:hint="default"/>
                <w:sz w:val="18"/>
                <w:szCs w:val="18"/>
              </w:rPr>
            </w:pPr>
            <w:r>
              <w:rPr>
                <w:rFonts w:ascii="Times New Roman"/>
                <w:spacing w:val="-1"/>
                <w:sz w:val="18"/>
              </w:rPr>
              <w:t>8,760,115.81</w:t>
            </w:r>
          </w:p>
        </w:tc>
      </w:tr>
      <w:tr>
        <w:trPr>
          <w:trHeight w:val="324"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38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198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198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198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78,963,604.91</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21,877,890.79</w:t>
            </w:r>
          </w:p>
        </w:tc>
      </w:tr>
      <w:tr>
        <w:trPr>
          <w:trHeight w:val="324"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38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98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98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98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107,308,870.21</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110,458,379.26</w:t>
            </w:r>
          </w:p>
        </w:tc>
      </w:tr>
      <w:tr>
        <w:trPr>
          <w:trHeight w:val="321"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38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98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12" w:footer="1264" w:top="980" w:bottom="1460" w:left="1680" w:right="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9"/>
          <w:szCs w:val="19"/>
        </w:rPr>
      </w:pPr>
    </w:p>
    <w:tbl>
      <w:tblPr>
        <w:tblW w:w="0" w:type="auto"/>
        <w:jc w:val="left"/>
        <w:tblInd w:w="112" w:type="dxa"/>
        <w:tblLayout w:type="fixed"/>
        <w:tblCellMar>
          <w:top w:w="0" w:type="dxa"/>
          <w:left w:w="0" w:type="dxa"/>
          <w:bottom w:w="0" w:type="dxa"/>
          <w:right w:w="0" w:type="dxa"/>
        </w:tblCellMar>
        <w:tblLook w:val="01E0"/>
      </w:tblPr>
      <w:tblGrid>
        <w:gridCol w:w="4395"/>
        <w:gridCol w:w="1984"/>
        <w:gridCol w:w="1985"/>
      </w:tblGrid>
      <w:tr>
        <w:trPr>
          <w:trHeight w:val="323"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6,587,354,701.42</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5,957,434,335.48</w:t>
            </w:r>
          </w:p>
        </w:tc>
      </w:tr>
      <w:tr>
        <w:trPr>
          <w:trHeight w:val="324"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spacing w:val="-1"/>
                <w:sz w:val="18"/>
              </w:rPr>
              <w:t>11,141,072,318.79</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9,938,340,149.40</w:t>
            </w:r>
          </w:p>
        </w:tc>
      </w:tr>
      <w:tr>
        <w:trPr>
          <w:trHeight w:val="323"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4"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98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198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382"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以公允价值计量且其变动计入当期损益的金融负债</w:t>
            </w:r>
          </w:p>
        </w:tc>
        <w:tc>
          <w:tcPr>
            <w:tcW w:w="198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38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198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38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136,444,776.25</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64,773,731.96</w:t>
            </w:r>
          </w:p>
        </w:tc>
      </w:tr>
      <w:tr>
        <w:trPr>
          <w:trHeight w:val="323"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919,784,532.66</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608,393,323.78</w:t>
            </w:r>
          </w:p>
        </w:tc>
      </w:tr>
      <w:tr>
        <w:trPr>
          <w:trHeight w:val="323"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1,056,918,460.30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1,405,953,738.07</w:t>
            </w:r>
          </w:p>
        </w:tc>
      </w:tr>
      <w:tr>
        <w:trPr>
          <w:trHeight w:val="324"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382"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198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139,086,000.00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127,710,000.00</w:t>
            </w:r>
          </w:p>
        </w:tc>
      </w:tr>
      <w:tr>
        <w:trPr>
          <w:trHeight w:val="324"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48,031,061.34</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35,783,166.39</w:t>
            </w:r>
          </w:p>
        </w:tc>
      </w:tr>
      <w:tr>
        <w:trPr>
          <w:trHeight w:val="323"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1,023,495,904.64</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130,345,412.24</w:t>
            </w:r>
          </w:p>
        </w:tc>
      </w:tr>
      <w:tr>
        <w:trPr>
          <w:trHeight w:val="324"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562"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198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0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198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198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198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38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98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2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3,323,760,735.19</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2,372,959,372.44</w:t>
            </w:r>
          </w:p>
        </w:tc>
      </w:tr>
      <w:tr>
        <w:trPr>
          <w:trHeight w:val="323"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4"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98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98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56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198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0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198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198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38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98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38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198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38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98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34,759,557.49</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41,342,074.26</w:t>
            </w:r>
          </w:p>
        </w:tc>
      </w:tr>
      <w:tr>
        <w:trPr>
          <w:trHeight w:val="324"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0"/>
              <w:jc w:val="right"/>
              <w:rPr>
                <w:rFonts w:ascii="Times New Roman" w:hAnsi="Times New Roman" w:cs="Times New Roman" w:eastAsia="Times New Roman" w:hint="default"/>
                <w:sz w:val="18"/>
                <w:szCs w:val="18"/>
              </w:rPr>
            </w:pPr>
            <w:r>
              <w:rPr>
                <w:rFonts w:ascii="Times New Roman"/>
                <w:spacing w:val="-1"/>
                <w:sz w:val="18"/>
              </w:rPr>
              <w:t>23,880,150.00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0"/>
              <w:jc w:val="right"/>
              <w:rPr>
                <w:rFonts w:ascii="Times New Roman" w:hAnsi="Times New Roman" w:cs="Times New Roman" w:eastAsia="Times New Roman" w:hint="default"/>
                <w:sz w:val="18"/>
                <w:szCs w:val="18"/>
              </w:rPr>
            </w:pPr>
            <w:r>
              <w:rPr>
                <w:rFonts w:ascii="Times New Roman"/>
                <w:spacing w:val="-1"/>
                <w:sz w:val="18"/>
              </w:rPr>
              <w:t>23,880,150.00</w:t>
            </w:r>
          </w:p>
        </w:tc>
      </w:tr>
      <w:tr>
        <w:trPr>
          <w:trHeight w:val="323"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98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58,639,707.49</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65,222,224.26</w:t>
            </w:r>
          </w:p>
        </w:tc>
      </w:tr>
      <w:tr>
        <w:trPr>
          <w:trHeight w:val="324"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3,382,400,442.68</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2,438,181,596.70</w:t>
            </w:r>
          </w:p>
        </w:tc>
      </w:tr>
      <w:tr>
        <w:trPr>
          <w:trHeight w:val="323"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4"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38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2,408,993,951.00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2,428,885,725.00</w:t>
            </w:r>
          </w:p>
        </w:tc>
      </w:tr>
      <w:tr>
        <w:trPr>
          <w:trHeight w:val="323"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98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6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198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0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198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38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0"/>
              <w:jc w:val="right"/>
              <w:rPr>
                <w:rFonts w:ascii="Times New Roman" w:hAnsi="Times New Roman" w:cs="Times New Roman" w:eastAsia="Times New Roman" w:hint="default"/>
                <w:sz w:val="18"/>
                <w:szCs w:val="18"/>
              </w:rPr>
            </w:pPr>
            <w:r>
              <w:rPr>
                <w:rFonts w:ascii="Times New Roman"/>
                <w:spacing w:val="-1"/>
                <w:sz w:val="18"/>
              </w:rPr>
              <w:t>2,130,027,498.96</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0"/>
              <w:jc w:val="right"/>
              <w:rPr>
                <w:rFonts w:ascii="Times New Roman" w:hAnsi="Times New Roman" w:cs="Times New Roman" w:eastAsia="Times New Roman" w:hint="default"/>
                <w:sz w:val="18"/>
                <w:szCs w:val="18"/>
              </w:rPr>
            </w:pPr>
            <w:r>
              <w:rPr>
                <w:rFonts w:ascii="Times New Roman"/>
                <w:spacing w:val="-1"/>
                <w:sz w:val="18"/>
              </w:rPr>
              <w:t>2,304,533,814.30</w:t>
            </w:r>
          </w:p>
        </w:tc>
      </w:tr>
      <w:tr>
        <w:trPr>
          <w:trHeight w:val="323"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38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98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113,006,514.72</w:t>
            </w:r>
          </w:p>
        </w:tc>
      </w:tr>
      <w:tr>
        <w:trPr>
          <w:trHeight w:val="321"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-273,075,455.50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-365,400,438.36</w:t>
            </w:r>
          </w:p>
        </w:tc>
      </w:tr>
    </w:tbl>
    <w:p>
      <w:pPr>
        <w:spacing w:after="0" w:line="240" w:lineRule="auto"/>
        <w:jc w:val="right"/>
        <w:rPr>
          <w:rFonts w:ascii="Times New Roman" w:hAnsi="Times New Roman" w:cs="Times New Roman" w:eastAsia="Times New Roman" w:hint="default"/>
          <w:sz w:val="18"/>
          <w:szCs w:val="18"/>
        </w:rPr>
        <w:sectPr>
          <w:pgSz w:w="11910" w:h="16840"/>
          <w:pgMar w:header="712" w:footer="1264" w:top="980" w:bottom="1460" w:left="1680" w:right="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9"/>
          <w:szCs w:val="19"/>
        </w:rPr>
      </w:pPr>
    </w:p>
    <w:tbl>
      <w:tblPr>
        <w:tblW w:w="0" w:type="auto"/>
        <w:jc w:val="left"/>
        <w:tblInd w:w="112" w:type="dxa"/>
        <w:tblLayout w:type="fixed"/>
        <w:tblCellMar>
          <w:top w:w="0" w:type="dxa"/>
          <w:left w:w="0" w:type="dxa"/>
          <w:bottom w:w="0" w:type="dxa"/>
          <w:right w:w="0" w:type="dxa"/>
        </w:tblCellMar>
        <w:tblLook w:val="01E0"/>
      </w:tblPr>
      <w:tblGrid>
        <w:gridCol w:w="4395"/>
        <w:gridCol w:w="1984"/>
        <w:gridCol w:w="1985"/>
      </w:tblGrid>
      <w:tr>
        <w:trPr>
          <w:trHeight w:val="323"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98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682,259,502.34</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628,593,583.41</w:t>
            </w:r>
          </w:p>
        </w:tc>
      </w:tr>
      <w:tr>
        <w:trPr>
          <w:trHeight w:val="323"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2,810,466,379.31</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2,616,552,383.07</w:t>
            </w:r>
          </w:p>
        </w:tc>
      </w:tr>
      <w:tr>
        <w:trPr>
          <w:trHeight w:val="324"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7,758,671,876.11</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7,500,158,552.70</w:t>
            </w:r>
          </w:p>
        </w:tc>
      </w:tr>
      <w:tr>
        <w:trPr>
          <w:trHeight w:val="323"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Times New Roman" w:hAnsi="Times New Roman" w:cs="Times New Roman" w:eastAsia="Times New Roman" w:hint="default"/>
                <w:sz w:val="18"/>
                <w:szCs w:val="18"/>
              </w:rPr>
            </w:pPr>
            <w:r>
              <w:rPr>
                <w:rFonts w:ascii="Times New Roman"/>
                <w:spacing w:val="-1"/>
                <w:sz w:val="18"/>
              </w:rPr>
              <w:t>11,141,072,318.79</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9,938,340,149.40</w:t>
            </w:r>
          </w:p>
        </w:tc>
      </w:tr>
    </w:tbl>
    <w:p>
      <w:pPr>
        <w:spacing w:line="240" w:lineRule="auto" w:before="8"/>
        <w:rPr>
          <w:rFonts w:ascii="Times New Roman" w:hAnsi="Times New Roman" w:cs="Times New Roman" w:eastAsia="Times New Roman" w:hint="default"/>
          <w:sz w:val="19"/>
          <w:szCs w:val="19"/>
        </w:rPr>
      </w:pPr>
    </w:p>
    <w:p>
      <w:pPr>
        <w:pStyle w:val="BodyText"/>
        <w:tabs>
          <w:tab w:pos="3040" w:val="left" w:leader="none"/>
          <w:tab w:pos="6350" w:val="left" w:leader="none"/>
        </w:tabs>
        <w:spacing w:line="240" w:lineRule="auto" w:before="44"/>
        <w:ind w:left="0" w:right="1796"/>
        <w:jc w:val="right"/>
      </w:pPr>
      <w:r>
        <w:rPr>
          <w:spacing w:val="-3"/>
        </w:rPr>
        <w:t>法定代表人：黄跃珍</w:t>
        <w:tab/>
      </w:r>
      <w:r>
        <w:rPr>
          <w:spacing w:val="-2"/>
        </w:rPr>
        <w:t>主管会计工作负责人：陈建良</w:t>
        <w:tab/>
        <w:t>会计机构负责人：惠小绒</w:t>
      </w:r>
    </w:p>
    <w:p>
      <w:pPr>
        <w:spacing w:line="240" w:lineRule="auto" w:before="3"/>
        <w:rPr>
          <w:rFonts w:ascii="宋体" w:hAnsi="宋体" w:cs="宋体" w:eastAsia="宋体" w:hint="default"/>
          <w:sz w:val="22"/>
          <w:szCs w:val="22"/>
        </w:rPr>
      </w:pPr>
    </w:p>
    <w:p>
      <w:pPr>
        <w:pStyle w:val="Heading3"/>
        <w:spacing w:line="240" w:lineRule="auto" w:before="0"/>
        <w:ind w:left="117" w:right="1603"/>
        <w:jc w:val="left"/>
        <w:rPr>
          <w:b w:val="0"/>
          <w:bCs w:val="0"/>
        </w:rPr>
      </w:pPr>
      <w:bookmarkStart w:name="3、合并利润表" w:id="161"/>
      <w:bookmarkEnd w:id="161"/>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4"/>
        <w:rPr>
          <w:rFonts w:ascii="宋体" w:hAnsi="宋体" w:cs="宋体" w:eastAsia="宋体" w:hint="default"/>
          <w:b/>
          <w:bCs/>
          <w:sz w:val="22"/>
          <w:szCs w:val="22"/>
        </w:rPr>
      </w:pPr>
    </w:p>
    <w:p>
      <w:pPr>
        <w:pStyle w:val="BodyText"/>
        <w:spacing w:line="240" w:lineRule="auto"/>
        <w:ind w:left="0" w:right="1796"/>
        <w:jc w:val="right"/>
      </w:pPr>
      <w:r>
        <w:rPr/>
        <w:t>单位：元</w:t>
      </w:r>
    </w:p>
    <w:p>
      <w:pPr>
        <w:spacing w:line="240" w:lineRule="auto" w:before="0"/>
        <w:rPr>
          <w:rFonts w:ascii="宋体" w:hAnsi="宋体" w:cs="宋体" w:eastAsia="宋体" w:hint="default"/>
          <w:sz w:val="5"/>
          <w:szCs w:val="5"/>
        </w:rPr>
      </w:pPr>
    </w:p>
    <w:tbl>
      <w:tblPr>
        <w:tblW w:w="0" w:type="auto"/>
        <w:jc w:val="left"/>
        <w:tblInd w:w="112" w:type="dxa"/>
        <w:tblLayout w:type="fixed"/>
        <w:tblCellMar>
          <w:top w:w="0" w:type="dxa"/>
          <w:left w:w="0" w:type="dxa"/>
          <w:bottom w:w="0" w:type="dxa"/>
          <w:right w:w="0" w:type="dxa"/>
        </w:tblCellMar>
        <w:tblLook w:val="01E0"/>
      </w:tblPr>
      <w:tblGrid>
        <w:gridCol w:w="4395"/>
        <w:gridCol w:w="1984"/>
        <w:gridCol w:w="1985"/>
      </w:tblGrid>
      <w:tr>
        <w:trPr>
          <w:trHeight w:val="323"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6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6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323"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6,496,265,096.84</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5,458,981,768.73</w:t>
            </w:r>
          </w:p>
        </w:tc>
      </w:tr>
      <w:tr>
        <w:trPr>
          <w:trHeight w:val="324"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38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6,496,265,096.84</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5,458,981,768.73</w:t>
            </w:r>
          </w:p>
        </w:tc>
      </w:tr>
      <w:tr>
        <w:trPr>
          <w:trHeight w:val="323"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198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922"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198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922"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198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5,600,295,682.22</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4,646,778,368.45</w:t>
            </w:r>
          </w:p>
        </w:tc>
      </w:tr>
      <w:tr>
        <w:trPr>
          <w:trHeight w:val="323"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3,963,780,374.34</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3,199,915,232.35</w:t>
            </w:r>
          </w:p>
        </w:tc>
      </w:tr>
      <w:tr>
        <w:trPr>
          <w:trHeight w:val="323"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9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198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922"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198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922"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198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922"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198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22" w:right="0"/>
              <w:jc w:val="left"/>
              <w:rPr>
                <w:rFonts w:ascii="宋体" w:hAnsi="宋体" w:cs="宋体" w:eastAsia="宋体" w:hint="default"/>
                <w:sz w:val="18"/>
                <w:szCs w:val="18"/>
              </w:rPr>
            </w:pPr>
            <w:r>
              <w:rPr>
                <w:rFonts w:ascii="宋体" w:hAnsi="宋体" w:cs="宋体" w:eastAsia="宋体" w:hint="default"/>
                <w:sz w:val="18"/>
                <w:szCs w:val="18"/>
              </w:rPr>
              <w:t>提取保险责任合同准备金净额</w:t>
            </w:r>
          </w:p>
        </w:tc>
        <w:tc>
          <w:tcPr>
            <w:tcW w:w="198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922"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198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922"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198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922"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48,341,065.71</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44,793,467.22</w:t>
            </w:r>
          </w:p>
        </w:tc>
      </w:tr>
      <w:tr>
        <w:trPr>
          <w:trHeight w:val="323"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720,007,038.32</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714,652,647.71</w:t>
            </w:r>
          </w:p>
        </w:tc>
      </w:tr>
      <w:tr>
        <w:trPr>
          <w:trHeight w:val="323"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9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399,468,001.72</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385,796,093.24</w:t>
            </w:r>
          </w:p>
        </w:tc>
      </w:tr>
      <w:tr>
        <w:trPr>
          <w:trHeight w:val="324"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92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0"/>
              <w:jc w:val="right"/>
              <w:rPr>
                <w:rFonts w:ascii="Times New Roman" w:hAnsi="Times New Roman" w:cs="Times New Roman" w:eastAsia="Times New Roman" w:hint="default"/>
                <w:sz w:val="18"/>
                <w:szCs w:val="18"/>
              </w:rPr>
            </w:pPr>
            <w:r>
              <w:rPr>
                <w:rFonts w:ascii="Times New Roman"/>
                <w:spacing w:val="-1"/>
                <w:sz w:val="18"/>
              </w:rPr>
              <w:t>537,938,006.45</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0"/>
              <w:jc w:val="right"/>
              <w:rPr>
                <w:rFonts w:ascii="Times New Roman" w:hAnsi="Times New Roman" w:cs="Times New Roman" w:eastAsia="Times New Roman" w:hint="default"/>
                <w:sz w:val="18"/>
                <w:szCs w:val="18"/>
              </w:rPr>
            </w:pPr>
            <w:r>
              <w:rPr>
                <w:rFonts w:ascii="Times New Roman"/>
                <w:spacing w:val="-1"/>
                <w:sz w:val="18"/>
              </w:rPr>
              <w:t>359,029,719.13</w:t>
            </w:r>
          </w:p>
        </w:tc>
      </w:tr>
      <w:tr>
        <w:trPr>
          <w:trHeight w:val="323"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9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-69,238,804.32</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-57,408,791.20</w:t>
            </w:r>
          </w:p>
        </w:tc>
      </w:tr>
      <w:tr>
        <w:trPr>
          <w:trHeight w:val="324"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1102"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3,750,113.84</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3,230,209.16</w:t>
            </w:r>
          </w:p>
        </w:tc>
      </w:tr>
      <w:tr>
        <w:trPr>
          <w:trHeight w:val="323"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380"/>
              <w:jc w:val="center"/>
              <w:rPr>
                <w:rFonts w:ascii="宋体" w:hAnsi="宋体" w:cs="宋体" w:eastAsia="宋体" w:hint="default"/>
                <w:sz w:val="18"/>
                <w:szCs w:val="18"/>
              </w:rPr>
            </w:pPr>
            <w:r>
              <w:rPr>
                <w:rFonts w:ascii="宋体" w:hAnsi="宋体" w:cs="宋体" w:eastAsia="宋体" w:hint="default"/>
                <w:sz w:val="18"/>
                <w:szCs w:val="18"/>
              </w:rPr>
              <w:t>利息收入</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59,344,922.38</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46,851,336.63</w:t>
            </w:r>
          </w:p>
        </w:tc>
      </w:tr>
      <w:tr>
        <w:trPr>
          <w:trHeight w:val="324"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0"/>
              <w:jc w:val="right"/>
              <w:rPr>
                <w:rFonts w:ascii="Times New Roman" w:hAnsi="Times New Roman" w:cs="Times New Roman" w:eastAsia="Times New Roman" w:hint="default"/>
                <w:sz w:val="18"/>
                <w:szCs w:val="18"/>
              </w:rPr>
            </w:pPr>
            <w:r>
              <w:rPr>
                <w:rFonts w:ascii="Times New Roman"/>
                <w:spacing w:val="-1"/>
                <w:sz w:val="18"/>
              </w:rPr>
              <w:t>142,917,152.86</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0"/>
              <w:jc w:val="right"/>
              <w:rPr>
                <w:rFonts w:ascii="Times New Roman" w:hAnsi="Times New Roman" w:cs="Times New Roman" w:eastAsia="Times New Roman" w:hint="default"/>
                <w:sz w:val="18"/>
                <w:szCs w:val="18"/>
              </w:rPr>
            </w:pPr>
            <w:r>
              <w:rPr>
                <w:rFonts w:ascii="Times New Roman"/>
                <w:spacing w:val="-1"/>
                <w:sz w:val="18"/>
              </w:rPr>
              <w:t>147,504,231.81</w:t>
            </w:r>
          </w:p>
        </w:tc>
      </w:tr>
      <w:tr>
        <w:trPr>
          <w:trHeight w:val="323"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74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75,324,559.26</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103,973,184.96</w:t>
            </w:r>
          </w:p>
        </w:tc>
      </w:tr>
      <w:tr>
        <w:trPr>
          <w:trHeight w:val="323"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742"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16,826,457.27</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14,230,072.81</w:t>
            </w:r>
          </w:p>
        </w:tc>
      </w:tr>
      <w:tr>
        <w:trPr>
          <w:trHeight w:val="324"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02" w:right="0"/>
              <w:jc w:val="left"/>
              <w:rPr>
                <w:rFonts w:ascii="宋体" w:hAnsi="宋体" w:cs="宋体" w:eastAsia="宋体" w:hint="default"/>
                <w:sz w:val="18"/>
                <w:szCs w:val="18"/>
              </w:rPr>
            </w:pPr>
            <w:r>
              <w:rPr>
                <w:rFonts w:ascii="宋体" w:hAnsi="宋体" w:cs="宋体" w:eastAsia="宋体" w:hint="default"/>
                <w:sz w:val="18"/>
                <w:szCs w:val="18"/>
              </w:rPr>
              <w:t>以摊余成本计量的金融资产终止确认收益</w:t>
            </w:r>
          </w:p>
        </w:tc>
        <w:tc>
          <w:tcPr>
            <w:tcW w:w="198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742"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8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742" w:right="0"/>
              <w:jc w:val="left"/>
              <w:rPr>
                <w:rFonts w:ascii="宋体" w:hAnsi="宋体" w:cs="宋体" w:eastAsia="宋体" w:hint="default"/>
                <w:sz w:val="18"/>
                <w:szCs w:val="18"/>
              </w:rPr>
            </w:pPr>
            <w:r>
              <w:rPr>
                <w:rFonts w:ascii="宋体" w:hAnsi="宋体" w:cs="宋体" w:eastAsia="宋体" w:hint="default"/>
                <w:sz w:val="18"/>
                <w:szCs w:val="18"/>
              </w:rPr>
              <w:t>净敞口套期收益（损失以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8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742"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8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742" w:right="0"/>
              <w:jc w:val="left"/>
              <w:rPr>
                <w:rFonts w:ascii="宋体" w:hAnsi="宋体" w:cs="宋体" w:eastAsia="宋体" w:hint="default"/>
                <w:sz w:val="18"/>
                <w:szCs w:val="18"/>
              </w:rPr>
            </w:pPr>
            <w:r>
              <w:rPr>
                <w:rFonts w:ascii="宋体" w:hAnsi="宋体" w:cs="宋体" w:eastAsia="宋体" w:hint="default"/>
                <w:sz w:val="18"/>
                <w:szCs w:val="18"/>
              </w:rPr>
              <w:t>信用减值损失（损失以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-9,809,866.12</w:t>
            </w: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742" w:right="0"/>
              <w:jc w:val="left"/>
              <w:rPr>
                <w:rFonts w:ascii="宋体" w:hAnsi="宋体" w:cs="宋体" w:eastAsia="宋体" w:hint="default"/>
                <w:sz w:val="18"/>
                <w:szCs w:val="18"/>
              </w:rPr>
            </w:pPr>
            <w:r>
              <w:rPr>
                <w:rFonts w:ascii="宋体" w:hAnsi="宋体" w:cs="宋体" w:eastAsia="宋体" w:hint="default"/>
                <w:sz w:val="18"/>
                <w:szCs w:val="18"/>
              </w:rPr>
              <w:t>资产减值损失（损失以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-69,058,855.56</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-157,503,938.63</w:t>
            </w:r>
          </w:p>
        </w:tc>
      </w:tr>
      <w:tr>
        <w:trPr>
          <w:trHeight w:val="322"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742"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2"/>
              <w:jc w:val="right"/>
              <w:rPr>
                <w:rFonts w:ascii="Times New Roman" w:hAnsi="Times New Roman" w:cs="Times New Roman" w:eastAsia="Times New Roman" w:hint="default"/>
                <w:sz w:val="18"/>
                <w:szCs w:val="18"/>
              </w:rPr>
            </w:pPr>
            <w:r>
              <w:rPr>
                <w:rFonts w:ascii="Times New Roman"/>
                <w:spacing w:val="-1"/>
                <w:sz w:val="18"/>
              </w:rPr>
              <w:t>768,179.93</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0"/>
              <w:jc w:val="right"/>
              <w:rPr>
                <w:rFonts w:ascii="Times New Roman" w:hAnsi="Times New Roman" w:cs="Times New Roman" w:eastAsia="Times New Roman" w:hint="default"/>
                <w:sz w:val="18"/>
                <w:szCs w:val="18"/>
              </w:rPr>
            </w:pPr>
            <w:r>
              <w:rPr>
                <w:rFonts w:ascii="Times New Roman"/>
                <w:spacing w:val="-1"/>
                <w:sz w:val="18"/>
              </w:rPr>
              <w:t>826,749.98</w:t>
            </w:r>
          </w:p>
        </w:tc>
      </w:tr>
    </w:tbl>
    <w:p>
      <w:pPr>
        <w:spacing w:after="0" w:line="240" w:lineRule="auto"/>
        <w:jc w:val="right"/>
        <w:rPr>
          <w:rFonts w:ascii="Times New Roman" w:hAnsi="Times New Roman" w:cs="Times New Roman" w:eastAsia="Times New Roman" w:hint="default"/>
          <w:sz w:val="18"/>
          <w:szCs w:val="18"/>
        </w:rPr>
        <w:sectPr>
          <w:pgSz w:w="11910" w:h="16840"/>
          <w:pgMar w:header="712" w:footer="1264" w:top="980" w:bottom="1460" w:left="16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tbl>
      <w:tblPr>
        <w:tblW w:w="0" w:type="auto"/>
        <w:jc w:val="left"/>
        <w:tblInd w:w="112" w:type="dxa"/>
        <w:tblLayout w:type="fixed"/>
        <w:tblCellMar>
          <w:top w:w="0" w:type="dxa"/>
          <w:left w:w="0" w:type="dxa"/>
          <w:bottom w:w="0" w:type="dxa"/>
          <w:right w:w="0" w:type="dxa"/>
        </w:tblCellMar>
        <w:tblLook w:val="01E0"/>
      </w:tblPr>
      <w:tblGrid>
        <w:gridCol w:w="4395"/>
        <w:gridCol w:w="1984"/>
        <w:gridCol w:w="1985"/>
      </w:tblGrid>
      <w:tr>
        <w:trPr>
          <w:trHeight w:val="323"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1,036,110,584.99</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907,003,628.40</w:t>
            </w:r>
          </w:p>
        </w:tc>
      </w:tr>
      <w:tr>
        <w:trPr>
          <w:trHeight w:val="324"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20,219,199.82</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6,114,680.22</w:t>
            </w:r>
          </w:p>
        </w:tc>
      </w:tr>
      <w:tr>
        <w:trPr>
          <w:trHeight w:val="323"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22,379,331.33</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13,433,131.81</w:t>
            </w:r>
          </w:p>
        </w:tc>
      </w:tr>
      <w:tr>
        <w:trPr>
          <w:trHeight w:val="324"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1,033,950,453.48</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899,685,176.81</w:t>
            </w:r>
          </w:p>
        </w:tc>
      </w:tr>
      <w:tr>
        <w:trPr>
          <w:trHeight w:val="323"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150,573,575.60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115,679,883.64</w:t>
            </w:r>
          </w:p>
        </w:tc>
      </w:tr>
      <w:tr>
        <w:trPr>
          <w:trHeight w:val="324"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0"/>
              <w:jc w:val="right"/>
              <w:rPr>
                <w:rFonts w:ascii="Times New Roman" w:hAnsi="Times New Roman" w:cs="Times New Roman" w:eastAsia="Times New Roman" w:hint="default"/>
                <w:sz w:val="18"/>
                <w:szCs w:val="18"/>
              </w:rPr>
            </w:pPr>
            <w:r>
              <w:rPr>
                <w:rFonts w:ascii="Times New Roman"/>
                <w:spacing w:val="-1"/>
                <w:sz w:val="18"/>
              </w:rPr>
              <w:t>883,376,877.88</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0"/>
              <w:jc w:val="right"/>
              <w:rPr>
                <w:rFonts w:ascii="Times New Roman" w:hAnsi="Times New Roman" w:cs="Times New Roman" w:eastAsia="Times New Roman" w:hint="default"/>
                <w:sz w:val="18"/>
                <w:szCs w:val="18"/>
              </w:rPr>
            </w:pPr>
            <w:r>
              <w:rPr>
                <w:rFonts w:ascii="Times New Roman"/>
                <w:spacing w:val="-1"/>
                <w:sz w:val="18"/>
              </w:rPr>
              <w:t>784,005,293.17</w:t>
            </w:r>
          </w:p>
        </w:tc>
      </w:tr>
      <w:tr>
        <w:trPr>
          <w:trHeight w:val="323"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02" w:right="0"/>
              <w:jc w:val="left"/>
              <w:rPr>
                <w:rFonts w:ascii="宋体" w:hAnsi="宋体" w:cs="宋体" w:eastAsia="宋体" w:hint="default"/>
                <w:sz w:val="18"/>
                <w:szCs w:val="18"/>
              </w:rPr>
            </w:pPr>
            <w:r>
              <w:rPr>
                <w:rFonts w:ascii="宋体" w:hAnsi="宋体" w:cs="宋体" w:eastAsia="宋体" w:hint="default"/>
                <w:sz w:val="18"/>
                <w:szCs w:val="18"/>
              </w:rPr>
              <w:t>（一）按经营持续性分类</w:t>
            </w:r>
          </w:p>
        </w:tc>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4"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持续经营净利润（净亏损以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883,376,877.88</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784,005,293.17</w:t>
            </w:r>
          </w:p>
        </w:tc>
      </w:tr>
      <w:tr>
        <w:trPr>
          <w:trHeight w:val="323"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终止经营净利润（净亏损以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8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02" w:right="0"/>
              <w:jc w:val="left"/>
              <w:rPr>
                <w:rFonts w:ascii="宋体" w:hAnsi="宋体" w:cs="宋体" w:eastAsia="宋体" w:hint="default"/>
                <w:sz w:val="18"/>
                <w:szCs w:val="18"/>
              </w:rPr>
            </w:pPr>
            <w:r>
              <w:rPr>
                <w:rFonts w:ascii="宋体" w:hAnsi="宋体" w:cs="宋体" w:eastAsia="宋体" w:hint="default"/>
                <w:sz w:val="18"/>
                <w:szCs w:val="18"/>
              </w:rPr>
              <w:t>（二）按所有权归属分类</w:t>
            </w:r>
          </w:p>
        </w:tc>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4"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归属于母公司所有者的净利润</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757,975,682.12</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670,297,043.52</w:t>
            </w:r>
          </w:p>
        </w:tc>
      </w:tr>
      <w:tr>
        <w:trPr>
          <w:trHeight w:val="323"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少数股东损益</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125,401,195.76</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113,708,249.65</w:t>
            </w:r>
          </w:p>
        </w:tc>
      </w:tr>
      <w:tr>
        <w:trPr>
          <w:trHeight w:val="324"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93,840,369.74</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-275,433,229.18</w:t>
            </w:r>
          </w:p>
        </w:tc>
      </w:tr>
      <w:tr>
        <w:trPr>
          <w:trHeight w:val="323"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02" w:right="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归属母公司所有者的其他综合收益的税后净额</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93,840,369.74</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-275,433,229.18</w:t>
            </w:r>
          </w:p>
        </w:tc>
      </w:tr>
      <w:tr>
        <w:trPr>
          <w:trHeight w:val="324"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382" w:right="0"/>
              <w:jc w:val="left"/>
              <w:rPr>
                <w:rFonts w:ascii="宋体" w:hAnsi="宋体" w:cs="宋体" w:eastAsia="宋体" w:hint="default"/>
                <w:sz w:val="18"/>
                <w:szCs w:val="18"/>
              </w:rPr>
            </w:pPr>
            <w:r>
              <w:rPr>
                <w:rFonts w:ascii="宋体" w:hAnsi="宋体" w:cs="宋体" w:eastAsia="宋体" w:hint="default"/>
                <w:sz w:val="18"/>
                <w:szCs w:val="18"/>
              </w:rPr>
              <w:t>（一）不能重分类进损益的其他综合收益</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91,711,036.22</w:t>
            </w: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重新计量设定受益计划变动额</w:t>
            </w:r>
          </w:p>
        </w:tc>
        <w:tc>
          <w:tcPr>
            <w:tcW w:w="198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权益法下不能转损益的其他综合收益</w:t>
            </w:r>
          </w:p>
        </w:tc>
        <w:tc>
          <w:tcPr>
            <w:tcW w:w="198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其他权益工具投资公允价值变动</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0"/>
              <w:jc w:val="right"/>
              <w:rPr>
                <w:rFonts w:ascii="Times New Roman" w:hAnsi="Times New Roman" w:cs="Times New Roman" w:eastAsia="Times New Roman" w:hint="default"/>
                <w:sz w:val="18"/>
                <w:szCs w:val="18"/>
              </w:rPr>
            </w:pPr>
            <w:r>
              <w:rPr>
                <w:rFonts w:ascii="Times New Roman"/>
                <w:spacing w:val="-1"/>
                <w:sz w:val="18"/>
              </w:rPr>
              <w:t>91,711,036.22</w:t>
            </w: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企业自身信用风险公允价值变动</w:t>
            </w:r>
          </w:p>
        </w:tc>
        <w:tc>
          <w:tcPr>
            <w:tcW w:w="198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198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（二）将重分类进损益的其他综合收益</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2,129,333.52</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-275,433,229.18</w:t>
            </w:r>
          </w:p>
        </w:tc>
      </w:tr>
      <w:tr>
        <w:trPr>
          <w:trHeight w:val="324"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权益法下可转损益的其他综合收益</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Times New Roman" w:hAnsi="Times New Roman" w:cs="Times New Roman" w:eastAsia="Times New Roman" w:hint="default"/>
                <w:sz w:val="18"/>
                <w:szCs w:val="18"/>
              </w:rPr>
            </w:pPr>
            <w:r>
              <w:rPr>
                <w:rFonts w:ascii="Times New Roman"/>
                <w:spacing w:val="-1"/>
                <w:sz w:val="18"/>
              </w:rPr>
              <w:t>4,128.91</w:t>
            </w: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其他债权投资公允价值变动</w:t>
            </w:r>
          </w:p>
        </w:tc>
        <w:tc>
          <w:tcPr>
            <w:tcW w:w="198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可供出售金融资产公允价值变动损益</w:t>
            </w:r>
          </w:p>
        </w:tc>
        <w:tc>
          <w:tcPr>
            <w:tcW w:w="198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-275,396,685.99</w:t>
            </w:r>
          </w:p>
        </w:tc>
      </w:tr>
      <w:tr>
        <w:trPr>
          <w:trHeight w:val="323"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金融资产重分类计入其他综合收益的金额</w:t>
            </w:r>
          </w:p>
        </w:tc>
        <w:tc>
          <w:tcPr>
            <w:tcW w:w="198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before="11"/>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持有至到期投资重分类为可供出售金融资</w:t>
            </w:r>
          </w:p>
          <w:p>
            <w:pPr>
              <w:pStyle w:val="TableParagraph"/>
              <w:spacing w:line="227" w:lineRule="exact"/>
              <w:ind w:left="22" w:right="0"/>
              <w:jc w:val="left"/>
              <w:rPr>
                <w:rFonts w:ascii="宋体" w:hAnsi="宋体" w:cs="宋体" w:eastAsia="宋体" w:hint="default"/>
                <w:sz w:val="18"/>
                <w:szCs w:val="18"/>
              </w:rPr>
            </w:pPr>
            <w:r>
              <w:rPr>
                <w:rFonts w:ascii="宋体" w:hAnsi="宋体" w:cs="宋体" w:eastAsia="宋体" w:hint="default"/>
                <w:sz w:val="18"/>
                <w:szCs w:val="18"/>
              </w:rPr>
              <w:t>产损益</w:t>
            </w:r>
          </w:p>
        </w:tc>
        <w:tc>
          <w:tcPr>
            <w:tcW w:w="198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其他债权投资信用减值准备</w:t>
            </w:r>
          </w:p>
        </w:tc>
        <w:tc>
          <w:tcPr>
            <w:tcW w:w="198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198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外币财务报表折算差额</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2,125,204.61</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-36,543.19</w:t>
            </w:r>
          </w:p>
        </w:tc>
      </w:tr>
      <w:tr>
        <w:trPr>
          <w:trHeight w:val="324"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198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02" w:right="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归属于少数股东的其他综合收益的税后净额</w:t>
            </w:r>
          </w:p>
        </w:tc>
        <w:tc>
          <w:tcPr>
            <w:tcW w:w="198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977,217,247.62</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508,572,063.99</w:t>
            </w:r>
          </w:p>
        </w:tc>
      </w:tr>
      <w:tr>
        <w:trPr>
          <w:trHeight w:val="324"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归属于母公司所有者的综合收益总额</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851,816,051.86</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394,863,814.34</w:t>
            </w:r>
          </w:p>
        </w:tc>
      </w:tr>
      <w:tr>
        <w:trPr>
          <w:trHeight w:val="323"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125,401,195.76</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113,708,249.65</w:t>
            </w:r>
          </w:p>
        </w:tc>
      </w:tr>
      <w:tr>
        <w:trPr>
          <w:trHeight w:val="324"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3"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z w:val="18"/>
              </w:rPr>
              <w:t>0.31</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0.28</w:t>
            </w:r>
          </w:p>
        </w:tc>
      </w:tr>
      <w:tr>
        <w:trPr>
          <w:trHeight w:val="324"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38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0"/>
              <w:jc w:val="right"/>
              <w:rPr>
                <w:rFonts w:ascii="Times New Roman" w:hAnsi="Times New Roman" w:cs="Times New Roman" w:eastAsia="Times New Roman" w:hint="default"/>
                <w:sz w:val="18"/>
                <w:szCs w:val="18"/>
              </w:rPr>
            </w:pPr>
            <w:r>
              <w:rPr>
                <w:rFonts w:ascii="Times New Roman"/>
                <w:sz w:val="18"/>
              </w:rPr>
              <w:t>0.31</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0"/>
              <w:jc w:val="right"/>
              <w:rPr>
                <w:rFonts w:ascii="Times New Roman" w:hAnsi="Times New Roman" w:cs="Times New Roman" w:eastAsia="Times New Roman" w:hint="default"/>
                <w:sz w:val="18"/>
                <w:szCs w:val="18"/>
              </w:rPr>
            </w:pPr>
            <w:r>
              <w:rPr>
                <w:rFonts w:ascii="Times New Roman"/>
                <w:spacing w:val="-1"/>
                <w:sz w:val="18"/>
              </w:rPr>
              <w:t>0.28</w:t>
            </w:r>
          </w:p>
        </w:tc>
      </w:tr>
    </w:tbl>
    <w:p>
      <w:pPr>
        <w:pStyle w:val="BodyText"/>
        <w:spacing w:line="232" w:lineRule="exact" w:before="36"/>
        <w:ind w:left="117" w:right="1811"/>
        <w:jc w:val="left"/>
      </w:pPr>
      <w:r>
        <w:rPr/>
        <w:t>本期发生同一控制下企业合并的，被合并方在合并前实现的净利润为：</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元，上期被合并方实现的净利 润为：</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1"/>
        <w:rPr>
          <w:rFonts w:ascii="宋体" w:hAnsi="宋体" w:cs="宋体" w:eastAsia="宋体" w:hint="default"/>
          <w:sz w:val="21"/>
          <w:szCs w:val="21"/>
        </w:rPr>
      </w:pPr>
    </w:p>
    <w:p>
      <w:pPr>
        <w:pStyle w:val="BodyText"/>
        <w:tabs>
          <w:tab w:pos="3247" w:val="left" w:leader="none"/>
          <w:tab w:pos="6467" w:val="left" w:leader="none"/>
        </w:tabs>
        <w:spacing w:line="240" w:lineRule="auto"/>
        <w:ind w:left="117" w:right="1603"/>
        <w:jc w:val="left"/>
      </w:pPr>
      <w:r>
        <w:rPr>
          <w:spacing w:val="-3"/>
        </w:rPr>
        <w:t>法定代表人：黄跃珍</w:t>
        <w:tab/>
      </w:r>
      <w:r>
        <w:rPr>
          <w:spacing w:val="-2"/>
        </w:rPr>
        <w:t>主管会计工作负责人：陈建良</w:t>
        <w:tab/>
        <w:t>会计机构负责人：惠小绒</w:t>
      </w:r>
    </w:p>
    <w:p>
      <w:pPr>
        <w:spacing w:after="0" w:line="240" w:lineRule="auto"/>
        <w:jc w:val="left"/>
        <w:sectPr>
          <w:footerReference w:type="default" r:id="rId40"/>
          <w:pgSz w:w="11910" w:h="16840"/>
          <w:pgMar w:footer="1264" w:header="712" w:top="980" w:bottom="1460" w:left="1680" w:right="0"/>
          <w:pgNumType w:start="100"/>
        </w:sectPr>
      </w:pPr>
    </w:p>
    <w:p>
      <w:pPr>
        <w:spacing w:line="240" w:lineRule="auto" w:before="9"/>
        <w:rPr>
          <w:rFonts w:ascii="宋体" w:hAnsi="宋体" w:cs="宋体" w:eastAsia="宋体" w:hint="default"/>
          <w:sz w:val="29"/>
          <w:szCs w:val="29"/>
        </w:rPr>
      </w:pPr>
    </w:p>
    <w:p>
      <w:pPr>
        <w:pStyle w:val="Heading3"/>
        <w:spacing w:line="240" w:lineRule="auto"/>
        <w:ind w:left="117" w:right="1603"/>
        <w:jc w:val="left"/>
        <w:rPr>
          <w:b w:val="0"/>
          <w:bCs w:val="0"/>
        </w:rPr>
      </w:pPr>
      <w:bookmarkStart w:name="4、母公司利润表" w:id="162"/>
      <w:bookmarkEnd w:id="162"/>
      <w:r>
        <w:rPr>
          <w:b w:val="0"/>
          <w:bCs w:val="0"/>
        </w:rPr>
      </w:r>
      <w:r>
        <w:rPr>
          <w:rFonts w:ascii="Times New Roman" w:hAnsi="Times New Roman" w:cs="Times New Roman" w:eastAsia="Times New Roman" w:hint="default"/>
        </w:rPr>
        <w:t>4</w:t>
      </w:r>
      <w:r>
        <w:rPr/>
        <w:t>、母公司利润表</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44"/>
        <w:ind w:left="0" w:right="1796"/>
        <w:jc w:val="right"/>
      </w:pPr>
      <w:r>
        <w:rPr/>
        <w:t>单位：元</w:t>
      </w:r>
    </w:p>
    <w:p>
      <w:pPr>
        <w:spacing w:line="240" w:lineRule="auto" w:before="2"/>
        <w:rPr>
          <w:rFonts w:ascii="宋体" w:hAnsi="宋体" w:cs="宋体" w:eastAsia="宋体" w:hint="default"/>
          <w:sz w:val="5"/>
          <w:szCs w:val="5"/>
        </w:rPr>
      </w:pPr>
    </w:p>
    <w:tbl>
      <w:tblPr>
        <w:tblW w:w="0" w:type="auto"/>
        <w:jc w:val="left"/>
        <w:tblInd w:w="112" w:type="dxa"/>
        <w:tblLayout w:type="fixed"/>
        <w:tblCellMar>
          <w:top w:w="0" w:type="dxa"/>
          <w:left w:w="0" w:type="dxa"/>
          <w:bottom w:w="0" w:type="dxa"/>
          <w:right w:w="0" w:type="dxa"/>
        </w:tblCellMar>
        <w:tblLook w:val="01E0"/>
      </w:tblPr>
      <w:tblGrid>
        <w:gridCol w:w="4395"/>
        <w:gridCol w:w="1872"/>
        <w:gridCol w:w="2097"/>
      </w:tblGrid>
      <w:tr>
        <w:trPr>
          <w:trHeight w:val="323"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4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66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324"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2,261,189,522.91</w:t>
            </w:r>
          </w:p>
        </w:tc>
        <w:tc>
          <w:tcPr>
            <w:tcW w:w="2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2,079,527,076.22</w:t>
            </w:r>
          </w:p>
        </w:tc>
      </w:tr>
      <w:tr>
        <w:trPr>
          <w:trHeight w:val="323"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1,592,093,582.32</w:t>
            </w:r>
          </w:p>
        </w:tc>
        <w:tc>
          <w:tcPr>
            <w:tcW w:w="2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1,296,679,883.82</w:t>
            </w:r>
          </w:p>
        </w:tc>
      </w:tr>
      <w:tr>
        <w:trPr>
          <w:trHeight w:val="324"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742"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13,846,078.02</w:t>
            </w:r>
          </w:p>
        </w:tc>
        <w:tc>
          <w:tcPr>
            <w:tcW w:w="2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13,088,424.56</w:t>
            </w:r>
          </w:p>
        </w:tc>
      </w:tr>
      <w:tr>
        <w:trPr>
          <w:trHeight w:val="323"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74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311,955,217.82</w:t>
            </w:r>
          </w:p>
        </w:tc>
        <w:tc>
          <w:tcPr>
            <w:tcW w:w="2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383,004,037.97</w:t>
            </w:r>
          </w:p>
        </w:tc>
      </w:tr>
      <w:tr>
        <w:trPr>
          <w:trHeight w:val="324"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74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100,573,473.96</w:t>
            </w:r>
          </w:p>
        </w:tc>
        <w:tc>
          <w:tcPr>
            <w:tcW w:w="2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103,110,739.24</w:t>
            </w:r>
          </w:p>
        </w:tc>
      </w:tr>
      <w:tr>
        <w:trPr>
          <w:trHeight w:val="323"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74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213,669,084.71</w:t>
            </w:r>
          </w:p>
        </w:tc>
        <w:tc>
          <w:tcPr>
            <w:tcW w:w="2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214,010,486.57</w:t>
            </w:r>
          </w:p>
        </w:tc>
      </w:tr>
      <w:tr>
        <w:trPr>
          <w:trHeight w:val="323"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74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-41,949,660.67</w:t>
            </w:r>
          </w:p>
        </w:tc>
        <w:tc>
          <w:tcPr>
            <w:tcW w:w="2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-50,815,813.43</w:t>
            </w:r>
          </w:p>
        </w:tc>
      </w:tr>
      <w:tr>
        <w:trPr>
          <w:trHeight w:val="324"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922"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1872" w:type="dxa"/>
            <w:tcBorders>
              <w:top w:val="single" w:sz="4" w:space="0" w:color="000000"/>
              <w:left w:val="single" w:sz="4" w:space="0" w:color="000000"/>
              <w:bottom w:val="single" w:sz="4" w:space="0" w:color="000000"/>
              <w:right w:val="single" w:sz="4" w:space="0" w:color="000000"/>
            </w:tcBorders>
          </w:tcPr>
          <w:p>
            <w:pPr/>
          </w:p>
        </w:tc>
        <w:tc>
          <w:tcPr>
            <w:tcW w:w="209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740"/>
              <w:jc w:val="center"/>
              <w:rPr>
                <w:rFonts w:ascii="宋体" w:hAnsi="宋体" w:cs="宋体" w:eastAsia="宋体" w:hint="default"/>
                <w:sz w:val="18"/>
                <w:szCs w:val="18"/>
              </w:rPr>
            </w:pPr>
            <w:r>
              <w:rPr>
                <w:rFonts w:ascii="宋体" w:hAnsi="宋体" w:cs="宋体" w:eastAsia="宋体" w:hint="default"/>
                <w:sz w:val="18"/>
                <w:szCs w:val="18"/>
              </w:rPr>
              <w:t>利息收入</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21,140,266.57</w:t>
            </w:r>
          </w:p>
        </w:tc>
        <w:tc>
          <w:tcPr>
            <w:tcW w:w="2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18,860,490.02</w:t>
            </w:r>
          </w:p>
        </w:tc>
      </w:tr>
      <w:tr>
        <w:trPr>
          <w:trHeight w:val="324"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382"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69,003,307.14</w:t>
            </w:r>
          </w:p>
        </w:tc>
        <w:tc>
          <w:tcPr>
            <w:tcW w:w="2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91,053,094.53</w:t>
            </w:r>
          </w:p>
        </w:tc>
      </w:tr>
      <w:tr>
        <w:trPr>
          <w:trHeight w:val="323"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74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428,939,659.13</w:t>
            </w:r>
          </w:p>
        </w:tc>
        <w:tc>
          <w:tcPr>
            <w:tcW w:w="2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35,911,149.46</w:t>
            </w:r>
          </w:p>
        </w:tc>
      </w:tr>
      <w:tr>
        <w:trPr>
          <w:trHeight w:val="324"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742"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18,618,410.35</w:t>
            </w:r>
          </w:p>
        </w:tc>
        <w:tc>
          <w:tcPr>
            <w:tcW w:w="2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13,177,633.39</w:t>
            </w:r>
          </w:p>
        </w:tc>
      </w:tr>
      <w:tr>
        <w:trPr>
          <w:trHeight w:val="556"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11"/>
              <w:ind w:left="1102" w:right="0"/>
              <w:jc w:val="left"/>
              <w:rPr>
                <w:rFonts w:ascii="宋体" w:hAnsi="宋体" w:cs="宋体" w:eastAsia="宋体" w:hint="default"/>
                <w:sz w:val="18"/>
                <w:szCs w:val="18"/>
              </w:rPr>
            </w:pPr>
            <w:r>
              <w:rPr>
                <w:rFonts w:ascii="宋体" w:hAnsi="宋体" w:cs="宋体" w:eastAsia="宋体" w:hint="default"/>
                <w:sz w:val="18"/>
                <w:szCs w:val="18"/>
              </w:rPr>
              <w:t>以摊余成本计量的金融资产终止确认收益</w:t>
            </w:r>
          </w:p>
          <w:p>
            <w:pPr>
              <w:pStyle w:val="TableParagraph"/>
              <w:spacing w:line="248" w:lineRule="exact"/>
              <w:ind w:left="22" w:right="0"/>
              <w:jc w:val="left"/>
              <w:rPr>
                <w:rFonts w:ascii="宋体" w:hAnsi="宋体" w:cs="宋体" w:eastAsia="宋体" w:hint="default"/>
                <w:sz w:val="18"/>
                <w:szCs w:val="18"/>
              </w:rPr>
            </w:pPr>
            <w:r>
              <w:rPr>
                <w:rFonts w:ascii="宋体" w:hAnsi="宋体" w:cs="宋体" w:eastAsia="宋体" w:hint="default"/>
                <w:sz w:val="18"/>
                <w:szCs w:val="18"/>
              </w:rPr>
              <w:t>（损失以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872" w:type="dxa"/>
            <w:tcBorders>
              <w:top w:val="single" w:sz="4" w:space="0" w:color="000000"/>
              <w:left w:val="single" w:sz="4" w:space="0" w:color="000000"/>
              <w:bottom w:val="single" w:sz="4" w:space="0" w:color="000000"/>
              <w:right w:val="single" w:sz="4" w:space="0" w:color="000000"/>
            </w:tcBorders>
          </w:tcPr>
          <w:p>
            <w:pPr/>
          </w:p>
        </w:tc>
        <w:tc>
          <w:tcPr>
            <w:tcW w:w="209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742" w:right="0"/>
              <w:jc w:val="left"/>
              <w:rPr>
                <w:rFonts w:ascii="宋体" w:hAnsi="宋体" w:cs="宋体" w:eastAsia="宋体" w:hint="default"/>
                <w:sz w:val="18"/>
                <w:szCs w:val="18"/>
              </w:rPr>
            </w:pPr>
            <w:r>
              <w:rPr>
                <w:rFonts w:ascii="宋体" w:hAnsi="宋体" w:cs="宋体" w:eastAsia="宋体" w:hint="default"/>
                <w:sz w:val="18"/>
                <w:szCs w:val="18"/>
              </w:rPr>
              <w:t>净敞口套期收益（损失以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872" w:type="dxa"/>
            <w:tcBorders>
              <w:top w:val="single" w:sz="4" w:space="0" w:color="000000"/>
              <w:left w:val="single" w:sz="4" w:space="0" w:color="000000"/>
              <w:bottom w:val="single" w:sz="4" w:space="0" w:color="000000"/>
              <w:right w:val="single" w:sz="4" w:space="0" w:color="000000"/>
            </w:tcBorders>
          </w:tcPr>
          <w:p>
            <w:pPr/>
          </w:p>
        </w:tc>
        <w:tc>
          <w:tcPr>
            <w:tcW w:w="209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742"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872" w:type="dxa"/>
            <w:tcBorders>
              <w:top w:val="single" w:sz="4" w:space="0" w:color="000000"/>
              <w:left w:val="single" w:sz="4" w:space="0" w:color="000000"/>
              <w:bottom w:val="single" w:sz="4" w:space="0" w:color="000000"/>
              <w:right w:val="single" w:sz="4" w:space="0" w:color="000000"/>
            </w:tcBorders>
          </w:tcPr>
          <w:p>
            <w:pPr/>
          </w:p>
        </w:tc>
        <w:tc>
          <w:tcPr>
            <w:tcW w:w="209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742" w:right="0"/>
              <w:jc w:val="left"/>
              <w:rPr>
                <w:rFonts w:ascii="宋体" w:hAnsi="宋体" w:cs="宋体" w:eastAsia="宋体" w:hint="default"/>
                <w:sz w:val="18"/>
                <w:szCs w:val="18"/>
              </w:rPr>
            </w:pPr>
            <w:r>
              <w:rPr>
                <w:rFonts w:ascii="宋体" w:hAnsi="宋体" w:cs="宋体" w:eastAsia="宋体" w:hint="default"/>
                <w:sz w:val="18"/>
                <w:szCs w:val="18"/>
              </w:rPr>
              <w:t>信用减值损失（损失以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8,149,227.25</w:t>
            </w:r>
          </w:p>
        </w:tc>
        <w:tc>
          <w:tcPr>
            <w:tcW w:w="209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742" w:right="0"/>
              <w:jc w:val="left"/>
              <w:rPr>
                <w:rFonts w:ascii="宋体" w:hAnsi="宋体" w:cs="宋体" w:eastAsia="宋体" w:hint="default"/>
                <w:sz w:val="18"/>
                <w:szCs w:val="18"/>
              </w:rPr>
            </w:pPr>
            <w:r>
              <w:rPr>
                <w:rFonts w:ascii="宋体" w:hAnsi="宋体" w:cs="宋体" w:eastAsia="宋体" w:hint="default"/>
                <w:sz w:val="18"/>
                <w:szCs w:val="18"/>
              </w:rPr>
              <w:t>资产减值损失（损失以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-43,955,410.04</w:t>
            </w:r>
          </w:p>
        </w:tc>
        <w:tc>
          <w:tcPr>
            <w:tcW w:w="2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-109,997,317.74</w:t>
            </w:r>
          </w:p>
        </w:tc>
      </w:tr>
      <w:tr>
        <w:trPr>
          <w:trHeight w:val="324"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742"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0"/>
              <w:jc w:val="right"/>
              <w:rPr>
                <w:rFonts w:ascii="Times New Roman" w:hAnsi="Times New Roman" w:cs="Times New Roman" w:eastAsia="Times New Roman" w:hint="default"/>
                <w:sz w:val="18"/>
                <w:szCs w:val="18"/>
              </w:rPr>
            </w:pPr>
            <w:r>
              <w:rPr>
                <w:rFonts w:ascii="Times New Roman"/>
                <w:spacing w:val="-1"/>
                <w:sz w:val="18"/>
              </w:rPr>
              <w:t>417,399.31</w:t>
            </w:r>
          </w:p>
        </w:tc>
        <w:tc>
          <w:tcPr>
            <w:tcW w:w="2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0"/>
              <w:jc w:val="right"/>
              <w:rPr>
                <w:rFonts w:ascii="Times New Roman" w:hAnsi="Times New Roman" w:cs="Times New Roman" w:eastAsia="Times New Roman" w:hint="default"/>
                <w:sz w:val="18"/>
                <w:szCs w:val="18"/>
              </w:rPr>
            </w:pPr>
            <w:r>
              <w:rPr>
                <w:rFonts w:ascii="Times New Roman"/>
                <w:spacing w:val="-1"/>
                <w:sz w:val="18"/>
              </w:rPr>
              <w:t>297,698.41</w:t>
            </w:r>
          </w:p>
        </w:tc>
      </w:tr>
      <w:tr>
        <w:trPr>
          <w:trHeight w:val="323"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533,555,929.54</w:t>
            </w:r>
          </w:p>
        </w:tc>
        <w:tc>
          <w:tcPr>
            <w:tcW w:w="2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137,713,942.15</w:t>
            </w:r>
          </w:p>
        </w:tc>
      </w:tr>
      <w:tr>
        <w:trPr>
          <w:trHeight w:val="324"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11,083,371.10</w:t>
            </w:r>
          </w:p>
        </w:tc>
        <w:tc>
          <w:tcPr>
            <w:tcW w:w="2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2,529,824.81</w:t>
            </w:r>
          </w:p>
        </w:tc>
      </w:tr>
      <w:tr>
        <w:trPr>
          <w:trHeight w:val="323"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12,243,141.85</w:t>
            </w:r>
          </w:p>
        </w:tc>
        <w:tc>
          <w:tcPr>
            <w:tcW w:w="2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8,895,463.60</w:t>
            </w:r>
          </w:p>
        </w:tc>
      </w:tr>
      <w:tr>
        <w:trPr>
          <w:trHeight w:val="323"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532,396,158.79</w:t>
            </w:r>
          </w:p>
        </w:tc>
        <w:tc>
          <w:tcPr>
            <w:tcW w:w="2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131,348,303.36</w:t>
            </w:r>
          </w:p>
        </w:tc>
      </w:tr>
      <w:tr>
        <w:trPr>
          <w:trHeight w:val="324"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pacing w:val="-1"/>
                <w:sz w:val="18"/>
              </w:rPr>
              <w:t>-4,263,030.50</w:t>
            </w:r>
          </w:p>
        </w:tc>
        <w:tc>
          <w:tcPr>
            <w:tcW w:w="2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-3,792,695.60</w:t>
            </w:r>
          </w:p>
        </w:tc>
      </w:tr>
      <w:tr>
        <w:trPr>
          <w:trHeight w:val="323"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536,659,189.29</w:t>
            </w:r>
          </w:p>
        </w:tc>
        <w:tc>
          <w:tcPr>
            <w:tcW w:w="2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135,140,998.96</w:t>
            </w:r>
          </w:p>
        </w:tc>
      </w:tr>
      <w:tr>
        <w:trPr>
          <w:trHeight w:val="324"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（一）持续经营净利润（净亏损以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536,659,189.29</w:t>
            </w:r>
          </w:p>
        </w:tc>
        <w:tc>
          <w:tcPr>
            <w:tcW w:w="2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135,140,998.96</w:t>
            </w:r>
          </w:p>
        </w:tc>
      </w:tr>
      <w:tr>
        <w:trPr>
          <w:trHeight w:val="323"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（二）终止经营净利润（净亏损以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872" w:type="dxa"/>
            <w:tcBorders>
              <w:top w:val="single" w:sz="4" w:space="0" w:color="000000"/>
              <w:left w:val="single" w:sz="4" w:space="0" w:color="000000"/>
              <w:bottom w:val="single" w:sz="4" w:space="0" w:color="000000"/>
              <w:right w:val="single" w:sz="4" w:space="0" w:color="000000"/>
            </w:tcBorders>
          </w:tcPr>
          <w:p>
            <w:pPr/>
          </w:p>
        </w:tc>
        <w:tc>
          <w:tcPr>
            <w:tcW w:w="209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0"/>
              <w:jc w:val="right"/>
              <w:rPr>
                <w:rFonts w:ascii="Times New Roman" w:hAnsi="Times New Roman" w:cs="Times New Roman" w:eastAsia="Times New Roman" w:hint="default"/>
                <w:sz w:val="18"/>
                <w:szCs w:val="18"/>
              </w:rPr>
            </w:pPr>
            <w:r>
              <w:rPr>
                <w:rFonts w:ascii="Times New Roman"/>
                <w:spacing w:val="-1"/>
                <w:sz w:val="18"/>
              </w:rPr>
              <w:t>92,324,982.86</w:t>
            </w:r>
          </w:p>
        </w:tc>
        <w:tc>
          <w:tcPr>
            <w:tcW w:w="2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0"/>
              <w:jc w:val="right"/>
              <w:rPr>
                <w:rFonts w:ascii="Times New Roman" w:hAnsi="Times New Roman" w:cs="Times New Roman" w:eastAsia="Times New Roman" w:hint="default"/>
                <w:sz w:val="18"/>
                <w:szCs w:val="18"/>
              </w:rPr>
            </w:pPr>
            <w:r>
              <w:rPr>
                <w:rFonts w:ascii="Times New Roman"/>
                <w:spacing w:val="-1"/>
                <w:sz w:val="18"/>
              </w:rPr>
              <w:t>-275,396,685.99</w:t>
            </w:r>
          </w:p>
        </w:tc>
      </w:tr>
      <w:tr>
        <w:trPr>
          <w:trHeight w:val="323"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382" w:right="0"/>
              <w:jc w:val="left"/>
              <w:rPr>
                <w:rFonts w:ascii="宋体" w:hAnsi="宋体" w:cs="宋体" w:eastAsia="宋体" w:hint="default"/>
                <w:sz w:val="18"/>
                <w:szCs w:val="18"/>
              </w:rPr>
            </w:pPr>
            <w:r>
              <w:rPr>
                <w:rFonts w:ascii="宋体" w:hAnsi="宋体" w:cs="宋体" w:eastAsia="宋体" w:hint="default"/>
                <w:sz w:val="18"/>
                <w:szCs w:val="18"/>
              </w:rPr>
              <w:t>（一）不能重分类进损益的其他综合收益</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92,324,982.86</w:t>
            </w:r>
          </w:p>
        </w:tc>
        <w:tc>
          <w:tcPr>
            <w:tcW w:w="209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重新计量设定受益计划变动额</w:t>
            </w:r>
          </w:p>
        </w:tc>
        <w:tc>
          <w:tcPr>
            <w:tcW w:w="1872" w:type="dxa"/>
            <w:tcBorders>
              <w:top w:val="single" w:sz="4" w:space="0" w:color="000000"/>
              <w:left w:val="single" w:sz="4" w:space="0" w:color="000000"/>
              <w:bottom w:val="single" w:sz="4" w:space="0" w:color="000000"/>
              <w:right w:val="single" w:sz="4" w:space="0" w:color="000000"/>
            </w:tcBorders>
          </w:tcPr>
          <w:p>
            <w:pPr/>
          </w:p>
        </w:tc>
        <w:tc>
          <w:tcPr>
            <w:tcW w:w="209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权益法下不能转损益的其他综合收益</w:t>
            </w:r>
          </w:p>
        </w:tc>
        <w:tc>
          <w:tcPr>
            <w:tcW w:w="1872" w:type="dxa"/>
            <w:tcBorders>
              <w:top w:val="single" w:sz="4" w:space="0" w:color="000000"/>
              <w:left w:val="single" w:sz="4" w:space="0" w:color="000000"/>
              <w:bottom w:val="single" w:sz="4" w:space="0" w:color="000000"/>
              <w:right w:val="single" w:sz="4" w:space="0" w:color="000000"/>
            </w:tcBorders>
          </w:tcPr>
          <w:p>
            <w:pPr/>
          </w:p>
        </w:tc>
        <w:tc>
          <w:tcPr>
            <w:tcW w:w="209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其他权益工具投资公允价值变动</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92,324,982.86</w:t>
            </w:r>
          </w:p>
        </w:tc>
        <w:tc>
          <w:tcPr>
            <w:tcW w:w="209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企业自身信用风险公允价值变动</w:t>
            </w:r>
          </w:p>
        </w:tc>
        <w:tc>
          <w:tcPr>
            <w:tcW w:w="1872" w:type="dxa"/>
            <w:tcBorders>
              <w:top w:val="single" w:sz="4" w:space="0" w:color="000000"/>
              <w:left w:val="single" w:sz="4" w:space="0" w:color="000000"/>
              <w:bottom w:val="single" w:sz="4" w:space="0" w:color="000000"/>
              <w:right w:val="single" w:sz="4" w:space="0" w:color="000000"/>
            </w:tcBorders>
          </w:tcPr>
          <w:p>
            <w:pPr/>
          </w:p>
        </w:tc>
        <w:tc>
          <w:tcPr>
            <w:tcW w:w="209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1872" w:type="dxa"/>
            <w:tcBorders>
              <w:top w:val="single" w:sz="4" w:space="0" w:color="000000"/>
              <w:left w:val="single" w:sz="4" w:space="0" w:color="000000"/>
              <w:bottom w:val="single" w:sz="4" w:space="0" w:color="000000"/>
              <w:right w:val="single" w:sz="4" w:space="0" w:color="000000"/>
            </w:tcBorders>
          </w:tcPr>
          <w:p>
            <w:pPr/>
          </w:p>
        </w:tc>
        <w:tc>
          <w:tcPr>
            <w:tcW w:w="209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（二）将重分类进损益的其他综合收益</w:t>
            </w:r>
          </w:p>
        </w:tc>
        <w:tc>
          <w:tcPr>
            <w:tcW w:w="1872" w:type="dxa"/>
            <w:tcBorders>
              <w:top w:val="single" w:sz="4" w:space="0" w:color="000000"/>
              <w:left w:val="single" w:sz="4" w:space="0" w:color="000000"/>
              <w:bottom w:val="single" w:sz="4" w:space="0" w:color="000000"/>
              <w:right w:val="single" w:sz="4" w:space="0" w:color="000000"/>
            </w:tcBorders>
          </w:tcPr>
          <w:p>
            <w:pPr/>
          </w:p>
        </w:tc>
        <w:tc>
          <w:tcPr>
            <w:tcW w:w="2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-275,396,685.99</w:t>
            </w:r>
          </w:p>
        </w:tc>
      </w:tr>
      <w:tr>
        <w:trPr>
          <w:trHeight w:val="323"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权益法下可转损益的其他综合收益</w:t>
            </w:r>
          </w:p>
        </w:tc>
        <w:tc>
          <w:tcPr>
            <w:tcW w:w="1872" w:type="dxa"/>
            <w:tcBorders>
              <w:top w:val="single" w:sz="4" w:space="0" w:color="000000"/>
              <w:left w:val="single" w:sz="4" w:space="0" w:color="000000"/>
              <w:bottom w:val="single" w:sz="4" w:space="0" w:color="000000"/>
              <w:right w:val="single" w:sz="4" w:space="0" w:color="000000"/>
            </w:tcBorders>
          </w:tcPr>
          <w:p>
            <w:pPr/>
          </w:p>
        </w:tc>
        <w:tc>
          <w:tcPr>
            <w:tcW w:w="209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其他债权投资公允价值变动</w:t>
            </w:r>
          </w:p>
        </w:tc>
        <w:tc>
          <w:tcPr>
            <w:tcW w:w="1872" w:type="dxa"/>
            <w:tcBorders>
              <w:top w:val="single" w:sz="4" w:space="0" w:color="000000"/>
              <w:left w:val="single" w:sz="4" w:space="0" w:color="000000"/>
              <w:bottom w:val="single" w:sz="4" w:space="0" w:color="000000"/>
              <w:right w:val="single" w:sz="4" w:space="0" w:color="000000"/>
            </w:tcBorders>
          </w:tcPr>
          <w:p>
            <w:pPr/>
          </w:p>
        </w:tc>
        <w:tc>
          <w:tcPr>
            <w:tcW w:w="209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可供出售金融资产公允价值变动损益</w:t>
            </w:r>
          </w:p>
        </w:tc>
        <w:tc>
          <w:tcPr>
            <w:tcW w:w="1872" w:type="dxa"/>
            <w:tcBorders>
              <w:top w:val="single" w:sz="4" w:space="0" w:color="000000"/>
              <w:left w:val="single" w:sz="4" w:space="0" w:color="000000"/>
              <w:bottom w:val="single" w:sz="4" w:space="0" w:color="000000"/>
              <w:right w:val="single" w:sz="4" w:space="0" w:color="000000"/>
            </w:tcBorders>
          </w:tcPr>
          <w:p>
            <w:pPr/>
          </w:p>
        </w:tc>
        <w:tc>
          <w:tcPr>
            <w:tcW w:w="2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-275,396,685.99</w:t>
            </w:r>
          </w:p>
        </w:tc>
      </w:tr>
      <w:tr>
        <w:trPr>
          <w:trHeight w:val="321"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金融资产重分类计入其他综合收益的金额</w:t>
            </w:r>
          </w:p>
        </w:tc>
        <w:tc>
          <w:tcPr>
            <w:tcW w:w="1872" w:type="dxa"/>
            <w:tcBorders>
              <w:top w:val="single" w:sz="4" w:space="0" w:color="000000"/>
              <w:left w:val="single" w:sz="4" w:space="0" w:color="000000"/>
              <w:bottom w:val="single" w:sz="4" w:space="0" w:color="000000"/>
              <w:right w:val="single" w:sz="4" w:space="0" w:color="000000"/>
            </w:tcBorders>
          </w:tcPr>
          <w:p>
            <w:pPr/>
          </w:p>
        </w:tc>
        <w:tc>
          <w:tcPr>
            <w:tcW w:w="209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12" w:footer="1264" w:top="980" w:bottom="1460" w:left="16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tbl>
      <w:tblPr>
        <w:tblW w:w="0" w:type="auto"/>
        <w:jc w:val="left"/>
        <w:tblInd w:w="112" w:type="dxa"/>
        <w:tblLayout w:type="fixed"/>
        <w:tblCellMar>
          <w:top w:w="0" w:type="dxa"/>
          <w:left w:w="0" w:type="dxa"/>
          <w:bottom w:w="0" w:type="dxa"/>
          <w:right w:w="0" w:type="dxa"/>
        </w:tblCellMar>
        <w:tblLook w:val="01E0"/>
      </w:tblPr>
      <w:tblGrid>
        <w:gridCol w:w="4395"/>
        <w:gridCol w:w="1872"/>
        <w:gridCol w:w="2097"/>
      </w:tblGrid>
      <w:tr>
        <w:trPr>
          <w:trHeight w:val="557"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before="11"/>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持有至到期投资重分类为可供出售金融资</w:t>
            </w:r>
          </w:p>
          <w:p>
            <w:pPr>
              <w:pStyle w:val="TableParagraph"/>
              <w:spacing w:line="227" w:lineRule="exact"/>
              <w:ind w:left="22" w:right="0"/>
              <w:jc w:val="left"/>
              <w:rPr>
                <w:rFonts w:ascii="宋体" w:hAnsi="宋体" w:cs="宋体" w:eastAsia="宋体" w:hint="default"/>
                <w:sz w:val="18"/>
                <w:szCs w:val="18"/>
              </w:rPr>
            </w:pPr>
            <w:r>
              <w:rPr>
                <w:rFonts w:ascii="宋体" w:hAnsi="宋体" w:cs="宋体" w:eastAsia="宋体" w:hint="default"/>
                <w:sz w:val="18"/>
                <w:szCs w:val="18"/>
              </w:rPr>
              <w:t>产损益</w:t>
            </w:r>
          </w:p>
        </w:tc>
        <w:tc>
          <w:tcPr>
            <w:tcW w:w="1872" w:type="dxa"/>
            <w:tcBorders>
              <w:top w:val="single" w:sz="4" w:space="0" w:color="000000"/>
              <w:left w:val="single" w:sz="4" w:space="0" w:color="000000"/>
              <w:bottom w:val="single" w:sz="4" w:space="0" w:color="000000"/>
              <w:right w:val="single" w:sz="4" w:space="0" w:color="000000"/>
            </w:tcBorders>
          </w:tcPr>
          <w:p>
            <w:pPr/>
          </w:p>
        </w:tc>
        <w:tc>
          <w:tcPr>
            <w:tcW w:w="209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其他债权投资信用减值准备</w:t>
            </w:r>
          </w:p>
        </w:tc>
        <w:tc>
          <w:tcPr>
            <w:tcW w:w="1872" w:type="dxa"/>
            <w:tcBorders>
              <w:top w:val="single" w:sz="4" w:space="0" w:color="000000"/>
              <w:left w:val="single" w:sz="4" w:space="0" w:color="000000"/>
              <w:bottom w:val="single" w:sz="4" w:space="0" w:color="000000"/>
              <w:right w:val="single" w:sz="4" w:space="0" w:color="000000"/>
            </w:tcBorders>
          </w:tcPr>
          <w:p>
            <w:pPr/>
          </w:p>
        </w:tc>
        <w:tc>
          <w:tcPr>
            <w:tcW w:w="209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1872" w:type="dxa"/>
            <w:tcBorders>
              <w:top w:val="single" w:sz="4" w:space="0" w:color="000000"/>
              <w:left w:val="single" w:sz="4" w:space="0" w:color="000000"/>
              <w:bottom w:val="single" w:sz="4" w:space="0" w:color="000000"/>
              <w:right w:val="single" w:sz="4" w:space="0" w:color="000000"/>
            </w:tcBorders>
          </w:tcPr>
          <w:p>
            <w:pPr/>
          </w:p>
        </w:tc>
        <w:tc>
          <w:tcPr>
            <w:tcW w:w="209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外币财务报表折算差额</w:t>
            </w:r>
          </w:p>
        </w:tc>
        <w:tc>
          <w:tcPr>
            <w:tcW w:w="1872" w:type="dxa"/>
            <w:tcBorders>
              <w:top w:val="single" w:sz="4" w:space="0" w:color="000000"/>
              <w:left w:val="single" w:sz="4" w:space="0" w:color="000000"/>
              <w:bottom w:val="single" w:sz="4" w:space="0" w:color="000000"/>
              <w:right w:val="single" w:sz="4" w:space="0" w:color="000000"/>
            </w:tcBorders>
          </w:tcPr>
          <w:p>
            <w:pPr/>
          </w:p>
        </w:tc>
        <w:tc>
          <w:tcPr>
            <w:tcW w:w="209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1872" w:type="dxa"/>
            <w:tcBorders>
              <w:top w:val="single" w:sz="4" w:space="0" w:color="000000"/>
              <w:left w:val="single" w:sz="4" w:space="0" w:color="000000"/>
              <w:bottom w:val="single" w:sz="4" w:space="0" w:color="000000"/>
              <w:right w:val="single" w:sz="4" w:space="0" w:color="000000"/>
            </w:tcBorders>
          </w:tcPr>
          <w:p>
            <w:pPr/>
          </w:p>
        </w:tc>
        <w:tc>
          <w:tcPr>
            <w:tcW w:w="209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715" w:right="0"/>
              <w:jc w:val="left"/>
              <w:rPr>
                <w:rFonts w:ascii="Times New Roman" w:hAnsi="Times New Roman" w:cs="Times New Roman" w:eastAsia="Times New Roman" w:hint="default"/>
                <w:sz w:val="18"/>
                <w:szCs w:val="18"/>
              </w:rPr>
            </w:pPr>
            <w:r>
              <w:rPr>
                <w:rFonts w:ascii="Times New Roman"/>
                <w:sz w:val="18"/>
              </w:rPr>
              <w:t>628,984,172.15</w:t>
            </w:r>
          </w:p>
        </w:tc>
        <w:tc>
          <w:tcPr>
            <w:tcW w:w="2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880" w:right="0"/>
              <w:jc w:val="left"/>
              <w:rPr>
                <w:rFonts w:ascii="Times New Roman" w:hAnsi="Times New Roman" w:cs="Times New Roman" w:eastAsia="Times New Roman" w:hint="default"/>
                <w:sz w:val="18"/>
                <w:szCs w:val="18"/>
              </w:rPr>
            </w:pPr>
            <w:r>
              <w:rPr>
                <w:rFonts w:ascii="Times New Roman"/>
                <w:sz w:val="18"/>
              </w:rPr>
              <w:t>-140,255,687.03</w:t>
            </w:r>
          </w:p>
        </w:tc>
      </w:tr>
      <w:tr>
        <w:trPr>
          <w:trHeight w:val="324"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187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09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3"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38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1872" w:type="dxa"/>
            <w:tcBorders>
              <w:top w:val="single" w:sz="4" w:space="0" w:color="000000"/>
              <w:left w:val="single" w:sz="4" w:space="0" w:color="000000"/>
              <w:bottom w:val="single" w:sz="4" w:space="0" w:color="000000"/>
              <w:right w:val="single" w:sz="4" w:space="0" w:color="000000"/>
            </w:tcBorders>
          </w:tcPr>
          <w:p>
            <w:pPr/>
          </w:p>
        </w:tc>
        <w:tc>
          <w:tcPr>
            <w:tcW w:w="209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1872" w:type="dxa"/>
            <w:tcBorders>
              <w:top w:val="single" w:sz="4" w:space="0" w:color="000000"/>
              <w:left w:val="single" w:sz="4" w:space="0" w:color="000000"/>
              <w:bottom w:val="single" w:sz="4" w:space="0" w:color="000000"/>
              <w:right w:val="single" w:sz="4" w:space="0" w:color="000000"/>
            </w:tcBorders>
          </w:tcPr>
          <w:p>
            <w:pPr/>
          </w:p>
        </w:tc>
        <w:tc>
          <w:tcPr>
            <w:tcW w:w="209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宋体" w:hAnsi="宋体" w:cs="宋体" w:eastAsia="宋体" w:hint="default"/>
          <w:sz w:val="17"/>
          <w:szCs w:val="17"/>
        </w:rPr>
      </w:pPr>
    </w:p>
    <w:p>
      <w:pPr>
        <w:pStyle w:val="Heading3"/>
        <w:spacing w:line="240" w:lineRule="auto"/>
        <w:ind w:left="117" w:right="1603"/>
        <w:jc w:val="left"/>
        <w:rPr>
          <w:b w:val="0"/>
          <w:bCs w:val="0"/>
        </w:rPr>
      </w:pPr>
      <w:bookmarkStart w:name="5、合并现金流量表" w:id="163"/>
      <w:bookmarkEnd w:id="163"/>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7"/>
        <w:rPr>
          <w:rFonts w:ascii="宋体" w:hAnsi="宋体" w:cs="宋体" w:eastAsia="宋体" w:hint="default"/>
          <w:b/>
          <w:bCs/>
          <w:sz w:val="18"/>
          <w:szCs w:val="18"/>
        </w:rPr>
      </w:pPr>
    </w:p>
    <w:p>
      <w:pPr>
        <w:pStyle w:val="BodyText"/>
        <w:spacing w:line="240" w:lineRule="auto" w:before="44"/>
        <w:ind w:left="0" w:right="1796"/>
        <w:jc w:val="right"/>
      </w:pPr>
      <w:r>
        <w:rPr/>
        <w:t>单位：元</w:t>
      </w:r>
    </w:p>
    <w:p>
      <w:pPr>
        <w:spacing w:line="240" w:lineRule="auto" w:before="2"/>
        <w:rPr>
          <w:rFonts w:ascii="宋体" w:hAnsi="宋体" w:cs="宋体" w:eastAsia="宋体" w:hint="default"/>
          <w:sz w:val="5"/>
          <w:szCs w:val="5"/>
        </w:rPr>
      </w:pPr>
    </w:p>
    <w:tbl>
      <w:tblPr>
        <w:tblW w:w="0" w:type="auto"/>
        <w:jc w:val="left"/>
        <w:tblInd w:w="112" w:type="dxa"/>
        <w:tblLayout w:type="fixed"/>
        <w:tblCellMar>
          <w:top w:w="0" w:type="dxa"/>
          <w:left w:w="0" w:type="dxa"/>
          <w:bottom w:w="0" w:type="dxa"/>
          <w:right w:w="0" w:type="dxa"/>
        </w:tblCellMar>
        <w:tblLook w:val="01E0"/>
      </w:tblPr>
      <w:tblGrid>
        <w:gridCol w:w="4395"/>
        <w:gridCol w:w="1872"/>
        <w:gridCol w:w="2097"/>
      </w:tblGrid>
      <w:tr>
        <w:trPr>
          <w:trHeight w:val="324"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4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66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323"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187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09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4"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382"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6,606,654,750.19</w:t>
            </w:r>
          </w:p>
        </w:tc>
        <w:tc>
          <w:tcPr>
            <w:tcW w:w="2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5,878,886,686.62</w:t>
            </w:r>
          </w:p>
        </w:tc>
      </w:tr>
      <w:tr>
        <w:trPr>
          <w:trHeight w:val="323"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301"/>
              <w:jc w:val="right"/>
              <w:rPr>
                <w:rFonts w:ascii="宋体" w:hAnsi="宋体" w:cs="宋体" w:eastAsia="宋体" w:hint="default"/>
                <w:sz w:val="18"/>
                <w:szCs w:val="18"/>
              </w:rPr>
            </w:pPr>
            <w:r>
              <w:rPr>
                <w:rFonts w:ascii="宋体" w:hAnsi="宋体" w:cs="宋体" w:eastAsia="宋体" w:hint="default"/>
                <w:sz w:val="18"/>
                <w:szCs w:val="18"/>
              </w:rPr>
              <w:t>客户存款和同业存放款项净增加额</w:t>
            </w:r>
          </w:p>
        </w:tc>
        <w:tc>
          <w:tcPr>
            <w:tcW w:w="1872" w:type="dxa"/>
            <w:tcBorders>
              <w:top w:val="single" w:sz="4" w:space="0" w:color="000000"/>
              <w:left w:val="single" w:sz="4" w:space="0" w:color="000000"/>
              <w:bottom w:val="single" w:sz="4" w:space="0" w:color="000000"/>
              <w:right w:val="single" w:sz="4" w:space="0" w:color="000000"/>
            </w:tcBorders>
          </w:tcPr>
          <w:p>
            <w:pPr/>
          </w:p>
        </w:tc>
        <w:tc>
          <w:tcPr>
            <w:tcW w:w="209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1872" w:type="dxa"/>
            <w:tcBorders>
              <w:top w:val="single" w:sz="4" w:space="0" w:color="000000"/>
              <w:left w:val="single" w:sz="4" w:space="0" w:color="000000"/>
              <w:bottom w:val="single" w:sz="4" w:space="0" w:color="000000"/>
              <w:right w:val="single" w:sz="4" w:space="0" w:color="000000"/>
            </w:tcBorders>
          </w:tcPr>
          <w:p>
            <w:pPr/>
          </w:p>
        </w:tc>
        <w:tc>
          <w:tcPr>
            <w:tcW w:w="209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1301"/>
              <w:jc w:val="right"/>
              <w:rPr>
                <w:rFonts w:ascii="宋体" w:hAnsi="宋体" w:cs="宋体" w:eastAsia="宋体" w:hint="default"/>
                <w:sz w:val="18"/>
                <w:szCs w:val="18"/>
              </w:rPr>
            </w:pPr>
            <w:r>
              <w:rPr>
                <w:rFonts w:ascii="宋体" w:hAnsi="宋体" w:cs="宋体" w:eastAsia="宋体" w:hint="default"/>
                <w:sz w:val="18"/>
                <w:szCs w:val="18"/>
              </w:rPr>
              <w:t>向其他金融机构拆入资金净增加额</w:t>
            </w:r>
          </w:p>
        </w:tc>
        <w:tc>
          <w:tcPr>
            <w:tcW w:w="1872" w:type="dxa"/>
            <w:tcBorders>
              <w:top w:val="single" w:sz="4" w:space="0" w:color="000000"/>
              <w:left w:val="single" w:sz="4" w:space="0" w:color="000000"/>
              <w:bottom w:val="single" w:sz="4" w:space="0" w:color="000000"/>
              <w:right w:val="single" w:sz="4" w:space="0" w:color="000000"/>
            </w:tcBorders>
          </w:tcPr>
          <w:p>
            <w:pPr/>
          </w:p>
        </w:tc>
        <w:tc>
          <w:tcPr>
            <w:tcW w:w="209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382" w:right="0"/>
              <w:jc w:val="lef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1872" w:type="dxa"/>
            <w:tcBorders>
              <w:top w:val="single" w:sz="4" w:space="0" w:color="000000"/>
              <w:left w:val="single" w:sz="4" w:space="0" w:color="000000"/>
              <w:bottom w:val="single" w:sz="4" w:space="0" w:color="000000"/>
              <w:right w:val="single" w:sz="4" w:space="0" w:color="000000"/>
            </w:tcBorders>
          </w:tcPr>
          <w:p>
            <w:pPr/>
          </w:p>
        </w:tc>
        <w:tc>
          <w:tcPr>
            <w:tcW w:w="209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382" w:right="0"/>
              <w:jc w:val="left"/>
              <w:rPr>
                <w:rFonts w:ascii="宋体" w:hAnsi="宋体" w:cs="宋体" w:eastAsia="宋体" w:hint="default"/>
                <w:sz w:val="18"/>
                <w:szCs w:val="18"/>
              </w:rPr>
            </w:pPr>
            <w:r>
              <w:rPr>
                <w:rFonts w:ascii="宋体" w:hAnsi="宋体" w:cs="宋体" w:eastAsia="宋体" w:hint="default"/>
                <w:sz w:val="18"/>
                <w:szCs w:val="18"/>
              </w:rPr>
              <w:t>收到再保业务现金净额</w:t>
            </w:r>
          </w:p>
        </w:tc>
        <w:tc>
          <w:tcPr>
            <w:tcW w:w="1872" w:type="dxa"/>
            <w:tcBorders>
              <w:top w:val="single" w:sz="4" w:space="0" w:color="000000"/>
              <w:left w:val="single" w:sz="4" w:space="0" w:color="000000"/>
              <w:bottom w:val="single" w:sz="4" w:space="0" w:color="000000"/>
              <w:right w:val="single" w:sz="4" w:space="0" w:color="000000"/>
            </w:tcBorders>
          </w:tcPr>
          <w:p>
            <w:pPr/>
          </w:p>
        </w:tc>
        <w:tc>
          <w:tcPr>
            <w:tcW w:w="209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1872" w:type="dxa"/>
            <w:tcBorders>
              <w:top w:val="single" w:sz="4" w:space="0" w:color="000000"/>
              <w:left w:val="single" w:sz="4" w:space="0" w:color="000000"/>
              <w:bottom w:val="single" w:sz="4" w:space="0" w:color="000000"/>
              <w:right w:val="single" w:sz="4" w:space="0" w:color="000000"/>
            </w:tcBorders>
          </w:tcPr>
          <w:p>
            <w:pPr/>
          </w:p>
        </w:tc>
        <w:tc>
          <w:tcPr>
            <w:tcW w:w="209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1872" w:type="dxa"/>
            <w:tcBorders>
              <w:top w:val="single" w:sz="4" w:space="0" w:color="000000"/>
              <w:left w:val="single" w:sz="4" w:space="0" w:color="000000"/>
              <w:bottom w:val="single" w:sz="4" w:space="0" w:color="000000"/>
              <w:right w:val="single" w:sz="4" w:space="0" w:color="000000"/>
            </w:tcBorders>
          </w:tcPr>
          <w:p>
            <w:pPr/>
          </w:p>
        </w:tc>
        <w:tc>
          <w:tcPr>
            <w:tcW w:w="209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1872" w:type="dxa"/>
            <w:tcBorders>
              <w:top w:val="single" w:sz="4" w:space="0" w:color="000000"/>
              <w:left w:val="single" w:sz="4" w:space="0" w:color="000000"/>
              <w:bottom w:val="single" w:sz="4" w:space="0" w:color="000000"/>
              <w:right w:val="single" w:sz="4" w:space="0" w:color="000000"/>
            </w:tcBorders>
          </w:tcPr>
          <w:p>
            <w:pPr/>
          </w:p>
        </w:tc>
        <w:tc>
          <w:tcPr>
            <w:tcW w:w="209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38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1872" w:type="dxa"/>
            <w:tcBorders>
              <w:top w:val="single" w:sz="4" w:space="0" w:color="000000"/>
              <w:left w:val="single" w:sz="4" w:space="0" w:color="000000"/>
              <w:bottom w:val="single" w:sz="4" w:space="0" w:color="000000"/>
              <w:right w:val="single" w:sz="4" w:space="0" w:color="000000"/>
            </w:tcBorders>
          </w:tcPr>
          <w:p>
            <w:pPr/>
          </w:p>
        </w:tc>
        <w:tc>
          <w:tcPr>
            <w:tcW w:w="209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代理买卖证券收到的现金净额</w:t>
            </w:r>
          </w:p>
        </w:tc>
        <w:tc>
          <w:tcPr>
            <w:tcW w:w="1872" w:type="dxa"/>
            <w:tcBorders>
              <w:top w:val="single" w:sz="4" w:space="0" w:color="000000"/>
              <w:left w:val="single" w:sz="4" w:space="0" w:color="000000"/>
              <w:bottom w:val="single" w:sz="4" w:space="0" w:color="000000"/>
              <w:right w:val="single" w:sz="4" w:space="0" w:color="000000"/>
            </w:tcBorders>
          </w:tcPr>
          <w:p>
            <w:pPr/>
          </w:p>
        </w:tc>
        <w:tc>
          <w:tcPr>
            <w:tcW w:w="209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104,877,224.72</w:t>
            </w:r>
          </w:p>
        </w:tc>
        <w:tc>
          <w:tcPr>
            <w:tcW w:w="2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112,512,986.41</w:t>
            </w:r>
          </w:p>
        </w:tc>
      </w:tr>
      <w:tr>
        <w:trPr>
          <w:trHeight w:val="324"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382"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0"/>
              <w:jc w:val="right"/>
              <w:rPr>
                <w:rFonts w:ascii="Times New Roman" w:hAnsi="Times New Roman" w:cs="Times New Roman" w:eastAsia="Times New Roman" w:hint="default"/>
                <w:sz w:val="18"/>
                <w:szCs w:val="18"/>
              </w:rPr>
            </w:pPr>
            <w:r>
              <w:rPr>
                <w:rFonts w:ascii="Times New Roman"/>
                <w:spacing w:val="-1"/>
                <w:sz w:val="18"/>
              </w:rPr>
              <w:t>499,541,629.35</w:t>
            </w:r>
          </w:p>
        </w:tc>
        <w:tc>
          <w:tcPr>
            <w:tcW w:w="2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0"/>
              <w:jc w:val="right"/>
              <w:rPr>
                <w:rFonts w:ascii="Times New Roman" w:hAnsi="Times New Roman" w:cs="Times New Roman" w:eastAsia="Times New Roman" w:hint="default"/>
                <w:sz w:val="18"/>
                <w:szCs w:val="18"/>
              </w:rPr>
            </w:pPr>
            <w:r>
              <w:rPr>
                <w:rFonts w:ascii="Times New Roman"/>
                <w:spacing w:val="-1"/>
                <w:sz w:val="18"/>
              </w:rPr>
              <w:t>433,495,672.23</w:t>
            </w:r>
          </w:p>
        </w:tc>
      </w:tr>
      <w:tr>
        <w:trPr>
          <w:trHeight w:val="323"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7,211,073,604.26</w:t>
            </w:r>
          </w:p>
        </w:tc>
        <w:tc>
          <w:tcPr>
            <w:tcW w:w="2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6,424,895,345.26</w:t>
            </w:r>
          </w:p>
        </w:tc>
      </w:tr>
      <w:tr>
        <w:trPr>
          <w:trHeight w:val="324"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382"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2,593,561,725.83</w:t>
            </w:r>
          </w:p>
        </w:tc>
        <w:tc>
          <w:tcPr>
            <w:tcW w:w="2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2,059,301,600.48</w:t>
            </w:r>
          </w:p>
        </w:tc>
      </w:tr>
      <w:tr>
        <w:trPr>
          <w:trHeight w:val="323"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1872" w:type="dxa"/>
            <w:tcBorders>
              <w:top w:val="single" w:sz="4" w:space="0" w:color="000000"/>
              <w:left w:val="single" w:sz="4" w:space="0" w:color="000000"/>
              <w:bottom w:val="single" w:sz="4" w:space="0" w:color="000000"/>
              <w:right w:val="single" w:sz="4" w:space="0" w:color="000000"/>
            </w:tcBorders>
          </w:tcPr>
          <w:p>
            <w:pPr/>
          </w:p>
        </w:tc>
        <w:tc>
          <w:tcPr>
            <w:tcW w:w="209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301"/>
              <w:jc w:val="right"/>
              <w:rPr>
                <w:rFonts w:ascii="宋体" w:hAnsi="宋体" w:cs="宋体" w:eastAsia="宋体" w:hint="default"/>
                <w:sz w:val="18"/>
                <w:szCs w:val="18"/>
              </w:rPr>
            </w:pPr>
            <w:r>
              <w:rPr>
                <w:rFonts w:ascii="宋体" w:hAnsi="宋体" w:cs="宋体" w:eastAsia="宋体" w:hint="default"/>
                <w:sz w:val="18"/>
                <w:szCs w:val="18"/>
              </w:rPr>
              <w:t>存放中央银行和同业款项净增加额</w:t>
            </w:r>
          </w:p>
        </w:tc>
        <w:tc>
          <w:tcPr>
            <w:tcW w:w="1872" w:type="dxa"/>
            <w:tcBorders>
              <w:top w:val="single" w:sz="4" w:space="0" w:color="000000"/>
              <w:left w:val="single" w:sz="4" w:space="0" w:color="000000"/>
              <w:bottom w:val="single" w:sz="4" w:space="0" w:color="000000"/>
              <w:right w:val="single" w:sz="4" w:space="0" w:color="000000"/>
            </w:tcBorders>
          </w:tcPr>
          <w:p>
            <w:pPr/>
          </w:p>
        </w:tc>
        <w:tc>
          <w:tcPr>
            <w:tcW w:w="209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1872" w:type="dxa"/>
            <w:tcBorders>
              <w:top w:val="single" w:sz="4" w:space="0" w:color="000000"/>
              <w:left w:val="single" w:sz="4" w:space="0" w:color="000000"/>
              <w:bottom w:val="single" w:sz="4" w:space="0" w:color="000000"/>
              <w:right w:val="single" w:sz="4" w:space="0" w:color="000000"/>
            </w:tcBorders>
          </w:tcPr>
          <w:p>
            <w:pPr/>
          </w:p>
        </w:tc>
        <w:tc>
          <w:tcPr>
            <w:tcW w:w="209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382" w:right="0"/>
              <w:jc w:val="left"/>
              <w:rPr>
                <w:rFonts w:ascii="宋体" w:hAnsi="宋体" w:cs="宋体" w:eastAsia="宋体" w:hint="default"/>
                <w:sz w:val="18"/>
                <w:szCs w:val="18"/>
              </w:rPr>
            </w:pPr>
            <w:r>
              <w:rPr>
                <w:rFonts w:ascii="宋体" w:hAnsi="宋体" w:cs="宋体" w:eastAsia="宋体" w:hint="default"/>
                <w:sz w:val="18"/>
                <w:szCs w:val="18"/>
              </w:rPr>
              <w:t>拆出资金净增加额</w:t>
            </w:r>
          </w:p>
        </w:tc>
        <w:tc>
          <w:tcPr>
            <w:tcW w:w="1872" w:type="dxa"/>
            <w:tcBorders>
              <w:top w:val="single" w:sz="4" w:space="0" w:color="000000"/>
              <w:left w:val="single" w:sz="4" w:space="0" w:color="000000"/>
              <w:bottom w:val="single" w:sz="4" w:space="0" w:color="000000"/>
              <w:right w:val="single" w:sz="4" w:space="0" w:color="000000"/>
            </w:tcBorders>
          </w:tcPr>
          <w:p>
            <w:pPr/>
          </w:p>
        </w:tc>
        <w:tc>
          <w:tcPr>
            <w:tcW w:w="209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1872" w:type="dxa"/>
            <w:tcBorders>
              <w:top w:val="single" w:sz="4" w:space="0" w:color="000000"/>
              <w:left w:val="single" w:sz="4" w:space="0" w:color="000000"/>
              <w:bottom w:val="single" w:sz="4" w:space="0" w:color="000000"/>
              <w:right w:val="single" w:sz="4" w:space="0" w:color="000000"/>
            </w:tcBorders>
          </w:tcPr>
          <w:p>
            <w:pPr/>
          </w:p>
        </w:tc>
        <w:tc>
          <w:tcPr>
            <w:tcW w:w="209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1872" w:type="dxa"/>
            <w:tcBorders>
              <w:top w:val="single" w:sz="4" w:space="0" w:color="000000"/>
              <w:left w:val="single" w:sz="4" w:space="0" w:color="000000"/>
              <w:bottom w:val="single" w:sz="4" w:space="0" w:color="000000"/>
              <w:right w:val="single" w:sz="4" w:space="0" w:color="000000"/>
            </w:tcBorders>
          </w:tcPr>
          <w:p>
            <w:pPr/>
          </w:p>
        </w:tc>
        <w:tc>
          <w:tcPr>
            <w:tcW w:w="209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1301"/>
              <w:jc w:val="righ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2,335,647,106.86</w:t>
            </w:r>
          </w:p>
        </w:tc>
        <w:tc>
          <w:tcPr>
            <w:tcW w:w="2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2,062,769,367.19</w:t>
            </w:r>
          </w:p>
        </w:tc>
      </w:tr>
      <w:tr>
        <w:trPr>
          <w:trHeight w:val="323"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479,243,183.83</w:t>
            </w:r>
          </w:p>
        </w:tc>
        <w:tc>
          <w:tcPr>
            <w:tcW w:w="2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476,702,979.72</w:t>
            </w:r>
          </w:p>
        </w:tc>
      </w:tr>
      <w:tr>
        <w:trPr>
          <w:trHeight w:val="324"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873,969,133.45</w:t>
            </w:r>
          </w:p>
        </w:tc>
        <w:tc>
          <w:tcPr>
            <w:tcW w:w="2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859,187,589.66</w:t>
            </w:r>
          </w:p>
        </w:tc>
      </w:tr>
      <w:tr>
        <w:trPr>
          <w:trHeight w:val="323"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6,282,421,149.97</w:t>
            </w:r>
          </w:p>
        </w:tc>
        <w:tc>
          <w:tcPr>
            <w:tcW w:w="2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5,457,961,537.05</w:t>
            </w:r>
          </w:p>
        </w:tc>
      </w:tr>
      <w:tr>
        <w:trPr>
          <w:trHeight w:val="324"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0"/>
              <w:jc w:val="right"/>
              <w:rPr>
                <w:rFonts w:ascii="Times New Roman" w:hAnsi="Times New Roman" w:cs="Times New Roman" w:eastAsia="Times New Roman" w:hint="default"/>
                <w:sz w:val="18"/>
                <w:szCs w:val="18"/>
              </w:rPr>
            </w:pPr>
            <w:r>
              <w:rPr>
                <w:rFonts w:ascii="Times New Roman"/>
                <w:spacing w:val="-1"/>
                <w:sz w:val="18"/>
              </w:rPr>
              <w:t>928,652,454.29</w:t>
            </w:r>
          </w:p>
        </w:tc>
        <w:tc>
          <w:tcPr>
            <w:tcW w:w="2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0"/>
              <w:jc w:val="right"/>
              <w:rPr>
                <w:rFonts w:ascii="Times New Roman" w:hAnsi="Times New Roman" w:cs="Times New Roman" w:eastAsia="Times New Roman" w:hint="default"/>
                <w:sz w:val="18"/>
                <w:szCs w:val="18"/>
              </w:rPr>
            </w:pPr>
            <w:r>
              <w:rPr>
                <w:rFonts w:ascii="Times New Roman"/>
                <w:spacing w:val="-1"/>
                <w:sz w:val="18"/>
              </w:rPr>
              <w:t>966,933,808.21</w:t>
            </w:r>
          </w:p>
        </w:tc>
      </w:tr>
      <w:tr>
        <w:trPr>
          <w:trHeight w:val="321"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187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097"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12" w:footer="1264" w:top="980" w:bottom="1460" w:left="16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tbl>
      <w:tblPr>
        <w:tblW w:w="0" w:type="auto"/>
        <w:jc w:val="left"/>
        <w:tblInd w:w="112" w:type="dxa"/>
        <w:tblLayout w:type="fixed"/>
        <w:tblCellMar>
          <w:top w:w="0" w:type="dxa"/>
          <w:left w:w="0" w:type="dxa"/>
          <w:bottom w:w="0" w:type="dxa"/>
          <w:right w:w="0" w:type="dxa"/>
        </w:tblCellMar>
        <w:tblLook w:val="01E0"/>
      </w:tblPr>
      <w:tblGrid>
        <w:gridCol w:w="4395"/>
        <w:gridCol w:w="1872"/>
        <w:gridCol w:w="2097"/>
      </w:tblGrid>
      <w:tr>
        <w:trPr>
          <w:trHeight w:val="323"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0"/>
              <w:jc w:val="right"/>
              <w:rPr>
                <w:rFonts w:ascii="Times New Roman" w:hAnsi="Times New Roman" w:cs="Times New Roman" w:eastAsia="Times New Roman" w:hint="default"/>
                <w:sz w:val="18"/>
                <w:szCs w:val="18"/>
              </w:rPr>
            </w:pPr>
            <w:r>
              <w:rPr>
                <w:rFonts w:ascii="Times New Roman"/>
                <w:spacing w:val="-1"/>
                <w:sz w:val="18"/>
              </w:rPr>
              <w:t>6,215,741,416.77</w:t>
            </w:r>
          </w:p>
        </w:tc>
        <w:tc>
          <w:tcPr>
            <w:tcW w:w="2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9,301,001,107.80</w:t>
            </w:r>
          </w:p>
        </w:tc>
      </w:tr>
      <w:tr>
        <w:trPr>
          <w:trHeight w:val="324"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38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0"/>
              <w:jc w:val="right"/>
              <w:rPr>
                <w:rFonts w:ascii="Times New Roman" w:hAnsi="Times New Roman" w:cs="Times New Roman" w:eastAsia="Times New Roman" w:hint="default"/>
                <w:sz w:val="18"/>
                <w:szCs w:val="18"/>
              </w:rPr>
            </w:pPr>
            <w:r>
              <w:rPr>
                <w:rFonts w:ascii="Times New Roman"/>
                <w:spacing w:val="-1"/>
                <w:sz w:val="18"/>
              </w:rPr>
              <w:t>60,299,228.38</w:t>
            </w:r>
          </w:p>
        </w:tc>
        <w:tc>
          <w:tcPr>
            <w:tcW w:w="2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92,817,141.91</w:t>
            </w:r>
          </w:p>
        </w:tc>
      </w:tr>
      <w:tr>
        <w:trPr>
          <w:trHeight w:val="557"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5"/>
              <w:ind w:left="22" w:right="41"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 金净额</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813,519.06</w:t>
            </w:r>
          </w:p>
        </w:tc>
        <w:tc>
          <w:tcPr>
            <w:tcW w:w="2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469,635.30</w:t>
            </w:r>
          </w:p>
        </w:tc>
      </w:tr>
      <w:tr>
        <w:trPr>
          <w:trHeight w:val="323"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581"/>
              <w:jc w:val="righ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-670,876.37</w:t>
            </w:r>
          </w:p>
        </w:tc>
        <w:tc>
          <w:tcPr>
            <w:tcW w:w="209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1872" w:type="dxa"/>
            <w:tcBorders>
              <w:top w:val="single" w:sz="4" w:space="0" w:color="000000"/>
              <w:left w:val="single" w:sz="4" w:space="0" w:color="000000"/>
              <w:bottom w:val="single" w:sz="4" w:space="0" w:color="000000"/>
              <w:right w:val="single" w:sz="4" w:space="0" w:color="000000"/>
            </w:tcBorders>
          </w:tcPr>
          <w:p>
            <w:pPr/>
          </w:p>
        </w:tc>
        <w:tc>
          <w:tcPr>
            <w:tcW w:w="209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6,276,183,287.84</w:t>
            </w:r>
          </w:p>
        </w:tc>
        <w:tc>
          <w:tcPr>
            <w:tcW w:w="2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9,394,287,885.01</w:t>
            </w:r>
          </w:p>
        </w:tc>
      </w:tr>
      <w:tr>
        <w:trPr>
          <w:trHeight w:val="557"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12"/>
              <w:ind w:left="382"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w:t>
            </w:r>
          </w:p>
          <w:p>
            <w:pPr>
              <w:pStyle w:val="TableParagraph"/>
              <w:spacing w:line="234" w:lineRule="exact"/>
              <w:ind w:left="2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249,557,173.03</w:t>
            </w:r>
          </w:p>
        </w:tc>
        <w:tc>
          <w:tcPr>
            <w:tcW w:w="2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145,091,199.71</w:t>
            </w:r>
          </w:p>
        </w:tc>
      </w:tr>
      <w:tr>
        <w:trPr>
          <w:trHeight w:val="323"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6,293,325,081.97</w:t>
            </w:r>
          </w:p>
        </w:tc>
        <w:tc>
          <w:tcPr>
            <w:tcW w:w="2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8,629,736,232.36</w:t>
            </w:r>
          </w:p>
        </w:tc>
      </w:tr>
      <w:tr>
        <w:trPr>
          <w:trHeight w:val="324"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38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1872" w:type="dxa"/>
            <w:tcBorders>
              <w:top w:val="single" w:sz="4" w:space="0" w:color="000000"/>
              <w:left w:val="single" w:sz="4" w:space="0" w:color="000000"/>
              <w:bottom w:val="single" w:sz="4" w:space="0" w:color="000000"/>
              <w:right w:val="single" w:sz="4" w:space="0" w:color="000000"/>
            </w:tcBorders>
          </w:tcPr>
          <w:p>
            <w:pPr/>
          </w:p>
        </w:tc>
        <w:tc>
          <w:tcPr>
            <w:tcW w:w="209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581"/>
              <w:jc w:val="righ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1872" w:type="dxa"/>
            <w:tcBorders>
              <w:top w:val="single" w:sz="4" w:space="0" w:color="000000"/>
              <w:left w:val="single" w:sz="4" w:space="0" w:color="000000"/>
              <w:bottom w:val="single" w:sz="4" w:space="0" w:color="000000"/>
              <w:right w:val="single" w:sz="4" w:space="0" w:color="000000"/>
            </w:tcBorders>
          </w:tcPr>
          <w:p>
            <w:pPr/>
          </w:p>
        </w:tc>
        <w:tc>
          <w:tcPr>
            <w:tcW w:w="2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518,122,855.26</w:t>
            </w:r>
          </w:p>
        </w:tc>
      </w:tr>
      <w:tr>
        <w:trPr>
          <w:trHeight w:val="324"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1872" w:type="dxa"/>
            <w:tcBorders>
              <w:top w:val="single" w:sz="4" w:space="0" w:color="000000"/>
              <w:left w:val="single" w:sz="4" w:space="0" w:color="000000"/>
              <w:bottom w:val="single" w:sz="4" w:space="0" w:color="000000"/>
              <w:right w:val="single" w:sz="4" w:space="0" w:color="000000"/>
            </w:tcBorders>
          </w:tcPr>
          <w:p>
            <w:pPr/>
          </w:p>
        </w:tc>
        <w:tc>
          <w:tcPr>
            <w:tcW w:w="209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6,542,882,255.00</w:t>
            </w:r>
          </w:p>
        </w:tc>
        <w:tc>
          <w:tcPr>
            <w:tcW w:w="2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9,292,950,287.33</w:t>
            </w:r>
          </w:p>
        </w:tc>
      </w:tr>
      <w:tr>
        <w:trPr>
          <w:trHeight w:val="324"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pacing w:val="-1"/>
                <w:sz w:val="18"/>
              </w:rPr>
              <w:t>-266,698,967.16</w:t>
            </w:r>
          </w:p>
        </w:tc>
        <w:tc>
          <w:tcPr>
            <w:tcW w:w="2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101,337,597.68</w:t>
            </w:r>
          </w:p>
        </w:tc>
      </w:tr>
      <w:tr>
        <w:trPr>
          <w:trHeight w:val="323"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187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09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3"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21,000,000.00</w:t>
            </w:r>
          </w:p>
        </w:tc>
        <w:tc>
          <w:tcPr>
            <w:tcW w:w="2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37,840,000.00</w:t>
            </w:r>
          </w:p>
        </w:tc>
      </w:tr>
      <w:tr>
        <w:trPr>
          <w:trHeight w:val="324"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581"/>
              <w:jc w:val="right"/>
              <w:rPr>
                <w:rFonts w:ascii="宋体" w:hAnsi="宋体" w:cs="宋体" w:eastAsia="宋体" w:hint="default"/>
                <w:sz w:val="18"/>
                <w:szCs w:val="18"/>
              </w:rPr>
            </w:pPr>
            <w:r>
              <w:rPr>
                <w:rFonts w:ascii="宋体" w:hAnsi="宋体" w:cs="宋体" w:eastAsia="宋体" w:hint="default"/>
                <w:sz w:val="18"/>
                <w:szCs w:val="18"/>
              </w:rPr>
              <w:t>其中：子公司吸收少数股东投资收到的现金</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0"/>
              <w:jc w:val="right"/>
              <w:rPr>
                <w:rFonts w:ascii="Times New Roman" w:hAnsi="Times New Roman" w:cs="Times New Roman" w:eastAsia="Times New Roman" w:hint="default"/>
                <w:sz w:val="18"/>
                <w:szCs w:val="18"/>
              </w:rPr>
            </w:pPr>
            <w:r>
              <w:rPr>
                <w:rFonts w:ascii="Times New Roman"/>
                <w:spacing w:val="-1"/>
                <w:sz w:val="18"/>
              </w:rPr>
              <w:t>21,000,000.00</w:t>
            </w:r>
          </w:p>
        </w:tc>
        <w:tc>
          <w:tcPr>
            <w:tcW w:w="2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0"/>
              <w:jc w:val="right"/>
              <w:rPr>
                <w:rFonts w:ascii="Times New Roman" w:hAnsi="Times New Roman" w:cs="Times New Roman" w:eastAsia="Times New Roman" w:hint="default"/>
                <w:sz w:val="18"/>
                <w:szCs w:val="18"/>
              </w:rPr>
            </w:pPr>
            <w:r>
              <w:rPr>
                <w:rFonts w:ascii="Times New Roman"/>
                <w:spacing w:val="-1"/>
                <w:sz w:val="18"/>
              </w:rPr>
              <w:t>37,840,000.00</w:t>
            </w:r>
          </w:p>
        </w:tc>
      </w:tr>
      <w:tr>
        <w:trPr>
          <w:trHeight w:val="323"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38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129,611,027.20</w:t>
            </w:r>
          </w:p>
        </w:tc>
        <w:tc>
          <w:tcPr>
            <w:tcW w:w="2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244,846,302.00</w:t>
            </w:r>
          </w:p>
        </w:tc>
      </w:tr>
      <w:tr>
        <w:trPr>
          <w:trHeight w:val="324"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382"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1872" w:type="dxa"/>
            <w:tcBorders>
              <w:top w:val="single" w:sz="4" w:space="0" w:color="000000"/>
              <w:left w:val="single" w:sz="4" w:space="0" w:color="000000"/>
              <w:bottom w:val="single" w:sz="4" w:space="0" w:color="000000"/>
              <w:right w:val="single" w:sz="4" w:space="0" w:color="000000"/>
            </w:tcBorders>
          </w:tcPr>
          <w:p>
            <w:pPr/>
          </w:p>
        </w:tc>
        <w:tc>
          <w:tcPr>
            <w:tcW w:w="209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150,611,027.20</w:t>
            </w:r>
          </w:p>
        </w:tc>
        <w:tc>
          <w:tcPr>
            <w:tcW w:w="2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282,686,302.00</w:t>
            </w:r>
          </w:p>
        </w:tc>
      </w:tr>
      <w:tr>
        <w:trPr>
          <w:trHeight w:val="324"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75,940,000.00</w:t>
            </w:r>
          </w:p>
        </w:tc>
        <w:tc>
          <w:tcPr>
            <w:tcW w:w="2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179,770,412.14</w:t>
            </w:r>
          </w:p>
        </w:tc>
      </w:tr>
      <w:tr>
        <w:trPr>
          <w:trHeight w:val="323"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347,512,977.39</w:t>
            </w:r>
          </w:p>
        </w:tc>
        <w:tc>
          <w:tcPr>
            <w:tcW w:w="2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537,466,133.14</w:t>
            </w:r>
          </w:p>
        </w:tc>
      </w:tr>
      <w:tr>
        <w:trPr>
          <w:trHeight w:val="324"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581"/>
              <w:jc w:val="right"/>
              <w:rPr>
                <w:rFonts w:ascii="宋体" w:hAnsi="宋体" w:cs="宋体" w:eastAsia="宋体" w:hint="default"/>
                <w:sz w:val="18"/>
                <w:szCs w:val="18"/>
              </w:rPr>
            </w:pPr>
            <w:r>
              <w:rPr>
                <w:rFonts w:ascii="宋体" w:hAnsi="宋体" w:cs="宋体" w:eastAsia="宋体" w:hint="default"/>
                <w:sz w:val="18"/>
                <w:szCs w:val="18"/>
              </w:rPr>
              <w:t>其中：子公司支付给少数股东的股利、利润</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53,034,458.01</w:t>
            </w:r>
          </w:p>
        </w:tc>
        <w:tc>
          <w:tcPr>
            <w:tcW w:w="2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49,180,393.98</w:t>
            </w:r>
          </w:p>
        </w:tc>
      </w:tr>
      <w:tr>
        <w:trPr>
          <w:trHeight w:val="323"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183,744,921.72</w:t>
            </w:r>
          </w:p>
        </w:tc>
        <w:tc>
          <w:tcPr>
            <w:tcW w:w="2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113,006,514.72</w:t>
            </w:r>
          </w:p>
        </w:tc>
      </w:tr>
      <w:tr>
        <w:trPr>
          <w:trHeight w:val="323"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607,197,899.11</w:t>
            </w:r>
          </w:p>
        </w:tc>
        <w:tc>
          <w:tcPr>
            <w:tcW w:w="2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830,243,060.00</w:t>
            </w:r>
          </w:p>
        </w:tc>
      </w:tr>
      <w:tr>
        <w:trPr>
          <w:trHeight w:val="324"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8"/>
              <w:jc w:val="right"/>
              <w:rPr>
                <w:rFonts w:ascii="Times New Roman" w:hAnsi="Times New Roman" w:cs="Times New Roman" w:eastAsia="Times New Roman" w:hint="default"/>
                <w:sz w:val="18"/>
                <w:szCs w:val="18"/>
              </w:rPr>
            </w:pPr>
            <w:r>
              <w:rPr>
                <w:rFonts w:ascii="Times New Roman"/>
                <w:spacing w:val="-1"/>
                <w:sz w:val="18"/>
              </w:rPr>
              <w:t>-456,586,871.91</w:t>
            </w:r>
          </w:p>
        </w:tc>
        <w:tc>
          <w:tcPr>
            <w:tcW w:w="2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0"/>
              <w:jc w:val="right"/>
              <w:rPr>
                <w:rFonts w:ascii="Times New Roman" w:hAnsi="Times New Roman" w:cs="Times New Roman" w:eastAsia="Times New Roman" w:hint="default"/>
                <w:sz w:val="18"/>
                <w:szCs w:val="18"/>
              </w:rPr>
            </w:pPr>
            <w:r>
              <w:rPr>
                <w:rFonts w:ascii="Times New Roman"/>
                <w:spacing w:val="-1"/>
                <w:sz w:val="18"/>
              </w:rPr>
              <w:t>-547,556,758.00</w:t>
            </w:r>
          </w:p>
        </w:tc>
      </w:tr>
      <w:tr>
        <w:trPr>
          <w:trHeight w:val="323"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12,601,701.05</w:t>
            </w:r>
          </w:p>
        </w:tc>
        <w:tc>
          <w:tcPr>
            <w:tcW w:w="2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12,166,772.22</w:t>
            </w:r>
          </w:p>
        </w:tc>
      </w:tr>
      <w:tr>
        <w:trPr>
          <w:trHeight w:val="324"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217,968,316.27</w:t>
            </w:r>
          </w:p>
        </w:tc>
        <w:tc>
          <w:tcPr>
            <w:tcW w:w="2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532,881,420.11</w:t>
            </w:r>
          </w:p>
        </w:tc>
      </w:tr>
      <w:tr>
        <w:trPr>
          <w:trHeight w:val="323"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4,234,069,111.22</w:t>
            </w:r>
          </w:p>
        </w:tc>
        <w:tc>
          <w:tcPr>
            <w:tcW w:w="2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3,701,187,691.11</w:t>
            </w:r>
          </w:p>
        </w:tc>
      </w:tr>
      <w:tr>
        <w:trPr>
          <w:trHeight w:val="324"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0"/>
              <w:jc w:val="right"/>
              <w:rPr>
                <w:rFonts w:ascii="Times New Roman" w:hAnsi="Times New Roman" w:cs="Times New Roman" w:eastAsia="Times New Roman" w:hint="default"/>
                <w:sz w:val="18"/>
                <w:szCs w:val="18"/>
              </w:rPr>
            </w:pPr>
            <w:r>
              <w:rPr>
                <w:rFonts w:ascii="Times New Roman"/>
                <w:spacing w:val="-1"/>
                <w:sz w:val="18"/>
              </w:rPr>
              <w:t>4,452,037,427.49</w:t>
            </w:r>
          </w:p>
        </w:tc>
        <w:tc>
          <w:tcPr>
            <w:tcW w:w="2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0"/>
              <w:jc w:val="right"/>
              <w:rPr>
                <w:rFonts w:ascii="Times New Roman" w:hAnsi="Times New Roman" w:cs="Times New Roman" w:eastAsia="Times New Roman" w:hint="default"/>
                <w:sz w:val="18"/>
                <w:szCs w:val="18"/>
              </w:rPr>
            </w:pPr>
            <w:r>
              <w:rPr>
                <w:rFonts w:ascii="Times New Roman"/>
                <w:spacing w:val="-1"/>
                <w:sz w:val="18"/>
              </w:rPr>
              <w:t>4,234,069,111.22</w:t>
            </w:r>
          </w:p>
        </w:tc>
      </w:tr>
    </w:tbl>
    <w:p>
      <w:pPr>
        <w:spacing w:line="240" w:lineRule="auto" w:before="8"/>
        <w:rPr>
          <w:rFonts w:ascii="宋体" w:hAnsi="宋体" w:cs="宋体" w:eastAsia="宋体" w:hint="default"/>
          <w:sz w:val="17"/>
          <w:szCs w:val="17"/>
        </w:rPr>
      </w:pPr>
    </w:p>
    <w:p>
      <w:pPr>
        <w:pStyle w:val="Heading3"/>
        <w:spacing w:line="240" w:lineRule="auto"/>
        <w:ind w:left="117" w:right="1603"/>
        <w:jc w:val="left"/>
        <w:rPr>
          <w:b w:val="0"/>
          <w:bCs w:val="0"/>
        </w:rPr>
      </w:pPr>
      <w:bookmarkStart w:name="6、母公司现金流量表" w:id="164"/>
      <w:bookmarkEnd w:id="164"/>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44"/>
        <w:ind w:left="0" w:right="1796"/>
        <w:jc w:val="right"/>
      </w:pPr>
      <w:r>
        <w:rPr/>
        <w:t>单位：元</w:t>
      </w:r>
    </w:p>
    <w:p>
      <w:pPr>
        <w:spacing w:line="240" w:lineRule="auto" w:before="1"/>
        <w:rPr>
          <w:rFonts w:ascii="宋体" w:hAnsi="宋体" w:cs="宋体" w:eastAsia="宋体" w:hint="default"/>
          <w:sz w:val="5"/>
          <w:szCs w:val="5"/>
        </w:rPr>
      </w:pPr>
    </w:p>
    <w:tbl>
      <w:tblPr>
        <w:tblW w:w="0" w:type="auto"/>
        <w:jc w:val="left"/>
        <w:tblInd w:w="112" w:type="dxa"/>
        <w:tblLayout w:type="fixed"/>
        <w:tblCellMar>
          <w:top w:w="0" w:type="dxa"/>
          <w:left w:w="0" w:type="dxa"/>
          <w:bottom w:w="0" w:type="dxa"/>
          <w:right w:w="0" w:type="dxa"/>
        </w:tblCellMar>
        <w:tblLook w:val="01E0"/>
      </w:tblPr>
      <w:tblGrid>
        <w:gridCol w:w="4395"/>
        <w:gridCol w:w="1872"/>
        <w:gridCol w:w="2097"/>
      </w:tblGrid>
      <w:tr>
        <w:trPr>
          <w:trHeight w:val="324"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54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66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323"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187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09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4"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2,115,787,431.30</w:t>
            </w:r>
          </w:p>
        </w:tc>
        <w:tc>
          <w:tcPr>
            <w:tcW w:w="2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2,033,536,178.74</w:t>
            </w:r>
          </w:p>
        </w:tc>
      </w:tr>
      <w:tr>
        <w:trPr>
          <w:trHeight w:val="323"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70,067,349.07</w:t>
            </w:r>
          </w:p>
        </w:tc>
        <w:tc>
          <w:tcPr>
            <w:tcW w:w="2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89,621,655.81</w:t>
            </w:r>
          </w:p>
        </w:tc>
      </w:tr>
      <w:tr>
        <w:trPr>
          <w:trHeight w:val="324"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382"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0"/>
              <w:jc w:val="right"/>
              <w:rPr>
                <w:rFonts w:ascii="Times New Roman" w:hAnsi="Times New Roman" w:cs="Times New Roman" w:eastAsia="Times New Roman" w:hint="default"/>
                <w:sz w:val="18"/>
                <w:szCs w:val="18"/>
              </w:rPr>
            </w:pPr>
            <w:r>
              <w:rPr>
                <w:rFonts w:ascii="Times New Roman"/>
                <w:spacing w:val="-1"/>
                <w:sz w:val="18"/>
              </w:rPr>
              <w:t>824,520,027.01</w:t>
            </w:r>
          </w:p>
        </w:tc>
        <w:tc>
          <w:tcPr>
            <w:tcW w:w="2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0"/>
              <w:jc w:val="right"/>
              <w:rPr>
                <w:rFonts w:ascii="Times New Roman" w:hAnsi="Times New Roman" w:cs="Times New Roman" w:eastAsia="Times New Roman" w:hint="default"/>
                <w:sz w:val="18"/>
                <w:szCs w:val="18"/>
              </w:rPr>
            </w:pPr>
            <w:r>
              <w:rPr>
                <w:rFonts w:ascii="Times New Roman"/>
                <w:spacing w:val="-1"/>
                <w:sz w:val="18"/>
              </w:rPr>
              <w:t>222,064,678.28</w:t>
            </w:r>
          </w:p>
        </w:tc>
      </w:tr>
      <w:tr>
        <w:trPr>
          <w:trHeight w:val="323"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3,010,374,807.38</w:t>
            </w:r>
          </w:p>
        </w:tc>
        <w:tc>
          <w:tcPr>
            <w:tcW w:w="2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2,345,222,512.83</w:t>
            </w:r>
          </w:p>
        </w:tc>
      </w:tr>
      <w:tr>
        <w:trPr>
          <w:trHeight w:val="324"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382"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1,227,862,214.66</w:t>
            </w:r>
          </w:p>
        </w:tc>
        <w:tc>
          <w:tcPr>
            <w:tcW w:w="2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1,277,209,109.89</w:t>
            </w:r>
          </w:p>
        </w:tc>
      </w:tr>
      <w:tr>
        <w:trPr>
          <w:trHeight w:val="321"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347,781,041.19</w:t>
            </w:r>
          </w:p>
        </w:tc>
        <w:tc>
          <w:tcPr>
            <w:tcW w:w="2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346,982,666.91</w:t>
            </w:r>
          </w:p>
        </w:tc>
      </w:tr>
    </w:tbl>
    <w:p>
      <w:pPr>
        <w:spacing w:after="0" w:line="240" w:lineRule="auto"/>
        <w:jc w:val="right"/>
        <w:rPr>
          <w:rFonts w:ascii="Times New Roman" w:hAnsi="Times New Roman" w:cs="Times New Roman" w:eastAsia="Times New Roman" w:hint="default"/>
          <w:sz w:val="18"/>
          <w:szCs w:val="18"/>
        </w:rPr>
        <w:sectPr>
          <w:pgSz w:w="11910" w:h="16840"/>
          <w:pgMar w:header="712" w:footer="1264" w:top="980" w:bottom="1460" w:left="16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tbl>
      <w:tblPr>
        <w:tblW w:w="0" w:type="auto"/>
        <w:jc w:val="left"/>
        <w:tblInd w:w="112" w:type="dxa"/>
        <w:tblLayout w:type="fixed"/>
        <w:tblCellMar>
          <w:top w:w="0" w:type="dxa"/>
          <w:left w:w="0" w:type="dxa"/>
          <w:bottom w:w="0" w:type="dxa"/>
          <w:right w:w="0" w:type="dxa"/>
        </w:tblCellMar>
        <w:tblLook w:val="01E0"/>
      </w:tblPr>
      <w:tblGrid>
        <w:gridCol w:w="4395"/>
        <w:gridCol w:w="1872"/>
        <w:gridCol w:w="2097"/>
      </w:tblGrid>
      <w:tr>
        <w:trPr>
          <w:trHeight w:val="323"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97,488,849.72</w:t>
            </w:r>
          </w:p>
        </w:tc>
        <w:tc>
          <w:tcPr>
            <w:tcW w:w="2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140,431,131.98</w:t>
            </w:r>
          </w:p>
        </w:tc>
      </w:tr>
      <w:tr>
        <w:trPr>
          <w:trHeight w:val="324"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382"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264,330,984.95</w:t>
            </w:r>
          </w:p>
        </w:tc>
        <w:tc>
          <w:tcPr>
            <w:tcW w:w="2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340,259,266.84</w:t>
            </w:r>
          </w:p>
        </w:tc>
      </w:tr>
      <w:tr>
        <w:trPr>
          <w:trHeight w:val="323"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1,937,463,090.52</w:t>
            </w:r>
          </w:p>
        </w:tc>
        <w:tc>
          <w:tcPr>
            <w:tcW w:w="2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2,104,882,175.62</w:t>
            </w:r>
          </w:p>
        </w:tc>
      </w:tr>
      <w:tr>
        <w:trPr>
          <w:trHeight w:val="324"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1,072,911,716.86</w:t>
            </w:r>
          </w:p>
        </w:tc>
        <w:tc>
          <w:tcPr>
            <w:tcW w:w="2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240,340,337.21</w:t>
            </w:r>
          </w:p>
        </w:tc>
      </w:tr>
      <w:tr>
        <w:trPr>
          <w:trHeight w:val="323"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187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09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4"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38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0"/>
              <w:jc w:val="right"/>
              <w:rPr>
                <w:rFonts w:ascii="Times New Roman" w:hAnsi="Times New Roman" w:cs="Times New Roman" w:eastAsia="Times New Roman" w:hint="default"/>
                <w:sz w:val="18"/>
                <w:szCs w:val="18"/>
              </w:rPr>
            </w:pPr>
            <w:r>
              <w:rPr>
                <w:rFonts w:ascii="Times New Roman"/>
                <w:spacing w:val="-1"/>
                <w:sz w:val="18"/>
              </w:rPr>
              <w:t>379,536,458.02</w:t>
            </w:r>
          </w:p>
        </w:tc>
        <w:tc>
          <w:tcPr>
            <w:tcW w:w="2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0"/>
              <w:jc w:val="right"/>
              <w:rPr>
                <w:rFonts w:ascii="Times New Roman" w:hAnsi="Times New Roman" w:cs="Times New Roman" w:eastAsia="Times New Roman" w:hint="default"/>
                <w:sz w:val="18"/>
                <w:szCs w:val="18"/>
              </w:rPr>
            </w:pPr>
            <w:r>
              <w:rPr>
                <w:rFonts w:ascii="Times New Roman"/>
                <w:spacing w:val="-1"/>
                <w:sz w:val="18"/>
              </w:rPr>
              <w:t>1,337,227,107.80</w:t>
            </w:r>
          </w:p>
        </w:tc>
      </w:tr>
      <w:tr>
        <w:trPr>
          <w:trHeight w:val="323"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38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0"/>
              <w:jc w:val="right"/>
              <w:rPr>
                <w:rFonts w:ascii="Times New Roman" w:hAnsi="Times New Roman" w:cs="Times New Roman" w:eastAsia="Times New Roman" w:hint="default"/>
                <w:sz w:val="18"/>
                <w:szCs w:val="18"/>
              </w:rPr>
            </w:pPr>
            <w:r>
              <w:rPr>
                <w:rFonts w:ascii="Times New Roman"/>
                <w:spacing w:val="-1"/>
                <w:sz w:val="18"/>
              </w:rPr>
              <w:t>32,549,650.87</w:t>
            </w:r>
          </w:p>
        </w:tc>
        <w:tc>
          <w:tcPr>
            <w:tcW w:w="2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16,945,699.53</w:t>
            </w:r>
          </w:p>
        </w:tc>
      </w:tr>
      <w:tr>
        <w:trPr>
          <w:trHeight w:val="557"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8"/>
              <w:ind w:left="22" w:right="41"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 金净额</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62,260.00</w:t>
            </w:r>
          </w:p>
        </w:tc>
        <w:tc>
          <w:tcPr>
            <w:tcW w:w="2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184,896.35</w:t>
            </w:r>
          </w:p>
        </w:tc>
      </w:tr>
      <w:tr>
        <w:trPr>
          <w:trHeight w:val="323"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581"/>
              <w:jc w:val="righ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1872" w:type="dxa"/>
            <w:tcBorders>
              <w:top w:val="single" w:sz="4" w:space="0" w:color="000000"/>
              <w:left w:val="single" w:sz="4" w:space="0" w:color="000000"/>
              <w:bottom w:val="single" w:sz="4" w:space="0" w:color="000000"/>
              <w:right w:val="single" w:sz="4" w:space="0" w:color="000000"/>
            </w:tcBorders>
          </w:tcPr>
          <w:p>
            <w:pPr/>
          </w:p>
        </w:tc>
        <w:tc>
          <w:tcPr>
            <w:tcW w:w="209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1872" w:type="dxa"/>
            <w:tcBorders>
              <w:top w:val="single" w:sz="4" w:space="0" w:color="000000"/>
              <w:left w:val="single" w:sz="4" w:space="0" w:color="000000"/>
              <w:bottom w:val="single" w:sz="4" w:space="0" w:color="000000"/>
              <w:right w:val="single" w:sz="4" w:space="0" w:color="000000"/>
            </w:tcBorders>
          </w:tcPr>
          <w:p>
            <w:pPr/>
          </w:p>
        </w:tc>
        <w:tc>
          <w:tcPr>
            <w:tcW w:w="209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412,148,368.89</w:t>
            </w:r>
          </w:p>
        </w:tc>
        <w:tc>
          <w:tcPr>
            <w:tcW w:w="2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1,354,357,703.68</w:t>
            </w:r>
          </w:p>
        </w:tc>
      </w:tr>
      <w:tr>
        <w:trPr>
          <w:trHeight w:val="557"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12"/>
              <w:ind w:left="382"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w:t>
            </w:r>
          </w:p>
          <w:p>
            <w:pPr>
              <w:pStyle w:val="TableParagraph"/>
              <w:spacing w:line="234" w:lineRule="exact"/>
              <w:ind w:left="2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65,442,085.21</w:t>
            </w:r>
          </w:p>
        </w:tc>
        <w:tc>
          <w:tcPr>
            <w:tcW w:w="2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27,327,035.14</w:t>
            </w:r>
          </w:p>
        </w:tc>
      </w:tr>
      <w:tr>
        <w:trPr>
          <w:trHeight w:val="324"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38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738,944,184.53</w:t>
            </w:r>
          </w:p>
        </w:tc>
        <w:tc>
          <w:tcPr>
            <w:tcW w:w="2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1,274,619,047.48</w:t>
            </w:r>
          </w:p>
        </w:tc>
      </w:tr>
      <w:tr>
        <w:trPr>
          <w:trHeight w:val="323"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581"/>
              <w:jc w:val="righ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1872" w:type="dxa"/>
            <w:tcBorders>
              <w:top w:val="single" w:sz="4" w:space="0" w:color="000000"/>
              <w:left w:val="single" w:sz="4" w:space="0" w:color="000000"/>
              <w:bottom w:val="single" w:sz="4" w:space="0" w:color="000000"/>
              <w:right w:val="single" w:sz="4" w:space="0" w:color="000000"/>
            </w:tcBorders>
          </w:tcPr>
          <w:p>
            <w:pPr/>
          </w:p>
        </w:tc>
        <w:tc>
          <w:tcPr>
            <w:tcW w:w="209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1872" w:type="dxa"/>
            <w:tcBorders>
              <w:top w:val="single" w:sz="4" w:space="0" w:color="000000"/>
              <w:left w:val="single" w:sz="4" w:space="0" w:color="000000"/>
              <w:bottom w:val="single" w:sz="4" w:space="0" w:color="000000"/>
              <w:right w:val="single" w:sz="4" w:space="0" w:color="000000"/>
            </w:tcBorders>
          </w:tcPr>
          <w:p>
            <w:pPr/>
          </w:p>
        </w:tc>
        <w:tc>
          <w:tcPr>
            <w:tcW w:w="209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0"/>
              <w:jc w:val="right"/>
              <w:rPr>
                <w:rFonts w:ascii="Times New Roman" w:hAnsi="Times New Roman" w:cs="Times New Roman" w:eastAsia="Times New Roman" w:hint="default"/>
                <w:sz w:val="18"/>
                <w:szCs w:val="18"/>
              </w:rPr>
            </w:pPr>
            <w:r>
              <w:rPr>
                <w:rFonts w:ascii="Times New Roman"/>
                <w:spacing w:val="-1"/>
                <w:sz w:val="18"/>
              </w:rPr>
              <w:t>804,386,269.74</w:t>
            </w:r>
          </w:p>
        </w:tc>
        <w:tc>
          <w:tcPr>
            <w:tcW w:w="2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0"/>
              <w:jc w:val="right"/>
              <w:rPr>
                <w:rFonts w:ascii="Times New Roman" w:hAnsi="Times New Roman" w:cs="Times New Roman" w:eastAsia="Times New Roman" w:hint="default"/>
                <w:sz w:val="18"/>
                <w:szCs w:val="18"/>
              </w:rPr>
            </w:pPr>
            <w:r>
              <w:rPr>
                <w:rFonts w:ascii="Times New Roman"/>
                <w:spacing w:val="-1"/>
                <w:sz w:val="18"/>
              </w:rPr>
              <w:t>1,301,946,082.62</w:t>
            </w:r>
          </w:p>
        </w:tc>
      </w:tr>
      <w:tr>
        <w:trPr>
          <w:trHeight w:val="323"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Times New Roman" w:hAnsi="Times New Roman" w:cs="Times New Roman" w:eastAsia="Times New Roman" w:hint="default"/>
                <w:sz w:val="18"/>
                <w:szCs w:val="18"/>
              </w:rPr>
            </w:pPr>
            <w:r>
              <w:rPr>
                <w:rFonts w:ascii="Times New Roman"/>
                <w:spacing w:val="-1"/>
                <w:sz w:val="18"/>
              </w:rPr>
              <w:t>-392,237,900.85</w:t>
            </w:r>
          </w:p>
        </w:tc>
        <w:tc>
          <w:tcPr>
            <w:tcW w:w="2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52,411,621.06</w:t>
            </w:r>
          </w:p>
        </w:tc>
      </w:tr>
      <w:tr>
        <w:trPr>
          <w:trHeight w:val="324"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2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187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09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3"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1872" w:type="dxa"/>
            <w:tcBorders>
              <w:top w:val="single" w:sz="4" w:space="0" w:color="000000"/>
              <w:left w:val="single" w:sz="4" w:space="0" w:color="000000"/>
              <w:bottom w:val="single" w:sz="4" w:space="0" w:color="000000"/>
              <w:right w:val="single" w:sz="4" w:space="0" w:color="000000"/>
            </w:tcBorders>
          </w:tcPr>
          <w:p>
            <w:pPr/>
          </w:p>
        </w:tc>
        <w:tc>
          <w:tcPr>
            <w:tcW w:w="209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1872" w:type="dxa"/>
            <w:tcBorders>
              <w:top w:val="single" w:sz="4" w:space="0" w:color="000000"/>
              <w:left w:val="single" w:sz="4" w:space="0" w:color="000000"/>
              <w:bottom w:val="single" w:sz="4" w:space="0" w:color="000000"/>
              <w:right w:val="single" w:sz="4" w:space="0" w:color="000000"/>
            </w:tcBorders>
          </w:tcPr>
          <w:p>
            <w:pPr/>
          </w:p>
        </w:tc>
        <w:tc>
          <w:tcPr>
            <w:tcW w:w="209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1872" w:type="dxa"/>
            <w:tcBorders>
              <w:top w:val="single" w:sz="4" w:space="0" w:color="000000"/>
              <w:left w:val="single" w:sz="4" w:space="0" w:color="000000"/>
              <w:bottom w:val="single" w:sz="4" w:space="0" w:color="000000"/>
              <w:right w:val="single" w:sz="4" w:space="0" w:color="000000"/>
            </w:tcBorders>
          </w:tcPr>
          <w:p>
            <w:pPr/>
          </w:p>
        </w:tc>
        <w:tc>
          <w:tcPr>
            <w:tcW w:w="209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1872" w:type="dxa"/>
            <w:tcBorders>
              <w:top w:val="single" w:sz="4" w:space="0" w:color="000000"/>
              <w:left w:val="single" w:sz="4" w:space="0" w:color="000000"/>
              <w:bottom w:val="single" w:sz="4" w:space="0" w:color="000000"/>
              <w:right w:val="single" w:sz="4" w:space="0" w:color="000000"/>
            </w:tcBorders>
          </w:tcPr>
          <w:p>
            <w:pPr/>
          </w:p>
        </w:tc>
        <w:tc>
          <w:tcPr>
            <w:tcW w:w="209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1872" w:type="dxa"/>
            <w:tcBorders>
              <w:top w:val="single" w:sz="4" w:space="0" w:color="000000"/>
              <w:left w:val="single" w:sz="4" w:space="0" w:color="000000"/>
              <w:bottom w:val="single" w:sz="4" w:space="0" w:color="000000"/>
              <w:right w:val="single" w:sz="4" w:space="0" w:color="000000"/>
            </w:tcBorders>
          </w:tcPr>
          <w:p>
            <w:pPr/>
          </w:p>
        </w:tc>
        <w:tc>
          <w:tcPr>
            <w:tcW w:w="209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289,079,274.12</w:t>
            </w:r>
          </w:p>
        </w:tc>
        <w:tc>
          <w:tcPr>
            <w:tcW w:w="2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485,777,145.00</w:t>
            </w:r>
          </w:p>
        </w:tc>
      </w:tr>
      <w:tr>
        <w:trPr>
          <w:trHeight w:val="324"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382"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0"/>
              <w:jc w:val="right"/>
              <w:rPr>
                <w:rFonts w:ascii="Times New Roman" w:hAnsi="Times New Roman" w:cs="Times New Roman" w:eastAsia="Times New Roman" w:hint="default"/>
                <w:sz w:val="18"/>
                <w:szCs w:val="18"/>
              </w:rPr>
            </w:pPr>
            <w:r>
              <w:rPr>
                <w:rFonts w:ascii="Times New Roman"/>
                <w:spacing w:val="-1"/>
                <w:sz w:val="18"/>
              </w:rPr>
              <w:t>7,242,468.72</w:t>
            </w:r>
          </w:p>
        </w:tc>
        <w:tc>
          <w:tcPr>
            <w:tcW w:w="2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0"/>
              <w:jc w:val="right"/>
              <w:rPr>
                <w:rFonts w:ascii="Times New Roman" w:hAnsi="Times New Roman" w:cs="Times New Roman" w:eastAsia="Times New Roman" w:hint="default"/>
                <w:sz w:val="18"/>
                <w:szCs w:val="18"/>
              </w:rPr>
            </w:pPr>
            <w:r>
              <w:rPr>
                <w:rFonts w:ascii="Times New Roman"/>
                <w:spacing w:val="-1"/>
                <w:sz w:val="18"/>
              </w:rPr>
              <w:t>113,006,514.72</w:t>
            </w:r>
          </w:p>
        </w:tc>
      </w:tr>
      <w:tr>
        <w:trPr>
          <w:trHeight w:val="323"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296,321,742.84</w:t>
            </w:r>
          </w:p>
        </w:tc>
        <w:tc>
          <w:tcPr>
            <w:tcW w:w="2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598,783,659.72</w:t>
            </w:r>
          </w:p>
        </w:tc>
      </w:tr>
      <w:tr>
        <w:trPr>
          <w:trHeight w:val="324"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8"/>
              <w:jc w:val="right"/>
              <w:rPr>
                <w:rFonts w:ascii="Times New Roman" w:hAnsi="Times New Roman" w:cs="Times New Roman" w:eastAsia="Times New Roman" w:hint="default"/>
                <w:sz w:val="18"/>
                <w:szCs w:val="18"/>
              </w:rPr>
            </w:pPr>
            <w:r>
              <w:rPr>
                <w:rFonts w:ascii="Times New Roman"/>
                <w:spacing w:val="-1"/>
                <w:sz w:val="18"/>
              </w:rPr>
              <w:t>-296,321,742.84</w:t>
            </w:r>
          </w:p>
        </w:tc>
        <w:tc>
          <w:tcPr>
            <w:tcW w:w="2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-598,783,659.72</w:t>
            </w:r>
          </w:p>
        </w:tc>
      </w:tr>
      <w:tr>
        <w:trPr>
          <w:trHeight w:val="323"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18,141,958.60</w:t>
            </w:r>
          </w:p>
        </w:tc>
        <w:tc>
          <w:tcPr>
            <w:tcW w:w="2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31,870,797.77</w:t>
            </w:r>
          </w:p>
        </w:tc>
      </w:tr>
      <w:tr>
        <w:trPr>
          <w:trHeight w:val="324"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0"/>
              <w:jc w:val="right"/>
              <w:rPr>
                <w:rFonts w:ascii="Times New Roman" w:hAnsi="Times New Roman" w:cs="Times New Roman" w:eastAsia="Times New Roman" w:hint="default"/>
                <w:sz w:val="18"/>
                <w:szCs w:val="18"/>
              </w:rPr>
            </w:pPr>
            <w:r>
              <w:rPr>
                <w:rFonts w:ascii="Times New Roman"/>
                <w:spacing w:val="-1"/>
                <w:sz w:val="18"/>
              </w:rPr>
              <w:t>402,494,031.77</w:t>
            </w:r>
          </w:p>
        </w:tc>
        <w:tc>
          <w:tcPr>
            <w:tcW w:w="2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0"/>
              <w:jc w:val="right"/>
              <w:rPr>
                <w:rFonts w:ascii="Times New Roman" w:hAnsi="Times New Roman" w:cs="Times New Roman" w:eastAsia="Times New Roman" w:hint="default"/>
                <w:sz w:val="18"/>
                <w:szCs w:val="18"/>
              </w:rPr>
            </w:pPr>
            <w:r>
              <w:rPr>
                <w:rFonts w:ascii="Times New Roman"/>
                <w:spacing w:val="-1"/>
                <w:sz w:val="18"/>
              </w:rPr>
              <w:t>-274,160,903.68</w:t>
            </w:r>
          </w:p>
        </w:tc>
      </w:tr>
      <w:tr>
        <w:trPr>
          <w:trHeight w:val="323"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1,705,942,946.26</w:t>
            </w:r>
          </w:p>
        </w:tc>
        <w:tc>
          <w:tcPr>
            <w:tcW w:w="2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1,980,103,849.94</w:t>
            </w:r>
          </w:p>
        </w:tc>
      </w:tr>
      <w:tr>
        <w:trPr>
          <w:trHeight w:val="323"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2,108,436,978.03</w:t>
            </w:r>
          </w:p>
        </w:tc>
        <w:tc>
          <w:tcPr>
            <w:tcW w:w="2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1,705,942,946.26</w:t>
            </w:r>
          </w:p>
        </w:tc>
      </w:tr>
    </w:tbl>
    <w:p>
      <w:pPr>
        <w:spacing w:line="240" w:lineRule="auto" w:before="10"/>
        <w:rPr>
          <w:rFonts w:ascii="宋体" w:hAnsi="宋体" w:cs="宋体" w:eastAsia="宋体" w:hint="default"/>
          <w:sz w:val="17"/>
          <w:szCs w:val="17"/>
        </w:rPr>
      </w:pPr>
    </w:p>
    <w:p>
      <w:pPr>
        <w:pStyle w:val="Heading3"/>
        <w:spacing w:line="240" w:lineRule="auto"/>
        <w:ind w:left="117" w:right="1603"/>
        <w:jc w:val="left"/>
        <w:rPr>
          <w:b w:val="0"/>
          <w:bCs w:val="0"/>
        </w:rPr>
      </w:pPr>
      <w:bookmarkStart w:name="7、合并所有者权益变动表" w:id="165"/>
      <w:bookmarkEnd w:id="165"/>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7"/>
        <w:rPr>
          <w:rFonts w:ascii="宋体" w:hAnsi="宋体" w:cs="宋体" w:eastAsia="宋体" w:hint="default"/>
          <w:b/>
          <w:bCs/>
          <w:sz w:val="18"/>
          <w:szCs w:val="18"/>
        </w:rPr>
      </w:pPr>
    </w:p>
    <w:p>
      <w:pPr>
        <w:pStyle w:val="BodyText"/>
        <w:spacing w:line="240" w:lineRule="auto" w:before="44"/>
        <w:ind w:left="117" w:right="1603"/>
        <w:jc w:val="left"/>
      </w:pPr>
      <w:r>
        <w:rPr/>
        <w:t>本期金额</w:t>
      </w:r>
    </w:p>
    <w:p>
      <w:pPr>
        <w:pStyle w:val="BodyText"/>
        <w:spacing w:line="240" w:lineRule="auto" w:before="40"/>
        <w:ind w:left="0" w:right="1796"/>
        <w:jc w:val="right"/>
      </w:pPr>
      <w:r>
        <w:rPr/>
        <w:t>单位：元</w:t>
      </w:r>
    </w:p>
    <w:p>
      <w:pPr>
        <w:spacing w:line="240" w:lineRule="auto" w:before="0"/>
        <w:rPr>
          <w:rFonts w:ascii="宋体" w:hAnsi="宋体" w:cs="宋体" w:eastAsia="宋体" w:hint="default"/>
          <w:sz w:val="5"/>
          <w:szCs w:val="5"/>
        </w:rPr>
      </w:pPr>
    </w:p>
    <w:tbl>
      <w:tblPr>
        <w:tblW w:w="0" w:type="auto"/>
        <w:jc w:val="left"/>
        <w:tblInd w:w="112" w:type="dxa"/>
        <w:tblLayout w:type="fixed"/>
        <w:tblCellMar>
          <w:top w:w="0" w:type="dxa"/>
          <w:left w:w="0" w:type="dxa"/>
          <w:bottom w:w="0" w:type="dxa"/>
          <w:right w:w="0" w:type="dxa"/>
        </w:tblCellMar>
        <w:tblLook w:val="01E0"/>
      </w:tblPr>
      <w:tblGrid>
        <w:gridCol w:w="1253"/>
        <w:gridCol w:w="493"/>
        <w:gridCol w:w="466"/>
        <w:gridCol w:w="467"/>
        <w:gridCol w:w="468"/>
        <w:gridCol w:w="583"/>
        <w:gridCol w:w="584"/>
        <w:gridCol w:w="584"/>
        <w:gridCol w:w="584"/>
        <w:gridCol w:w="583"/>
        <w:gridCol w:w="584"/>
        <w:gridCol w:w="584"/>
        <w:gridCol w:w="584"/>
        <w:gridCol w:w="584"/>
        <w:gridCol w:w="584"/>
        <w:gridCol w:w="578"/>
      </w:tblGrid>
      <w:tr>
        <w:trPr>
          <w:trHeight w:val="323" w:hRule="exact"/>
        </w:trPr>
        <w:tc>
          <w:tcPr>
            <w:tcW w:w="125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310"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324" w:hRule="exact"/>
        </w:trPr>
        <w:tc>
          <w:tcPr>
            <w:tcW w:w="1253" w:type="dxa"/>
            <w:vMerge/>
            <w:tcBorders>
              <w:left w:val="single" w:sz="4" w:space="0" w:color="000000"/>
              <w:right w:val="single" w:sz="4" w:space="0" w:color="000000"/>
            </w:tcBorders>
            <w:shd w:val="clear" w:color="auto" w:fill="D2D2D2"/>
          </w:tcPr>
          <w:p>
            <w:pPr/>
          </w:p>
        </w:tc>
        <w:tc>
          <w:tcPr>
            <w:tcW w:w="7148"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5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8"/>
                <w:szCs w:val="18"/>
              </w:rPr>
            </w:pPr>
          </w:p>
          <w:p>
            <w:pPr>
              <w:pStyle w:val="TableParagraph"/>
              <w:spacing w:line="232" w:lineRule="exact"/>
              <w:ind w:left="107" w:right="104"/>
              <w:jc w:val="both"/>
              <w:rPr>
                <w:rFonts w:ascii="宋体" w:hAnsi="宋体" w:cs="宋体" w:eastAsia="宋体" w:hint="default"/>
                <w:sz w:val="18"/>
                <w:szCs w:val="18"/>
              </w:rPr>
            </w:pPr>
            <w:r>
              <w:rPr>
                <w:rFonts w:ascii="宋体" w:hAnsi="宋体" w:cs="宋体" w:eastAsia="宋体" w:hint="default"/>
                <w:sz w:val="18"/>
                <w:szCs w:val="18"/>
              </w:rPr>
              <w:t>少数 股东 权益</w:t>
            </w:r>
          </w:p>
        </w:tc>
        <w:tc>
          <w:tcPr>
            <w:tcW w:w="578" w:type="dxa"/>
            <w:vMerge w:val="restart"/>
            <w:tcBorders>
              <w:top w:val="single" w:sz="4" w:space="0" w:color="000000"/>
              <w:left w:val="single" w:sz="4" w:space="0" w:color="000000"/>
              <w:right w:val="single" w:sz="4" w:space="0" w:color="000000"/>
            </w:tcBorders>
            <w:shd w:val="clear" w:color="auto" w:fill="D2D2D2"/>
          </w:tcPr>
          <w:p>
            <w:pPr>
              <w:pStyle w:val="TableParagraph"/>
              <w:spacing w:line="237" w:lineRule="auto" w:before="102"/>
              <w:ind w:left="104" w:right="102"/>
              <w:jc w:val="both"/>
              <w:rPr>
                <w:rFonts w:ascii="宋体" w:hAnsi="宋体" w:cs="宋体" w:eastAsia="宋体" w:hint="default"/>
                <w:sz w:val="18"/>
                <w:szCs w:val="18"/>
              </w:rPr>
            </w:pPr>
            <w:r>
              <w:rPr>
                <w:rFonts w:ascii="宋体" w:hAnsi="宋体" w:cs="宋体" w:eastAsia="宋体" w:hint="default"/>
                <w:sz w:val="18"/>
                <w:szCs w:val="18"/>
              </w:rPr>
              <w:t>所有 者权 益合 计</w:t>
            </w:r>
          </w:p>
        </w:tc>
      </w:tr>
      <w:tr>
        <w:trPr>
          <w:trHeight w:val="323" w:hRule="exact"/>
        </w:trPr>
        <w:tc>
          <w:tcPr>
            <w:tcW w:w="1253" w:type="dxa"/>
            <w:vMerge/>
            <w:tcBorders>
              <w:left w:val="single" w:sz="4" w:space="0" w:color="000000"/>
              <w:right w:val="single" w:sz="4" w:space="0" w:color="000000"/>
            </w:tcBorders>
            <w:shd w:val="clear" w:color="auto" w:fill="D2D2D2"/>
          </w:tcPr>
          <w:p>
            <w:pPr/>
          </w:p>
        </w:tc>
        <w:tc>
          <w:tcPr>
            <w:tcW w:w="4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40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55"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58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5"/>
                <w:szCs w:val="15"/>
              </w:rPr>
            </w:pPr>
          </w:p>
          <w:p>
            <w:pPr>
              <w:pStyle w:val="TableParagraph"/>
              <w:spacing w:line="232" w:lineRule="exact"/>
              <w:ind w:left="105" w:right="105"/>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5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5"/>
                <w:szCs w:val="15"/>
              </w:rPr>
            </w:pPr>
          </w:p>
          <w:p>
            <w:pPr>
              <w:pStyle w:val="TableParagraph"/>
              <w:spacing w:line="232" w:lineRule="exact"/>
              <w:ind w:left="108" w:right="20" w:hanging="84"/>
              <w:jc w:val="left"/>
              <w:rPr>
                <w:rFonts w:ascii="宋体" w:hAnsi="宋体" w:cs="宋体" w:eastAsia="宋体" w:hint="default"/>
                <w:sz w:val="18"/>
                <w:szCs w:val="18"/>
              </w:rPr>
            </w:pPr>
            <w:r>
              <w:rPr>
                <w:rFonts w:ascii="宋体" w:hAnsi="宋体" w:cs="宋体" w:eastAsia="宋体" w:hint="default"/>
                <w:spacing w:val="-4"/>
                <w:sz w:val="18"/>
                <w:szCs w:val="18"/>
              </w:rPr>
              <w:t>减：库</w:t>
            </w:r>
            <w:r>
              <w:rPr>
                <w:rFonts w:ascii="宋体" w:hAnsi="宋体" w:cs="宋体" w:eastAsia="宋体" w:hint="default"/>
                <w:sz w:val="18"/>
                <w:szCs w:val="18"/>
              </w:rPr>
              <w:t> 存股</w:t>
            </w:r>
          </w:p>
        </w:tc>
        <w:tc>
          <w:tcPr>
            <w:tcW w:w="584" w:type="dxa"/>
            <w:vMerge w:val="restart"/>
            <w:tcBorders>
              <w:top w:val="single" w:sz="4" w:space="0" w:color="000000"/>
              <w:left w:val="single" w:sz="4" w:space="0" w:color="000000"/>
              <w:right w:val="single" w:sz="4" w:space="0" w:color="000000"/>
            </w:tcBorders>
            <w:shd w:val="clear" w:color="auto" w:fill="D2D2D2"/>
          </w:tcPr>
          <w:p>
            <w:pPr>
              <w:pStyle w:val="TableParagraph"/>
              <w:spacing w:line="232" w:lineRule="exact" w:before="79"/>
              <w:ind w:left="107" w:right="105"/>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5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5"/>
                <w:szCs w:val="15"/>
              </w:rPr>
            </w:pPr>
          </w:p>
          <w:p>
            <w:pPr>
              <w:pStyle w:val="TableParagraph"/>
              <w:spacing w:line="232" w:lineRule="exact"/>
              <w:ind w:left="106" w:right="105"/>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58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5"/>
                <w:szCs w:val="15"/>
              </w:rPr>
            </w:pPr>
          </w:p>
          <w:p>
            <w:pPr>
              <w:pStyle w:val="TableParagraph"/>
              <w:spacing w:line="232" w:lineRule="exact"/>
              <w:ind w:left="105" w:right="105"/>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584" w:type="dxa"/>
            <w:vMerge w:val="restart"/>
            <w:tcBorders>
              <w:top w:val="single" w:sz="4" w:space="0" w:color="000000"/>
              <w:left w:val="single" w:sz="4" w:space="0" w:color="000000"/>
              <w:right w:val="single" w:sz="4" w:space="0" w:color="000000"/>
            </w:tcBorders>
            <w:shd w:val="clear" w:color="auto" w:fill="D2D2D2"/>
          </w:tcPr>
          <w:p>
            <w:pPr>
              <w:pStyle w:val="TableParagraph"/>
              <w:spacing w:line="232" w:lineRule="exact" w:before="79"/>
              <w:ind w:left="105" w:right="106"/>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584" w:type="dxa"/>
            <w:vMerge w:val="restart"/>
            <w:tcBorders>
              <w:top w:val="single" w:sz="4" w:space="0" w:color="000000"/>
              <w:left w:val="single" w:sz="4" w:space="0" w:color="000000"/>
              <w:right w:val="single" w:sz="4" w:space="0" w:color="000000"/>
            </w:tcBorders>
            <w:shd w:val="clear" w:color="auto" w:fill="D2D2D2"/>
          </w:tcPr>
          <w:p>
            <w:pPr>
              <w:pStyle w:val="TableParagraph"/>
              <w:spacing w:line="232" w:lineRule="exact" w:before="79"/>
              <w:ind w:left="107" w:right="104"/>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5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10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10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584"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r>
      <w:tr>
        <w:trPr>
          <w:trHeight w:val="555" w:hRule="exact"/>
        </w:trPr>
        <w:tc>
          <w:tcPr>
            <w:tcW w:w="1253" w:type="dxa"/>
            <w:vMerge/>
            <w:tcBorders>
              <w:left w:val="single" w:sz="4" w:space="0" w:color="000000"/>
              <w:bottom w:val="single" w:sz="4" w:space="0" w:color="000000"/>
              <w:right w:val="single" w:sz="4" w:space="0" w:color="000000"/>
            </w:tcBorders>
            <w:shd w:val="clear" w:color="auto" w:fill="D2D2D2"/>
          </w:tcPr>
          <w:p>
            <w:pPr/>
          </w:p>
        </w:tc>
        <w:tc>
          <w:tcPr>
            <w:tcW w:w="493" w:type="dxa"/>
            <w:vMerge/>
            <w:tcBorders>
              <w:left w:val="single" w:sz="4" w:space="0" w:color="000000"/>
              <w:bottom w:val="single" w:sz="4" w:space="0" w:color="000000"/>
              <w:right w:val="single" w:sz="4" w:space="0" w:color="000000"/>
            </w:tcBorders>
            <w:shd w:val="clear" w:color="auto" w:fill="D2D2D2"/>
          </w:tcPr>
          <w:p>
            <w:pPr/>
          </w:p>
        </w:tc>
        <w:tc>
          <w:tcPr>
            <w:tcW w:w="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7"/>
              <w:ind w:left="138" w:right="47" w:hanging="92"/>
              <w:jc w:val="left"/>
              <w:rPr>
                <w:rFonts w:ascii="宋体" w:hAnsi="宋体" w:cs="宋体" w:eastAsia="宋体" w:hint="default"/>
                <w:sz w:val="18"/>
                <w:szCs w:val="18"/>
              </w:rPr>
            </w:pPr>
            <w:r>
              <w:rPr>
                <w:rFonts w:ascii="宋体" w:hAnsi="宋体" w:cs="宋体" w:eastAsia="宋体" w:hint="default"/>
                <w:sz w:val="18"/>
                <w:szCs w:val="18"/>
              </w:rPr>
              <w:t>优先 股</w:t>
            </w:r>
          </w:p>
        </w:tc>
        <w:tc>
          <w:tcPr>
            <w:tcW w:w="4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7"/>
              <w:ind w:left="138" w:right="48" w:hanging="92"/>
              <w:jc w:val="left"/>
              <w:rPr>
                <w:rFonts w:ascii="宋体" w:hAnsi="宋体" w:cs="宋体" w:eastAsia="宋体" w:hint="default"/>
                <w:sz w:val="18"/>
                <w:szCs w:val="18"/>
              </w:rPr>
            </w:pPr>
            <w:r>
              <w:rPr>
                <w:rFonts w:ascii="宋体" w:hAnsi="宋体" w:cs="宋体" w:eastAsia="宋体" w:hint="default"/>
                <w:sz w:val="18"/>
                <w:szCs w:val="18"/>
              </w:rPr>
              <w:t>永续 债</w:t>
            </w:r>
          </w:p>
        </w:tc>
        <w:tc>
          <w:tcPr>
            <w:tcW w:w="4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4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83" w:type="dxa"/>
            <w:vMerge/>
            <w:tcBorders>
              <w:left w:val="single" w:sz="4" w:space="0" w:color="000000"/>
              <w:bottom w:val="single" w:sz="4" w:space="0" w:color="000000"/>
              <w:right w:val="single" w:sz="4" w:space="0" w:color="000000"/>
            </w:tcBorders>
            <w:shd w:val="clear" w:color="auto" w:fill="D2D2D2"/>
          </w:tcPr>
          <w:p>
            <w:pPr/>
          </w:p>
        </w:tc>
        <w:tc>
          <w:tcPr>
            <w:tcW w:w="584" w:type="dxa"/>
            <w:vMerge/>
            <w:tcBorders>
              <w:left w:val="single" w:sz="4" w:space="0" w:color="000000"/>
              <w:bottom w:val="single" w:sz="4" w:space="0" w:color="000000"/>
              <w:right w:val="single" w:sz="4" w:space="0" w:color="000000"/>
            </w:tcBorders>
            <w:shd w:val="clear" w:color="auto" w:fill="D2D2D2"/>
          </w:tcPr>
          <w:p>
            <w:pPr/>
          </w:p>
        </w:tc>
        <w:tc>
          <w:tcPr>
            <w:tcW w:w="584" w:type="dxa"/>
            <w:vMerge/>
            <w:tcBorders>
              <w:left w:val="single" w:sz="4" w:space="0" w:color="000000"/>
              <w:bottom w:val="single" w:sz="4" w:space="0" w:color="000000"/>
              <w:right w:val="single" w:sz="4" w:space="0" w:color="000000"/>
            </w:tcBorders>
            <w:shd w:val="clear" w:color="auto" w:fill="D2D2D2"/>
          </w:tcPr>
          <w:p>
            <w:pPr/>
          </w:p>
        </w:tc>
        <w:tc>
          <w:tcPr>
            <w:tcW w:w="584"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4" w:type="dxa"/>
            <w:vMerge/>
            <w:tcBorders>
              <w:left w:val="single" w:sz="4" w:space="0" w:color="000000"/>
              <w:bottom w:val="single" w:sz="4" w:space="0" w:color="000000"/>
              <w:right w:val="single" w:sz="4" w:space="0" w:color="000000"/>
            </w:tcBorders>
            <w:shd w:val="clear" w:color="auto" w:fill="D2D2D2"/>
          </w:tcPr>
          <w:p>
            <w:pPr/>
          </w:p>
        </w:tc>
        <w:tc>
          <w:tcPr>
            <w:tcW w:w="584" w:type="dxa"/>
            <w:vMerge/>
            <w:tcBorders>
              <w:left w:val="single" w:sz="4" w:space="0" w:color="000000"/>
              <w:bottom w:val="single" w:sz="4" w:space="0" w:color="000000"/>
              <w:right w:val="single" w:sz="4" w:space="0" w:color="000000"/>
            </w:tcBorders>
            <w:shd w:val="clear" w:color="auto" w:fill="D2D2D2"/>
          </w:tcPr>
          <w:p>
            <w:pPr/>
          </w:p>
        </w:tc>
        <w:tc>
          <w:tcPr>
            <w:tcW w:w="584" w:type="dxa"/>
            <w:vMerge/>
            <w:tcBorders>
              <w:left w:val="single" w:sz="4" w:space="0" w:color="000000"/>
              <w:bottom w:val="single" w:sz="4" w:space="0" w:color="000000"/>
              <w:right w:val="single" w:sz="4" w:space="0" w:color="000000"/>
            </w:tcBorders>
            <w:shd w:val="clear" w:color="auto" w:fill="D2D2D2"/>
          </w:tcPr>
          <w:p>
            <w:pPr/>
          </w:p>
        </w:tc>
        <w:tc>
          <w:tcPr>
            <w:tcW w:w="584" w:type="dxa"/>
            <w:vMerge/>
            <w:tcBorders>
              <w:left w:val="single" w:sz="4" w:space="0" w:color="000000"/>
              <w:bottom w:val="single" w:sz="4" w:space="0" w:color="000000"/>
              <w:right w:val="single" w:sz="4" w:space="0" w:color="000000"/>
            </w:tcBorders>
            <w:shd w:val="clear" w:color="auto" w:fill="D2D2D2"/>
          </w:tcPr>
          <w:p>
            <w:pPr/>
          </w:p>
        </w:tc>
        <w:tc>
          <w:tcPr>
            <w:tcW w:w="584" w:type="dxa"/>
            <w:vMerge/>
            <w:tcBorders>
              <w:left w:val="single" w:sz="4" w:space="0" w:color="000000"/>
              <w:bottom w:val="single" w:sz="4" w:space="0" w:color="000000"/>
              <w:right w:val="single" w:sz="4" w:space="0" w:color="000000"/>
            </w:tcBorders>
            <w:shd w:val="clear" w:color="auto" w:fill="D2D2D2"/>
          </w:tcPr>
          <w:p>
            <w:pPr/>
          </w:p>
        </w:tc>
        <w:tc>
          <w:tcPr>
            <w:tcW w:w="578"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12" w:footer="1264" w:top="980" w:bottom="1460" w:left="1680" w:right="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9"/>
          <w:szCs w:val="19"/>
        </w:rPr>
      </w:pPr>
    </w:p>
    <w:tbl>
      <w:tblPr>
        <w:tblW w:w="0" w:type="auto"/>
        <w:jc w:val="left"/>
        <w:tblInd w:w="112" w:type="dxa"/>
        <w:tblLayout w:type="fixed"/>
        <w:tblCellMar>
          <w:top w:w="0" w:type="dxa"/>
          <w:left w:w="0" w:type="dxa"/>
          <w:bottom w:w="0" w:type="dxa"/>
          <w:right w:w="0" w:type="dxa"/>
        </w:tblCellMar>
        <w:tblLook w:val="01E0"/>
      </w:tblPr>
      <w:tblGrid>
        <w:gridCol w:w="1253"/>
        <w:gridCol w:w="493"/>
        <w:gridCol w:w="466"/>
        <w:gridCol w:w="467"/>
        <w:gridCol w:w="468"/>
        <w:gridCol w:w="583"/>
        <w:gridCol w:w="584"/>
        <w:gridCol w:w="584"/>
        <w:gridCol w:w="584"/>
        <w:gridCol w:w="583"/>
        <w:gridCol w:w="584"/>
        <w:gridCol w:w="584"/>
        <w:gridCol w:w="584"/>
        <w:gridCol w:w="584"/>
        <w:gridCol w:w="584"/>
        <w:gridCol w:w="578"/>
      </w:tblGrid>
      <w:tr>
        <w:trPr>
          <w:trHeight w:val="918"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32" w:lineRule="exact"/>
              <w:ind w:left="22" w:right="21"/>
              <w:jc w:val="left"/>
              <w:rPr>
                <w:rFonts w:ascii="宋体" w:hAnsi="宋体" w:cs="宋体" w:eastAsia="宋体" w:hint="default"/>
                <w:sz w:val="18"/>
                <w:szCs w:val="18"/>
              </w:rPr>
            </w:pPr>
            <w:r>
              <w:rPr>
                <w:rFonts w:ascii="宋体" w:hAnsi="宋体" w:cs="宋体" w:eastAsia="宋体" w:hint="default"/>
                <w:spacing w:val="-9"/>
                <w:sz w:val="18"/>
                <w:szCs w:val="18"/>
              </w:rPr>
              <w:t>一、上年期末余</w:t>
            </w:r>
            <w:r>
              <w:rPr>
                <w:rFonts w:ascii="宋体" w:hAnsi="宋体" w:cs="宋体" w:eastAsia="宋体" w:hint="default"/>
                <w:sz w:val="18"/>
                <w:szCs w:val="18"/>
              </w:rPr>
              <w:t> 额</w:t>
            </w:r>
          </w:p>
        </w:tc>
        <w:tc>
          <w:tcPr>
            <w:tcW w:w="49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9"/>
              <w:ind w:left="55" w:right="0"/>
              <w:jc w:val="left"/>
              <w:rPr>
                <w:rFonts w:ascii="Times New Roman" w:hAnsi="Times New Roman" w:cs="Times New Roman" w:eastAsia="Times New Roman" w:hint="default"/>
                <w:sz w:val="18"/>
                <w:szCs w:val="18"/>
              </w:rPr>
            </w:pPr>
            <w:r>
              <w:rPr>
                <w:rFonts w:ascii="Times New Roman"/>
                <w:sz w:val="18"/>
              </w:rPr>
              <w:t>2,428</w:t>
            </w:r>
          </w:p>
          <w:p>
            <w:pPr>
              <w:pStyle w:val="TableParagraph"/>
              <w:spacing w:line="206" w:lineRule="exact"/>
              <w:ind w:left="101" w:right="0"/>
              <w:jc w:val="left"/>
              <w:rPr>
                <w:rFonts w:ascii="Times New Roman" w:hAnsi="Times New Roman" w:cs="Times New Roman" w:eastAsia="Times New Roman" w:hint="default"/>
                <w:sz w:val="18"/>
                <w:szCs w:val="18"/>
              </w:rPr>
            </w:pPr>
            <w:r>
              <w:rPr>
                <w:rFonts w:ascii="Times New Roman"/>
                <w:sz w:val="18"/>
              </w:rPr>
              <w:t>,885,</w:t>
            </w:r>
          </w:p>
          <w:p>
            <w:pPr>
              <w:pStyle w:val="TableParagraph"/>
              <w:spacing w:line="207" w:lineRule="exact"/>
              <w:ind w:left="55" w:right="0"/>
              <w:jc w:val="left"/>
              <w:rPr>
                <w:rFonts w:ascii="Times New Roman" w:hAnsi="Times New Roman" w:cs="Times New Roman" w:eastAsia="Times New Roman" w:hint="default"/>
                <w:sz w:val="18"/>
                <w:szCs w:val="18"/>
              </w:rPr>
            </w:pPr>
            <w:r>
              <w:rPr>
                <w:rFonts w:ascii="Times New Roman"/>
                <w:sz w:val="18"/>
              </w:rPr>
              <w:t>725.0</w:t>
            </w:r>
          </w:p>
          <w:p>
            <w:pPr>
              <w:pStyle w:val="TableParagraph"/>
              <w:spacing w:line="240" w:lineRule="auto" w:before="2"/>
              <w:ind w:right="21"/>
              <w:jc w:val="right"/>
              <w:rPr>
                <w:rFonts w:ascii="Times New Roman" w:hAnsi="Times New Roman" w:cs="Times New Roman" w:eastAsia="Times New Roman" w:hint="default"/>
                <w:sz w:val="18"/>
                <w:szCs w:val="18"/>
              </w:rPr>
            </w:pPr>
            <w:r>
              <w:rPr>
                <w:rFonts w:ascii="Times New Roman"/>
                <w:sz w:val="18"/>
              </w:rPr>
              <w:t>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7"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42"/>
              <w:ind w:left="78" w:right="0"/>
              <w:jc w:val="center"/>
              <w:rPr>
                <w:rFonts w:ascii="Times New Roman" w:hAnsi="Times New Roman" w:cs="Times New Roman" w:eastAsia="Times New Roman" w:hint="default"/>
                <w:sz w:val="18"/>
                <w:szCs w:val="18"/>
              </w:rPr>
            </w:pPr>
            <w:r>
              <w:rPr>
                <w:rFonts w:ascii="Times New Roman"/>
                <w:sz w:val="18"/>
              </w:rPr>
              <w:t>2,298,</w:t>
            </w:r>
          </w:p>
          <w:p>
            <w:pPr>
              <w:pStyle w:val="TableParagraph"/>
              <w:spacing w:line="206" w:lineRule="exact"/>
              <w:ind w:left="32" w:right="0"/>
              <w:jc w:val="center"/>
              <w:rPr>
                <w:rFonts w:ascii="Times New Roman" w:hAnsi="Times New Roman" w:cs="Times New Roman" w:eastAsia="Times New Roman" w:hint="default"/>
                <w:sz w:val="18"/>
                <w:szCs w:val="18"/>
              </w:rPr>
            </w:pPr>
            <w:r>
              <w:rPr>
                <w:rFonts w:ascii="Times New Roman"/>
                <w:sz w:val="18"/>
              </w:rPr>
              <w:t>125,81</w:t>
            </w:r>
          </w:p>
          <w:p>
            <w:pPr>
              <w:pStyle w:val="TableParagraph"/>
              <w:spacing w:line="207" w:lineRule="exact"/>
              <w:ind w:left="212" w:right="0"/>
              <w:jc w:val="center"/>
              <w:rPr>
                <w:rFonts w:ascii="Times New Roman" w:hAnsi="Times New Roman" w:cs="Times New Roman" w:eastAsia="Times New Roman" w:hint="default"/>
                <w:sz w:val="18"/>
                <w:szCs w:val="18"/>
              </w:rPr>
            </w:pPr>
            <w:r>
              <w:rPr>
                <w:rFonts w:ascii="Times New Roman"/>
                <w:sz w:val="18"/>
              </w:rPr>
              <w:t>9.56</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42"/>
              <w:ind w:left="55" w:right="0"/>
              <w:jc w:val="left"/>
              <w:rPr>
                <w:rFonts w:ascii="Times New Roman" w:hAnsi="Times New Roman" w:cs="Times New Roman" w:eastAsia="Times New Roman" w:hint="default"/>
                <w:sz w:val="18"/>
                <w:szCs w:val="18"/>
              </w:rPr>
            </w:pPr>
            <w:r>
              <w:rPr>
                <w:rFonts w:ascii="Times New Roman"/>
                <w:sz w:val="18"/>
              </w:rPr>
              <w:t>113,00</w:t>
            </w:r>
          </w:p>
          <w:p>
            <w:pPr>
              <w:pStyle w:val="TableParagraph"/>
              <w:spacing w:line="206" w:lineRule="exact"/>
              <w:ind w:left="100" w:right="0"/>
              <w:jc w:val="left"/>
              <w:rPr>
                <w:rFonts w:ascii="Times New Roman" w:hAnsi="Times New Roman" w:cs="Times New Roman" w:eastAsia="Times New Roman" w:hint="default"/>
                <w:sz w:val="18"/>
                <w:szCs w:val="18"/>
              </w:rPr>
            </w:pPr>
            <w:r>
              <w:rPr>
                <w:rFonts w:ascii="Times New Roman"/>
                <w:sz w:val="18"/>
              </w:rPr>
              <w:t>6,514.</w:t>
            </w:r>
          </w:p>
          <w:p>
            <w:pPr>
              <w:pStyle w:val="TableParagraph"/>
              <w:spacing w:line="207" w:lineRule="exact"/>
              <w:ind w:left="372" w:right="0"/>
              <w:jc w:val="left"/>
              <w:rPr>
                <w:rFonts w:ascii="Times New Roman" w:hAnsi="Times New Roman" w:cs="Times New Roman" w:eastAsia="Times New Roman" w:hint="default"/>
                <w:sz w:val="18"/>
                <w:szCs w:val="18"/>
              </w:rPr>
            </w:pPr>
            <w:r>
              <w:rPr>
                <w:rFonts w:ascii="Times New Roman"/>
                <w:sz w:val="18"/>
              </w:rPr>
              <w:t>72</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42"/>
              <w:ind w:left="88" w:right="0"/>
              <w:jc w:val="left"/>
              <w:rPr>
                <w:rFonts w:ascii="Times New Roman" w:hAnsi="Times New Roman" w:cs="Times New Roman" w:eastAsia="Times New Roman" w:hint="default"/>
                <w:sz w:val="18"/>
                <w:szCs w:val="18"/>
              </w:rPr>
            </w:pPr>
            <w:r>
              <w:rPr>
                <w:rFonts w:ascii="Times New Roman"/>
                <w:sz w:val="18"/>
              </w:rPr>
              <w:t>-368,2</w:t>
            </w:r>
          </w:p>
          <w:p>
            <w:pPr>
              <w:pStyle w:val="TableParagraph"/>
              <w:spacing w:line="206" w:lineRule="exact"/>
              <w:ind w:left="56" w:right="0"/>
              <w:jc w:val="left"/>
              <w:rPr>
                <w:rFonts w:ascii="Times New Roman" w:hAnsi="Times New Roman" w:cs="Times New Roman" w:eastAsia="Times New Roman" w:hint="default"/>
                <w:sz w:val="18"/>
                <w:szCs w:val="18"/>
              </w:rPr>
            </w:pPr>
            <w:r>
              <w:rPr>
                <w:rFonts w:ascii="Times New Roman"/>
                <w:sz w:val="18"/>
              </w:rPr>
              <w:t>79,676</w:t>
            </w:r>
          </w:p>
          <w:p>
            <w:pPr>
              <w:pStyle w:val="TableParagraph"/>
              <w:spacing w:line="207" w:lineRule="exact"/>
              <w:ind w:left="325" w:right="0"/>
              <w:jc w:val="left"/>
              <w:rPr>
                <w:rFonts w:ascii="Times New Roman" w:hAnsi="Times New Roman" w:cs="Times New Roman" w:eastAsia="Times New Roman" w:hint="default"/>
                <w:sz w:val="18"/>
                <w:szCs w:val="18"/>
              </w:rPr>
            </w:pPr>
            <w:r>
              <w:rPr>
                <w:rFonts w:ascii="Times New Roman"/>
                <w:sz w:val="18"/>
              </w:rPr>
              <w:t>.59</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42"/>
              <w:ind w:left="55" w:right="0"/>
              <w:jc w:val="left"/>
              <w:rPr>
                <w:rFonts w:ascii="Times New Roman" w:hAnsi="Times New Roman" w:cs="Times New Roman" w:eastAsia="Times New Roman" w:hint="default"/>
                <w:sz w:val="18"/>
                <w:szCs w:val="18"/>
              </w:rPr>
            </w:pPr>
            <w:r>
              <w:rPr>
                <w:rFonts w:ascii="Times New Roman"/>
                <w:sz w:val="18"/>
              </w:rPr>
              <w:t>628,59</w:t>
            </w:r>
          </w:p>
          <w:p>
            <w:pPr>
              <w:pStyle w:val="TableParagraph"/>
              <w:spacing w:line="206" w:lineRule="exact"/>
              <w:ind w:left="101" w:right="0"/>
              <w:jc w:val="left"/>
              <w:rPr>
                <w:rFonts w:ascii="Times New Roman" w:hAnsi="Times New Roman" w:cs="Times New Roman" w:eastAsia="Times New Roman" w:hint="default"/>
                <w:sz w:val="18"/>
                <w:szCs w:val="18"/>
              </w:rPr>
            </w:pPr>
            <w:r>
              <w:rPr>
                <w:rFonts w:ascii="Times New Roman"/>
                <w:sz w:val="18"/>
              </w:rPr>
              <w:t>3,583.</w:t>
            </w:r>
          </w:p>
          <w:p>
            <w:pPr>
              <w:pStyle w:val="TableParagraph"/>
              <w:spacing w:line="207" w:lineRule="exact"/>
              <w:ind w:left="369" w:right="0"/>
              <w:jc w:val="left"/>
              <w:rPr>
                <w:rFonts w:ascii="Times New Roman" w:hAnsi="Times New Roman" w:cs="Times New Roman" w:eastAsia="Times New Roman" w:hint="default"/>
                <w:sz w:val="18"/>
                <w:szCs w:val="18"/>
              </w:rPr>
            </w:pPr>
            <w:r>
              <w:rPr>
                <w:rFonts w:ascii="Times New Roman"/>
                <w:sz w:val="18"/>
              </w:rPr>
              <w:t>41</w:t>
            </w: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42"/>
              <w:ind w:left="76" w:right="0"/>
              <w:jc w:val="center"/>
              <w:rPr>
                <w:rFonts w:ascii="Times New Roman" w:hAnsi="Times New Roman" w:cs="Times New Roman" w:eastAsia="Times New Roman" w:hint="default"/>
                <w:sz w:val="18"/>
                <w:szCs w:val="18"/>
              </w:rPr>
            </w:pPr>
            <w:r>
              <w:rPr>
                <w:rFonts w:ascii="Times New Roman"/>
                <w:sz w:val="18"/>
              </w:rPr>
              <w:t>3,812,</w:t>
            </w:r>
          </w:p>
          <w:p>
            <w:pPr>
              <w:pStyle w:val="TableParagraph"/>
              <w:spacing w:line="206" w:lineRule="exact"/>
              <w:ind w:left="35" w:right="0"/>
              <w:jc w:val="center"/>
              <w:rPr>
                <w:rFonts w:ascii="Times New Roman" w:hAnsi="Times New Roman" w:cs="Times New Roman" w:eastAsia="Times New Roman" w:hint="default"/>
                <w:sz w:val="18"/>
                <w:szCs w:val="18"/>
              </w:rPr>
            </w:pPr>
            <w:r>
              <w:rPr>
                <w:rFonts w:ascii="Times New Roman"/>
                <w:sz w:val="18"/>
              </w:rPr>
              <w:t>670,50</w:t>
            </w:r>
          </w:p>
          <w:p>
            <w:pPr>
              <w:pStyle w:val="TableParagraph"/>
              <w:spacing w:line="207" w:lineRule="exact"/>
              <w:ind w:left="215" w:right="0"/>
              <w:jc w:val="center"/>
              <w:rPr>
                <w:rFonts w:ascii="Times New Roman" w:hAnsi="Times New Roman" w:cs="Times New Roman" w:eastAsia="Times New Roman" w:hint="default"/>
                <w:sz w:val="18"/>
                <w:szCs w:val="18"/>
              </w:rPr>
            </w:pPr>
            <w:r>
              <w:rPr>
                <w:rFonts w:ascii="Times New Roman"/>
                <w:sz w:val="18"/>
              </w:rPr>
              <w:t>3.86</w:t>
            </w: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42"/>
              <w:ind w:left="78" w:right="0"/>
              <w:jc w:val="center"/>
              <w:rPr>
                <w:rFonts w:ascii="Times New Roman" w:hAnsi="Times New Roman" w:cs="Times New Roman" w:eastAsia="Times New Roman" w:hint="default"/>
                <w:sz w:val="18"/>
                <w:szCs w:val="18"/>
              </w:rPr>
            </w:pPr>
            <w:r>
              <w:rPr>
                <w:rFonts w:ascii="Times New Roman"/>
                <w:sz w:val="18"/>
              </w:rPr>
              <w:t>8,686,</w:t>
            </w:r>
          </w:p>
          <w:p>
            <w:pPr>
              <w:pStyle w:val="TableParagraph"/>
              <w:spacing w:line="206" w:lineRule="exact"/>
              <w:ind w:left="32" w:right="0"/>
              <w:jc w:val="center"/>
              <w:rPr>
                <w:rFonts w:ascii="Times New Roman" w:hAnsi="Times New Roman" w:cs="Times New Roman" w:eastAsia="Times New Roman" w:hint="default"/>
                <w:sz w:val="18"/>
                <w:szCs w:val="18"/>
              </w:rPr>
            </w:pPr>
            <w:r>
              <w:rPr>
                <w:rFonts w:ascii="Times New Roman"/>
                <w:sz w:val="18"/>
              </w:rPr>
              <w:t>989,44</w:t>
            </w:r>
          </w:p>
          <w:p>
            <w:pPr>
              <w:pStyle w:val="TableParagraph"/>
              <w:spacing w:line="207" w:lineRule="exact"/>
              <w:ind w:left="212" w:right="0"/>
              <w:jc w:val="center"/>
              <w:rPr>
                <w:rFonts w:ascii="Times New Roman" w:hAnsi="Times New Roman" w:cs="Times New Roman" w:eastAsia="Times New Roman" w:hint="default"/>
                <w:sz w:val="18"/>
                <w:szCs w:val="18"/>
              </w:rPr>
            </w:pPr>
            <w:r>
              <w:rPr>
                <w:rFonts w:ascii="Times New Roman"/>
                <w:sz w:val="18"/>
              </w:rPr>
              <w:t>0.52</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42"/>
              <w:ind w:left="57" w:right="0"/>
              <w:jc w:val="left"/>
              <w:rPr>
                <w:rFonts w:ascii="Times New Roman" w:hAnsi="Times New Roman" w:cs="Times New Roman" w:eastAsia="Times New Roman" w:hint="default"/>
                <w:sz w:val="18"/>
                <w:szCs w:val="18"/>
              </w:rPr>
            </w:pPr>
            <w:r>
              <w:rPr>
                <w:rFonts w:ascii="Times New Roman"/>
                <w:sz w:val="18"/>
              </w:rPr>
              <w:t>822,61</w:t>
            </w:r>
          </w:p>
          <w:p>
            <w:pPr>
              <w:pStyle w:val="TableParagraph"/>
              <w:spacing w:line="206" w:lineRule="exact"/>
              <w:ind w:left="100" w:right="0"/>
              <w:jc w:val="left"/>
              <w:rPr>
                <w:rFonts w:ascii="Times New Roman" w:hAnsi="Times New Roman" w:cs="Times New Roman" w:eastAsia="Times New Roman" w:hint="default"/>
                <w:sz w:val="18"/>
                <w:szCs w:val="18"/>
              </w:rPr>
            </w:pPr>
            <w:r>
              <w:rPr>
                <w:rFonts w:ascii="Times New Roman"/>
                <w:sz w:val="18"/>
              </w:rPr>
              <w:t>2,566.</w:t>
            </w:r>
          </w:p>
          <w:p>
            <w:pPr>
              <w:pStyle w:val="TableParagraph"/>
              <w:spacing w:line="207" w:lineRule="exact"/>
              <w:ind w:left="371" w:right="0"/>
              <w:jc w:val="left"/>
              <w:rPr>
                <w:rFonts w:ascii="Times New Roman" w:hAnsi="Times New Roman" w:cs="Times New Roman" w:eastAsia="Times New Roman" w:hint="default"/>
                <w:sz w:val="18"/>
                <w:szCs w:val="18"/>
              </w:rPr>
            </w:pPr>
            <w:r>
              <w:rPr>
                <w:rFonts w:ascii="Times New Roman"/>
                <w:sz w:val="18"/>
              </w:rPr>
              <w:t>22</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42"/>
              <w:ind w:left="71" w:right="0"/>
              <w:jc w:val="center"/>
              <w:rPr>
                <w:rFonts w:ascii="Times New Roman" w:hAnsi="Times New Roman" w:cs="Times New Roman" w:eastAsia="Times New Roman" w:hint="default"/>
                <w:sz w:val="18"/>
                <w:szCs w:val="18"/>
              </w:rPr>
            </w:pPr>
            <w:r>
              <w:rPr>
                <w:rFonts w:ascii="Times New Roman"/>
                <w:sz w:val="18"/>
              </w:rPr>
              <w:t>9,509,</w:t>
            </w:r>
          </w:p>
          <w:p>
            <w:pPr>
              <w:pStyle w:val="TableParagraph"/>
              <w:spacing w:line="206" w:lineRule="exact"/>
              <w:ind w:left="25" w:right="0"/>
              <w:jc w:val="center"/>
              <w:rPr>
                <w:rFonts w:ascii="Times New Roman" w:hAnsi="Times New Roman" w:cs="Times New Roman" w:eastAsia="Times New Roman" w:hint="default"/>
                <w:sz w:val="18"/>
                <w:szCs w:val="18"/>
              </w:rPr>
            </w:pPr>
            <w:r>
              <w:rPr>
                <w:rFonts w:ascii="Times New Roman"/>
                <w:sz w:val="18"/>
              </w:rPr>
              <w:t>602,00</w:t>
            </w:r>
          </w:p>
          <w:p>
            <w:pPr>
              <w:pStyle w:val="TableParagraph"/>
              <w:spacing w:line="207" w:lineRule="exact"/>
              <w:ind w:left="205" w:right="0"/>
              <w:jc w:val="center"/>
              <w:rPr>
                <w:rFonts w:ascii="Times New Roman" w:hAnsi="Times New Roman" w:cs="Times New Roman" w:eastAsia="Times New Roman" w:hint="default"/>
                <w:sz w:val="18"/>
                <w:szCs w:val="18"/>
              </w:rPr>
            </w:pPr>
            <w:r>
              <w:rPr>
                <w:rFonts w:ascii="Times New Roman"/>
                <w:sz w:val="18"/>
              </w:rPr>
              <w:t>6.74</w:t>
            </w:r>
          </w:p>
        </w:tc>
      </w:tr>
      <w:tr>
        <w:trPr>
          <w:trHeight w:val="557"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5"/>
              <w:ind w:left="22" w:right="21" w:firstLine="360"/>
              <w:jc w:val="left"/>
              <w:rPr>
                <w:rFonts w:ascii="宋体" w:hAnsi="宋体" w:cs="宋体" w:eastAsia="宋体" w:hint="default"/>
                <w:sz w:val="18"/>
                <w:szCs w:val="18"/>
              </w:rPr>
            </w:pPr>
            <w:r>
              <w:rPr>
                <w:rFonts w:ascii="宋体" w:hAnsi="宋体" w:cs="宋体" w:eastAsia="宋体" w:hint="default"/>
                <w:spacing w:val="-13"/>
                <w:sz w:val="18"/>
                <w:szCs w:val="18"/>
              </w:rPr>
              <w:t>加：会计政</w:t>
            </w:r>
            <w:r>
              <w:rPr>
                <w:rFonts w:ascii="宋体" w:hAnsi="宋体" w:cs="宋体" w:eastAsia="宋体" w:hint="default"/>
                <w:sz w:val="18"/>
                <w:szCs w:val="18"/>
              </w:rPr>
              <w:t> 策变更</w:t>
            </w:r>
          </w:p>
        </w:tc>
        <w:tc>
          <w:tcPr>
            <w:tcW w:w="493"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7"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4"/>
              <w:ind w:left="22" w:right="139" w:firstLine="720"/>
              <w:jc w:val="left"/>
              <w:rPr>
                <w:rFonts w:ascii="宋体" w:hAnsi="宋体" w:cs="宋体" w:eastAsia="宋体" w:hint="default"/>
                <w:sz w:val="18"/>
                <w:szCs w:val="18"/>
              </w:rPr>
            </w:pPr>
            <w:r>
              <w:rPr>
                <w:rFonts w:ascii="宋体" w:hAnsi="宋体" w:cs="宋体" w:eastAsia="宋体" w:hint="default"/>
                <w:sz w:val="18"/>
                <w:szCs w:val="18"/>
              </w:rPr>
              <w:t>前期 差错更正</w:t>
            </w:r>
          </w:p>
        </w:tc>
        <w:tc>
          <w:tcPr>
            <w:tcW w:w="493"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7"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278" w:hRule="exact"/>
        </w:trPr>
        <w:tc>
          <w:tcPr>
            <w:tcW w:w="1253"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10"/>
              <w:ind w:right="139"/>
              <w:jc w:val="right"/>
              <w:rPr>
                <w:rFonts w:ascii="宋体" w:hAnsi="宋体" w:cs="宋体" w:eastAsia="宋体" w:hint="default"/>
                <w:sz w:val="18"/>
                <w:szCs w:val="18"/>
              </w:rPr>
            </w:pPr>
            <w:r>
              <w:rPr>
                <w:rFonts w:ascii="宋体" w:hAnsi="宋体" w:cs="宋体" w:eastAsia="宋体" w:hint="default"/>
                <w:sz w:val="18"/>
                <w:szCs w:val="18"/>
              </w:rPr>
              <w:t>同一</w:t>
            </w:r>
          </w:p>
        </w:tc>
        <w:tc>
          <w:tcPr>
            <w:tcW w:w="493" w:type="dxa"/>
            <w:vMerge w:val="restart"/>
            <w:tcBorders>
              <w:top w:val="single" w:sz="4" w:space="0" w:color="000000"/>
              <w:left w:val="single" w:sz="4" w:space="0" w:color="000000"/>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67" w:type="dxa"/>
            <w:vMerge w:val="restart"/>
            <w:tcBorders>
              <w:top w:val="single" w:sz="4" w:space="0" w:color="000000"/>
              <w:left w:val="single" w:sz="4" w:space="0" w:color="000000"/>
              <w:right w:val="single" w:sz="4" w:space="0" w:color="000000"/>
            </w:tcBorders>
          </w:tcPr>
          <w:p>
            <w:pPr/>
          </w:p>
        </w:tc>
        <w:tc>
          <w:tcPr>
            <w:tcW w:w="468"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4" w:type="dxa"/>
            <w:vMerge w:val="restart"/>
            <w:tcBorders>
              <w:top w:val="single" w:sz="4" w:space="0" w:color="000000"/>
              <w:left w:val="single" w:sz="4" w:space="0" w:color="000000"/>
              <w:right w:val="single" w:sz="4" w:space="0" w:color="000000"/>
            </w:tcBorders>
          </w:tcPr>
          <w:p>
            <w:pPr/>
          </w:p>
        </w:tc>
        <w:tc>
          <w:tcPr>
            <w:tcW w:w="584" w:type="dxa"/>
            <w:vMerge w:val="restart"/>
            <w:tcBorders>
              <w:top w:val="single" w:sz="4" w:space="0" w:color="000000"/>
              <w:left w:val="single" w:sz="4" w:space="0" w:color="000000"/>
              <w:right w:val="single" w:sz="4" w:space="0" w:color="000000"/>
            </w:tcBorders>
          </w:tcPr>
          <w:p>
            <w:pPr/>
          </w:p>
        </w:tc>
        <w:tc>
          <w:tcPr>
            <w:tcW w:w="584"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4" w:type="dxa"/>
            <w:vMerge w:val="restart"/>
            <w:tcBorders>
              <w:top w:val="single" w:sz="4" w:space="0" w:color="000000"/>
              <w:left w:val="single" w:sz="4" w:space="0" w:color="000000"/>
              <w:right w:val="single" w:sz="4" w:space="0" w:color="000000"/>
            </w:tcBorders>
          </w:tcPr>
          <w:p>
            <w:pPr/>
          </w:p>
        </w:tc>
        <w:tc>
          <w:tcPr>
            <w:tcW w:w="584" w:type="dxa"/>
            <w:vMerge w:val="restart"/>
            <w:tcBorders>
              <w:top w:val="single" w:sz="4" w:space="0" w:color="000000"/>
              <w:left w:val="single" w:sz="4" w:space="0" w:color="000000"/>
              <w:right w:val="single" w:sz="4" w:space="0" w:color="000000"/>
            </w:tcBorders>
          </w:tcPr>
          <w:p>
            <w:pPr/>
          </w:p>
        </w:tc>
        <w:tc>
          <w:tcPr>
            <w:tcW w:w="584" w:type="dxa"/>
            <w:vMerge w:val="restart"/>
            <w:tcBorders>
              <w:top w:val="single" w:sz="4" w:space="0" w:color="000000"/>
              <w:left w:val="single" w:sz="4" w:space="0" w:color="000000"/>
              <w:right w:val="single" w:sz="4" w:space="0" w:color="000000"/>
            </w:tcBorders>
          </w:tcPr>
          <w:p>
            <w:pPr/>
          </w:p>
        </w:tc>
        <w:tc>
          <w:tcPr>
            <w:tcW w:w="584" w:type="dxa"/>
            <w:vMerge w:val="restart"/>
            <w:tcBorders>
              <w:top w:val="single" w:sz="4" w:space="0" w:color="000000"/>
              <w:left w:val="single" w:sz="4" w:space="0" w:color="000000"/>
              <w:right w:val="single" w:sz="4" w:space="0" w:color="000000"/>
            </w:tcBorders>
          </w:tcPr>
          <w:p>
            <w:pPr/>
          </w:p>
        </w:tc>
        <w:tc>
          <w:tcPr>
            <w:tcW w:w="584" w:type="dxa"/>
            <w:vMerge w:val="restart"/>
            <w:tcBorders>
              <w:top w:val="single" w:sz="4" w:space="0" w:color="000000"/>
              <w:left w:val="single" w:sz="4" w:space="0" w:color="000000"/>
              <w:right w:val="single" w:sz="4" w:space="0" w:color="000000"/>
            </w:tcBorders>
          </w:tcPr>
          <w:p>
            <w:pPr/>
          </w:p>
        </w:tc>
        <w:tc>
          <w:tcPr>
            <w:tcW w:w="578" w:type="dxa"/>
            <w:vMerge w:val="restart"/>
            <w:tcBorders>
              <w:top w:val="single" w:sz="4" w:space="0" w:color="000000"/>
              <w:left w:val="single" w:sz="4" w:space="0" w:color="000000"/>
              <w:right w:val="single" w:sz="4" w:space="0" w:color="000000"/>
            </w:tcBorders>
          </w:tcPr>
          <w:p>
            <w:pPr/>
          </w:p>
        </w:tc>
      </w:tr>
      <w:tr>
        <w:trPr>
          <w:trHeight w:val="234" w:hRule="exact"/>
        </w:trPr>
        <w:tc>
          <w:tcPr>
            <w:tcW w:w="12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08" w:lineRule="exact"/>
              <w:ind w:left="22" w:right="0"/>
              <w:jc w:val="left"/>
              <w:rPr>
                <w:rFonts w:ascii="宋体" w:hAnsi="宋体" w:cs="宋体" w:eastAsia="宋体" w:hint="default"/>
                <w:sz w:val="18"/>
                <w:szCs w:val="18"/>
              </w:rPr>
            </w:pPr>
            <w:r>
              <w:rPr>
                <w:rFonts w:ascii="宋体" w:hAnsi="宋体" w:cs="宋体" w:eastAsia="宋体" w:hint="default"/>
                <w:sz w:val="18"/>
                <w:szCs w:val="18"/>
              </w:rPr>
              <w:t>控制下企业合</w:t>
            </w:r>
          </w:p>
        </w:tc>
        <w:tc>
          <w:tcPr>
            <w:tcW w:w="493" w:type="dxa"/>
            <w:vMerge/>
            <w:tcBorders>
              <w:left w:val="single" w:sz="4" w:space="0" w:color="000000"/>
              <w:right w:val="single" w:sz="4" w:space="0" w:color="000000"/>
            </w:tcBorders>
          </w:tcPr>
          <w:p>
            <w:pPr/>
          </w:p>
        </w:tc>
        <w:tc>
          <w:tcPr>
            <w:tcW w:w="466" w:type="dxa"/>
            <w:vMerge/>
            <w:tcBorders>
              <w:left w:val="single" w:sz="4" w:space="0" w:color="000000"/>
              <w:right w:val="single" w:sz="4" w:space="0" w:color="000000"/>
            </w:tcBorders>
          </w:tcPr>
          <w:p>
            <w:pPr/>
          </w:p>
        </w:tc>
        <w:tc>
          <w:tcPr>
            <w:tcW w:w="467" w:type="dxa"/>
            <w:vMerge/>
            <w:tcBorders>
              <w:left w:val="single" w:sz="4" w:space="0" w:color="000000"/>
              <w:right w:val="single" w:sz="4" w:space="0" w:color="000000"/>
            </w:tcBorders>
          </w:tcPr>
          <w:p>
            <w:pPr/>
          </w:p>
        </w:tc>
        <w:tc>
          <w:tcPr>
            <w:tcW w:w="468"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r>
      <w:tr>
        <w:trPr>
          <w:trHeight w:val="278" w:hRule="exact"/>
        </w:trPr>
        <w:tc>
          <w:tcPr>
            <w:tcW w:w="1253"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06" w:lineRule="exact"/>
              <w:ind w:left="22" w:right="0"/>
              <w:jc w:val="left"/>
              <w:rPr>
                <w:rFonts w:ascii="宋体" w:hAnsi="宋体" w:cs="宋体" w:eastAsia="宋体" w:hint="default"/>
                <w:sz w:val="18"/>
                <w:szCs w:val="18"/>
              </w:rPr>
            </w:pPr>
            <w:r>
              <w:rPr>
                <w:rFonts w:ascii="宋体" w:hAnsi="宋体" w:cs="宋体" w:eastAsia="宋体" w:hint="default"/>
                <w:sz w:val="18"/>
                <w:szCs w:val="18"/>
              </w:rPr>
              <w:t>并</w:t>
            </w:r>
          </w:p>
        </w:tc>
        <w:tc>
          <w:tcPr>
            <w:tcW w:w="493" w:type="dxa"/>
            <w:vMerge/>
            <w:tcBorders>
              <w:left w:val="single" w:sz="4" w:space="0" w:color="000000"/>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7" w:type="dxa"/>
            <w:vMerge/>
            <w:tcBorders>
              <w:left w:val="single" w:sz="4" w:space="0" w:color="000000"/>
              <w:bottom w:val="single" w:sz="4" w:space="0" w:color="000000"/>
              <w:right w:val="single" w:sz="4" w:space="0" w:color="000000"/>
            </w:tcBorders>
          </w:tcPr>
          <w:p>
            <w:pPr/>
          </w:p>
        </w:tc>
        <w:tc>
          <w:tcPr>
            <w:tcW w:w="468"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r>
      <w:tr>
        <w:trPr>
          <w:trHeight w:val="323"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139"/>
              <w:jc w:val="right"/>
              <w:rPr>
                <w:rFonts w:ascii="宋体" w:hAnsi="宋体" w:cs="宋体" w:eastAsia="宋体" w:hint="default"/>
                <w:sz w:val="18"/>
                <w:szCs w:val="18"/>
              </w:rPr>
            </w:pPr>
            <w:r>
              <w:rPr>
                <w:rFonts w:ascii="宋体" w:hAnsi="宋体" w:cs="宋体" w:eastAsia="宋体" w:hint="default"/>
                <w:sz w:val="18"/>
                <w:szCs w:val="18"/>
              </w:rPr>
              <w:t>其他</w:t>
            </w:r>
          </w:p>
        </w:tc>
        <w:tc>
          <w:tcPr>
            <w:tcW w:w="493"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7"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918"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32" w:lineRule="exact"/>
              <w:ind w:left="22" w:right="21"/>
              <w:jc w:val="left"/>
              <w:rPr>
                <w:rFonts w:ascii="宋体" w:hAnsi="宋体" w:cs="宋体" w:eastAsia="宋体" w:hint="default"/>
                <w:sz w:val="18"/>
                <w:szCs w:val="18"/>
              </w:rPr>
            </w:pPr>
            <w:r>
              <w:rPr>
                <w:rFonts w:ascii="宋体" w:hAnsi="宋体" w:cs="宋体" w:eastAsia="宋体" w:hint="default"/>
                <w:spacing w:val="-9"/>
                <w:sz w:val="18"/>
                <w:szCs w:val="18"/>
              </w:rPr>
              <w:t>二、本年期初余</w:t>
            </w:r>
            <w:r>
              <w:rPr>
                <w:rFonts w:ascii="宋体" w:hAnsi="宋体" w:cs="宋体" w:eastAsia="宋体" w:hint="default"/>
                <w:sz w:val="18"/>
                <w:szCs w:val="18"/>
              </w:rPr>
              <w:t> 额</w:t>
            </w:r>
          </w:p>
        </w:tc>
        <w:tc>
          <w:tcPr>
            <w:tcW w:w="49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40"/>
              <w:ind w:left="55" w:right="0"/>
              <w:jc w:val="left"/>
              <w:rPr>
                <w:rFonts w:ascii="Times New Roman" w:hAnsi="Times New Roman" w:cs="Times New Roman" w:eastAsia="Times New Roman" w:hint="default"/>
                <w:sz w:val="18"/>
                <w:szCs w:val="18"/>
              </w:rPr>
            </w:pPr>
            <w:r>
              <w:rPr>
                <w:rFonts w:ascii="Times New Roman"/>
                <w:sz w:val="18"/>
              </w:rPr>
              <w:t>2,428</w:t>
            </w:r>
          </w:p>
          <w:p>
            <w:pPr>
              <w:pStyle w:val="TableParagraph"/>
              <w:spacing w:line="206" w:lineRule="exact"/>
              <w:ind w:left="101" w:right="0"/>
              <w:jc w:val="left"/>
              <w:rPr>
                <w:rFonts w:ascii="Times New Roman" w:hAnsi="Times New Roman" w:cs="Times New Roman" w:eastAsia="Times New Roman" w:hint="default"/>
                <w:sz w:val="18"/>
                <w:szCs w:val="18"/>
              </w:rPr>
            </w:pPr>
            <w:r>
              <w:rPr>
                <w:rFonts w:ascii="Times New Roman"/>
                <w:sz w:val="18"/>
              </w:rPr>
              <w:t>,885,</w:t>
            </w:r>
          </w:p>
          <w:p>
            <w:pPr>
              <w:pStyle w:val="TableParagraph"/>
              <w:spacing w:line="206" w:lineRule="exact"/>
              <w:ind w:left="55" w:right="0"/>
              <w:jc w:val="left"/>
              <w:rPr>
                <w:rFonts w:ascii="Times New Roman" w:hAnsi="Times New Roman" w:cs="Times New Roman" w:eastAsia="Times New Roman" w:hint="default"/>
                <w:sz w:val="18"/>
                <w:szCs w:val="18"/>
              </w:rPr>
            </w:pPr>
            <w:r>
              <w:rPr>
                <w:rFonts w:ascii="Times New Roman"/>
                <w:sz w:val="18"/>
              </w:rPr>
              <w:t>725.0</w:t>
            </w:r>
          </w:p>
          <w:p>
            <w:pPr>
              <w:pStyle w:val="TableParagraph"/>
              <w:spacing w:line="207" w:lineRule="exact"/>
              <w:ind w:right="21"/>
              <w:jc w:val="right"/>
              <w:rPr>
                <w:rFonts w:ascii="Times New Roman" w:hAnsi="Times New Roman" w:cs="Times New Roman" w:eastAsia="Times New Roman" w:hint="default"/>
                <w:sz w:val="18"/>
                <w:szCs w:val="18"/>
              </w:rPr>
            </w:pPr>
            <w:r>
              <w:rPr>
                <w:rFonts w:ascii="Times New Roman"/>
                <w:sz w:val="18"/>
              </w:rPr>
              <w:t>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7"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44"/>
              <w:ind w:left="78" w:right="0"/>
              <w:jc w:val="center"/>
              <w:rPr>
                <w:rFonts w:ascii="Times New Roman" w:hAnsi="Times New Roman" w:cs="Times New Roman" w:eastAsia="Times New Roman" w:hint="default"/>
                <w:sz w:val="18"/>
                <w:szCs w:val="18"/>
              </w:rPr>
            </w:pPr>
            <w:r>
              <w:rPr>
                <w:rFonts w:ascii="Times New Roman"/>
                <w:sz w:val="18"/>
              </w:rPr>
              <w:t>2,298,</w:t>
            </w:r>
          </w:p>
          <w:p>
            <w:pPr>
              <w:pStyle w:val="TableParagraph"/>
              <w:spacing w:line="206" w:lineRule="exact"/>
              <w:ind w:left="32" w:right="0"/>
              <w:jc w:val="center"/>
              <w:rPr>
                <w:rFonts w:ascii="Times New Roman" w:hAnsi="Times New Roman" w:cs="Times New Roman" w:eastAsia="Times New Roman" w:hint="default"/>
                <w:sz w:val="18"/>
                <w:szCs w:val="18"/>
              </w:rPr>
            </w:pPr>
            <w:r>
              <w:rPr>
                <w:rFonts w:ascii="Times New Roman"/>
                <w:sz w:val="18"/>
              </w:rPr>
              <w:t>125,81</w:t>
            </w:r>
          </w:p>
          <w:p>
            <w:pPr>
              <w:pStyle w:val="TableParagraph"/>
              <w:spacing w:line="207" w:lineRule="exact"/>
              <w:ind w:left="212" w:right="0"/>
              <w:jc w:val="center"/>
              <w:rPr>
                <w:rFonts w:ascii="Times New Roman" w:hAnsi="Times New Roman" w:cs="Times New Roman" w:eastAsia="Times New Roman" w:hint="default"/>
                <w:sz w:val="18"/>
                <w:szCs w:val="18"/>
              </w:rPr>
            </w:pPr>
            <w:r>
              <w:rPr>
                <w:rFonts w:ascii="Times New Roman"/>
                <w:sz w:val="18"/>
              </w:rPr>
              <w:t>9.56</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44"/>
              <w:ind w:left="55" w:right="0"/>
              <w:jc w:val="left"/>
              <w:rPr>
                <w:rFonts w:ascii="Times New Roman" w:hAnsi="Times New Roman" w:cs="Times New Roman" w:eastAsia="Times New Roman" w:hint="default"/>
                <w:sz w:val="18"/>
                <w:szCs w:val="18"/>
              </w:rPr>
            </w:pPr>
            <w:r>
              <w:rPr>
                <w:rFonts w:ascii="Times New Roman"/>
                <w:sz w:val="18"/>
              </w:rPr>
              <w:t>113,00</w:t>
            </w:r>
          </w:p>
          <w:p>
            <w:pPr>
              <w:pStyle w:val="TableParagraph"/>
              <w:spacing w:line="206" w:lineRule="exact"/>
              <w:ind w:left="100" w:right="0"/>
              <w:jc w:val="left"/>
              <w:rPr>
                <w:rFonts w:ascii="Times New Roman" w:hAnsi="Times New Roman" w:cs="Times New Roman" w:eastAsia="Times New Roman" w:hint="default"/>
                <w:sz w:val="18"/>
                <w:szCs w:val="18"/>
              </w:rPr>
            </w:pPr>
            <w:r>
              <w:rPr>
                <w:rFonts w:ascii="Times New Roman"/>
                <w:sz w:val="18"/>
              </w:rPr>
              <w:t>6,514.</w:t>
            </w:r>
          </w:p>
          <w:p>
            <w:pPr>
              <w:pStyle w:val="TableParagraph"/>
              <w:spacing w:line="207" w:lineRule="exact"/>
              <w:ind w:left="372" w:right="0"/>
              <w:jc w:val="left"/>
              <w:rPr>
                <w:rFonts w:ascii="Times New Roman" w:hAnsi="Times New Roman" w:cs="Times New Roman" w:eastAsia="Times New Roman" w:hint="default"/>
                <w:sz w:val="18"/>
                <w:szCs w:val="18"/>
              </w:rPr>
            </w:pPr>
            <w:r>
              <w:rPr>
                <w:rFonts w:ascii="Times New Roman"/>
                <w:sz w:val="18"/>
              </w:rPr>
              <w:t>72</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44"/>
              <w:ind w:left="88" w:right="0"/>
              <w:jc w:val="left"/>
              <w:rPr>
                <w:rFonts w:ascii="Times New Roman" w:hAnsi="Times New Roman" w:cs="Times New Roman" w:eastAsia="Times New Roman" w:hint="default"/>
                <w:sz w:val="18"/>
                <w:szCs w:val="18"/>
              </w:rPr>
            </w:pPr>
            <w:r>
              <w:rPr>
                <w:rFonts w:ascii="Times New Roman"/>
                <w:sz w:val="18"/>
              </w:rPr>
              <w:t>-368,2</w:t>
            </w:r>
          </w:p>
          <w:p>
            <w:pPr>
              <w:pStyle w:val="TableParagraph"/>
              <w:spacing w:line="206" w:lineRule="exact"/>
              <w:ind w:left="56" w:right="0"/>
              <w:jc w:val="left"/>
              <w:rPr>
                <w:rFonts w:ascii="Times New Roman" w:hAnsi="Times New Roman" w:cs="Times New Roman" w:eastAsia="Times New Roman" w:hint="default"/>
                <w:sz w:val="18"/>
                <w:szCs w:val="18"/>
              </w:rPr>
            </w:pPr>
            <w:r>
              <w:rPr>
                <w:rFonts w:ascii="Times New Roman"/>
                <w:sz w:val="18"/>
              </w:rPr>
              <w:t>79,676</w:t>
            </w:r>
          </w:p>
          <w:p>
            <w:pPr>
              <w:pStyle w:val="TableParagraph"/>
              <w:spacing w:line="207" w:lineRule="exact"/>
              <w:ind w:left="325" w:right="0"/>
              <w:jc w:val="left"/>
              <w:rPr>
                <w:rFonts w:ascii="Times New Roman" w:hAnsi="Times New Roman" w:cs="Times New Roman" w:eastAsia="Times New Roman" w:hint="default"/>
                <w:sz w:val="18"/>
                <w:szCs w:val="18"/>
              </w:rPr>
            </w:pPr>
            <w:r>
              <w:rPr>
                <w:rFonts w:ascii="Times New Roman"/>
                <w:sz w:val="18"/>
              </w:rPr>
              <w:t>.59</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44"/>
              <w:ind w:left="55" w:right="0"/>
              <w:jc w:val="left"/>
              <w:rPr>
                <w:rFonts w:ascii="Times New Roman" w:hAnsi="Times New Roman" w:cs="Times New Roman" w:eastAsia="Times New Roman" w:hint="default"/>
                <w:sz w:val="18"/>
                <w:szCs w:val="18"/>
              </w:rPr>
            </w:pPr>
            <w:r>
              <w:rPr>
                <w:rFonts w:ascii="Times New Roman"/>
                <w:sz w:val="18"/>
              </w:rPr>
              <w:t>628,59</w:t>
            </w:r>
          </w:p>
          <w:p>
            <w:pPr>
              <w:pStyle w:val="TableParagraph"/>
              <w:spacing w:line="206" w:lineRule="exact"/>
              <w:ind w:left="101" w:right="0"/>
              <w:jc w:val="left"/>
              <w:rPr>
                <w:rFonts w:ascii="Times New Roman" w:hAnsi="Times New Roman" w:cs="Times New Roman" w:eastAsia="Times New Roman" w:hint="default"/>
                <w:sz w:val="18"/>
                <w:szCs w:val="18"/>
              </w:rPr>
            </w:pPr>
            <w:r>
              <w:rPr>
                <w:rFonts w:ascii="Times New Roman"/>
                <w:sz w:val="18"/>
              </w:rPr>
              <w:t>3,583.</w:t>
            </w:r>
          </w:p>
          <w:p>
            <w:pPr>
              <w:pStyle w:val="TableParagraph"/>
              <w:spacing w:line="207" w:lineRule="exact"/>
              <w:ind w:left="369" w:right="0"/>
              <w:jc w:val="left"/>
              <w:rPr>
                <w:rFonts w:ascii="Times New Roman" w:hAnsi="Times New Roman" w:cs="Times New Roman" w:eastAsia="Times New Roman" w:hint="default"/>
                <w:sz w:val="18"/>
                <w:szCs w:val="18"/>
              </w:rPr>
            </w:pPr>
            <w:r>
              <w:rPr>
                <w:rFonts w:ascii="Times New Roman"/>
                <w:sz w:val="18"/>
              </w:rPr>
              <w:t>41</w:t>
            </w: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44"/>
              <w:ind w:left="76" w:right="0"/>
              <w:jc w:val="center"/>
              <w:rPr>
                <w:rFonts w:ascii="Times New Roman" w:hAnsi="Times New Roman" w:cs="Times New Roman" w:eastAsia="Times New Roman" w:hint="default"/>
                <w:sz w:val="18"/>
                <w:szCs w:val="18"/>
              </w:rPr>
            </w:pPr>
            <w:r>
              <w:rPr>
                <w:rFonts w:ascii="Times New Roman"/>
                <w:sz w:val="18"/>
              </w:rPr>
              <w:t>3,812,</w:t>
            </w:r>
          </w:p>
          <w:p>
            <w:pPr>
              <w:pStyle w:val="TableParagraph"/>
              <w:spacing w:line="206" w:lineRule="exact"/>
              <w:ind w:left="35" w:right="0"/>
              <w:jc w:val="center"/>
              <w:rPr>
                <w:rFonts w:ascii="Times New Roman" w:hAnsi="Times New Roman" w:cs="Times New Roman" w:eastAsia="Times New Roman" w:hint="default"/>
                <w:sz w:val="18"/>
                <w:szCs w:val="18"/>
              </w:rPr>
            </w:pPr>
            <w:r>
              <w:rPr>
                <w:rFonts w:ascii="Times New Roman"/>
                <w:sz w:val="18"/>
              </w:rPr>
              <w:t>670,50</w:t>
            </w:r>
          </w:p>
          <w:p>
            <w:pPr>
              <w:pStyle w:val="TableParagraph"/>
              <w:spacing w:line="207" w:lineRule="exact"/>
              <w:ind w:left="215" w:right="0"/>
              <w:jc w:val="center"/>
              <w:rPr>
                <w:rFonts w:ascii="Times New Roman" w:hAnsi="Times New Roman" w:cs="Times New Roman" w:eastAsia="Times New Roman" w:hint="default"/>
                <w:sz w:val="18"/>
                <w:szCs w:val="18"/>
              </w:rPr>
            </w:pPr>
            <w:r>
              <w:rPr>
                <w:rFonts w:ascii="Times New Roman"/>
                <w:sz w:val="18"/>
              </w:rPr>
              <w:t>3.86</w:t>
            </w: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44"/>
              <w:ind w:left="78" w:right="0"/>
              <w:jc w:val="center"/>
              <w:rPr>
                <w:rFonts w:ascii="Times New Roman" w:hAnsi="Times New Roman" w:cs="Times New Roman" w:eastAsia="Times New Roman" w:hint="default"/>
                <w:sz w:val="18"/>
                <w:szCs w:val="18"/>
              </w:rPr>
            </w:pPr>
            <w:r>
              <w:rPr>
                <w:rFonts w:ascii="Times New Roman"/>
                <w:sz w:val="18"/>
              </w:rPr>
              <w:t>8,686,</w:t>
            </w:r>
          </w:p>
          <w:p>
            <w:pPr>
              <w:pStyle w:val="TableParagraph"/>
              <w:spacing w:line="206" w:lineRule="exact"/>
              <w:ind w:left="32" w:right="0"/>
              <w:jc w:val="center"/>
              <w:rPr>
                <w:rFonts w:ascii="Times New Roman" w:hAnsi="Times New Roman" w:cs="Times New Roman" w:eastAsia="Times New Roman" w:hint="default"/>
                <w:sz w:val="18"/>
                <w:szCs w:val="18"/>
              </w:rPr>
            </w:pPr>
            <w:r>
              <w:rPr>
                <w:rFonts w:ascii="Times New Roman"/>
                <w:sz w:val="18"/>
              </w:rPr>
              <w:t>989,44</w:t>
            </w:r>
          </w:p>
          <w:p>
            <w:pPr>
              <w:pStyle w:val="TableParagraph"/>
              <w:spacing w:line="207" w:lineRule="exact"/>
              <w:ind w:left="212" w:right="0"/>
              <w:jc w:val="center"/>
              <w:rPr>
                <w:rFonts w:ascii="Times New Roman" w:hAnsi="Times New Roman" w:cs="Times New Roman" w:eastAsia="Times New Roman" w:hint="default"/>
                <w:sz w:val="18"/>
                <w:szCs w:val="18"/>
              </w:rPr>
            </w:pPr>
            <w:r>
              <w:rPr>
                <w:rFonts w:ascii="Times New Roman"/>
                <w:sz w:val="18"/>
              </w:rPr>
              <w:t>0.52</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44"/>
              <w:ind w:left="57" w:right="0"/>
              <w:jc w:val="left"/>
              <w:rPr>
                <w:rFonts w:ascii="Times New Roman" w:hAnsi="Times New Roman" w:cs="Times New Roman" w:eastAsia="Times New Roman" w:hint="default"/>
                <w:sz w:val="18"/>
                <w:szCs w:val="18"/>
              </w:rPr>
            </w:pPr>
            <w:r>
              <w:rPr>
                <w:rFonts w:ascii="Times New Roman"/>
                <w:sz w:val="18"/>
              </w:rPr>
              <w:t>822,61</w:t>
            </w:r>
          </w:p>
          <w:p>
            <w:pPr>
              <w:pStyle w:val="TableParagraph"/>
              <w:spacing w:line="206" w:lineRule="exact"/>
              <w:ind w:left="100" w:right="0"/>
              <w:jc w:val="left"/>
              <w:rPr>
                <w:rFonts w:ascii="Times New Roman" w:hAnsi="Times New Roman" w:cs="Times New Roman" w:eastAsia="Times New Roman" w:hint="default"/>
                <w:sz w:val="18"/>
                <w:szCs w:val="18"/>
              </w:rPr>
            </w:pPr>
            <w:r>
              <w:rPr>
                <w:rFonts w:ascii="Times New Roman"/>
                <w:sz w:val="18"/>
              </w:rPr>
              <w:t>2,566.</w:t>
            </w:r>
          </w:p>
          <w:p>
            <w:pPr>
              <w:pStyle w:val="TableParagraph"/>
              <w:spacing w:line="207" w:lineRule="exact"/>
              <w:ind w:left="371" w:right="0"/>
              <w:jc w:val="left"/>
              <w:rPr>
                <w:rFonts w:ascii="Times New Roman" w:hAnsi="Times New Roman" w:cs="Times New Roman" w:eastAsia="Times New Roman" w:hint="default"/>
                <w:sz w:val="18"/>
                <w:szCs w:val="18"/>
              </w:rPr>
            </w:pPr>
            <w:r>
              <w:rPr>
                <w:rFonts w:ascii="Times New Roman"/>
                <w:sz w:val="18"/>
              </w:rPr>
              <w:t>22</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44"/>
              <w:ind w:left="71" w:right="0"/>
              <w:jc w:val="center"/>
              <w:rPr>
                <w:rFonts w:ascii="Times New Roman" w:hAnsi="Times New Roman" w:cs="Times New Roman" w:eastAsia="Times New Roman" w:hint="default"/>
                <w:sz w:val="18"/>
                <w:szCs w:val="18"/>
              </w:rPr>
            </w:pPr>
            <w:r>
              <w:rPr>
                <w:rFonts w:ascii="Times New Roman"/>
                <w:sz w:val="18"/>
              </w:rPr>
              <w:t>9,509,</w:t>
            </w:r>
          </w:p>
          <w:p>
            <w:pPr>
              <w:pStyle w:val="TableParagraph"/>
              <w:spacing w:line="206" w:lineRule="exact"/>
              <w:ind w:left="25" w:right="0"/>
              <w:jc w:val="center"/>
              <w:rPr>
                <w:rFonts w:ascii="Times New Roman" w:hAnsi="Times New Roman" w:cs="Times New Roman" w:eastAsia="Times New Roman" w:hint="default"/>
                <w:sz w:val="18"/>
                <w:szCs w:val="18"/>
              </w:rPr>
            </w:pPr>
            <w:r>
              <w:rPr>
                <w:rFonts w:ascii="Times New Roman"/>
                <w:sz w:val="18"/>
              </w:rPr>
              <w:t>602,00</w:t>
            </w:r>
          </w:p>
          <w:p>
            <w:pPr>
              <w:pStyle w:val="TableParagraph"/>
              <w:spacing w:line="207" w:lineRule="exact"/>
              <w:ind w:left="205" w:right="0"/>
              <w:jc w:val="center"/>
              <w:rPr>
                <w:rFonts w:ascii="Times New Roman" w:hAnsi="Times New Roman" w:cs="Times New Roman" w:eastAsia="Times New Roman" w:hint="default"/>
                <w:sz w:val="18"/>
                <w:szCs w:val="18"/>
              </w:rPr>
            </w:pPr>
            <w:r>
              <w:rPr>
                <w:rFonts w:ascii="Times New Roman"/>
                <w:sz w:val="18"/>
              </w:rPr>
              <w:t>6.74</w:t>
            </w:r>
          </w:p>
        </w:tc>
      </w:tr>
      <w:tr>
        <w:trPr>
          <w:trHeight w:val="297" w:hRule="exact"/>
        </w:trPr>
        <w:tc>
          <w:tcPr>
            <w:tcW w:w="1253"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pacing w:val="-9"/>
                <w:sz w:val="18"/>
                <w:szCs w:val="18"/>
              </w:rPr>
              <w:t>三、本期增减变</w:t>
            </w:r>
          </w:p>
        </w:tc>
        <w:tc>
          <w:tcPr>
            <w:tcW w:w="49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0"/>
              <w:ind w:right="19"/>
              <w:jc w:val="right"/>
              <w:rPr>
                <w:rFonts w:ascii="Times New Roman" w:hAnsi="Times New Roman" w:cs="Times New Roman" w:eastAsia="Times New Roman" w:hint="default"/>
                <w:sz w:val="18"/>
                <w:szCs w:val="18"/>
              </w:rPr>
            </w:pPr>
            <w:r>
              <w:rPr>
                <w:rFonts w:ascii="Times New Roman"/>
                <w:spacing w:val="-1"/>
                <w:sz w:val="18"/>
              </w:rPr>
              <w:t>-19,8</w:t>
            </w:r>
          </w:p>
        </w:tc>
        <w:tc>
          <w:tcPr>
            <w:tcW w:w="466" w:type="dxa"/>
            <w:vMerge w:val="restart"/>
            <w:tcBorders>
              <w:top w:val="single" w:sz="4" w:space="0" w:color="000000"/>
              <w:left w:val="single" w:sz="4" w:space="0" w:color="000000"/>
              <w:right w:val="single" w:sz="4" w:space="0" w:color="000000"/>
            </w:tcBorders>
          </w:tcPr>
          <w:p>
            <w:pPr/>
          </w:p>
        </w:tc>
        <w:tc>
          <w:tcPr>
            <w:tcW w:w="467" w:type="dxa"/>
            <w:vMerge w:val="restart"/>
            <w:tcBorders>
              <w:top w:val="single" w:sz="4" w:space="0" w:color="000000"/>
              <w:left w:val="single" w:sz="4" w:space="0" w:color="000000"/>
              <w:right w:val="single" w:sz="4" w:space="0" w:color="000000"/>
            </w:tcBorders>
          </w:tcPr>
          <w:p>
            <w:pPr/>
          </w:p>
        </w:tc>
        <w:tc>
          <w:tcPr>
            <w:tcW w:w="468" w:type="dxa"/>
            <w:vMerge w:val="restart"/>
            <w:tcBorders>
              <w:top w:val="single" w:sz="4" w:space="0" w:color="000000"/>
              <w:left w:val="single" w:sz="4" w:space="0" w:color="000000"/>
              <w:right w:val="single" w:sz="4" w:space="0" w:color="000000"/>
            </w:tcBorders>
          </w:tcPr>
          <w:p>
            <w:pPr/>
          </w:p>
        </w:tc>
        <w:tc>
          <w:tcPr>
            <w:tcW w:w="58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0"/>
              <w:ind w:right="18"/>
              <w:jc w:val="right"/>
              <w:rPr>
                <w:rFonts w:ascii="Times New Roman" w:hAnsi="Times New Roman" w:cs="Times New Roman" w:eastAsia="Times New Roman" w:hint="default"/>
                <w:sz w:val="18"/>
                <w:szCs w:val="18"/>
              </w:rPr>
            </w:pPr>
            <w:r>
              <w:rPr>
                <w:rFonts w:ascii="Times New Roman"/>
                <w:sz w:val="18"/>
              </w:rPr>
              <w:t>-289,9</w:t>
            </w:r>
          </w:p>
        </w:tc>
        <w:tc>
          <w:tcPr>
            <w:tcW w:w="58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0"/>
              <w:ind w:right="19"/>
              <w:jc w:val="right"/>
              <w:rPr>
                <w:rFonts w:ascii="Times New Roman" w:hAnsi="Times New Roman" w:cs="Times New Roman" w:eastAsia="Times New Roman" w:hint="default"/>
                <w:sz w:val="18"/>
                <w:szCs w:val="18"/>
              </w:rPr>
            </w:pPr>
            <w:r>
              <w:rPr>
                <w:rFonts w:ascii="Times New Roman"/>
                <w:sz w:val="18"/>
              </w:rPr>
              <w:t>-113,0</w:t>
            </w:r>
          </w:p>
        </w:tc>
        <w:tc>
          <w:tcPr>
            <w:tcW w:w="58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0"/>
              <w:ind w:right="19"/>
              <w:jc w:val="right"/>
              <w:rPr>
                <w:rFonts w:ascii="Times New Roman" w:hAnsi="Times New Roman" w:cs="Times New Roman" w:eastAsia="Times New Roman" w:hint="default"/>
                <w:sz w:val="18"/>
                <w:szCs w:val="18"/>
              </w:rPr>
            </w:pPr>
            <w:r>
              <w:rPr>
                <w:rFonts w:ascii="Times New Roman"/>
                <w:spacing w:val="-1"/>
                <w:sz w:val="18"/>
              </w:rPr>
              <w:t>93,840</w:t>
            </w:r>
          </w:p>
        </w:tc>
        <w:tc>
          <w:tcPr>
            <w:tcW w:w="584" w:type="dxa"/>
            <w:vMerge w:val="restart"/>
            <w:tcBorders>
              <w:top w:val="single" w:sz="4" w:space="0" w:color="000000"/>
              <w:left w:val="single" w:sz="4" w:space="0" w:color="000000"/>
              <w:right w:val="single" w:sz="4" w:space="0" w:color="000000"/>
            </w:tcBorders>
          </w:tcPr>
          <w:p>
            <w:pPr/>
          </w:p>
        </w:tc>
        <w:tc>
          <w:tcPr>
            <w:tcW w:w="58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18"/>
                <w:szCs w:val="18"/>
              </w:rPr>
            </w:pPr>
            <w:r>
              <w:rPr>
                <w:rFonts w:ascii="Times New Roman"/>
                <w:spacing w:val="-1"/>
                <w:sz w:val="18"/>
              </w:rPr>
              <w:t>53,665</w:t>
            </w:r>
          </w:p>
        </w:tc>
        <w:tc>
          <w:tcPr>
            <w:tcW w:w="584" w:type="dxa"/>
            <w:vMerge w:val="restart"/>
            <w:tcBorders>
              <w:top w:val="single" w:sz="4" w:space="0" w:color="000000"/>
              <w:left w:val="single" w:sz="4" w:space="0" w:color="000000"/>
              <w:right w:val="single" w:sz="4" w:space="0" w:color="000000"/>
            </w:tcBorders>
          </w:tcPr>
          <w:p>
            <w:pPr/>
          </w:p>
        </w:tc>
        <w:tc>
          <w:tcPr>
            <w:tcW w:w="58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0"/>
              <w:ind w:right="19"/>
              <w:jc w:val="right"/>
              <w:rPr>
                <w:rFonts w:ascii="Times New Roman" w:hAnsi="Times New Roman" w:cs="Times New Roman" w:eastAsia="Times New Roman" w:hint="default"/>
                <w:sz w:val="18"/>
                <w:szCs w:val="18"/>
              </w:rPr>
            </w:pPr>
            <w:r>
              <w:rPr>
                <w:rFonts w:ascii="Times New Roman"/>
                <w:spacing w:val="-1"/>
                <w:sz w:val="18"/>
              </w:rPr>
              <w:t>415,23</w:t>
            </w:r>
          </w:p>
        </w:tc>
        <w:tc>
          <w:tcPr>
            <w:tcW w:w="584" w:type="dxa"/>
            <w:vMerge w:val="restart"/>
            <w:tcBorders>
              <w:top w:val="single" w:sz="4" w:space="0" w:color="000000"/>
              <w:left w:val="single" w:sz="4" w:space="0" w:color="000000"/>
              <w:right w:val="single" w:sz="4" w:space="0" w:color="000000"/>
            </w:tcBorders>
          </w:tcPr>
          <w:p>
            <w:pPr/>
          </w:p>
        </w:tc>
        <w:tc>
          <w:tcPr>
            <w:tcW w:w="58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0"/>
              <w:ind w:right="21"/>
              <w:jc w:val="right"/>
              <w:rPr>
                <w:rFonts w:ascii="Times New Roman" w:hAnsi="Times New Roman" w:cs="Times New Roman" w:eastAsia="Times New Roman" w:hint="default"/>
                <w:sz w:val="18"/>
                <w:szCs w:val="18"/>
              </w:rPr>
            </w:pPr>
            <w:r>
              <w:rPr>
                <w:rFonts w:ascii="Times New Roman"/>
                <w:spacing w:val="-1"/>
                <w:sz w:val="18"/>
              </w:rPr>
              <w:t>365,93</w:t>
            </w:r>
          </w:p>
        </w:tc>
        <w:tc>
          <w:tcPr>
            <w:tcW w:w="58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0"/>
              <w:ind w:right="19"/>
              <w:jc w:val="right"/>
              <w:rPr>
                <w:rFonts w:ascii="Times New Roman" w:hAnsi="Times New Roman" w:cs="Times New Roman" w:eastAsia="Times New Roman" w:hint="default"/>
                <w:sz w:val="18"/>
                <w:szCs w:val="18"/>
              </w:rPr>
            </w:pPr>
            <w:r>
              <w:rPr>
                <w:rFonts w:ascii="Times New Roman"/>
                <w:spacing w:val="-1"/>
                <w:sz w:val="18"/>
              </w:rPr>
              <w:t>36,027</w:t>
            </w:r>
          </w:p>
        </w:tc>
        <w:tc>
          <w:tcPr>
            <w:tcW w:w="57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0"/>
              <w:ind w:right="21"/>
              <w:jc w:val="right"/>
              <w:rPr>
                <w:rFonts w:ascii="Times New Roman" w:hAnsi="Times New Roman" w:cs="Times New Roman" w:eastAsia="Times New Roman" w:hint="default"/>
                <w:sz w:val="18"/>
                <w:szCs w:val="18"/>
              </w:rPr>
            </w:pPr>
            <w:r>
              <w:rPr>
                <w:rFonts w:ascii="Times New Roman"/>
                <w:spacing w:val="-1"/>
                <w:sz w:val="18"/>
              </w:rPr>
              <w:t>401,96</w:t>
            </w:r>
          </w:p>
        </w:tc>
      </w:tr>
      <w:tr>
        <w:trPr>
          <w:trHeight w:val="210" w:hRule="exact"/>
        </w:trPr>
        <w:tc>
          <w:tcPr>
            <w:tcW w:w="12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188" w:lineRule="exact"/>
              <w:ind w:left="22" w:right="0"/>
              <w:jc w:val="left"/>
              <w:rPr>
                <w:rFonts w:ascii="宋体" w:hAnsi="宋体" w:cs="宋体" w:eastAsia="宋体" w:hint="default"/>
                <w:sz w:val="18"/>
                <w:szCs w:val="18"/>
              </w:rPr>
            </w:pPr>
            <w:r>
              <w:rPr>
                <w:rFonts w:ascii="宋体" w:hAnsi="宋体" w:cs="宋体" w:eastAsia="宋体" w:hint="default"/>
                <w:spacing w:val="-9"/>
                <w:sz w:val="18"/>
                <w:szCs w:val="18"/>
              </w:rPr>
              <w:t>动金额（减少以</w:t>
            </w:r>
          </w:p>
        </w:tc>
        <w:tc>
          <w:tcPr>
            <w:tcW w:w="493" w:type="dxa"/>
            <w:tcBorders>
              <w:top w:val="nil" w:sz="6" w:space="0" w:color="auto"/>
              <w:left w:val="single" w:sz="4" w:space="0" w:color="000000"/>
              <w:bottom w:val="nil" w:sz="6" w:space="0" w:color="auto"/>
              <w:right w:val="single" w:sz="4" w:space="0" w:color="000000"/>
            </w:tcBorders>
          </w:tcPr>
          <w:p>
            <w:pPr>
              <w:pStyle w:val="TableParagraph"/>
              <w:spacing w:line="199" w:lineRule="exact"/>
              <w:ind w:right="19"/>
              <w:jc w:val="right"/>
              <w:rPr>
                <w:rFonts w:ascii="Times New Roman" w:hAnsi="Times New Roman" w:cs="Times New Roman" w:eastAsia="Times New Roman" w:hint="default"/>
                <w:sz w:val="18"/>
                <w:szCs w:val="18"/>
              </w:rPr>
            </w:pPr>
            <w:r>
              <w:rPr>
                <w:rFonts w:ascii="Times New Roman"/>
                <w:sz w:val="18"/>
              </w:rPr>
              <w:t>91,77</w:t>
            </w:r>
          </w:p>
        </w:tc>
        <w:tc>
          <w:tcPr>
            <w:tcW w:w="466" w:type="dxa"/>
            <w:vMerge/>
            <w:tcBorders>
              <w:left w:val="single" w:sz="4" w:space="0" w:color="000000"/>
              <w:right w:val="single" w:sz="4" w:space="0" w:color="000000"/>
            </w:tcBorders>
          </w:tcPr>
          <w:p>
            <w:pPr/>
          </w:p>
        </w:tc>
        <w:tc>
          <w:tcPr>
            <w:tcW w:w="467" w:type="dxa"/>
            <w:vMerge/>
            <w:tcBorders>
              <w:left w:val="single" w:sz="4" w:space="0" w:color="000000"/>
              <w:right w:val="single" w:sz="4" w:space="0" w:color="000000"/>
            </w:tcBorders>
          </w:tcPr>
          <w:p>
            <w:pPr/>
          </w:p>
        </w:tc>
        <w:tc>
          <w:tcPr>
            <w:tcW w:w="468" w:type="dxa"/>
            <w:vMerge/>
            <w:tcBorders>
              <w:left w:val="single" w:sz="4" w:space="0" w:color="000000"/>
              <w:right w:val="single" w:sz="4" w:space="0" w:color="000000"/>
            </w:tcBorders>
          </w:tcPr>
          <w:p>
            <w:pPr/>
          </w:p>
        </w:tc>
        <w:tc>
          <w:tcPr>
            <w:tcW w:w="583" w:type="dxa"/>
            <w:tcBorders>
              <w:top w:val="nil" w:sz="6" w:space="0" w:color="auto"/>
              <w:left w:val="single" w:sz="4" w:space="0" w:color="000000"/>
              <w:bottom w:val="nil" w:sz="6" w:space="0" w:color="auto"/>
              <w:right w:val="single" w:sz="4" w:space="0" w:color="000000"/>
            </w:tcBorders>
          </w:tcPr>
          <w:p>
            <w:pPr>
              <w:pStyle w:val="TableParagraph"/>
              <w:spacing w:line="199" w:lineRule="exact"/>
              <w:ind w:right="20"/>
              <w:jc w:val="right"/>
              <w:rPr>
                <w:rFonts w:ascii="Times New Roman" w:hAnsi="Times New Roman" w:cs="Times New Roman" w:eastAsia="Times New Roman" w:hint="default"/>
                <w:sz w:val="18"/>
                <w:szCs w:val="18"/>
              </w:rPr>
            </w:pPr>
            <w:r>
              <w:rPr>
                <w:rFonts w:ascii="Times New Roman"/>
                <w:spacing w:val="-1"/>
                <w:sz w:val="18"/>
              </w:rPr>
              <w:t>13,873</w:t>
            </w:r>
          </w:p>
        </w:tc>
        <w:tc>
          <w:tcPr>
            <w:tcW w:w="584" w:type="dxa"/>
            <w:tcBorders>
              <w:top w:val="nil" w:sz="6" w:space="0" w:color="auto"/>
              <w:left w:val="single" w:sz="4" w:space="0" w:color="000000"/>
              <w:bottom w:val="nil" w:sz="6" w:space="0" w:color="auto"/>
              <w:right w:val="single" w:sz="4" w:space="0" w:color="000000"/>
            </w:tcBorders>
          </w:tcPr>
          <w:p>
            <w:pPr>
              <w:pStyle w:val="TableParagraph"/>
              <w:spacing w:line="199" w:lineRule="exact"/>
              <w:ind w:right="21"/>
              <w:jc w:val="right"/>
              <w:rPr>
                <w:rFonts w:ascii="Times New Roman" w:hAnsi="Times New Roman" w:cs="Times New Roman" w:eastAsia="Times New Roman" w:hint="default"/>
                <w:sz w:val="18"/>
                <w:szCs w:val="18"/>
              </w:rPr>
            </w:pPr>
            <w:r>
              <w:rPr>
                <w:rFonts w:ascii="Times New Roman"/>
                <w:spacing w:val="-1"/>
                <w:sz w:val="18"/>
              </w:rPr>
              <w:t>06,514</w:t>
            </w:r>
          </w:p>
        </w:tc>
        <w:tc>
          <w:tcPr>
            <w:tcW w:w="584" w:type="dxa"/>
            <w:tcBorders>
              <w:top w:val="nil" w:sz="6" w:space="0" w:color="auto"/>
              <w:left w:val="single" w:sz="4" w:space="0" w:color="000000"/>
              <w:bottom w:val="nil" w:sz="6" w:space="0" w:color="auto"/>
              <w:right w:val="single" w:sz="4" w:space="0" w:color="000000"/>
            </w:tcBorders>
          </w:tcPr>
          <w:p>
            <w:pPr>
              <w:pStyle w:val="TableParagraph"/>
              <w:spacing w:line="199" w:lineRule="exact"/>
              <w:ind w:right="22"/>
              <w:jc w:val="right"/>
              <w:rPr>
                <w:rFonts w:ascii="Times New Roman" w:hAnsi="Times New Roman" w:cs="Times New Roman" w:eastAsia="Times New Roman" w:hint="default"/>
                <w:sz w:val="18"/>
                <w:szCs w:val="18"/>
              </w:rPr>
            </w:pPr>
            <w:r>
              <w:rPr>
                <w:rFonts w:ascii="Times New Roman"/>
                <w:spacing w:val="-1"/>
                <w:sz w:val="18"/>
              </w:rPr>
              <w:t>,369.7</w:t>
            </w:r>
          </w:p>
        </w:tc>
        <w:tc>
          <w:tcPr>
            <w:tcW w:w="584" w:type="dxa"/>
            <w:vMerge/>
            <w:tcBorders>
              <w:left w:val="single" w:sz="4" w:space="0" w:color="000000"/>
              <w:right w:val="single" w:sz="4" w:space="0" w:color="000000"/>
            </w:tcBorders>
          </w:tcPr>
          <w:p>
            <w:pPr/>
          </w:p>
        </w:tc>
        <w:tc>
          <w:tcPr>
            <w:tcW w:w="583" w:type="dxa"/>
            <w:tcBorders>
              <w:top w:val="nil" w:sz="6" w:space="0" w:color="auto"/>
              <w:left w:val="single" w:sz="4" w:space="0" w:color="000000"/>
              <w:bottom w:val="nil" w:sz="6" w:space="0" w:color="auto"/>
              <w:right w:val="single" w:sz="4" w:space="0" w:color="000000"/>
            </w:tcBorders>
          </w:tcPr>
          <w:p>
            <w:pPr>
              <w:pStyle w:val="TableParagraph"/>
              <w:spacing w:line="199" w:lineRule="exact"/>
              <w:ind w:right="20"/>
              <w:jc w:val="right"/>
              <w:rPr>
                <w:rFonts w:ascii="Times New Roman" w:hAnsi="Times New Roman" w:cs="Times New Roman" w:eastAsia="Times New Roman" w:hint="default"/>
                <w:sz w:val="18"/>
                <w:szCs w:val="18"/>
              </w:rPr>
            </w:pPr>
            <w:r>
              <w:rPr>
                <w:rFonts w:ascii="Times New Roman"/>
                <w:spacing w:val="-1"/>
                <w:sz w:val="18"/>
              </w:rPr>
              <w:t>,918.9</w:t>
            </w:r>
          </w:p>
        </w:tc>
        <w:tc>
          <w:tcPr>
            <w:tcW w:w="584" w:type="dxa"/>
            <w:vMerge/>
            <w:tcBorders>
              <w:left w:val="single" w:sz="4" w:space="0" w:color="000000"/>
              <w:right w:val="single" w:sz="4" w:space="0" w:color="000000"/>
            </w:tcBorders>
          </w:tcPr>
          <w:p>
            <w:pPr/>
          </w:p>
        </w:tc>
        <w:tc>
          <w:tcPr>
            <w:tcW w:w="584" w:type="dxa"/>
            <w:tcBorders>
              <w:top w:val="nil" w:sz="6" w:space="0" w:color="auto"/>
              <w:left w:val="single" w:sz="4" w:space="0" w:color="000000"/>
              <w:bottom w:val="nil" w:sz="6" w:space="0" w:color="auto"/>
              <w:right w:val="single" w:sz="4" w:space="0" w:color="000000"/>
            </w:tcBorders>
          </w:tcPr>
          <w:p>
            <w:pPr>
              <w:pStyle w:val="TableParagraph"/>
              <w:spacing w:line="199" w:lineRule="exact"/>
              <w:ind w:right="21"/>
              <w:jc w:val="right"/>
              <w:rPr>
                <w:rFonts w:ascii="Times New Roman" w:hAnsi="Times New Roman" w:cs="Times New Roman" w:eastAsia="Times New Roman" w:hint="default"/>
                <w:sz w:val="18"/>
                <w:szCs w:val="18"/>
              </w:rPr>
            </w:pPr>
            <w:r>
              <w:rPr>
                <w:rFonts w:ascii="Times New Roman"/>
                <w:spacing w:val="-1"/>
                <w:sz w:val="18"/>
              </w:rPr>
              <w:t>0,489.</w:t>
            </w:r>
          </w:p>
        </w:tc>
        <w:tc>
          <w:tcPr>
            <w:tcW w:w="584" w:type="dxa"/>
            <w:vMerge/>
            <w:tcBorders>
              <w:left w:val="single" w:sz="4" w:space="0" w:color="000000"/>
              <w:right w:val="single" w:sz="4" w:space="0" w:color="000000"/>
            </w:tcBorders>
          </w:tcPr>
          <w:p>
            <w:pPr/>
          </w:p>
        </w:tc>
        <w:tc>
          <w:tcPr>
            <w:tcW w:w="584" w:type="dxa"/>
            <w:tcBorders>
              <w:top w:val="nil" w:sz="6" w:space="0" w:color="auto"/>
              <w:left w:val="single" w:sz="4" w:space="0" w:color="000000"/>
              <w:bottom w:val="nil" w:sz="6" w:space="0" w:color="auto"/>
              <w:right w:val="single" w:sz="4" w:space="0" w:color="000000"/>
            </w:tcBorders>
          </w:tcPr>
          <w:p>
            <w:pPr>
              <w:pStyle w:val="TableParagraph"/>
              <w:spacing w:line="199" w:lineRule="exact"/>
              <w:ind w:right="20"/>
              <w:jc w:val="right"/>
              <w:rPr>
                <w:rFonts w:ascii="Times New Roman" w:hAnsi="Times New Roman" w:cs="Times New Roman" w:eastAsia="Times New Roman" w:hint="default"/>
                <w:sz w:val="18"/>
                <w:szCs w:val="18"/>
              </w:rPr>
            </w:pPr>
            <w:r>
              <w:rPr>
                <w:rFonts w:ascii="Times New Roman"/>
                <w:spacing w:val="-1"/>
                <w:sz w:val="18"/>
              </w:rPr>
              <w:t>7,645.</w:t>
            </w:r>
          </w:p>
        </w:tc>
        <w:tc>
          <w:tcPr>
            <w:tcW w:w="584" w:type="dxa"/>
            <w:tcBorders>
              <w:top w:val="nil" w:sz="6" w:space="0" w:color="auto"/>
              <w:left w:val="single" w:sz="4" w:space="0" w:color="000000"/>
              <w:bottom w:val="nil" w:sz="6" w:space="0" w:color="auto"/>
              <w:right w:val="single" w:sz="4" w:space="0" w:color="000000"/>
            </w:tcBorders>
          </w:tcPr>
          <w:p>
            <w:pPr>
              <w:pStyle w:val="TableParagraph"/>
              <w:spacing w:line="199" w:lineRule="exact"/>
              <w:ind w:right="22"/>
              <w:jc w:val="right"/>
              <w:rPr>
                <w:rFonts w:ascii="Times New Roman" w:hAnsi="Times New Roman" w:cs="Times New Roman" w:eastAsia="Times New Roman" w:hint="default"/>
                <w:sz w:val="18"/>
                <w:szCs w:val="18"/>
              </w:rPr>
            </w:pPr>
            <w:r>
              <w:rPr>
                <w:rFonts w:ascii="Times New Roman"/>
                <w:spacing w:val="-1"/>
                <w:sz w:val="18"/>
              </w:rPr>
              <w:t>,704.0</w:t>
            </w:r>
          </w:p>
        </w:tc>
        <w:tc>
          <w:tcPr>
            <w:tcW w:w="578" w:type="dxa"/>
            <w:tcBorders>
              <w:top w:val="nil" w:sz="6" w:space="0" w:color="auto"/>
              <w:left w:val="single" w:sz="4" w:space="0" w:color="000000"/>
              <w:bottom w:val="nil" w:sz="6" w:space="0" w:color="auto"/>
              <w:right w:val="single" w:sz="4" w:space="0" w:color="000000"/>
            </w:tcBorders>
          </w:tcPr>
          <w:p>
            <w:pPr>
              <w:pStyle w:val="TableParagraph"/>
              <w:spacing w:line="199" w:lineRule="exact"/>
              <w:ind w:right="21"/>
              <w:jc w:val="right"/>
              <w:rPr>
                <w:rFonts w:ascii="Times New Roman" w:hAnsi="Times New Roman" w:cs="Times New Roman" w:eastAsia="Times New Roman" w:hint="default"/>
                <w:sz w:val="18"/>
                <w:szCs w:val="18"/>
              </w:rPr>
            </w:pPr>
            <w:r>
              <w:rPr>
                <w:rFonts w:ascii="Times New Roman"/>
                <w:spacing w:val="-1"/>
                <w:sz w:val="18"/>
              </w:rPr>
              <w:t>5,349.</w:t>
            </w:r>
          </w:p>
        </w:tc>
      </w:tr>
      <w:tr>
        <w:trPr>
          <w:trHeight w:val="284" w:hRule="exact"/>
        </w:trPr>
        <w:tc>
          <w:tcPr>
            <w:tcW w:w="1253"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25"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493" w:type="dxa"/>
            <w:tcBorders>
              <w:top w:val="nil" w:sz="6" w:space="0" w:color="auto"/>
              <w:left w:val="single" w:sz="4" w:space="0" w:color="000000"/>
              <w:bottom w:val="single" w:sz="4" w:space="0" w:color="000000"/>
              <w:right w:val="single" w:sz="4" w:space="0" w:color="000000"/>
            </w:tcBorders>
          </w:tcPr>
          <w:p>
            <w:pPr>
              <w:pStyle w:val="TableParagraph"/>
              <w:spacing w:line="198" w:lineRule="exact"/>
              <w:ind w:right="21"/>
              <w:jc w:val="right"/>
              <w:rPr>
                <w:rFonts w:ascii="Times New Roman" w:hAnsi="Times New Roman" w:cs="Times New Roman" w:eastAsia="Times New Roman" w:hint="default"/>
                <w:sz w:val="18"/>
                <w:szCs w:val="18"/>
              </w:rPr>
            </w:pPr>
            <w:r>
              <w:rPr>
                <w:rFonts w:ascii="Times New Roman"/>
                <w:spacing w:val="-1"/>
                <w:sz w:val="18"/>
              </w:rPr>
              <w:t>4.00</w:t>
            </w:r>
          </w:p>
        </w:tc>
        <w:tc>
          <w:tcPr>
            <w:tcW w:w="466" w:type="dxa"/>
            <w:vMerge/>
            <w:tcBorders>
              <w:left w:val="single" w:sz="4" w:space="0" w:color="000000"/>
              <w:bottom w:val="single" w:sz="4" w:space="0" w:color="000000"/>
              <w:right w:val="single" w:sz="4" w:space="0" w:color="000000"/>
            </w:tcBorders>
          </w:tcPr>
          <w:p>
            <w:pPr/>
          </w:p>
        </w:tc>
        <w:tc>
          <w:tcPr>
            <w:tcW w:w="467" w:type="dxa"/>
            <w:vMerge/>
            <w:tcBorders>
              <w:left w:val="single" w:sz="4" w:space="0" w:color="000000"/>
              <w:bottom w:val="single" w:sz="4" w:space="0" w:color="000000"/>
              <w:right w:val="single" w:sz="4" w:space="0" w:color="000000"/>
            </w:tcBorders>
          </w:tcPr>
          <w:p>
            <w:pPr/>
          </w:p>
        </w:tc>
        <w:tc>
          <w:tcPr>
            <w:tcW w:w="468" w:type="dxa"/>
            <w:vMerge/>
            <w:tcBorders>
              <w:left w:val="single" w:sz="4" w:space="0" w:color="000000"/>
              <w:bottom w:val="single" w:sz="4" w:space="0" w:color="000000"/>
              <w:right w:val="single" w:sz="4" w:space="0" w:color="000000"/>
            </w:tcBorders>
          </w:tcPr>
          <w:p>
            <w:pPr/>
          </w:p>
        </w:tc>
        <w:tc>
          <w:tcPr>
            <w:tcW w:w="583" w:type="dxa"/>
            <w:tcBorders>
              <w:top w:val="nil" w:sz="6" w:space="0" w:color="auto"/>
              <w:left w:val="single" w:sz="4" w:space="0" w:color="000000"/>
              <w:bottom w:val="single" w:sz="4" w:space="0" w:color="000000"/>
              <w:right w:val="single" w:sz="4" w:space="0" w:color="000000"/>
            </w:tcBorders>
          </w:tcPr>
          <w:p>
            <w:pPr>
              <w:pStyle w:val="TableParagraph"/>
              <w:spacing w:line="198" w:lineRule="exact"/>
              <w:ind w:right="20"/>
              <w:jc w:val="right"/>
              <w:rPr>
                <w:rFonts w:ascii="Times New Roman" w:hAnsi="Times New Roman" w:cs="Times New Roman" w:eastAsia="Times New Roman" w:hint="default"/>
                <w:sz w:val="18"/>
                <w:szCs w:val="18"/>
              </w:rPr>
            </w:pPr>
            <w:r>
              <w:rPr>
                <w:rFonts w:ascii="Times New Roman"/>
                <w:sz w:val="18"/>
              </w:rPr>
              <w:t>.07</w:t>
            </w:r>
          </w:p>
        </w:tc>
        <w:tc>
          <w:tcPr>
            <w:tcW w:w="584" w:type="dxa"/>
            <w:tcBorders>
              <w:top w:val="nil" w:sz="6" w:space="0" w:color="auto"/>
              <w:left w:val="single" w:sz="4" w:space="0" w:color="000000"/>
              <w:bottom w:val="single" w:sz="4" w:space="0" w:color="000000"/>
              <w:right w:val="single" w:sz="4" w:space="0" w:color="000000"/>
            </w:tcBorders>
          </w:tcPr>
          <w:p>
            <w:pPr>
              <w:pStyle w:val="TableParagraph"/>
              <w:spacing w:line="198" w:lineRule="exact"/>
              <w:ind w:right="19"/>
              <w:jc w:val="right"/>
              <w:rPr>
                <w:rFonts w:ascii="Times New Roman" w:hAnsi="Times New Roman" w:cs="Times New Roman" w:eastAsia="Times New Roman" w:hint="default"/>
                <w:sz w:val="18"/>
                <w:szCs w:val="18"/>
              </w:rPr>
            </w:pPr>
            <w:r>
              <w:rPr>
                <w:rFonts w:ascii="Times New Roman"/>
                <w:sz w:val="18"/>
              </w:rPr>
              <w:t>.72</w:t>
            </w:r>
          </w:p>
        </w:tc>
        <w:tc>
          <w:tcPr>
            <w:tcW w:w="584" w:type="dxa"/>
            <w:tcBorders>
              <w:top w:val="nil" w:sz="6" w:space="0" w:color="auto"/>
              <w:left w:val="single" w:sz="4" w:space="0" w:color="000000"/>
              <w:bottom w:val="single" w:sz="4" w:space="0" w:color="000000"/>
              <w:right w:val="single" w:sz="4" w:space="0" w:color="000000"/>
            </w:tcBorders>
          </w:tcPr>
          <w:p>
            <w:pPr>
              <w:pStyle w:val="TableParagraph"/>
              <w:spacing w:line="198" w:lineRule="exact"/>
              <w:ind w:right="22"/>
              <w:jc w:val="right"/>
              <w:rPr>
                <w:rFonts w:ascii="Times New Roman" w:hAnsi="Times New Roman" w:cs="Times New Roman" w:eastAsia="Times New Roman" w:hint="default"/>
                <w:sz w:val="18"/>
                <w:szCs w:val="18"/>
              </w:rPr>
            </w:pPr>
            <w:r>
              <w:rPr>
                <w:rFonts w:ascii="Times New Roman"/>
                <w:sz w:val="18"/>
              </w:rPr>
              <w:t>4</w:t>
            </w:r>
          </w:p>
        </w:tc>
        <w:tc>
          <w:tcPr>
            <w:tcW w:w="584" w:type="dxa"/>
            <w:vMerge/>
            <w:tcBorders>
              <w:left w:val="single" w:sz="4" w:space="0" w:color="000000"/>
              <w:bottom w:val="single" w:sz="4" w:space="0" w:color="000000"/>
              <w:right w:val="single" w:sz="4" w:space="0" w:color="000000"/>
            </w:tcBorders>
          </w:tcPr>
          <w:p>
            <w:pPr/>
          </w:p>
        </w:tc>
        <w:tc>
          <w:tcPr>
            <w:tcW w:w="583" w:type="dxa"/>
            <w:tcBorders>
              <w:top w:val="nil" w:sz="6" w:space="0" w:color="auto"/>
              <w:left w:val="single" w:sz="4" w:space="0" w:color="000000"/>
              <w:bottom w:val="single" w:sz="4" w:space="0" w:color="000000"/>
              <w:right w:val="single" w:sz="4" w:space="0" w:color="000000"/>
            </w:tcBorders>
          </w:tcPr>
          <w:p>
            <w:pPr>
              <w:pStyle w:val="TableParagraph"/>
              <w:spacing w:line="198" w:lineRule="exact"/>
              <w:ind w:right="20"/>
              <w:jc w:val="right"/>
              <w:rPr>
                <w:rFonts w:ascii="Times New Roman" w:hAnsi="Times New Roman" w:cs="Times New Roman" w:eastAsia="Times New Roman" w:hint="default"/>
                <w:sz w:val="18"/>
                <w:szCs w:val="18"/>
              </w:rPr>
            </w:pPr>
            <w:r>
              <w:rPr>
                <w:rFonts w:ascii="Times New Roman"/>
                <w:sz w:val="18"/>
              </w:rPr>
              <w:t>3</w:t>
            </w:r>
          </w:p>
        </w:tc>
        <w:tc>
          <w:tcPr>
            <w:tcW w:w="584" w:type="dxa"/>
            <w:vMerge/>
            <w:tcBorders>
              <w:left w:val="single" w:sz="4" w:space="0" w:color="000000"/>
              <w:bottom w:val="single" w:sz="4" w:space="0" w:color="000000"/>
              <w:right w:val="single" w:sz="4" w:space="0" w:color="000000"/>
            </w:tcBorders>
          </w:tcPr>
          <w:p>
            <w:pPr/>
          </w:p>
        </w:tc>
        <w:tc>
          <w:tcPr>
            <w:tcW w:w="584" w:type="dxa"/>
            <w:tcBorders>
              <w:top w:val="nil" w:sz="6" w:space="0" w:color="auto"/>
              <w:left w:val="single" w:sz="4" w:space="0" w:color="000000"/>
              <w:bottom w:val="single" w:sz="4" w:space="0" w:color="000000"/>
              <w:right w:val="single" w:sz="4" w:space="0" w:color="000000"/>
            </w:tcBorders>
          </w:tcPr>
          <w:p>
            <w:pPr>
              <w:pStyle w:val="TableParagraph"/>
              <w:spacing w:line="198" w:lineRule="exact"/>
              <w:ind w:right="19"/>
              <w:jc w:val="right"/>
              <w:rPr>
                <w:rFonts w:ascii="Times New Roman" w:hAnsi="Times New Roman" w:cs="Times New Roman" w:eastAsia="Times New Roman" w:hint="default"/>
                <w:sz w:val="18"/>
                <w:szCs w:val="18"/>
              </w:rPr>
            </w:pPr>
            <w:r>
              <w:rPr>
                <w:rFonts w:ascii="Times New Roman"/>
                <w:sz w:val="18"/>
              </w:rPr>
              <w:t>07</w:t>
            </w:r>
          </w:p>
        </w:tc>
        <w:tc>
          <w:tcPr>
            <w:tcW w:w="584" w:type="dxa"/>
            <w:vMerge/>
            <w:tcBorders>
              <w:left w:val="single" w:sz="4" w:space="0" w:color="000000"/>
              <w:bottom w:val="single" w:sz="4" w:space="0" w:color="000000"/>
              <w:right w:val="single" w:sz="4" w:space="0" w:color="000000"/>
            </w:tcBorders>
          </w:tcPr>
          <w:p>
            <w:pPr/>
          </w:p>
        </w:tc>
        <w:tc>
          <w:tcPr>
            <w:tcW w:w="584" w:type="dxa"/>
            <w:tcBorders>
              <w:top w:val="nil" w:sz="6" w:space="0" w:color="auto"/>
              <w:left w:val="single" w:sz="4" w:space="0" w:color="000000"/>
              <w:bottom w:val="single" w:sz="4" w:space="0" w:color="000000"/>
              <w:right w:val="single" w:sz="4" w:space="0" w:color="000000"/>
            </w:tcBorders>
          </w:tcPr>
          <w:p>
            <w:pPr>
              <w:pStyle w:val="TableParagraph"/>
              <w:spacing w:line="198" w:lineRule="exact"/>
              <w:ind w:right="21"/>
              <w:jc w:val="right"/>
              <w:rPr>
                <w:rFonts w:ascii="Times New Roman" w:hAnsi="Times New Roman" w:cs="Times New Roman" w:eastAsia="Times New Roman" w:hint="default"/>
                <w:sz w:val="18"/>
                <w:szCs w:val="18"/>
              </w:rPr>
            </w:pPr>
            <w:r>
              <w:rPr>
                <w:rFonts w:ascii="Times New Roman"/>
                <w:sz w:val="18"/>
              </w:rPr>
              <w:t>39</w:t>
            </w:r>
          </w:p>
        </w:tc>
        <w:tc>
          <w:tcPr>
            <w:tcW w:w="584" w:type="dxa"/>
            <w:tcBorders>
              <w:top w:val="nil" w:sz="6" w:space="0" w:color="auto"/>
              <w:left w:val="single" w:sz="4" w:space="0" w:color="000000"/>
              <w:bottom w:val="single" w:sz="4" w:space="0" w:color="000000"/>
              <w:right w:val="single" w:sz="4" w:space="0" w:color="000000"/>
            </w:tcBorders>
          </w:tcPr>
          <w:p>
            <w:pPr>
              <w:pStyle w:val="TableParagraph"/>
              <w:spacing w:line="198" w:lineRule="exact"/>
              <w:ind w:right="22"/>
              <w:jc w:val="right"/>
              <w:rPr>
                <w:rFonts w:ascii="Times New Roman" w:hAnsi="Times New Roman" w:cs="Times New Roman" w:eastAsia="Times New Roman" w:hint="default"/>
                <w:sz w:val="18"/>
                <w:szCs w:val="18"/>
              </w:rPr>
            </w:pPr>
            <w:r>
              <w:rPr>
                <w:rFonts w:ascii="Times New Roman"/>
                <w:sz w:val="18"/>
              </w:rPr>
              <w:t>1</w:t>
            </w:r>
          </w:p>
        </w:tc>
        <w:tc>
          <w:tcPr>
            <w:tcW w:w="578" w:type="dxa"/>
            <w:tcBorders>
              <w:top w:val="nil" w:sz="6" w:space="0" w:color="auto"/>
              <w:left w:val="single" w:sz="4" w:space="0" w:color="000000"/>
              <w:bottom w:val="single" w:sz="4" w:space="0" w:color="000000"/>
              <w:right w:val="single" w:sz="4" w:space="0" w:color="000000"/>
            </w:tcBorders>
          </w:tcPr>
          <w:p>
            <w:pPr>
              <w:pStyle w:val="TableParagraph"/>
              <w:spacing w:line="198" w:lineRule="exact"/>
              <w:ind w:right="19"/>
              <w:jc w:val="right"/>
              <w:rPr>
                <w:rFonts w:ascii="Times New Roman" w:hAnsi="Times New Roman" w:cs="Times New Roman" w:eastAsia="Times New Roman" w:hint="default"/>
                <w:sz w:val="18"/>
                <w:szCs w:val="18"/>
              </w:rPr>
            </w:pPr>
            <w:r>
              <w:rPr>
                <w:rFonts w:ascii="Times New Roman"/>
                <w:sz w:val="18"/>
              </w:rPr>
              <w:t>40</w:t>
            </w:r>
          </w:p>
        </w:tc>
      </w:tr>
      <w:tr>
        <w:trPr>
          <w:trHeight w:val="711"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112"/>
              <w:ind w:left="22" w:right="21"/>
              <w:jc w:val="left"/>
              <w:rPr>
                <w:rFonts w:ascii="宋体" w:hAnsi="宋体" w:cs="宋体" w:eastAsia="宋体" w:hint="default"/>
                <w:sz w:val="18"/>
                <w:szCs w:val="18"/>
              </w:rPr>
            </w:pPr>
            <w:r>
              <w:rPr>
                <w:rFonts w:ascii="宋体" w:hAnsi="宋体" w:cs="宋体" w:eastAsia="宋体" w:hint="default"/>
                <w:spacing w:val="-9"/>
                <w:sz w:val="18"/>
                <w:szCs w:val="18"/>
              </w:rPr>
              <w:t>（一）综合收益</w:t>
            </w:r>
            <w:r>
              <w:rPr>
                <w:rFonts w:ascii="宋体" w:hAnsi="宋体" w:cs="宋体" w:eastAsia="宋体" w:hint="default"/>
                <w:sz w:val="18"/>
                <w:szCs w:val="18"/>
              </w:rPr>
              <w:t> 总额</w:t>
            </w:r>
          </w:p>
        </w:tc>
        <w:tc>
          <w:tcPr>
            <w:tcW w:w="493"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7"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8"/>
              <w:ind w:right="19"/>
              <w:jc w:val="right"/>
              <w:rPr>
                <w:rFonts w:ascii="Times New Roman" w:hAnsi="Times New Roman" w:cs="Times New Roman" w:eastAsia="Times New Roman" w:hint="default"/>
                <w:sz w:val="18"/>
                <w:szCs w:val="18"/>
              </w:rPr>
            </w:pPr>
            <w:r>
              <w:rPr>
                <w:rFonts w:ascii="Times New Roman"/>
                <w:spacing w:val="-1"/>
                <w:sz w:val="18"/>
              </w:rPr>
              <w:t>93,840</w:t>
            </w:r>
          </w:p>
          <w:p>
            <w:pPr>
              <w:pStyle w:val="TableParagraph"/>
              <w:spacing w:line="207" w:lineRule="exact"/>
              <w:ind w:right="22"/>
              <w:jc w:val="right"/>
              <w:rPr>
                <w:rFonts w:ascii="Times New Roman" w:hAnsi="Times New Roman" w:cs="Times New Roman" w:eastAsia="Times New Roman" w:hint="default"/>
                <w:sz w:val="18"/>
                <w:szCs w:val="18"/>
              </w:rPr>
            </w:pPr>
            <w:r>
              <w:rPr>
                <w:rFonts w:ascii="Times New Roman"/>
                <w:spacing w:val="-1"/>
                <w:sz w:val="18"/>
              </w:rPr>
              <w:t>,369.7</w:t>
            </w:r>
          </w:p>
          <w:p>
            <w:pPr>
              <w:pStyle w:val="TableParagraph"/>
              <w:spacing w:line="240" w:lineRule="auto" w:before="2"/>
              <w:ind w:right="22"/>
              <w:jc w:val="right"/>
              <w:rPr>
                <w:rFonts w:ascii="Times New Roman" w:hAnsi="Times New Roman" w:cs="Times New Roman" w:eastAsia="Times New Roman" w:hint="default"/>
                <w:sz w:val="18"/>
                <w:szCs w:val="18"/>
              </w:rPr>
            </w:pPr>
            <w:r>
              <w:rPr>
                <w:rFonts w:ascii="Times New Roman"/>
                <w:sz w:val="18"/>
              </w:rPr>
              <w:t>4</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8"/>
              <w:ind w:left="57" w:right="0"/>
              <w:jc w:val="left"/>
              <w:rPr>
                <w:rFonts w:ascii="Times New Roman" w:hAnsi="Times New Roman" w:cs="Times New Roman" w:eastAsia="Times New Roman" w:hint="default"/>
                <w:sz w:val="18"/>
                <w:szCs w:val="18"/>
              </w:rPr>
            </w:pPr>
            <w:r>
              <w:rPr>
                <w:rFonts w:ascii="Times New Roman"/>
                <w:sz w:val="18"/>
              </w:rPr>
              <w:t>757,97</w:t>
            </w:r>
          </w:p>
          <w:p>
            <w:pPr>
              <w:pStyle w:val="TableParagraph"/>
              <w:spacing w:line="207" w:lineRule="exact"/>
              <w:ind w:left="100" w:right="0"/>
              <w:jc w:val="left"/>
              <w:rPr>
                <w:rFonts w:ascii="Times New Roman" w:hAnsi="Times New Roman" w:cs="Times New Roman" w:eastAsia="Times New Roman" w:hint="default"/>
                <w:sz w:val="18"/>
                <w:szCs w:val="18"/>
              </w:rPr>
            </w:pPr>
            <w:r>
              <w:rPr>
                <w:rFonts w:ascii="Times New Roman"/>
                <w:sz w:val="18"/>
              </w:rPr>
              <w:t>5,682.</w:t>
            </w:r>
          </w:p>
          <w:p>
            <w:pPr>
              <w:pStyle w:val="TableParagraph"/>
              <w:spacing w:line="240" w:lineRule="auto" w:before="2"/>
              <w:ind w:left="371" w:right="0"/>
              <w:jc w:val="left"/>
              <w:rPr>
                <w:rFonts w:ascii="Times New Roman" w:hAnsi="Times New Roman" w:cs="Times New Roman" w:eastAsia="Times New Roman" w:hint="default"/>
                <w:sz w:val="18"/>
                <w:szCs w:val="18"/>
              </w:rPr>
            </w:pPr>
            <w:r>
              <w:rPr>
                <w:rFonts w:ascii="Times New Roman"/>
                <w:sz w:val="18"/>
              </w:rPr>
              <w:t>12</w:t>
            </w: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8"/>
              <w:ind w:left="55" w:right="0"/>
              <w:jc w:val="left"/>
              <w:rPr>
                <w:rFonts w:ascii="Times New Roman" w:hAnsi="Times New Roman" w:cs="Times New Roman" w:eastAsia="Times New Roman" w:hint="default"/>
                <w:sz w:val="18"/>
                <w:szCs w:val="18"/>
              </w:rPr>
            </w:pPr>
            <w:r>
              <w:rPr>
                <w:rFonts w:ascii="Times New Roman"/>
                <w:sz w:val="18"/>
              </w:rPr>
              <w:t>851,81</w:t>
            </w:r>
          </w:p>
          <w:p>
            <w:pPr>
              <w:pStyle w:val="TableParagraph"/>
              <w:spacing w:line="207" w:lineRule="exact"/>
              <w:ind w:left="101" w:right="0"/>
              <w:jc w:val="left"/>
              <w:rPr>
                <w:rFonts w:ascii="Times New Roman" w:hAnsi="Times New Roman" w:cs="Times New Roman" w:eastAsia="Times New Roman" w:hint="default"/>
                <w:sz w:val="18"/>
                <w:szCs w:val="18"/>
              </w:rPr>
            </w:pPr>
            <w:r>
              <w:rPr>
                <w:rFonts w:ascii="Times New Roman"/>
                <w:sz w:val="18"/>
              </w:rPr>
              <w:t>6,051.</w:t>
            </w:r>
          </w:p>
          <w:p>
            <w:pPr>
              <w:pStyle w:val="TableParagraph"/>
              <w:spacing w:line="240" w:lineRule="auto" w:before="2"/>
              <w:ind w:left="370" w:right="0"/>
              <w:jc w:val="left"/>
              <w:rPr>
                <w:rFonts w:ascii="Times New Roman" w:hAnsi="Times New Roman" w:cs="Times New Roman" w:eastAsia="Times New Roman" w:hint="default"/>
                <w:sz w:val="18"/>
                <w:szCs w:val="18"/>
              </w:rPr>
            </w:pPr>
            <w:r>
              <w:rPr>
                <w:rFonts w:ascii="Times New Roman"/>
                <w:sz w:val="18"/>
              </w:rPr>
              <w:t>86</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8"/>
              <w:ind w:left="57" w:right="0"/>
              <w:jc w:val="left"/>
              <w:rPr>
                <w:rFonts w:ascii="Times New Roman" w:hAnsi="Times New Roman" w:cs="Times New Roman" w:eastAsia="Times New Roman" w:hint="default"/>
                <w:sz w:val="18"/>
                <w:szCs w:val="18"/>
              </w:rPr>
            </w:pPr>
            <w:r>
              <w:rPr>
                <w:rFonts w:ascii="Times New Roman"/>
                <w:sz w:val="18"/>
              </w:rPr>
              <w:t>125,40</w:t>
            </w:r>
          </w:p>
          <w:p>
            <w:pPr>
              <w:pStyle w:val="TableParagraph"/>
              <w:spacing w:line="207" w:lineRule="exact"/>
              <w:ind w:left="100" w:right="0"/>
              <w:jc w:val="left"/>
              <w:rPr>
                <w:rFonts w:ascii="Times New Roman" w:hAnsi="Times New Roman" w:cs="Times New Roman" w:eastAsia="Times New Roman" w:hint="default"/>
                <w:sz w:val="18"/>
                <w:szCs w:val="18"/>
              </w:rPr>
            </w:pPr>
            <w:r>
              <w:rPr>
                <w:rFonts w:ascii="Times New Roman"/>
                <w:sz w:val="18"/>
              </w:rPr>
              <w:t>1,195.</w:t>
            </w:r>
          </w:p>
          <w:p>
            <w:pPr>
              <w:pStyle w:val="TableParagraph"/>
              <w:spacing w:line="240" w:lineRule="auto" w:before="2"/>
              <w:ind w:left="371" w:right="0"/>
              <w:jc w:val="left"/>
              <w:rPr>
                <w:rFonts w:ascii="Times New Roman" w:hAnsi="Times New Roman" w:cs="Times New Roman" w:eastAsia="Times New Roman" w:hint="default"/>
                <w:sz w:val="18"/>
                <w:szCs w:val="18"/>
              </w:rPr>
            </w:pPr>
            <w:r>
              <w:rPr>
                <w:rFonts w:ascii="Times New Roman"/>
                <w:sz w:val="18"/>
              </w:rPr>
              <w:t>76</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8"/>
              <w:ind w:left="49" w:right="0"/>
              <w:jc w:val="left"/>
              <w:rPr>
                <w:rFonts w:ascii="Times New Roman" w:hAnsi="Times New Roman" w:cs="Times New Roman" w:eastAsia="Times New Roman" w:hint="default"/>
                <w:sz w:val="18"/>
                <w:szCs w:val="18"/>
              </w:rPr>
            </w:pPr>
            <w:r>
              <w:rPr>
                <w:rFonts w:ascii="Times New Roman"/>
                <w:sz w:val="18"/>
              </w:rPr>
              <w:t>977,21</w:t>
            </w:r>
          </w:p>
          <w:p>
            <w:pPr>
              <w:pStyle w:val="TableParagraph"/>
              <w:spacing w:line="207" w:lineRule="exact"/>
              <w:ind w:left="94" w:right="0"/>
              <w:jc w:val="left"/>
              <w:rPr>
                <w:rFonts w:ascii="Times New Roman" w:hAnsi="Times New Roman" w:cs="Times New Roman" w:eastAsia="Times New Roman" w:hint="default"/>
                <w:sz w:val="18"/>
                <w:szCs w:val="18"/>
              </w:rPr>
            </w:pPr>
            <w:r>
              <w:rPr>
                <w:rFonts w:ascii="Times New Roman"/>
                <w:sz w:val="18"/>
              </w:rPr>
              <w:t>7,247.</w:t>
            </w:r>
          </w:p>
          <w:p>
            <w:pPr>
              <w:pStyle w:val="TableParagraph"/>
              <w:spacing w:line="240" w:lineRule="auto" w:before="2"/>
              <w:ind w:left="365" w:right="0"/>
              <w:jc w:val="left"/>
              <w:rPr>
                <w:rFonts w:ascii="Times New Roman" w:hAnsi="Times New Roman" w:cs="Times New Roman" w:eastAsia="Times New Roman" w:hint="default"/>
                <w:sz w:val="18"/>
                <w:szCs w:val="18"/>
              </w:rPr>
            </w:pPr>
            <w:r>
              <w:rPr>
                <w:rFonts w:ascii="Times New Roman"/>
                <w:sz w:val="18"/>
              </w:rPr>
              <w:t>62</w:t>
            </w:r>
          </w:p>
        </w:tc>
      </w:tr>
      <w:tr>
        <w:trPr>
          <w:trHeight w:val="711"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111"/>
              <w:ind w:left="22" w:right="21"/>
              <w:jc w:val="left"/>
              <w:rPr>
                <w:rFonts w:ascii="宋体" w:hAnsi="宋体" w:cs="宋体" w:eastAsia="宋体" w:hint="default"/>
                <w:sz w:val="18"/>
                <w:szCs w:val="18"/>
              </w:rPr>
            </w:pPr>
            <w:r>
              <w:rPr>
                <w:rFonts w:ascii="宋体" w:hAnsi="宋体" w:cs="宋体" w:eastAsia="宋体" w:hint="default"/>
                <w:spacing w:val="-9"/>
                <w:sz w:val="18"/>
                <w:szCs w:val="18"/>
              </w:rPr>
              <w:t>（二）所有者投</w:t>
            </w:r>
            <w:r>
              <w:rPr>
                <w:rFonts w:ascii="宋体" w:hAnsi="宋体" w:cs="宋体" w:eastAsia="宋体" w:hint="default"/>
                <w:sz w:val="18"/>
                <w:szCs w:val="18"/>
              </w:rPr>
              <w:t> 入和减少资本</w:t>
            </w:r>
          </w:p>
        </w:tc>
        <w:tc>
          <w:tcPr>
            <w:tcW w:w="49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40"/>
              <w:ind w:left="86" w:right="0"/>
              <w:jc w:val="left"/>
              <w:rPr>
                <w:rFonts w:ascii="Times New Roman" w:hAnsi="Times New Roman" w:cs="Times New Roman" w:eastAsia="Times New Roman" w:hint="default"/>
                <w:sz w:val="18"/>
                <w:szCs w:val="18"/>
              </w:rPr>
            </w:pPr>
            <w:r>
              <w:rPr>
                <w:rFonts w:ascii="Times New Roman"/>
                <w:sz w:val="18"/>
              </w:rPr>
              <w:t>-19,8</w:t>
            </w:r>
          </w:p>
          <w:p>
            <w:pPr>
              <w:pStyle w:val="TableParagraph"/>
              <w:spacing w:line="206" w:lineRule="exact"/>
              <w:ind w:left="55" w:right="0"/>
              <w:jc w:val="left"/>
              <w:rPr>
                <w:rFonts w:ascii="Times New Roman" w:hAnsi="Times New Roman" w:cs="Times New Roman" w:eastAsia="Times New Roman" w:hint="default"/>
                <w:sz w:val="18"/>
                <w:szCs w:val="18"/>
              </w:rPr>
            </w:pPr>
            <w:r>
              <w:rPr>
                <w:rFonts w:ascii="Times New Roman"/>
                <w:sz w:val="18"/>
              </w:rPr>
              <w:t>91,77</w:t>
            </w:r>
          </w:p>
          <w:p>
            <w:pPr>
              <w:pStyle w:val="TableParagraph"/>
              <w:spacing w:line="207" w:lineRule="exact"/>
              <w:ind w:left="144" w:right="0"/>
              <w:jc w:val="left"/>
              <w:rPr>
                <w:rFonts w:ascii="Times New Roman" w:hAnsi="Times New Roman" w:cs="Times New Roman" w:eastAsia="Times New Roman" w:hint="default"/>
                <w:sz w:val="18"/>
                <w:szCs w:val="18"/>
              </w:rPr>
            </w:pPr>
            <w:r>
              <w:rPr>
                <w:rFonts w:ascii="Times New Roman"/>
                <w:sz w:val="18"/>
              </w:rPr>
              <w:t>4.00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7"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40"/>
              <w:ind w:left="86" w:right="0"/>
              <w:jc w:val="left"/>
              <w:rPr>
                <w:rFonts w:ascii="Times New Roman" w:hAnsi="Times New Roman" w:cs="Times New Roman" w:eastAsia="Times New Roman" w:hint="default"/>
                <w:sz w:val="18"/>
                <w:szCs w:val="18"/>
              </w:rPr>
            </w:pPr>
            <w:r>
              <w:rPr>
                <w:rFonts w:ascii="Times New Roman"/>
                <w:sz w:val="18"/>
              </w:rPr>
              <w:t>-213,5</w:t>
            </w:r>
          </w:p>
          <w:p>
            <w:pPr>
              <w:pStyle w:val="TableParagraph"/>
              <w:spacing w:line="206" w:lineRule="exact"/>
              <w:ind w:left="55" w:right="0"/>
              <w:jc w:val="left"/>
              <w:rPr>
                <w:rFonts w:ascii="Times New Roman" w:hAnsi="Times New Roman" w:cs="Times New Roman" w:eastAsia="Times New Roman" w:hint="default"/>
                <w:sz w:val="18"/>
                <w:szCs w:val="18"/>
              </w:rPr>
            </w:pPr>
            <w:r>
              <w:rPr>
                <w:rFonts w:ascii="Times New Roman"/>
                <w:sz w:val="18"/>
              </w:rPr>
              <w:t>79,485</w:t>
            </w:r>
          </w:p>
          <w:p>
            <w:pPr>
              <w:pStyle w:val="TableParagraph"/>
              <w:spacing w:line="207" w:lineRule="exact"/>
              <w:ind w:left="323" w:right="0"/>
              <w:jc w:val="left"/>
              <w:rPr>
                <w:rFonts w:ascii="Times New Roman" w:hAnsi="Times New Roman" w:cs="Times New Roman" w:eastAsia="Times New Roman" w:hint="default"/>
                <w:sz w:val="18"/>
                <w:szCs w:val="18"/>
              </w:rPr>
            </w:pPr>
            <w:r>
              <w:rPr>
                <w:rFonts w:ascii="Times New Roman"/>
                <w:sz w:val="18"/>
              </w:rPr>
              <w:t>.68</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40"/>
              <w:ind w:left="86" w:right="0"/>
              <w:jc w:val="left"/>
              <w:rPr>
                <w:rFonts w:ascii="Times New Roman" w:hAnsi="Times New Roman" w:cs="Times New Roman" w:eastAsia="Times New Roman" w:hint="default"/>
                <w:sz w:val="18"/>
                <w:szCs w:val="18"/>
              </w:rPr>
            </w:pPr>
            <w:r>
              <w:rPr>
                <w:rFonts w:ascii="Times New Roman"/>
                <w:sz w:val="18"/>
              </w:rPr>
              <w:t>-113,0</w:t>
            </w:r>
          </w:p>
          <w:p>
            <w:pPr>
              <w:pStyle w:val="TableParagraph"/>
              <w:spacing w:line="206" w:lineRule="exact"/>
              <w:ind w:left="55" w:right="0"/>
              <w:jc w:val="left"/>
              <w:rPr>
                <w:rFonts w:ascii="Times New Roman" w:hAnsi="Times New Roman" w:cs="Times New Roman" w:eastAsia="Times New Roman" w:hint="default"/>
                <w:sz w:val="18"/>
                <w:szCs w:val="18"/>
              </w:rPr>
            </w:pPr>
            <w:r>
              <w:rPr>
                <w:rFonts w:ascii="Times New Roman"/>
                <w:sz w:val="18"/>
              </w:rPr>
              <w:t>06,514</w:t>
            </w:r>
          </w:p>
          <w:p>
            <w:pPr>
              <w:pStyle w:val="TableParagraph"/>
              <w:spacing w:line="207" w:lineRule="exact"/>
              <w:ind w:left="326" w:right="0"/>
              <w:jc w:val="left"/>
              <w:rPr>
                <w:rFonts w:ascii="Times New Roman" w:hAnsi="Times New Roman" w:cs="Times New Roman" w:eastAsia="Times New Roman" w:hint="default"/>
                <w:sz w:val="18"/>
                <w:szCs w:val="18"/>
              </w:rPr>
            </w:pPr>
            <w:r>
              <w:rPr>
                <w:rFonts w:ascii="Times New Roman"/>
                <w:sz w:val="18"/>
              </w:rPr>
              <w:t>.72</w:t>
            </w: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40"/>
              <w:ind w:left="86" w:right="0"/>
              <w:jc w:val="left"/>
              <w:rPr>
                <w:rFonts w:ascii="Times New Roman" w:hAnsi="Times New Roman" w:cs="Times New Roman" w:eastAsia="Times New Roman" w:hint="default"/>
                <w:sz w:val="18"/>
                <w:szCs w:val="18"/>
              </w:rPr>
            </w:pPr>
            <w:r>
              <w:rPr>
                <w:rFonts w:ascii="Times New Roman"/>
                <w:sz w:val="18"/>
              </w:rPr>
              <w:t>-120,4</w:t>
            </w:r>
          </w:p>
          <w:p>
            <w:pPr>
              <w:pStyle w:val="TableParagraph"/>
              <w:spacing w:line="206" w:lineRule="exact"/>
              <w:ind w:left="55" w:right="0"/>
              <w:jc w:val="left"/>
              <w:rPr>
                <w:rFonts w:ascii="Times New Roman" w:hAnsi="Times New Roman" w:cs="Times New Roman" w:eastAsia="Times New Roman" w:hint="default"/>
                <w:sz w:val="18"/>
                <w:szCs w:val="18"/>
              </w:rPr>
            </w:pPr>
            <w:r>
              <w:rPr>
                <w:rFonts w:ascii="Times New Roman"/>
                <w:sz w:val="18"/>
              </w:rPr>
              <w:t>64,744</w:t>
            </w:r>
          </w:p>
          <w:p>
            <w:pPr>
              <w:pStyle w:val="TableParagraph"/>
              <w:spacing w:line="207" w:lineRule="exact"/>
              <w:ind w:left="326" w:right="0"/>
              <w:jc w:val="left"/>
              <w:rPr>
                <w:rFonts w:ascii="Times New Roman" w:hAnsi="Times New Roman" w:cs="Times New Roman" w:eastAsia="Times New Roman" w:hint="default"/>
                <w:sz w:val="18"/>
                <w:szCs w:val="18"/>
              </w:rPr>
            </w:pPr>
            <w:r>
              <w:rPr>
                <w:rFonts w:ascii="Times New Roman"/>
                <w:sz w:val="18"/>
              </w:rPr>
              <w:t>.96</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40"/>
              <w:ind w:left="86" w:right="0"/>
              <w:jc w:val="left"/>
              <w:rPr>
                <w:rFonts w:ascii="Times New Roman" w:hAnsi="Times New Roman" w:cs="Times New Roman" w:eastAsia="Times New Roman" w:hint="default"/>
                <w:sz w:val="18"/>
                <w:szCs w:val="18"/>
              </w:rPr>
            </w:pPr>
            <w:r>
              <w:rPr>
                <w:rFonts w:ascii="Times New Roman"/>
                <w:sz w:val="18"/>
              </w:rPr>
              <w:t>-42,61</w:t>
            </w:r>
          </w:p>
          <w:p>
            <w:pPr>
              <w:pStyle w:val="TableParagraph"/>
              <w:spacing w:line="206" w:lineRule="exact"/>
              <w:ind w:left="100" w:right="0"/>
              <w:jc w:val="left"/>
              <w:rPr>
                <w:rFonts w:ascii="Times New Roman" w:hAnsi="Times New Roman" w:cs="Times New Roman" w:eastAsia="Times New Roman" w:hint="default"/>
                <w:sz w:val="18"/>
                <w:szCs w:val="18"/>
              </w:rPr>
            </w:pPr>
            <w:r>
              <w:rPr>
                <w:rFonts w:ascii="Times New Roman"/>
                <w:sz w:val="18"/>
              </w:rPr>
              <w:t>0,670.</w:t>
            </w:r>
          </w:p>
          <w:p>
            <w:pPr>
              <w:pStyle w:val="TableParagraph"/>
              <w:spacing w:line="207" w:lineRule="exact"/>
              <w:ind w:left="371" w:right="0"/>
              <w:jc w:val="left"/>
              <w:rPr>
                <w:rFonts w:ascii="Times New Roman" w:hAnsi="Times New Roman" w:cs="Times New Roman" w:eastAsia="Times New Roman" w:hint="default"/>
                <w:sz w:val="18"/>
                <w:szCs w:val="18"/>
              </w:rPr>
            </w:pPr>
            <w:r>
              <w:rPr>
                <w:rFonts w:ascii="Times New Roman"/>
                <w:sz w:val="18"/>
              </w:rPr>
              <w:t>54</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40"/>
              <w:ind w:left="80" w:right="0"/>
              <w:jc w:val="left"/>
              <w:rPr>
                <w:rFonts w:ascii="Times New Roman" w:hAnsi="Times New Roman" w:cs="Times New Roman" w:eastAsia="Times New Roman" w:hint="default"/>
                <w:sz w:val="18"/>
                <w:szCs w:val="18"/>
              </w:rPr>
            </w:pPr>
            <w:r>
              <w:rPr>
                <w:rFonts w:ascii="Times New Roman"/>
                <w:sz w:val="18"/>
              </w:rPr>
              <w:t>-163,0</w:t>
            </w:r>
          </w:p>
          <w:p>
            <w:pPr>
              <w:pStyle w:val="TableParagraph"/>
              <w:spacing w:line="206" w:lineRule="exact"/>
              <w:ind w:left="49" w:right="0"/>
              <w:jc w:val="left"/>
              <w:rPr>
                <w:rFonts w:ascii="Times New Roman" w:hAnsi="Times New Roman" w:cs="Times New Roman" w:eastAsia="Times New Roman" w:hint="default"/>
                <w:sz w:val="18"/>
                <w:szCs w:val="18"/>
              </w:rPr>
            </w:pPr>
            <w:r>
              <w:rPr>
                <w:rFonts w:ascii="Times New Roman"/>
                <w:sz w:val="18"/>
              </w:rPr>
              <w:t>75,415</w:t>
            </w:r>
          </w:p>
          <w:p>
            <w:pPr>
              <w:pStyle w:val="TableParagraph"/>
              <w:spacing w:line="207" w:lineRule="exact"/>
              <w:ind w:left="320" w:right="0"/>
              <w:jc w:val="left"/>
              <w:rPr>
                <w:rFonts w:ascii="Times New Roman" w:hAnsi="Times New Roman" w:cs="Times New Roman" w:eastAsia="Times New Roman" w:hint="default"/>
                <w:sz w:val="18"/>
                <w:szCs w:val="18"/>
              </w:rPr>
            </w:pPr>
            <w:r>
              <w:rPr>
                <w:rFonts w:ascii="Times New Roman"/>
                <w:sz w:val="18"/>
              </w:rPr>
              <w:t>.50</w:t>
            </w:r>
          </w:p>
        </w:tc>
      </w:tr>
      <w:tr>
        <w:trPr>
          <w:trHeight w:val="711"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6" w:lineRule="exact" w:before="107"/>
              <w:ind w:left="22" w:right="48"/>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493"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7"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9"/>
              <w:ind w:right="19"/>
              <w:jc w:val="right"/>
              <w:rPr>
                <w:rFonts w:ascii="Times New Roman" w:hAnsi="Times New Roman" w:cs="Times New Roman" w:eastAsia="Times New Roman" w:hint="default"/>
                <w:sz w:val="18"/>
                <w:szCs w:val="18"/>
              </w:rPr>
            </w:pPr>
            <w:r>
              <w:rPr>
                <w:rFonts w:ascii="Times New Roman"/>
                <w:spacing w:val="-1"/>
                <w:sz w:val="18"/>
              </w:rPr>
              <w:t>21,000</w:t>
            </w:r>
          </w:p>
          <w:p>
            <w:pPr>
              <w:pStyle w:val="TableParagraph"/>
              <w:spacing w:line="206" w:lineRule="exact"/>
              <w:ind w:right="22"/>
              <w:jc w:val="right"/>
              <w:rPr>
                <w:rFonts w:ascii="Times New Roman" w:hAnsi="Times New Roman" w:cs="Times New Roman" w:eastAsia="Times New Roman" w:hint="default"/>
                <w:sz w:val="18"/>
                <w:szCs w:val="18"/>
              </w:rPr>
            </w:pPr>
            <w:r>
              <w:rPr>
                <w:rFonts w:ascii="Times New Roman"/>
                <w:spacing w:val="-1"/>
                <w:sz w:val="18"/>
              </w:rPr>
              <w:t>,000.0</w:t>
            </w:r>
          </w:p>
          <w:p>
            <w:pPr>
              <w:pStyle w:val="TableParagraph"/>
              <w:spacing w:line="207" w:lineRule="exact"/>
              <w:ind w:right="22"/>
              <w:jc w:val="right"/>
              <w:rPr>
                <w:rFonts w:ascii="Times New Roman" w:hAnsi="Times New Roman" w:cs="Times New Roman" w:eastAsia="Times New Roman" w:hint="default"/>
                <w:sz w:val="18"/>
                <w:szCs w:val="18"/>
              </w:rPr>
            </w:pPr>
            <w:r>
              <w:rPr>
                <w:rFonts w:ascii="Times New Roman"/>
                <w:sz w:val="18"/>
              </w:rPr>
              <w:t>0</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9"/>
              <w:ind w:right="21"/>
              <w:jc w:val="right"/>
              <w:rPr>
                <w:rFonts w:ascii="Times New Roman" w:hAnsi="Times New Roman" w:cs="Times New Roman" w:eastAsia="Times New Roman" w:hint="default"/>
                <w:sz w:val="18"/>
                <w:szCs w:val="18"/>
              </w:rPr>
            </w:pPr>
            <w:r>
              <w:rPr>
                <w:rFonts w:ascii="Times New Roman"/>
                <w:spacing w:val="-1"/>
                <w:sz w:val="18"/>
              </w:rPr>
              <w:t>21,000</w:t>
            </w:r>
          </w:p>
          <w:p>
            <w:pPr>
              <w:pStyle w:val="TableParagraph"/>
              <w:spacing w:line="206" w:lineRule="exact"/>
              <w:ind w:right="21"/>
              <w:jc w:val="right"/>
              <w:rPr>
                <w:rFonts w:ascii="Times New Roman" w:hAnsi="Times New Roman" w:cs="Times New Roman" w:eastAsia="Times New Roman" w:hint="default"/>
                <w:sz w:val="18"/>
                <w:szCs w:val="18"/>
              </w:rPr>
            </w:pPr>
            <w:r>
              <w:rPr>
                <w:rFonts w:ascii="Times New Roman"/>
                <w:spacing w:val="-1"/>
                <w:sz w:val="18"/>
              </w:rPr>
              <w:t>,000.0</w:t>
            </w:r>
          </w:p>
          <w:p>
            <w:pPr>
              <w:pStyle w:val="TableParagraph"/>
              <w:spacing w:line="207" w:lineRule="exact"/>
              <w:ind w:right="21"/>
              <w:jc w:val="right"/>
              <w:rPr>
                <w:rFonts w:ascii="Times New Roman" w:hAnsi="Times New Roman" w:cs="Times New Roman" w:eastAsia="Times New Roman" w:hint="default"/>
                <w:sz w:val="18"/>
                <w:szCs w:val="18"/>
              </w:rPr>
            </w:pPr>
            <w:r>
              <w:rPr>
                <w:rFonts w:ascii="Times New Roman"/>
                <w:sz w:val="18"/>
              </w:rPr>
              <w:t>0</w:t>
            </w:r>
          </w:p>
        </w:tc>
      </w:tr>
      <w:tr>
        <w:trPr>
          <w:trHeight w:val="283" w:hRule="exact"/>
        </w:trPr>
        <w:tc>
          <w:tcPr>
            <w:tcW w:w="1253"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w:t>
            </w:r>
          </w:p>
        </w:tc>
        <w:tc>
          <w:tcPr>
            <w:tcW w:w="493" w:type="dxa"/>
            <w:vMerge w:val="restart"/>
            <w:tcBorders>
              <w:top w:val="single" w:sz="4" w:space="0" w:color="000000"/>
              <w:left w:val="single" w:sz="4" w:space="0" w:color="000000"/>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67" w:type="dxa"/>
            <w:vMerge w:val="restart"/>
            <w:tcBorders>
              <w:top w:val="single" w:sz="4" w:space="0" w:color="000000"/>
              <w:left w:val="single" w:sz="4" w:space="0" w:color="000000"/>
              <w:right w:val="single" w:sz="4" w:space="0" w:color="000000"/>
            </w:tcBorders>
          </w:tcPr>
          <w:p>
            <w:pPr/>
          </w:p>
        </w:tc>
        <w:tc>
          <w:tcPr>
            <w:tcW w:w="468"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4" w:type="dxa"/>
            <w:vMerge w:val="restart"/>
            <w:tcBorders>
              <w:top w:val="single" w:sz="4" w:space="0" w:color="000000"/>
              <w:left w:val="single" w:sz="4" w:space="0" w:color="000000"/>
              <w:right w:val="single" w:sz="4" w:space="0" w:color="000000"/>
            </w:tcBorders>
          </w:tcPr>
          <w:p>
            <w:pPr/>
          </w:p>
        </w:tc>
        <w:tc>
          <w:tcPr>
            <w:tcW w:w="584" w:type="dxa"/>
            <w:vMerge w:val="restart"/>
            <w:tcBorders>
              <w:top w:val="single" w:sz="4" w:space="0" w:color="000000"/>
              <w:left w:val="single" w:sz="4" w:space="0" w:color="000000"/>
              <w:right w:val="single" w:sz="4" w:space="0" w:color="000000"/>
            </w:tcBorders>
          </w:tcPr>
          <w:p>
            <w:pPr/>
          </w:p>
        </w:tc>
        <w:tc>
          <w:tcPr>
            <w:tcW w:w="584"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4" w:type="dxa"/>
            <w:vMerge w:val="restart"/>
            <w:tcBorders>
              <w:top w:val="single" w:sz="4" w:space="0" w:color="000000"/>
              <w:left w:val="single" w:sz="4" w:space="0" w:color="000000"/>
              <w:right w:val="single" w:sz="4" w:space="0" w:color="000000"/>
            </w:tcBorders>
          </w:tcPr>
          <w:p>
            <w:pPr/>
          </w:p>
        </w:tc>
        <w:tc>
          <w:tcPr>
            <w:tcW w:w="584" w:type="dxa"/>
            <w:vMerge w:val="restart"/>
            <w:tcBorders>
              <w:top w:val="single" w:sz="4" w:space="0" w:color="000000"/>
              <w:left w:val="single" w:sz="4" w:space="0" w:color="000000"/>
              <w:right w:val="single" w:sz="4" w:space="0" w:color="000000"/>
            </w:tcBorders>
          </w:tcPr>
          <w:p>
            <w:pPr/>
          </w:p>
        </w:tc>
        <w:tc>
          <w:tcPr>
            <w:tcW w:w="584" w:type="dxa"/>
            <w:vMerge w:val="restart"/>
            <w:tcBorders>
              <w:top w:val="single" w:sz="4" w:space="0" w:color="000000"/>
              <w:left w:val="single" w:sz="4" w:space="0" w:color="000000"/>
              <w:right w:val="single" w:sz="4" w:space="0" w:color="000000"/>
            </w:tcBorders>
          </w:tcPr>
          <w:p>
            <w:pPr/>
          </w:p>
        </w:tc>
        <w:tc>
          <w:tcPr>
            <w:tcW w:w="584" w:type="dxa"/>
            <w:vMerge w:val="restart"/>
            <w:tcBorders>
              <w:top w:val="single" w:sz="4" w:space="0" w:color="000000"/>
              <w:left w:val="single" w:sz="4" w:space="0" w:color="000000"/>
              <w:right w:val="single" w:sz="4" w:space="0" w:color="000000"/>
            </w:tcBorders>
          </w:tcPr>
          <w:p>
            <w:pPr/>
          </w:p>
        </w:tc>
        <w:tc>
          <w:tcPr>
            <w:tcW w:w="584" w:type="dxa"/>
            <w:vMerge w:val="restart"/>
            <w:tcBorders>
              <w:top w:val="single" w:sz="4" w:space="0" w:color="000000"/>
              <w:left w:val="single" w:sz="4" w:space="0" w:color="000000"/>
              <w:right w:val="single" w:sz="4" w:space="0" w:color="000000"/>
            </w:tcBorders>
          </w:tcPr>
          <w:p>
            <w:pPr/>
          </w:p>
        </w:tc>
        <w:tc>
          <w:tcPr>
            <w:tcW w:w="578" w:type="dxa"/>
            <w:vMerge w:val="restart"/>
            <w:tcBorders>
              <w:top w:val="single" w:sz="4" w:space="0" w:color="000000"/>
              <w:left w:val="single" w:sz="4" w:space="0" w:color="000000"/>
              <w:right w:val="single" w:sz="4" w:space="0" w:color="000000"/>
            </w:tcBorders>
          </w:tcPr>
          <w:p>
            <w:pPr/>
          </w:p>
        </w:tc>
      </w:tr>
      <w:tr>
        <w:trPr>
          <w:trHeight w:val="228" w:hRule="exact"/>
        </w:trPr>
        <w:tc>
          <w:tcPr>
            <w:tcW w:w="12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01" w:lineRule="exact"/>
              <w:ind w:left="22" w:right="0"/>
              <w:jc w:val="left"/>
              <w:rPr>
                <w:rFonts w:ascii="宋体" w:hAnsi="宋体" w:cs="宋体" w:eastAsia="宋体" w:hint="default"/>
                <w:sz w:val="18"/>
                <w:szCs w:val="18"/>
              </w:rPr>
            </w:pPr>
            <w:r>
              <w:rPr>
                <w:rFonts w:ascii="宋体" w:hAnsi="宋体" w:cs="宋体" w:eastAsia="宋体" w:hint="default"/>
                <w:sz w:val="18"/>
                <w:szCs w:val="18"/>
              </w:rPr>
              <w:t>具持有者投入</w:t>
            </w:r>
          </w:p>
        </w:tc>
        <w:tc>
          <w:tcPr>
            <w:tcW w:w="493" w:type="dxa"/>
            <w:vMerge/>
            <w:tcBorders>
              <w:left w:val="single" w:sz="4" w:space="0" w:color="000000"/>
              <w:right w:val="single" w:sz="4" w:space="0" w:color="000000"/>
            </w:tcBorders>
          </w:tcPr>
          <w:p>
            <w:pPr/>
          </w:p>
        </w:tc>
        <w:tc>
          <w:tcPr>
            <w:tcW w:w="466" w:type="dxa"/>
            <w:vMerge/>
            <w:tcBorders>
              <w:left w:val="single" w:sz="4" w:space="0" w:color="000000"/>
              <w:right w:val="single" w:sz="4" w:space="0" w:color="000000"/>
            </w:tcBorders>
          </w:tcPr>
          <w:p>
            <w:pPr/>
          </w:p>
        </w:tc>
        <w:tc>
          <w:tcPr>
            <w:tcW w:w="467" w:type="dxa"/>
            <w:vMerge/>
            <w:tcBorders>
              <w:left w:val="single" w:sz="4" w:space="0" w:color="000000"/>
              <w:right w:val="single" w:sz="4" w:space="0" w:color="000000"/>
            </w:tcBorders>
          </w:tcPr>
          <w:p>
            <w:pPr/>
          </w:p>
        </w:tc>
        <w:tc>
          <w:tcPr>
            <w:tcW w:w="468"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r>
      <w:tr>
        <w:trPr>
          <w:trHeight w:val="279" w:hRule="exact"/>
        </w:trPr>
        <w:tc>
          <w:tcPr>
            <w:tcW w:w="1253"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06" w:lineRule="exact"/>
              <w:ind w:left="22" w:right="0"/>
              <w:jc w:val="left"/>
              <w:rPr>
                <w:rFonts w:ascii="宋体" w:hAnsi="宋体" w:cs="宋体" w:eastAsia="宋体" w:hint="default"/>
                <w:sz w:val="18"/>
                <w:szCs w:val="18"/>
              </w:rPr>
            </w:pPr>
            <w:r>
              <w:rPr>
                <w:rFonts w:ascii="宋体" w:hAnsi="宋体" w:cs="宋体" w:eastAsia="宋体" w:hint="default"/>
                <w:sz w:val="18"/>
                <w:szCs w:val="18"/>
              </w:rPr>
              <w:t>资本</w:t>
            </w:r>
          </w:p>
        </w:tc>
        <w:tc>
          <w:tcPr>
            <w:tcW w:w="493" w:type="dxa"/>
            <w:vMerge/>
            <w:tcBorders>
              <w:left w:val="single" w:sz="4" w:space="0" w:color="000000"/>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7" w:type="dxa"/>
            <w:vMerge/>
            <w:tcBorders>
              <w:left w:val="single" w:sz="4" w:space="0" w:color="000000"/>
              <w:bottom w:val="single" w:sz="4" w:space="0" w:color="000000"/>
              <w:right w:val="single" w:sz="4" w:space="0" w:color="000000"/>
            </w:tcBorders>
          </w:tcPr>
          <w:p>
            <w:pPr/>
          </w:p>
        </w:tc>
        <w:tc>
          <w:tcPr>
            <w:tcW w:w="468"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r>
      <w:tr>
        <w:trPr>
          <w:trHeight w:val="282" w:hRule="exact"/>
        </w:trPr>
        <w:tc>
          <w:tcPr>
            <w:tcW w:w="1253"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w:t>
            </w:r>
          </w:p>
        </w:tc>
        <w:tc>
          <w:tcPr>
            <w:tcW w:w="493" w:type="dxa"/>
            <w:vMerge w:val="restart"/>
            <w:tcBorders>
              <w:top w:val="single" w:sz="4" w:space="0" w:color="000000"/>
              <w:left w:val="single" w:sz="4" w:space="0" w:color="000000"/>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67" w:type="dxa"/>
            <w:vMerge w:val="restart"/>
            <w:tcBorders>
              <w:top w:val="single" w:sz="4" w:space="0" w:color="000000"/>
              <w:left w:val="single" w:sz="4" w:space="0" w:color="000000"/>
              <w:right w:val="single" w:sz="4" w:space="0" w:color="000000"/>
            </w:tcBorders>
          </w:tcPr>
          <w:p>
            <w:pPr/>
          </w:p>
        </w:tc>
        <w:tc>
          <w:tcPr>
            <w:tcW w:w="468"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4" w:type="dxa"/>
            <w:vMerge w:val="restart"/>
            <w:tcBorders>
              <w:top w:val="single" w:sz="4" w:space="0" w:color="000000"/>
              <w:left w:val="single" w:sz="4" w:space="0" w:color="000000"/>
              <w:right w:val="single" w:sz="4" w:space="0" w:color="000000"/>
            </w:tcBorders>
          </w:tcPr>
          <w:p>
            <w:pPr/>
          </w:p>
        </w:tc>
        <w:tc>
          <w:tcPr>
            <w:tcW w:w="584" w:type="dxa"/>
            <w:vMerge w:val="restart"/>
            <w:tcBorders>
              <w:top w:val="single" w:sz="4" w:space="0" w:color="000000"/>
              <w:left w:val="single" w:sz="4" w:space="0" w:color="000000"/>
              <w:right w:val="single" w:sz="4" w:space="0" w:color="000000"/>
            </w:tcBorders>
          </w:tcPr>
          <w:p>
            <w:pPr/>
          </w:p>
        </w:tc>
        <w:tc>
          <w:tcPr>
            <w:tcW w:w="584"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4" w:type="dxa"/>
            <w:vMerge w:val="restart"/>
            <w:tcBorders>
              <w:top w:val="single" w:sz="4" w:space="0" w:color="000000"/>
              <w:left w:val="single" w:sz="4" w:space="0" w:color="000000"/>
              <w:right w:val="single" w:sz="4" w:space="0" w:color="000000"/>
            </w:tcBorders>
          </w:tcPr>
          <w:p>
            <w:pPr/>
          </w:p>
        </w:tc>
        <w:tc>
          <w:tcPr>
            <w:tcW w:w="584" w:type="dxa"/>
            <w:vMerge w:val="restart"/>
            <w:tcBorders>
              <w:top w:val="single" w:sz="4" w:space="0" w:color="000000"/>
              <w:left w:val="single" w:sz="4" w:space="0" w:color="000000"/>
              <w:right w:val="single" w:sz="4" w:space="0" w:color="000000"/>
            </w:tcBorders>
          </w:tcPr>
          <w:p>
            <w:pPr/>
          </w:p>
        </w:tc>
        <w:tc>
          <w:tcPr>
            <w:tcW w:w="584" w:type="dxa"/>
            <w:vMerge w:val="restart"/>
            <w:tcBorders>
              <w:top w:val="single" w:sz="4" w:space="0" w:color="000000"/>
              <w:left w:val="single" w:sz="4" w:space="0" w:color="000000"/>
              <w:right w:val="single" w:sz="4" w:space="0" w:color="000000"/>
            </w:tcBorders>
          </w:tcPr>
          <w:p>
            <w:pPr/>
          </w:p>
        </w:tc>
        <w:tc>
          <w:tcPr>
            <w:tcW w:w="584" w:type="dxa"/>
            <w:vMerge w:val="restart"/>
            <w:tcBorders>
              <w:top w:val="single" w:sz="4" w:space="0" w:color="000000"/>
              <w:left w:val="single" w:sz="4" w:space="0" w:color="000000"/>
              <w:right w:val="single" w:sz="4" w:space="0" w:color="000000"/>
            </w:tcBorders>
          </w:tcPr>
          <w:p>
            <w:pPr/>
          </w:p>
        </w:tc>
        <w:tc>
          <w:tcPr>
            <w:tcW w:w="584" w:type="dxa"/>
            <w:vMerge w:val="restart"/>
            <w:tcBorders>
              <w:top w:val="single" w:sz="4" w:space="0" w:color="000000"/>
              <w:left w:val="single" w:sz="4" w:space="0" w:color="000000"/>
              <w:right w:val="single" w:sz="4" w:space="0" w:color="000000"/>
            </w:tcBorders>
          </w:tcPr>
          <w:p>
            <w:pPr/>
          </w:p>
        </w:tc>
        <w:tc>
          <w:tcPr>
            <w:tcW w:w="578" w:type="dxa"/>
            <w:vMerge w:val="restart"/>
            <w:tcBorders>
              <w:top w:val="single" w:sz="4" w:space="0" w:color="000000"/>
              <w:left w:val="single" w:sz="4" w:space="0" w:color="000000"/>
              <w:right w:val="single" w:sz="4" w:space="0" w:color="000000"/>
            </w:tcBorders>
          </w:tcPr>
          <w:p>
            <w:pPr/>
          </w:p>
        </w:tc>
      </w:tr>
      <w:tr>
        <w:trPr>
          <w:trHeight w:val="228" w:hRule="exact"/>
        </w:trPr>
        <w:tc>
          <w:tcPr>
            <w:tcW w:w="12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01" w:lineRule="exact"/>
              <w:ind w:left="22" w:right="0"/>
              <w:jc w:val="left"/>
              <w:rPr>
                <w:rFonts w:ascii="宋体" w:hAnsi="宋体" w:cs="宋体" w:eastAsia="宋体" w:hint="default"/>
                <w:sz w:val="18"/>
                <w:szCs w:val="18"/>
              </w:rPr>
            </w:pPr>
            <w:r>
              <w:rPr>
                <w:rFonts w:ascii="宋体" w:hAnsi="宋体" w:cs="宋体" w:eastAsia="宋体" w:hint="default"/>
                <w:sz w:val="18"/>
                <w:szCs w:val="18"/>
              </w:rPr>
              <w:t>入所有者权益</w:t>
            </w:r>
          </w:p>
        </w:tc>
        <w:tc>
          <w:tcPr>
            <w:tcW w:w="493" w:type="dxa"/>
            <w:vMerge/>
            <w:tcBorders>
              <w:left w:val="single" w:sz="4" w:space="0" w:color="000000"/>
              <w:right w:val="single" w:sz="4" w:space="0" w:color="000000"/>
            </w:tcBorders>
          </w:tcPr>
          <w:p>
            <w:pPr/>
          </w:p>
        </w:tc>
        <w:tc>
          <w:tcPr>
            <w:tcW w:w="466" w:type="dxa"/>
            <w:vMerge/>
            <w:tcBorders>
              <w:left w:val="single" w:sz="4" w:space="0" w:color="000000"/>
              <w:right w:val="single" w:sz="4" w:space="0" w:color="000000"/>
            </w:tcBorders>
          </w:tcPr>
          <w:p>
            <w:pPr/>
          </w:p>
        </w:tc>
        <w:tc>
          <w:tcPr>
            <w:tcW w:w="467" w:type="dxa"/>
            <w:vMerge/>
            <w:tcBorders>
              <w:left w:val="single" w:sz="4" w:space="0" w:color="000000"/>
              <w:right w:val="single" w:sz="4" w:space="0" w:color="000000"/>
            </w:tcBorders>
          </w:tcPr>
          <w:p>
            <w:pPr/>
          </w:p>
        </w:tc>
        <w:tc>
          <w:tcPr>
            <w:tcW w:w="468"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r>
      <w:tr>
        <w:trPr>
          <w:trHeight w:val="280" w:hRule="exact"/>
        </w:trPr>
        <w:tc>
          <w:tcPr>
            <w:tcW w:w="1253"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06" w:lineRule="exact"/>
              <w:ind w:left="22" w:right="0"/>
              <w:jc w:val="left"/>
              <w:rPr>
                <w:rFonts w:ascii="宋体" w:hAnsi="宋体" w:cs="宋体" w:eastAsia="宋体" w:hint="default"/>
                <w:sz w:val="18"/>
                <w:szCs w:val="18"/>
              </w:rPr>
            </w:pPr>
            <w:r>
              <w:rPr>
                <w:rFonts w:ascii="宋体" w:hAnsi="宋体" w:cs="宋体" w:eastAsia="宋体" w:hint="default"/>
                <w:sz w:val="18"/>
                <w:szCs w:val="18"/>
              </w:rPr>
              <w:t>的金额</w:t>
            </w:r>
          </w:p>
        </w:tc>
        <w:tc>
          <w:tcPr>
            <w:tcW w:w="493" w:type="dxa"/>
            <w:vMerge/>
            <w:tcBorders>
              <w:left w:val="single" w:sz="4" w:space="0" w:color="000000"/>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7" w:type="dxa"/>
            <w:vMerge/>
            <w:tcBorders>
              <w:left w:val="single" w:sz="4" w:space="0" w:color="000000"/>
              <w:bottom w:val="single" w:sz="4" w:space="0" w:color="000000"/>
              <w:right w:val="single" w:sz="4" w:space="0" w:color="000000"/>
            </w:tcBorders>
          </w:tcPr>
          <w:p>
            <w:pPr/>
          </w:p>
        </w:tc>
        <w:tc>
          <w:tcPr>
            <w:tcW w:w="468"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r>
      <w:tr>
        <w:trPr>
          <w:trHeight w:val="918"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43"/>
              <w:ind w:left="86" w:right="0"/>
              <w:jc w:val="left"/>
              <w:rPr>
                <w:rFonts w:ascii="Times New Roman" w:hAnsi="Times New Roman" w:cs="Times New Roman" w:eastAsia="Times New Roman" w:hint="default"/>
                <w:sz w:val="18"/>
                <w:szCs w:val="18"/>
              </w:rPr>
            </w:pPr>
            <w:r>
              <w:rPr>
                <w:rFonts w:ascii="Times New Roman"/>
                <w:sz w:val="18"/>
              </w:rPr>
              <w:t>-19,8</w:t>
            </w:r>
          </w:p>
          <w:p>
            <w:pPr>
              <w:pStyle w:val="TableParagraph"/>
              <w:spacing w:line="206" w:lineRule="exact"/>
              <w:ind w:left="55" w:right="0"/>
              <w:jc w:val="left"/>
              <w:rPr>
                <w:rFonts w:ascii="Times New Roman" w:hAnsi="Times New Roman" w:cs="Times New Roman" w:eastAsia="Times New Roman" w:hint="default"/>
                <w:sz w:val="18"/>
                <w:szCs w:val="18"/>
              </w:rPr>
            </w:pPr>
            <w:r>
              <w:rPr>
                <w:rFonts w:ascii="Times New Roman"/>
                <w:sz w:val="18"/>
              </w:rPr>
              <w:t>91,77</w:t>
            </w:r>
          </w:p>
          <w:p>
            <w:pPr>
              <w:pStyle w:val="TableParagraph"/>
              <w:spacing w:line="207" w:lineRule="exact"/>
              <w:ind w:left="144" w:right="0"/>
              <w:jc w:val="left"/>
              <w:rPr>
                <w:rFonts w:ascii="Times New Roman" w:hAnsi="Times New Roman" w:cs="Times New Roman" w:eastAsia="Times New Roman" w:hint="default"/>
                <w:sz w:val="18"/>
                <w:szCs w:val="18"/>
              </w:rPr>
            </w:pPr>
            <w:r>
              <w:rPr>
                <w:rFonts w:ascii="Times New Roman"/>
                <w:sz w:val="18"/>
              </w:rPr>
              <w:t>4.00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7"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43"/>
              <w:ind w:left="86" w:right="0"/>
              <w:jc w:val="left"/>
              <w:rPr>
                <w:rFonts w:ascii="Times New Roman" w:hAnsi="Times New Roman" w:cs="Times New Roman" w:eastAsia="Times New Roman" w:hint="default"/>
                <w:sz w:val="18"/>
                <w:szCs w:val="18"/>
              </w:rPr>
            </w:pPr>
            <w:r>
              <w:rPr>
                <w:rFonts w:ascii="Times New Roman"/>
                <w:sz w:val="18"/>
              </w:rPr>
              <w:t>-213,5</w:t>
            </w:r>
          </w:p>
          <w:p>
            <w:pPr>
              <w:pStyle w:val="TableParagraph"/>
              <w:spacing w:line="206" w:lineRule="exact"/>
              <w:ind w:left="55" w:right="0"/>
              <w:jc w:val="left"/>
              <w:rPr>
                <w:rFonts w:ascii="Times New Roman" w:hAnsi="Times New Roman" w:cs="Times New Roman" w:eastAsia="Times New Roman" w:hint="default"/>
                <w:sz w:val="18"/>
                <w:szCs w:val="18"/>
              </w:rPr>
            </w:pPr>
            <w:r>
              <w:rPr>
                <w:rFonts w:ascii="Times New Roman"/>
                <w:sz w:val="18"/>
              </w:rPr>
              <w:t>79,485</w:t>
            </w:r>
          </w:p>
          <w:p>
            <w:pPr>
              <w:pStyle w:val="TableParagraph"/>
              <w:spacing w:line="207" w:lineRule="exact"/>
              <w:ind w:left="323" w:right="0"/>
              <w:jc w:val="left"/>
              <w:rPr>
                <w:rFonts w:ascii="Times New Roman" w:hAnsi="Times New Roman" w:cs="Times New Roman" w:eastAsia="Times New Roman" w:hint="default"/>
                <w:sz w:val="18"/>
                <w:szCs w:val="18"/>
              </w:rPr>
            </w:pPr>
            <w:r>
              <w:rPr>
                <w:rFonts w:ascii="Times New Roman"/>
                <w:sz w:val="18"/>
              </w:rPr>
              <w:t>.68</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43"/>
              <w:ind w:left="86" w:right="0"/>
              <w:jc w:val="left"/>
              <w:rPr>
                <w:rFonts w:ascii="Times New Roman" w:hAnsi="Times New Roman" w:cs="Times New Roman" w:eastAsia="Times New Roman" w:hint="default"/>
                <w:sz w:val="18"/>
                <w:szCs w:val="18"/>
              </w:rPr>
            </w:pPr>
            <w:r>
              <w:rPr>
                <w:rFonts w:ascii="Times New Roman"/>
                <w:sz w:val="18"/>
              </w:rPr>
              <w:t>-113,0</w:t>
            </w:r>
          </w:p>
          <w:p>
            <w:pPr>
              <w:pStyle w:val="TableParagraph"/>
              <w:spacing w:line="206" w:lineRule="exact"/>
              <w:ind w:left="55" w:right="0"/>
              <w:jc w:val="left"/>
              <w:rPr>
                <w:rFonts w:ascii="Times New Roman" w:hAnsi="Times New Roman" w:cs="Times New Roman" w:eastAsia="Times New Roman" w:hint="default"/>
                <w:sz w:val="18"/>
                <w:szCs w:val="18"/>
              </w:rPr>
            </w:pPr>
            <w:r>
              <w:rPr>
                <w:rFonts w:ascii="Times New Roman"/>
                <w:sz w:val="18"/>
              </w:rPr>
              <w:t>06,514</w:t>
            </w:r>
          </w:p>
          <w:p>
            <w:pPr>
              <w:pStyle w:val="TableParagraph"/>
              <w:spacing w:line="207" w:lineRule="exact"/>
              <w:ind w:left="326" w:right="0"/>
              <w:jc w:val="left"/>
              <w:rPr>
                <w:rFonts w:ascii="Times New Roman" w:hAnsi="Times New Roman" w:cs="Times New Roman" w:eastAsia="Times New Roman" w:hint="default"/>
                <w:sz w:val="18"/>
                <w:szCs w:val="18"/>
              </w:rPr>
            </w:pPr>
            <w:r>
              <w:rPr>
                <w:rFonts w:ascii="Times New Roman"/>
                <w:sz w:val="18"/>
              </w:rPr>
              <w:t>.72</w:t>
            </w: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43"/>
              <w:ind w:left="86" w:right="0"/>
              <w:jc w:val="left"/>
              <w:rPr>
                <w:rFonts w:ascii="Times New Roman" w:hAnsi="Times New Roman" w:cs="Times New Roman" w:eastAsia="Times New Roman" w:hint="default"/>
                <w:sz w:val="18"/>
                <w:szCs w:val="18"/>
              </w:rPr>
            </w:pPr>
            <w:r>
              <w:rPr>
                <w:rFonts w:ascii="Times New Roman"/>
                <w:sz w:val="18"/>
              </w:rPr>
              <w:t>-120,4</w:t>
            </w:r>
          </w:p>
          <w:p>
            <w:pPr>
              <w:pStyle w:val="TableParagraph"/>
              <w:spacing w:line="206" w:lineRule="exact"/>
              <w:ind w:left="55" w:right="0"/>
              <w:jc w:val="left"/>
              <w:rPr>
                <w:rFonts w:ascii="Times New Roman" w:hAnsi="Times New Roman" w:cs="Times New Roman" w:eastAsia="Times New Roman" w:hint="default"/>
                <w:sz w:val="18"/>
                <w:szCs w:val="18"/>
              </w:rPr>
            </w:pPr>
            <w:r>
              <w:rPr>
                <w:rFonts w:ascii="Times New Roman"/>
                <w:sz w:val="18"/>
              </w:rPr>
              <w:t>64,744</w:t>
            </w:r>
          </w:p>
          <w:p>
            <w:pPr>
              <w:pStyle w:val="TableParagraph"/>
              <w:spacing w:line="207" w:lineRule="exact"/>
              <w:ind w:left="326" w:right="0"/>
              <w:jc w:val="left"/>
              <w:rPr>
                <w:rFonts w:ascii="Times New Roman" w:hAnsi="Times New Roman" w:cs="Times New Roman" w:eastAsia="Times New Roman" w:hint="default"/>
                <w:sz w:val="18"/>
                <w:szCs w:val="18"/>
              </w:rPr>
            </w:pPr>
            <w:r>
              <w:rPr>
                <w:rFonts w:ascii="Times New Roman"/>
                <w:sz w:val="18"/>
              </w:rPr>
              <w:t>.96</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43"/>
              <w:ind w:left="86" w:right="0"/>
              <w:jc w:val="left"/>
              <w:rPr>
                <w:rFonts w:ascii="Times New Roman" w:hAnsi="Times New Roman" w:cs="Times New Roman" w:eastAsia="Times New Roman" w:hint="default"/>
                <w:sz w:val="18"/>
                <w:szCs w:val="18"/>
              </w:rPr>
            </w:pPr>
            <w:r>
              <w:rPr>
                <w:rFonts w:ascii="Times New Roman"/>
                <w:sz w:val="18"/>
              </w:rPr>
              <w:t>-63,61</w:t>
            </w:r>
          </w:p>
          <w:p>
            <w:pPr>
              <w:pStyle w:val="TableParagraph"/>
              <w:spacing w:line="206" w:lineRule="exact"/>
              <w:ind w:left="100" w:right="0"/>
              <w:jc w:val="left"/>
              <w:rPr>
                <w:rFonts w:ascii="Times New Roman" w:hAnsi="Times New Roman" w:cs="Times New Roman" w:eastAsia="Times New Roman" w:hint="default"/>
                <w:sz w:val="18"/>
                <w:szCs w:val="18"/>
              </w:rPr>
            </w:pPr>
            <w:r>
              <w:rPr>
                <w:rFonts w:ascii="Times New Roman"/>
                <w:sz w:val="18"/>
              </w:rPr>
              <w:t>0,670.</w:t>
            </w:r>
          </w:p>
          <w:p>
            <w:pPr>
              <w:pStyle w:val="TableParagraph"/>
              <w:spacing w:line="207" w:lineRule="exact"/>
              <w:ind w:left="371" w:right="0"/>
              <w:jc w:val="left"/>
              <w:rPr>
                <w:rFonts w:ascii="Times New Roman" w:hAnsi="Times New Roman" w:cs="Times New Roman" w:eastAsia="Times New Roman" w:hint="default"/>
                <w:sz w:val="18"/>
                <w:szCs w:val="18"/>
              </w:rPr>
            </w:pPr>
            <w:r>
              <w:rPr>
                <w:rFonts w:ascii="Times New Roman"/>
                <w:sz w:val="18"/>
              </w:rPr>
              <w:t>54</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07" w:lineRule="exact"/>
              <w:ind w:left="80" w:right="0"/>
              <w:jc w:val="left"/>
              <w:rPr>
                <w:rFonts w:ascii="Times New Roman" w:hAnsi="Times New Roman" w:cs="Times New Roman" w:eastAsia="Times New Roman" w:hint="default"/>
                <w:sz w:val="18"/>
                <w:szCs w:val="18"/>
              </w:rPr>
            </w:pPr>
            <w:r>
              <w:rPr>
                <w:rFonts w:ascii="Times New Roman"/>
                <w:sz w:val="18"/>
              </w:rPr>
              <w:t>-184,0</w:t>
            </w:r>
          </w:p>
          <w:p>
            <w:pPr>
              <w:pStyle w:val="TableParagraph"/>
              <w:spacing w:line="206" w:lineRule="exact"/>
              <w:ind w:left="49" w:right="0"/>
              <w:jc w:val="left"/>
              <w:rPr>
                <w:rFonts w:ascii="Times New Roman" w:hAnsi="Times New Roman" w:cs="Times New Roman" w:eastAsia="Times New Roman" w:hint="default"/>
                <w:sz w:val="18"/>
                <w:szCs w:val="18"/>
              </w:rPr>
            </w:pPr>
            <w:r>
              <w:rPr>
                <w:rFonts w:ascii="Times New Roman"/>
                <w:sz w:val="18"/>
              </w:rPr>
              <w:t>75,415</w:t>
            </w:r>
          </w:p>
          <w:p>
            <w:pPr>
              <w:pStyle w:val="TableParagraph"/>
              <w:spacing w:line="207" w:lineRule="exact"/>
              <w:ind w:left="320" w:right="0"/>
              <w:jc w:val="left"/>
              <w:rPr>
                <w:rFonts w:ascii="Times New Roman" w:hAnsi="Times New Roman" w:cs="Times New Roman" w:eastAsia="Times New Roman" w:hint="default"/>
                <w:sz w:val="18"/>
                <w:szCs w:val="18"/>
              </w:rPr>
            </w:pPr>
            <w:r>
              <w:rPr>
                <w:rFonts w:ascii="Times New Roman"/>
                <w:sz w:val="18"/>
              </w:rPr>
              <w:t>.50</w:t>
            </w:r>
          </w:p>
        </w:tc>
      </w:tr>
      <w:tr>
        <w:trPr>
          <w:trHeight w:val="918"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9"/>
                <w:sz w:val="18"/>
                <w:szCs w:val="18"/>
              </w:rPr>
              <w:t>（三）利润分配</w:t>
            </w:r>
          </w:p>
        </w:tc>
        <w:tc>
          <w:tcPr>
            <w:tcW w:w="493"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7"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42"/>
              <w:ind w:right="20"/>
              <w:jc w:val="right"/>
              <w:rPr>
                <w:rFonts w:ascii="Times New Roman" w:hAnsi="Times New Roman" w:cs="Times New Roman" w:eastAsia="Times New Roman" w:hint="default"/>
                <w:sz w:val="18"/>
                <w:szCs w:val="18"/>
              </w:rPr>
            </w:pPr>
            <w:r>
              <w:rPr>
                <w:rFonts w:ascii="Times New Roman"/>
                <w:spacing w:val="-1"/>
                <w:sz w:val="18"/>
              </w:rPr>
              <w:t>53,665</w:t>
            </w:r>
          </w:p>
          <w:p>
            <w:pPr>
              <w:pStyle w:val="TableParagraph"/>
              <w:spacing w:line="206" w:lineRule="exact"/>
              <w:ind w:right="20"/>
              <w:jc w:val="right"/>
              <w:rPr>
                <w:rFonts w:ascii="Times New Roman" w:hAnsi="Times New Roman" w:cs="Times New Roman" w:eastAsia="Times New Roman" w:hint="default"/>
                <w:sz w:val="18"/>
                <w:szCs w:val="18"/>
              </w:rPr>
            </w:pPr>
            <w:r>
              <w:rPr>
                <w:rFonts w:ascii="Times New Roman"/>
                <w:spacing w:val="-1"/>
                <w:sz w:val="18"/>
              </w:rPr>
              <w:t>,918.9</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3</w:t>
            </w: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42"/>
              <w:ind w:left="85" w:right="0"/>
              <w:jc w:val="left"/>
              <w:rPr>
                <w:rFonts w:ascii="Times New Roman" w:hAnsi="Times New Roman" w:cs="Times New Roman" w:eastAsia="Times New Roman" w:hint="default"/>
                <w:sz w:val="18"/>
                <w:szCs w:val="18"/>
              </w:rPr>
            </w:pPr>
            <w:r>
              <w:rPr>
                <w:rFonts w:ascii="Times New Roman"/>
                <w:sz w:val="18"/>
              </w:rPr>
              <w:t>-342,7</w:t>
            </w:r>
          </w:p>
          <w:p>
            <w:pPr>
              <w:pStyle w:val="TableParagraph"/>
              <w:spacing w:line="206" w:lineRule="exact"/>
              <w:ind w:left="57" w:right="0"/>
              <w:jc w:val="left"/>
              <w:rPr>
                <w:rFonts w:ascii="Times New Roman" w:hAnsi="Times New Roman" w:cs="Times New Roman" w:eastAsia="Times New Roman" w:hint="default"/>
                <w:sz w:val="18"/>
                <w:szCs w:val="18"/>
              </w:rPr>
            </w:pPr>
            <w:r>
              <w:rPr>
                <w:rFonts w:ascii="Times New Roman"/>
                <w:sz w:val="18"/>
              </w:rPr>
              <w:t>45,193</w:t>
            </w:r>
          </w:p>
          <w:p>
            <w:pPr>
              <w:pStyle w:val="TableParagraph"/>
              <w:spacing w:line="207" w:lineRule="exact"/>
              <w:ind w:left="325" w:right="0"/>
              <w:jc w:val="left"/>
              <w:rPr>
                <w:rFonts w:ascii="Times New Roman" w:hAnsi="Times New Roman" w:cs="Times New Roman" w:eastAsia="Times New Roman" w:hint="default"/>
                <w:sz w:val="18"/>
                <w:szCs w:val="18"/>
              </w:rPr>
            </w:pPr>
            <w:r>
              <w:rPr>
                <w:rFonts w:ascii="Times New Roman"/>
                <w:sz w:val="18"/>
              </w:rPr>
              <w:t>.05</w:t>
            </w: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42"/>
              <w:ind w:left="86" w:right="0"/>
              <w:jc w:val="left"/>
              <w:rPr>
                <w:rFonts w:ascii="Times New Roman" w:hAnsi="Times New Roman" w:cs="Times New Roman" w:eastAsia="Times New Roman" w:hint="default"/>
                <w:sz w:val="18"/>
                <w:szCs w:val="18"/>
              </w:rPr>
            </w:pPr>
            <w:r>
              <w:rPr>
                <w:rFonts w:ascii="Times New Roman"/>
                <w:sz w:val="18"/>
              </w:rPr>
              <w:t>-289,0</w:t>
            </w:r>
          </w:p>
          <w:p>
            <w:pPr>
              <w:pStyle w:val="TableParagraph"/>
              <w:spacing w:line="206" w:lineRule="exact"/>
              <w:ind w:left="55" w:right="0"/>
              <w:jc w:val="left"/>
              <w:rPr>
                <w:rFonts w:ascii="Times New Roman" w:hAnsi="Times New Roman" w:cs="Times New Roman" w:eastAsia="Times New Roman" w:hint="default"/>
                <w:sz w:val="18"/>
                <w:szCs w:val="18"/>
              </w:rPr>
            </w:pPr>
            <w:r>
              <w:rPr>
                <w:rFonts w:ascii="Times New Roman"/>
                <w:sz w:val="18"/>
              </w:rPr>
              <w:t>79,274</w:t>
            </w:r>
          </w:p>
          <w:p>
            <w:pPr>
              <w:pStyle w:val="TableParagraph"/>
              <w:spacing w:line="207" w:lineRule="exact"/>
              <w:ind w:left="326" w:right="0"/>
              <w:jc w:val="left"/>
              <w:rPr>
                <w:rFonts w:ascii="Times New Roman" w:hAnsi="Times New Roman" w:cs="Times New Roman" w:eastAsia="Times New Roman" w:hint="default"/>
                <w:sz w:val="18"/>
                <w:szCs w:val="18"/>
              </w:rPr>
            </w:pPr>
            <w:r>
              <w:rPr>
                <w:rFonts w:ascii="Times New Roman"/>
                <w:sz w:val="18"/>
              </w:rPr>
              <w:t>.12</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42"/>
              <w:ind w:left="86" w:right="0"/>
              <w:jc w:val="left"/>
              <w:rPr>
                <w:rFonts w:ascii="Times New Roman" w:hAnsi="Times New Roman" w:cs="Times New Roman" w:eastAsia="Times New Roman" w:hint="default"/>
                <w:sz w:val="18"/>
                <w:szCs w:val="18"/>
              </w:rPr>
            </w:pPr>
            <w:r>
              <w:rPr>
                <w:rFonts w:ascii="Times New Roman"/>
                <w:sz w:val="18"/>
              </w:rPr>
              <w:t>-46,76</w:t>
            </w:r>
          </w:p>
          <w:p>
            <w:pPr>
              <w:pStyle w:val="TableParagraph"/>
              <w:spacing w:line="206" w:lineRule="exact"/>
              <w:ind w:left="100" w:right="0"/>
              <w:jc w:val="left"/>
              <w:rPr>
                <w:rFonts w:ascii="Times New Roman" w:hAnsi="Times New Roman" w:cs="Times New Roman" w:eastAsia="Times New Roman" w:hint="default"/>
                <w:sz w:val="18"/>
                <w:szCs w:val="18"/>
              </w:rPr>
            </w:pPr>
            <w:r>
              <w:rPr>
                <w:rFonts w:ascii="Times New Roman"/>
                <w:sz w:val="18"/>
              </w:rPr>
              <w:t>2,821.</w:t>
            </w:r>
          </w:p>
          <w:p>
            <w:pPr>
              <w:pStyle w:val="TableParagraph"/>
              <w:spacing w:line="207" w:lineRule="exact"/>
              <w:ind w:left="371" w:right="0"/>
              <w:jc w:val="left"/>
              <w:rPr>
                <w:rFonts w:ascii="Times New Roman" w:hAnsi="Times New Roman" w:cs="Times New Roman" w:eastAsia="Times New Roman" w:hint="default"/>
                <w:sz w:val="18"/>
                <w:szCs w:val="18"/>
              </w:rPr>
            </w:pPr>
            <w:r>
              <w:rPr>
                <w:rFonts w:ascii="Times New Roman"/>
                <w:sz w:val="18"/>
              </w:rPr>
              <w:t>21</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-335,8</w:t>
            </w:r>
          </w:p>
          <w:p>
            <w:pPr>
              <w:pStyle w:val="TableParagraph"/>
              <w:spacing w:line="207" w:lineRule="exact" w:before="2"/>
              <w:ind w:left="49" w:right="0"/>
              <w:jc w:val="left"/>
              <w:rPr>
                <w:rFonts w:ascii="Times New Roman" w:hAnsi="Times New Roman" w:cs="Times New Roman" w:eastAsia="Times New Roman" w:hint="default"/>
                <w:sz w:val="18"/>
                <w:szCs w:val="18"/>
              </w:rPr>
            </w:pPr>
            <w:r>
              <w:rPr>
                <w:rFonts w:ascii="Times New Roman"/>
                <w:sz w:val="18"/>
              </w:rPr>
              <w:t>42,095</w:t>
            </w:r>
          </w:p>
          <w:p>
            <w:pPr>
              <w:pStyle w:val="TableParagraph"/>
              <w:spacing w:line="207" w:lineRule="exact"/>
              <w:ind w:left="320" w:right="0"/>
              <w:jc w:val="left"/>
              <w:rPr>
                <w:rFonts w:ascii="Times New Roman" w:hAnsi="Times New Roman" w:cs="Times New Roman" w:eastAsia="Times New Roman" w:hint="default"/>
                <w:sz w:val="18"/>
                <w:szCs w:val="18"/>
              </w:rPr>
            </w:pPr>
            <w:r>
              <w:rPr>
                <w:rFonts w:ascii="Times New Roman"/>
                <w:sz w:val="18"/>
              </w:rPr>
              <w:t>.33</w:t>
            </w:r>
          </w:p>
        </w:tc>
      </w:tr>
      <w:tr>
        <w:trPr>
          <w:trHeight w:val="711"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111"/>
              <w:ind w:left="22" w:right="48"/>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493"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7"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before="40"/>
              <w:ind w:right="20"/>
              <w:jc w:val="right"/>
              <w:rPr>
                <w:rFonts w:ascii="Times New Roman" w:hAnsi="Times New Roman" w:cs="Times New Roman" w:eastAsia="Times New Roman" w:hint="default"/>
                <w:sz w:val="18"/>
                <w:szCs w:val="18"/>
              </w:rPr>
            </w:pPr>
            <w:r>
              <w:rPr>
                <w:rFonts w:ascii="Times New Roman"/>
                <w:spacing w:val="-1"/>
                <w:sz w:val="18"/>
              </w:rPr>
              <w:t>53,665</w:t>
            </w:r>
          </w:p>
          <w:p>
            <w:pPr>
              <w:pStyle w:val="TableParagraph"/>
              <w:spacing w:line="205" w:lineRule="exact"/>
              <w:ind w:right="20"/>
              <w:jc w:val="right"/>
              <w:rPr>
                <w:rFonts w:ascii="Times New Roman" w:hAnsi="Times New Roman" w:cs="Times New Roman" w:eastAsia="Times New Roman" w:hint="default"/>
                <w:sz w:val="18"/>
                <w:szCs w:val="18"/>
              </w:rPr>
            </w:pPr>
            <w:r>
              <w:rPr>
                <w:rFonts w:ascii="Times New Roman"/>
                <w:spacing w:val="-1"/>
                <w:sz w:val="18"/>
              </w:rPr>
              <w:t>,918.9</w:t>
            </w:r>
          </w:p>
          <w:p>
            <w:pPr>
              <w:pStyle w:val="TableParagraph"/>
              <w:spacing w:line="240" w:lineRule="auto" w:before="2"/>
              <w:ind w:right="20"/>
              <w:jc w:val="right"/>
              <w:rPr>
                <w:rFonts w:ascii="Times New Roman" w:hAnsi="Times New Roman" w:cs="Times New Roman" w:eastAsia="Times New Roman" w:hint="default"/>
                <w:sz w:val="18"/>
                <w:szCs w:val="18"/>
              </w:rPr>
            </w:pPr>
            <w:r>
              <w:rPr>
                <w:rFonts w:ascii="Times New Roman"/>
                <w:sz w:val="18"/>
              </w:rPr>
              <w:t>3</w:t>
            </w: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before="40"/>
              <w:ind w:left="85" w:right="0"/>
              <w:jc w:val="left"/>
              <w:rPr>
                <w:rFonts w:ascii="Times New Roman" w:hAnsi="Times New Roman" w:cs="Times New Roman" w:eastAsia="Times New Roman" w:hint="default"/>
                <w:sz w:val="18"/>
                <w:szCs w:val="18"/>
              </w:rPr>
            </w:pPr>
            <w:r>
              <w:rPr>
                <w:rFonts w:ascii="Times New Roman"/>
                <w:sz w:val="18"/>
              </w:rPr>
              <w:t>-53,66</w:t>
            </w:r>
          </w:p>
          <w:p>
            <w:pPr>
              <w:pStyle w:val="TableParagraph"/>
              <w:spacing w:line="205" w:lineRule="exact"/>
              <w:ind w:left="100" w:right="0"/>
              <w:jc w:val="left"/>
              <w:rPr>
                <w:rFonts w:ascii="Times New Roman" w:hAnsi="Times New Roman" w:cs="Times New Roman" w:eastAsia="Times New Roman" w:hint="default"/>
                <w:sz w:val="18"/>
                <w:szCs w:val="18"/>
              </w:rPr>
            </w:pPr>
            <w:r>
              <w:rPr>
                <w:rFonts w:ascii="Times New Roman"/>
                <w:sz w:val="18"/>
              </w:rPr>
              <w:t>5,918.</w:t>
            </w:r>
          </w:p>
          <w:p>
            <w:pPr>
              <w:pStyle w:val="TableParagraph"/>
              <w:spacing w:line="240" w:lineRule="auto" w:before="2"/>
              <w:ind w:left="371" w:right="0"/>
              <w:jc w:val="left"/>
              <w:rPr>
                <w:rFonts w:ascii="Times New Roman" w:hAnsi="Times New Roman" w:cs="Times New Roman" w:eastAsia="Times New Roman" w:hint="default"/>
                <w:sz w:val="18"/>
                <w:szCs w:val="18"/>
              </w:rPr>
            </w:pPr>
            <w:r>
              <w:rPr>
                <w:rFonts w:ascii="Times New Roman"/>
                <w:sz w:val="18"/>
              </w:rPr>
              <w:t>93</w:t>
            </w: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6"/>
              <w:ind w:left="22" w:right="48"/>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 险准备</w:t>
            </w:r>
          </w:p>
        </w:tc>
        <w:tc>
          <w:tcPr>
            <w:tcW w:w="493"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7"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110"/>
              <w:ind w:left="22" w:right="21"/>
              <w:jc w:val="left"/>
              <w:rPr>
                <w:rFonts w:ascii="宋体" w:hAnsi="宋体" w:cs="宋体" w:eastAsia="宋体" w:hint="default"/>
                <w:sz w:val="18"/>
                <w:szCs w:val="18"/>
              </w:rPr>
            </w:pPr>
            <w:r>
              <w:rPr>
                <w:rFonts w:ascii="Times New Roman" w:hAnsi="Times New Roman" w:cs="Times New Roman" w:eastAsia="Times New Roman" w:hint="default"/>
                <w:spacing w:val="-20"/>
                <w:sz w:val="18"/>
                <w:szCs w:val="18"/>
              </w:rPr>
              <w:t>3</w:t>
            </w:r>
            <w:r>
              <w:rPr>
                <w:rFonts w:ascii="宋体" w:hAnsi="宋体" w:cs="宋体" w:eastAsia="宋体" w:hint="default"/>
                <w:spacing w:val="-20"/>
                <w:sz w:val="18"/>
                <w:szCs w:val="18"/>
              </w:rPr>
              <w:t>．对所有者（或</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股东）的分配</w:t>
            </w:r>
          </w:p>
        </w:tc>
        <w:tc>
          <w:tcPr>
            <w:tcW w:w="493"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7"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9"/>
              <w:ind w:left="85" w:right="0"/>
              <w:jc w:val="left"/>
              <w:rPr>
                <w:rFonts w:ascii="Times New Roman" w:hAnsi="Times New Roman" w:cs="Times New Roman" w:eastAsia="Times New Roman" w:hint="default"/>
                <w:sz w:val="18"/>
                <w:szCs w:val="18"/>
              </w:rPr>
            </w:pPr>
            <w:r>
              <w:rPr>
                <w:rFonts w:ascii="Times New Roman"/>
                <w:sz w:val="18"/>
              </w:rPr>
              <w:t>-289,0</w:t>
            </w:r>
          </w:p>
          <w:p>
            <w:pPr>
              <w:pStyle w:val="TableParagraph"/>
              <w:spacing w:line="206" w:lineRule="exact"/>
              <w:ind w:left="57" w:right="0"/>
              <w:jc w:val="left"/>
              <w:rPr>
                <w:rFonts w:ascii="Times New Roman" w:hAnsi="Times New Roman" w:cs="Times New Roman" w:eastAsia="Times New Roman" w:hint="default"/>
                <w:sz w:val="18"/>
                <w:szCs w:val="18"/>
              </w:rPr>
            </w:pPr>
            <w:r>
              <w:rPr>
                <w:rFonts w:ascii="Times New Roman"/>
                <w:sz w:val="18"/>
              </w:rPr>
              <w:t>79,274</w:t>
            </w:r>
          </w:p>
          <w:p>
            <w:pPr>
              <w:pStyle w:val="TableParagraph"/>
              <w:spacing w:line="207" w:lineRule="exact"/>
              <w:ind w:left="325" w:right="0"/>
              <w:jc w:val="left"/>
              <w:rPr>
                <w:rFonts w:ascii="Times New Roman" w:hAnsi="Times New Roman" w:cs="Times New Roman" w:eastAsia="Times New Roman" w:hint="default"/>
                <w:sz w:val="18"/>
                <w:szCs w:val="18"/>
              </w:rPr>
            </w:pPr>
            <w:r>
              <w:rPr>
                <w:rFonts w:ascii="Times New Roman"/>
                <w:sz w:val="18"/>
              </w:rPr>
              <w:t>.12</w:t>
            </w: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9"/>
              <w:ind w:left="86" w:right="0"/>
              <w:jc w:val="left"/>
              <w:rPr>
                <w:rFonts w:ascii="Times New Roman" w:hAnsi="Times New Roman" w:cs="Times New Roman" w:eastAsia="Times New Roman" w:hint="default"/>
                <w:sz w:val="18"/>
                <w:szCs w:val="18"/>
              </w:rPr>
            </w:pPr>
            <w:r>
              <w:rPr>
                <w:rFonts w:ascii="Times New Roman"/>
                <w:sz w:val="18"/>
              </w:rPr>
              <w:t>-289,0</w:t>
            </w:r>
          </w:p>
          <w:p>
            <w:pPr>
              <w:pStyle w:val="TableParagraph"/>
              <w:spacing w:line="206" w:lineRule="exact"/>
              <w:ind w:left="55" w:right="0"/>
              <w:jc w:val="left"/>
              <w:rPr>
                <w:rFonts w:ascii="Times New Roman" w:hAnsi="Times New Roman" w:cs="Times New Roman" w:eastAsia="Times New Roman" w:hint="default"/>
                <w:sz w:val="18"/>
                <w:szCs w:val="18"/>
              </w:rPr>
            </w:pPr>
            <w:r>
              <w:rPr>
                <w:rFonts w:ascii="Times New Roman"/>
                <w:sz w:val="18"/>
              </w:rPr>
              <w:t>79,274</w:t>
            </w:r>
          </w:p>
          <w:p>
            <w:pPr>
              <w:pStyle w:val="TableParagraph"/>
              <w:spacing w:line="207" w:lineRule="exact"/>
              <w:ind w:left="326" w:right="0"/>
              <w:jc w:val="left"/>
              <w:rPr>
                <w:rFonts w:ascii="Times New Roman" w:hAnsi="Times New Roman" w:cs="Times New Roman" w:eastAsia="Times New Roman" w:hint="default"/>
                <w:sz w:val="18"/>
                <w:szCs w:val="18"/>
              </w:rPr>
            </w:pPr>
            <w:r>
              <w:rPr>
                <w:rFonts w:ascii="Times New Roman"/>
                <w:sz w:val="18"/>
              </w:rPr>
              <w:t>.12</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9"/>
              <w:ind w:left="86" w:right="0"/>
              <w:jc w:val="left"/>
              <w:rPr>
                <w:rFonts w:ascii="Times New Roman" w:hAnsi="Times New Roman" w:cs="Times New Roman" w:eastAsia="Times New Roman" w:hint="default"/>
                <w:sz w:val="18"/>
                <w:szCs w:val="18"/>
              </w:rPr>
            </w:pPr>
            <w:r>
              <w:rPr>
                <w:rFonts w:ascii="Times New Roman"/>
                <w:sz w:val="18"/>
              </w:rPr>
              <w:t>-46,76</w:t>
            </w:r>
          </w:p>
          <w:p>
            <w:pPr>
              <w:pStyle w:val="TableParagraph"/>
              <w:spacing w:line="206" w:lineRule="exact"/>
              <w:ind w:left="100" w:right="0"/>
              <w:jc w:val="left"/>
              <w:rPr>
                <w:rFonts w:ascii="Times New Roman" w:hAnsi="Times New Roman" w:cs="Times New Roman" w:eastAsia="Times New Roman" w:hint="default"/>
                <w:sz w:val="18"/>
                <w:szCs w:val="18"/>
              </w:rPr>
            </w:pPr>
            <w:r>
              <w:rPr>
                <w:rFonts w:ascii="Times New Roman"/>
                <w:sz w:val="18"/>
              </w:rPr>
              <w:t>2,821.</w:t>
            </w:r>
          </w:p>
          <w:p>
            <w:pPr>
              <w:pStyle w:val="TableParagraph"/>
              <w:spacing w:line="207" w:lineRule="exact"/>
              <w:ind w:left="371" w:right="0"/>
              <w:jc w:val="left"/>
              <w:rPr>
                <w:rFonts w:ascii="Times New Roman" w:hAnsi="Times New Roman" w:cs="Times New Roman" w:eastAsia="Times New Roman" w:hint="default"/>
                <w:sz w:val="18"/>
                <w:szCs w:val="18"/>
              </w:rPr>
            </w:pPr>
            <w:r>
              <w:rPr>
                <w:rFonts w:ascii="Times New Roman"/>
                <w:sz w:val="18"/>
              </w:rPr>
              <w:t>21</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9"/>
              <w:ind w:left="80" w:right="0"/>
              <w:jc w:val="left"/>
              <w:rPr>
                <w:rFonts w:ascii="Times New Roman" w:hAnsi="Times New Roman" w:cs="Times New Roman" w:eastAsia="Times New Roman" w:hint="default"/>
                <w:sz w:val="18"/>
                <w:szCs w:val="18"/>
              </w:rPr>
            </w:pPr>
            <w:r>
              <w:rPr>
                <w:rFonts w:ascii="Times New Roman"/>
                <w:sz w:val="18"/>
              </w:rPr>
              <w:t>-335,8</w:t>
            </w:r>
          </w:p>
          <w:p>
            <w:pPr>
              <w:pStyle w:val="TableParagraph"/>
              <w:spacing w:line="206" w:lineRule="exact"/>
              <w:ind w:left="49" w:right="0"/>
              <w:jc w:val="left"/>
              <w:rPr>
                <w:rFonts w:ascii="Times New Roman" w:hAnsi="Times New Roman" w:cs="Times New Roman" w:eastAsia="Times New Roman" w:hint="default"/>
                <w:sz w:val="18"/>
                <w:szCs w:val="18"/>
              </w:rPr>
            </w:pPr>
            <w:r>
              <w:rPr>
                <w:rFonts w:ascii="Times New Roman"/>
                <w:sz w:val="18"/>
              </w:rPr>
              <w:t>42,095</w:t>
            </w:r>
          </w:p>
          <w:p>
            <w:pPr>
              <w:pStyle w:val="TableParagraph"/>
              <w:spacing w:line="207" w:lineRule="exact"/>
              <w:ind w:left="320" w:right="0"/>
              <w:jc w:val="left"/>
              <w:rPr>
                <w:rFonts w:ascii="Times New Roman" w:hAnsi="Times New Roman" w:cs="Times New Roman" w:eastAsia="Times New Roman" w:hint="default"/>
                <w:sz w:val="18"/>
                <w:szCs w:val="18"/>
              </w:rPr>
            </w:pPr>
            <w:r>
              <w:rPr>
                <w:rFonts w:ascii="Times New Roman"/>
                <w:sz w:val="18"/>
              </w:rPr>
              <w:t>.33</w:t>
            </w:r>
          </w:p>
        </w:tc>
      </w:tr>
      <w:tr>
        <w:trPr>
          <w:trHeight w:val="323"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3"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7"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7"/>
              <w:ind w:left="22" w:right="21"/>
              <w:jc w:val="left"/>
              <w:rPr>
                <w:rFonts w:ascii="宋体" w:hAnsi="宋体" w:cs="宋体" w:eastAsia="宋体" w:hint="default"/>
                <w:sz w:val="18"/>
                <w:szCs w:val="18"/>
              </w:rPr>
            </w:pPr>
            <w:r>
              <w:rPr>
                <w:rFonts w:ascii="宋体" w:hAnsi="宋体" w:cs="宋体" w:eastAsia="宋体" w:hint="default"/>
                <w:spacing w:val="-9"/>
                <w:sz w:val="18"/>
                <w:szCs w:val="18"/>
              </w:rPr>
              <w:t>（四）所有者权</w:t>
            </w:r>
            <w:r>
              <w:rPr>
                <w:rFonts w:ascii="宋体" w:hAnsi="宋体" w:cs="宋体" w:eastAsia="宋体" w:hint="default"/>
                <w:sz w:val="18"/>
                <w:szCs w:val="18"/>
              </w:rPr>
              <w:t> 益内部结转</w:t>
            </w:r>
          </w:p>
        </w:tc>
        <w:tc>
          <w:tcPr>
            <w:tcW w:w="493"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7"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12" w:footer="1264" w:top="980" w:bottom="1460" w:left="1680" w:right="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9"/>
          <w:szCs w:val="19"/>
        </w:rPr>
      </w:pPr>
    </w:p>
    <w:tbl>
      <w:tblPr>
        <w:tblW w:w="0" w:type="auto"/>
        <w:jc w:val="left"/>
        <w:tblInd w:w="112" w:type="dxa"/>
        <w:tblLayout w:type="fixed"/>
        <w:tblCellMar>
          <w:top w:w="0" w:type="dxa"/>
          <w:left w:w="0" w:type="dxa"/>
          <w:bottom w:w="0" w:type="dxa"/>
          <w:right w:w="0" w:type="dxa"/>
        </w:tblCellMar>
        <w:tblLook w:val="01E0"/>
      </w:tblPr>
      <w:tblGrid>
        <w:gridCol w:w="1253"/>
        <w:gridCol w:w="493"/>
        <w:gridCol w:w="466"/>
        <w:gridCol w:w="467"/>
        <w:gridCol w:w="468"/>
        <w:gridCol w:w="583"/>
        <w:gridCol w:w="584"/>
        <w:gridCol w:w="584"/>
        <w:gridCol w:w="584"/>
        <w:gridCol w:w="583"/>
        <w:gridCol w:w="584"/>
        <w:gridCol w:w="584"/>
        <w:gridCol w:w="584"/>
        <w:gridCol w:w="584"/>
        <w:gridCol w:w="584"/>
        <w:gridCol w:w="578"/>
      </w:tblGrid>
      <w:tr>
        <w:trPr>
          <w:trHeight w:val="790"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6"/>
              <w:ind w:left="22" w:right="48"/>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493"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7"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253"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w:t>
            </w:r>
          </w:p>
        </w:tc>
        <w:tc>
          <w:tcPr>
            <w:tcW w:w="493" w:type="dxa"/>
            <w:vMerge w:val="restart"/>
            <w:tcBorders>
              <w:top w:val="single" w:sz="4" w:space="0" w:color="000000"/>
              <w:left w:val="single" w:sz="4" w:space="0" w:color="000000"/>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67" w:type="dxa"/>
            <w:vMerge w:val="restart"/>
            <w:tcBorders>
              <w:top w:val="single" w:sz="4" w:space="0" w:color="000000"/>
              <w:left w:val="single" w:sz="4" w:space="0" w:color="000000"/>
              <w:right w:val="single" w:sz="4" w:space="0" w:color="000000"/>
            </w:tcBorders>
          </w:tcPr>
          <w:p>
            <w:pPr/>
          </w:p>
        </w:tc>
        <w:tc>
          <w:tcPr>
            <w:tcW w:w="468"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4" w:type="dxa"/>
            <w:vMerge w:val="restart"/>
            <w:tcBorders>
              <w:top w:val="single" w:sz="4" w:space="0" w:color="000000"/>
              <w:left w:val="single" w:sz="4" w:space="0" w:color="000000"/>
              <w:right w:val="single" w:sz="4" w:space="0" w:color="000000"/>
            </w:tcBorders>
          </w:tcPr>
          <w:p>
            <w:pPr/>
          </w:p>
        </w:tc>
        <w:tc>
          <w:tcPr>
            <w:tcW w:w="584" w:type="dxa"/>
            <w:vMerge w:val="restart"/>
            <w:tcBorders>
              <w:top w:val="single" w:sz="4" w:space="0" w:color="000000"/>
              <w:left w:val="single" w:sz="4" w:space="0" w:color="000000"/>
              <w:right w:val="single" w:sz="4" w:space="0" w:color="000000"/>
            </w:tcBorders>
          </w:tcPr>
          <w:p>
            <w:pPr/>
          </w:p>
        </w:tc>
        <w:tc>
          <w:tcPr>
            <w:tcW w:w="584"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4" w:type="dxa"/>
            <w:vMerge w:val="restart"/>
            <w:tcBorders>
              <w:top w:val="single" w:sz="4" w:space="0" w:color="000000"/>
              <w:left w:val="single" w:sz="4" w:space="0" w:color="000000"/>
              <w:right w:val="single" w:sz="4" w:space="0" w:color="000000"/>
            </w:tcBorders>
          </w:tcPr>
          <w:p>
            <w:pPr/>
          </w:p>
        </w:tc>
        <w:tc>
          <w:tcPr>
            <w:tcW w:w="584" w:type="dxa"/>
            <w:vMerge w:val="restart"/>
            <w:tcBorders>
              <w:top w:val="single" w:sz="4" w:space="0" w:color="000000"/>
              <w:left w:val="single" w:sz="4" w:space="0" w:color="000000"/>
              <w:right w:val="single" w:sz="4" w:space="0" w:color="000000"/>
            </w:tcBorders>
          </w:tcPr>
          <w:p>
            <w:pPr/>
          </w:p>
        </w:tc>
        <w:tc>
          <w:tcPr>
            <w:tcW w:w="584" w:type="dxa"/>
            <w:vMerge w:val="restart"/>
            <w:tcBorders>
              <w:top w:val="single" w:sz="4" w:space="0" w:color="000000"/>
              <w:left w:val="single" w:sz="4" w:space="0" w:color="000000"/>
              <w:right w:val="single" w:sz="4" w:space="0" w:color="000000"/>
            </w:tcBorders>
          </w:tcPr>
          <w:p>
            <w:pPr/>
          </w:p>
        </w:tc>
        <w:tc>
          <w:tcPr>
            <w:tcW w:w="584" w:type="dxa"/>
            <w:vMerge w:val="restart"/>
            <w:tcBorders>
              <w:top w:val="single" w:sz="4" w:space="0" w:color="000000"/>
              <w:left w:val="single" w:sz="4" w:space="0" w:color="000000"/>
              <w:right w:val="single" w:sz="4" w:space="0" w:color="000000"/>
            </w:tcBorders>
          </w:tcPr>
          <w:p>
            <w:pPr/>
          </w:p>
        </w:tc>
        <w:tc>
          <w:tcPr>
            <w:tcW w:w="584" w:type="dxa"/>
            <w:vMerge w:val="restart"/>
            <w:tcBorders>
              <w:top w:val="single" w:sz="4" w:space="0" w:color="000000"/>
              <w:left w:val="single" w:sz="4" w:space="0" w:color="000000"/>
              <w:right w:val="single" w:sz="4" w:space="0" w:color="000000"/>
            </w:tcBorders>
          </w:tcPr>
          <w:p>
            <w:pPr/>
          </w:p>
        </w:tc>
        <w:tc>
          <w:tcPr>
            <w:tcW w:w="578" w:type="dxa"/>
            <w:vMerge w:val="restart"/>
            <w:tcBorders>
              <w:top w:val="single" w:sz="4" w:space="0" w:color="000000"/>
              <w:left w:val="single" w:sz="4" w:space="0" w:color="000000"/>
              <w:right w:val="single" w:sz="4" w:space="0" w:color="000000"/>
            </w:tcBorders>
          </w:tcPr>
          <w:p>
            <w:pPr/>
          </w:p>
        </w:tc>
      </w:tr>
      <w:tr>
        <w:trPr>
          <w:trHeight w:val="229" w:hRule="exact"/>
        </w:trPr>
        <w:tc>
          <w:tcPr>
            <w:tcW w:w="12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01" w:lineRule="exact"/>
              <w:ind w:left="22" w:right="0"/>
              <w:jc w:val="left"/>
              <w:rPr>
                <w:rFonts w:ascii="宋体" w:hAnsi="宋体" w:cs="宋体" w:eastAsia="宋体" w:hint="default"/>
                <w:sz w:val="18"/>
                <w:szCs w:val="18"/>
              </w:rPr>
            </w:pPr>
            <w:r>
              <w:rPr>
                <w:rFonts w:ascii="宋体" w:hAnsi="宋体" w:cs="宋体" w:eastAsia="宋体" w:hint="default"/>
                <w:sz w:val="18"/>
                <w:szCs w:val="18"/>
              </w:rPr>
              <w:t>增资本（或股</w:t>
            </w:r>
          </w:p>
        </w:tc>
        <w:tc>
          <w:tcPr>
            <w:tcW w:w="493" w:type="dxa"/>
            <w:vMerge/>
            <w:tcBorders>
              <w:left w:val="single" w:sz="4" w:space="0" w:color="000000"/>
              <w:right w:val="single" w:sz="4" w:space="0" w:color="000000"/>
            </w:tcBorders>
          </w:tcPr>
          <w:p>
            <w:pPr/>
          </w:p>
        </w:tc>
        <w:tc>
          <w:tcPr>
            <w:tcW w:w="466" w:type="dxa"/>
            <w:vMerge/>
            <w:tcBorders>
              <w:left w:val="single" w:sz="4" w:space="0" w:color="000000"/>
              <w:right w:val="single" w:sz="4" w:space="0" w:color="000000"/>
            </w:tcBorders>
          </w:tcPr>
          <w:p>
            <w:pPr/>
          </w:p>
        </w:tc>
        <w:tc>
          <w:tcPr>
            <w:tcW w:w="467" w:type="dxa"/>
            <w:vMerge/>
            <w:tcBorders>
              <w:left w:val="single" w:sz="4" w:space="0" w:color="000000"/>
              <w:right w:val="single" w:sz="4" w:space="0" w:color="000000"/>
            </w:tcBorders>
          </w:tcPr>
          <w:p>
            <w:pPr/>
          </w:p>
        </w:tc>
        <w:tc>
          <w:tcPr>
            <w:tcW w:w="468"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r>
      <w:tr>
        <w:trPr>
          <w:trHeight w:val="279" w:hRule="exact"/>
        </w:trPr>
        <w:tc>
          <w:tcPr>
            <w:tcW w:w="1253"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08" w:lineRule="exact"/>
              <w:ind w:left="22" w:right="0"/>
              <w:jc w:val="left"/>
              <w:rPr>
                <w:rFonts w:ascii="宋体" w:hAnsi="宋体" w:cs="宋体" w:eastAsia="宋体" w:hint="default"/>
                <w:sz w:val="18"/>
                <w:szCs w:val="18"/>
              </w:rPr>
            </w:pPr>
            <w:r>
              <w:rPr>
                <w:rFonts w:ascii="宋体" w:hAnsi="宋体" w:cs="宋体" w:eastAsia="宋体" w:hint="default"/>
                <w:sz w:val="18"/>
                <w:szCs w:val="18"/>
              </w:rPr>
              <w:t>本）</w:t>
            </w:r>
          </w:p>
        </w:tc>
        <w:tc>
          <w:tcPr>
            <w:tcW w:w="493" w:type="dxa"/>
            <w:vMerge/>
            <w:tcBorders>
              <w:left w:val="single" w:sz="4" w:space="0" w:color="000000"/>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7" w:type="dxa"/>
            <w:vMerge/>
            <w:tcBorders>
              <w:left w:val="single" w:sz="4" w:space="0" w:color="000000"/>
              <w:bottom w:val="single" w:sz="4" w:space="0" w:color="000000"/>
              <w:right w:val="single" w:sz="4" w:space="0" w:color="000000"/>
            </w:tcBorders>
          </w:tcPr>
          <w:p>
            <w:pPr/>
          </w:p>
        </w:tc>
        <w:tc>
          <w:tcPr>
            <w:tcW w:w="468"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r>
      <w:tr>
        <w:trPr>
          <w:trHeight w:val="557"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7"/>
              <w:ind w:left="22" w:right="48"/>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493"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7"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253"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1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w:t>
            </w:r>
          </w:p>
        </w:tc>
        <w:tc>
          <w:tcPr>
            <w:tcW w:w="493" w:type="dxa"/>
            <w:vMerge w:val="restart"/>
            <w:tcBorders>
              <w:top w:val="single" w:sz="4" w:space="0" w:color="000000"/>
              <w:left w:val="single" w:sz="4" w:space="0" w:color="000000"/>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67" w:type="dxa"/>
            <w:vMerge w:val="restart"/>
            <w:tcBorders>
              <w:top w:val="single" w:sz="4" w:space="0" w:color="000000"/>
              <w:left w:val="single" w:sz="4" w:space="0" w:color="000000"/>
              <w:right w:val="single" w:sz="4" w:space="0" w:color="000000"/>
            </w:tcBorders>
          </w:tcPr>
          <w:p>
            <w:pPr/>
          </w:p>
        </w:tc>
        <w:tc>
          <w:tcPr>
            <w:tcW w:w="468"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4" w:type="dxa"/>
            <w:vMerge w:val="restart"/>
            <w:tcBorders>
              <w:top w:val="single" w:sz="4" w:space="0" w:color="000000"/>
              <w:left w:val="single" w:sz="4" w:space="0" w:color="000000"/>
              <w:right w:val="single" w:sz="4" w:space="0" w:color="000000"/>
            </w:tcBorders>
          </w:tcPr>
          <w:p>
            <w:pPr/>
          </w:p>
        </w:tc>
        <w:tc>
          <w:tcPr>
            <w:tcW w:w="584" w:type="dxa"/>
            <w:vMerge w:val="restart"/>
            <w:tcBorders>
              <w:top w:val="single" w:sz="4" w:space="0" w:color="000000"/>
              <w:left w:val="single" w:sz="4" w:space="0" w:color="000000"/>
              <w:right w:val="single" w:sz="4" w:space="0" w:color="000000"/>
            </w:tcBorders>
          </w:tcPr>
          <w:p>
            <w:pPr/>
          </w:p>
        </w:tc>
        <w:tc>
          <w:tcPr>
            <w:tcW w:w="584"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4" w:type="dxa"/>
            <w:vMerge w:val="restart"/>
            <w:tcBorders>
              <w:top w:val="single" w:sz="4" w:space="0" w:color="000000"/>
              <w:left w:val="single" w:sz="4" w:space="0" w:color="000000"/>
              <w:right w:val="single" w:sz="4" w:space="0" w:color="000000"/>
            </w:tcBorders>
          </w:tcPr>
          <w:p>
            <w:pPr/>
          </w:p>
        </w:tc>
        <w:tc>
          <w:tcPr>
            <w:tcW w:w="584" w:type="dxa"/>
            <w:vMerge w:val="restart"/>
            <w:tcBorders>
              <w:top w:val="single" w:sz="4" w:space="0" w:color="000000"/>
              <w:left w:val="single" w:sz="4" w:space="0" w:color="000000"/>
              <w:right w:val="single" w:sz="4" w:space="0" w:color="000000"/>
            </w:tcBorders>
          </w:tcPr>
          <w:p>
            <w:pPr/>
          </w:p>
        </w:tc>
        <w:tc>
          <w:tcPr>
            <w:tcW w:w="584" w:type="dxa"/>
            <w:vMerge w:val="restart"/>
            <w:tcBorders>
              <w:top w:val="single" w:sz="4" w:space="0" w:color="000000"/>
              <w:left w:val="single" w:sz="4" w:space="0" w:color="000000"/>
              <w:right w:val="single" w:sz="4" w:space="0" w:color="000000"/>
            </w:tcBorders>
          </w:tcPr>
          <w:p>
            <w:pPr/>
          </w:p>
        </w:tc>
        <w:tc>
          <w:tcPr>
            <w:tcW w:w="584" w:type="dxa"/>
            <w:vMerge w:val="restart"/>
            <w:tcBorders>
              <w:top w:val="single" w:sz="4" w:space="0" w:color="000000"/>
              <w:left w:val="single" w:sz="4" w:space="0" w:color="000000"/>
              <w:right w:val="single" w:sz="4" w:space="0" w:color="000000"/>
            </w:tcBorders>
          </w:tcPr>
          <w:p>
            <w:pPr/>
          </w:p>
        </w:tc>
        <w:tc>
          <w:tcPr>
            <w:tcW w:w="584" w:type="dxa"/>
            <w:vMerge w:val="restart"/>
            <w:tcBorders>
              <w:top w:val="single" w:sz="4" w:space="0" w:color="000000"/>
              <w:left w:val="single" w:sz="4" w:space="0" w:color="000000"/>
              <w:right w:val="single" w:sz="4" w:space="0" w:color="000000"/>
            </w:tcBorders>
          </w:tcPr>
          <w:p>
            <w:pPr/>
          </w:p>
        </w:tc>
        <w:tc>
          <w:tcPr>
            <w:tcW w:w="578" w:type="dxa"/>
            <w:vMerge w:val="restart"/>
            <w:tcBorders>
              <w:top w:val="single" w:sz="4" w:space="0" w:color="000000"/>
              <w:left w:val="single" w:sz="4" w:space="0" w:color="000000"/>
              <w:right w:val="single" w:sz="4" w:space="0" w:color="000000"/>
            </w:tcBorders>
          </w:tcPr>
          <w:p>
            <w:pPr/>
          </w:p>
        </w:tc>
      </w:tr>
      <w:tr>
        <w:trPr>
          <w:trHeight w:val="229" w:hRule="exact"/>
        </w:trPr>
        <w:tc>
          <w:tcPr>
            <w:tcW w:w="12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03" w:lineRule="exact"/>
              <w:ind w:left="22" w:right="0"/>
              <w:jc w:val="left"/>
              <w:rPr>
                <w:rFonts w:ascii="宋体" w:hAnsi="宋体" w:cs="宋体" w:eastAsia="宋体" w:hint="default"/>
                <w:sz w:val="18"/>
                <w:szCs w:val="18"/>
              </w:rPr>
            </w:pPr>
            <w:r>
              <w:rPr>
                <w:rFonts w:ascii="宋体" w:hAnsi="宋体" w:cs="宋体" w:eastAsia="宋体" w:hint="default"/>
                <w:sz w:val="18"/>
                <w:szCs w:val="18"/>
              </w:rPr>
              <w:t>划变动额结转</w:t>
            </w:r>
          </w:p>
        </w:tc>
        <w:tc>
          <w:tcPr>
            <w:tcW w:w="493" w:type="dxa"/>
            <w:vMerge/>
            <w:tcBorders>
              <w:left w:val="single" w:sz="4" w:space="0" w:color="000000"/>
              <w:right w:val="single" w:sz="4" w:space="0" w:color="000000"/>
            </w:tcBorders>
          </w:tcPr>
          <w:p>
            <w:pPr/>
          </w:p>
        </w:tc>
        <w:tc>
          <w:tcPr>
            <w:tcW w:w="466" w:type="dxa"/>
            <w:vMerge/>
            <w:tcBorders>
              <w:left w:val="single" w:sz="4" w:space="0" w:color="000000"/>
              <w:right w:val="single" w:sz="4" w:space="0" w:color="000000"/>
            </w:tcBorders>
          </w:tcPr>
          <w:p>
            <w:pPr/>
          </w:p>
        </w:tc>
        <w:tc>
          <w:tcPr>
            <w:tcW w:w="467" w:type="dxa"/>
            <w:vMerge/>
            <w:tcBorders>
              <w:left w:val="single" w:sz="4" w:space="0" w:color="000000"/>
              <w:right w:val="single" w:sz="4" w:space="0" w:color="000000"/>
            </w:tcBorders>
          </w:tcPr>
          <w:p>
            <w:pPr/>
          </w:p>
        </w:tc>
        <w:tc>
          <w:tcPr>
            <w:tcW w:w="468"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r>
      <w:tr>
        <w:trPr>
          <w:trHeight w:val="278" w:hRule="exact"/>
        </w:trPr>
        <w:tc>
          <w:tcPr>
            <w:tcW w:w="1253"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06" w:lineRule="exact"/>
              <w:ind w:left="22" w:right="0"/>
              <w:jc w:val="left"/>
              <w:rPr>
                <w:rFonts w:ascii="宋体" w:hAnsi="宋体" w:cs="宋体" w:eastAsia="宋体" w:hint="default"/>
                <w:sz w:val="18"/>
                <w:szCs w:val="18"/>
              </w:rPr>
            </w:pPr>
            <w:r>
              <w:rPr>
                <w:rFonts w:ascii="宋体" w:hAnsi="宋体" w:cs="宋体" w:eastAsia="宋体" w:hint="default"/>
                <w:sz w:val="18"/>
                <w:szCs w:val="18"/>
              </w:rPr>
              <w:t>留存收益</w:t>
            </w:r>
          </w:p>
        </w:tc>
        <w:tc>
          <w:tcPr>
            <w:tcW w:w="493" w:type="dxa"/>
            <w:vMerge/>
            <w:tcBorders>
              <w:left w:val="single" w:sz="4" w:space="0" w:color="000000"/>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7" w:type="dxa"/>
            <w:vMerge/>
            <w:tcBorders>
              <w:left w:val="single" w:sz="4" w:space="0" w:color="000000"/>
              <w:bottom w:val="single" w:sz="4" w:space="0" w:color="000000"/>
              <w:right w:val="single" w:sz="4" w:space="0" w:color="000000"/>
            </w:tcBorders>
          </w:tcPr>
          <w:p>
            <w:pPr/>
          </w:p>
        </w:tc>
        <w:tc>
          <w:tcPr>
            <w:tcW w:w="468"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r>
      <w:tr>
        <w:trPr>
          <w:trHeight w:val="282" w:hRule="exact"/>
        </w:trPr>
        <w:tc>
          <w:tcPr>
            <w:tcW w:w="1253"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w:t>
            </w:r>
          </w:p>
        </w:tc>
        <w:tc>
          <w:tcPr>
            <w:tcW w:w="493" w:type="dxa"/>
            <w:vMerge w:val="restart"/>
            <w:tcBorders>
              <w:top w:val="single" w:sz="4" w:space="0" w:color="000000"/>
              <w:left w:val="single" w:sz="4" w:space="0" w:color="000000"/>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67" w:type="dxa"/>
            <w:vMerge w:val="restart"/>
            <w:tcBorders>
              <w:top w:val="single" w:sz="4" w:space="0" w:color="000000"/>
              <w:left w:val="single" w:sz="4" w:space="0" w:color="000000"/>
              <w:right w:val="single" w:sz="4" w:space="0" w:color="000000"/>
            </w:tcBorders>
          </w:tcPr>
          <w:p>
            <w:pPr/>
          </w:p>
        </w:tc>
        <w:tc>
          <w:tcPr>
            <w:tcW w:w="468"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4" w:type="dxa"/>
            <w:vMerge w:val="restart"/>
            <w:tcBorders>
              <w:top w:val="single" w:sz="4" w:space="0" w:color="000000"/>
              <w:left w:val="single" w:sz="4" w:space="0" w:color="000000"/>
              <w:right w:val="single" w:sz="4" w:space="0" w:color="000000"/>
            </w:tcBorders>
          </w:tcPr>
          <w:p>
            <w:pPr/>
          </w:p>
        </w:tc>
        <w:tc>
          <w:tcPr>
            <w:tcW w:w="584" w:type="dxa"/>
            <w:vMerge w:val="restart"/>
            <w:tcBorders>
              <w:top w:val="single" w:sz="4" w:space="0" w:color="000000"/>
              <w:left w:val="single" w:sz="4" w:space="0" w:color="000000"/>
              <w:right w:val="single" w:sz="4" w:space="0" w:color="000000"/>
            </w:tcBorders>
          </w:tcPr>
          <w:p>
            <w:pPr/>
          </w:p>
        </w:tc>
        <w:tc>
          <w:tcPr>
            <w:tcW w:w="584"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4" w:type="dxa"/>
            <w:vMerge w:val="restart"/>
            <w:tcBorders>
              <w:top w:val="single" w:sz="4" w:space="0" w:color="000000"/>
              <w:left w:val="single" w:sz="4" w:space="0" w:color="000000"/>
              <w:right w:val="single" w:sz="4" w:space="0" w:color="000000"/>
            </w:tcBorders>
          </w:tcPr>
          <w:p>
            <w:pPr/>
          </w:p>
        </w:tc>
        <w:tc>
          <w:tcPr>
            <w:tcW w:w="584" w:type="dxa"/>
            <w:vMerge w:val="restart"/>
            <w:tcBorders>
              <w:top w:val="single" w:sz="4" w:space="0" w:color="000000"/>
              <w:left w:val="single" w:sz="4" w:space="0" w:color="000000"/>
              <w:right w:val="single" w:sz="4" w:space="0" w:color="000000"/>
            </w:tcBorders>
          </w:tcPr>
          <w:p>
            <w:pPr/>
          </w:p>
        </w:tc>
        <w:tc>
          <w:tcPr>
            <w:tcW w:w="584" w:type="dxa"/>
            <w:vMerge w:val="restart"/>
            <w:tcBorders>
              <w:top w:val="single" w:sz="4" w:space="0" w:color="000000"/>
              <w:left w:val="single" w:sz="4" w:space="0" w:color="000000"/>
              <w:right w:val="single" w:sz="4" w:space="0" w:color="000000"/>
            </w:tcBorders>
          </w:tcPr>
          <w:p>
            <w:pPr/>
          </w:p>
        </w:tc>
        <w:tc>
          <w:tcPr>
            <w:tcW w:w="584" w:type="dxa"/>
            <w:vMerge w:val="restart"/>
            <w:tcBorders>
              <w:top w:val="single" w:sz="4" w:space="0" w:color="000000"/>
              <w:left w:val="single" w:sz="4" w:space="0" w:color="000000"/>
              <w:right w:val="single" w:sz="4" w:space="0" w:color="000000"/>
            </w:tcBorders>
          </w:tcPr>
          <w:p>
            <w:pPr/>
          </w:p>
        </w:tc>
        <w:tc>
          <w:tcPr>
            <w:tcW w:w="584" w:type="dxa"/>
            <w:vMerge w:val="restart"/>
            <w:tcBorders>
              <w:top w:val="single" w:sz="4" w:space="0" w:color="000000"/>
              <w:left w:val="single" w:sz="4" w:space="0" w:color="000000"/>
              <w:right w:val="single" w:sz="4" w:space="0" w:color="000000"/>
            </w:tcBorders>
          </w:tcPr>
          <w:p>
            <w:pPr/>
          </w:p>
        </w:tc>
        <w:tc>
          <w:tcPr>
            <w:tcW w:w="578" w:type="dxa"/>
            <w:vMerge w:val="restart"/>
            <w:tcBorders>
              <w:top w:val="single" w:sz="4" w:space="0" w:color="000000"/>
              <w:left w:val="single" w:sz="4" w:space="0" w:color="000000"/>
              <w:right w:val="single" w:sz="4" w:space="0" w:color="000000"/>
            </w:tcBorders>
          </w:tcPr>
          <w:p>
            <w:pPr/>
          </w:p>
        </w:tc>
      </w:tr>
      <w:tr>
        <w:trPr>
          <w:trHeight w:val="229" w:hRule="exact"/>
        </w:trPr>
        <w:tc>
          <w:tcPr>
            <w:tcW w:w="12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03" w:lineRule="exact"/>
              <w:ind w:left="22" w:right="0"/>
              <w:jc w:val="left"/>
              <w:rPr>
                <w:rFonts w:ascii="宋体" w:hAnsi="宋体" w:cs="宋体" w:eastAsia="宋体" w:hint="default"/>
                <w:sz w:val="18"/>
                <w:szCs w:val="18"/>
              </w:rPr>
            </w:pPr>
            <w:r>
              <w:rPr>
                <w:rFonts w:ascii="宋体" w:hAnsi="宋体" w:cs="宋体" w:eastAsia="宋体" w:hint="default"/>
                <w:sz w:val="18"/>
                <w:szCs w:val="18"/>
              </w:rPr>
              <w:t>益结转留存收</w:t>
            </w:r>
          </w:p>
        </w:tc>
        <w:tc>
          <w:tcPr>
            <w:tcW w:w="493" w:type="dxa"/>
            <w:vMerge/>
            <w:tcBorders>
              <w:left w:val="single" w:sz="4" w:space="0" w:color="000000"/>
              <w:right w:val="single" w:sz="4" w:space="0" w:color="000000"/>
            </w:tcBorders>
          </w:tcPr>
          <w:p>
            <w:pPr/>
          </w:p>
        </w:tc>
        <w:tc>
          <w:tcPr>
            <w:tcW w:w="466" w:type="dxa"/>
            <w:vMerge/>
            <w:tcBorders>
              <w:left w:val="single" w:sz="4" w:space="0" w:color="000000"/>
              <w:right w:val="single" w:sz="4" w:space="0" w:color="000000"/>
            </w:tcBorders>
          </w:tcPr>
          <w:p>
            <w:pPr/>
          </w:p>
        </w:tc>
        <w:tc>
          <w:tcPr>
            <w:tcW w:w="467" w:type="dxa"/>
            <w:vMerge/>
            <w:tcBorders>
              <w:left w:val="single" w:sz="4" w:space="0" w:color="000000"/>
              <w:right w:val="single" w:sz="4" w:space="0" w:color="000000"/>
            </w:tcBorders>
          </w:tcPr>
          <w:p>
            <w:pPr/>
          </w:p>
        </w:tc>
        <w:tc>
          <w:tcPr>
            <w:tcW w:w="468"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r>
      <w:tr>
        <w:trPr>
          <w:trHeight w:val="279" w:hRule="exact"/>
        </w:trPr>
        <w:tc>
          <w:tcPr>
            <w:tcW w:w="1253"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06" w:lineRule="exact"/>
              <w:ind w:left="22" w:right="0"/>
              <w:jc w:val="left"/>
              <w:rPr>
                <w:rFonts w:ascii="宋体" w:hAnsi="宋体" w:cs="宋体" w:eastAsia="宋体" w:hint="default"/>
                <w:sz w:val="18"/>
                <w:szCs w:val="18"/>
              </w:rPr>
            </w:pPr>
            <w:r>
              <w:rPr>
                <w:rFonts w:ascii="宋体" w:hAnsi="宋体" w:cs="宋体" w:eastAsia="宋体" w:hint="default"/>
                <w:sz w:val="18"/>
                <w:szCs w:val="18"/>
              </w:rPr>
              <w:t>益</w:t>
            </w:r>
          </w:p>
        </w:tc>
        <w:tc>
          <w:tcPr>
            <w:tcW w:w="493" w:type="dxa"/>
            <w:vMerge/>
            <w:tcBorders>
              <w:left w:val="single" w:sz="4" w:space="0" w:color="000000"/>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7" w:type="dxa"/>
            <w:vMerge/>
            <w:tcBorders>
              <w:left w:val="single" w:sz="4" w:space="0" w:color="000000"/>
              <w:bottom w:val="single" w:sz="4" w:space="0" w:color="000000"/>
              <w:right w:val="single" w:sz="4" w:space="0" w:color="000000"/>
            </w:tcBorders>
          </w:tcPr>
          <w:p>
            <w:pPr/>
          </w:p>
        </w:tc>
        <w:tc>
          <w:tcPr>
            <w:tcW w:w="468"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r>
      <w:tr>
        <w:trPr>
          <w:trHeight w:val="324"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493"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7"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pacing w:val="-9"/>
                <w:sz w:val="18"/>
                <w:szCs w:val="18"/>
              </w:rPr>
              <w:t>（五）专项储备</w:t>
            </w:r>
          </w:p>
        </w:tc>
        <w:tc>
          <w:tcPr>
            <w:tcW w:w="493"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7"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493"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7"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493"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7"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256" w:hRule="exact"/>
        </w:trPr>
        <w:tc>
          <w:tcPr>
            <w:tcW w:w="1253" w:type="dxa"/>
            <w:tcBorders>
              <w:top w:val="single" w:sz="4" w:space="0" w:color="000000"/>
              <w:left w:val="single" w:sz="4" w:space="0" w:color="000000"/>
              <w:bottom w:val="nil" w:sz="6" w:space="0" w:color="auto"/>
              <w:right w:val="single" w:sz="4" w:space="0" w:color="000000"/>
            </w:tcBorders>
            <w:shd w:val="clear" w:color="auto" w:fill="D2D2D2"/>
          </w:tcPr>
          <w:p>
            <w:pPr/>
          </w:p>
        </w:tc>
        <w:tc>
          <w:tcPr>
            <w:tcW w:w="493" w:type="dxa"/>
            <w:vMerge w:val="restart"/>
            <w:tcBorders>
              <w:top w:val="single" w:sz="4" w:space="0" w:color="000000"/>
              <w:left w:val="single" w:sz="4" w:space="0" w:color="000000"/>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67" w:type="dxa"/>
            <w:vMerge w:val="restart"/>
            <w:tcBorders>
              <w:top w:val="single" w:sz="4" w:space="0" w:color="000000"/>
              <w:left w:val="single" w:sz="4" w:space="0" w:color="000000"/>
              <w:right w:val="single" w:sz="4" w:space="0" w:color="000000"/>
            </w:tcBorders>
          </w:tcPr>
          <w:p>
            <w:pPr/>
          </w:p>
        </w:tc>
        <w:tc>
          <w:tcPr>
            <w:tcW w:w="468" w:type="dxa"/>
            <w:vMerge w:val="restart"/>
            <w:tcBorders>
              <w:top w:val="single" w:sz="4" w:space="0" w:color="000000"/>
              <w:left w:val="single" w:sz="4" w:space="0" w:color="000000"/>
              <w:right w:val="single" w:sz="4" w:space="0" w:color="000000"/>
            </w:tcBorders>
          </w:tcPr>
          <w:p>
            <w:pPr/>
          </w:p>
        </w:tc>
        <w:tc>
          <w:tcPr>
            <w:tcW w:w="58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8"/>
              <w:ind w:right="18"/>
              <w:jc w:val="right"/>
              <w:rPr>
                <w:rFonts w:ascii="Times New Roman" w:hAnsi="Times New Roman" w:cs="Times New Roman" w:eastAsia="Times New Roman" w:hint="default"/>
                <w:sz w:val="18"/>
                <w:szCs w:val="18"/>
              </w:rPr>
            </w:pPr>
            <w:r>
              <w:rPr>
                <w:rFonts w:ascii="Times New Roman"/>
                <w:sz w:val="18"/>
              </w:rPr>
              <w:t>-76,33</w:t>
            </w:r>
          </w:p>
        </w:tc>
        <w:tc>
          <w:tcPr>
            <w:tcW w:w="584" w:type="dxa"/>
            <w:vMerge w:val="restart"/>
            <w:tcBorders>
              <w:top w:val="single" w:sz="4" w:space="0" w:color="000000"/>
              <w:left w:val="single" w:sz="4" w:space="0" w:color="000000"/>
              <w:right w:val="single" w:sz="4" w:space="0" w:color="000000"/>
            </w:tcBorders>
          </w:tcPr>
          <w:p>
            <w:pPr/>
          </w:p>
        </w:tc>
        <w:tc>
          <w:tcPr>
            <w:tcW w:w="584" w:type="dxa"/>
            <w:vMerge w:val="restart"/>
            <w:tcBorders>
              <w:top w:val="single" w:sz="4" w:space="0" w:color="000000"/>
              <w:left w:val="single" w:sz="4" w:space="0" w:color="000000"/>
              <w:right w:val="single" w:sz="4" w:space="0" w:color="000000"/>
            </w:tcBorders>
          </w:tcPr>
          <w:p>
            <w:pPr/>
          </w:p>
        </w:tc>
        <w:tc>
          <w:tcPr>
            <w:tcW w:w="584"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4" w:type="dxa"/>
            <w:vMerge w:val="restart"/>
            <w:tcBorders>
              <w:top w:val="single" w:sz="4" w:space="0" w:color="000000"/>
              <w:left w:val="single" w:sz="4" w:space="0" w:color="000000"/>
              <w:right w:val="single" w:sz="4" w:space="0" w:color="000000"/>
            </w:tcBorders>
          </w:tcPr>
          <w:p>
            <w:pPr/>
          </w:p>
        </w:tc>
        <w:tc>
          <w:tcPr>
            <w:tcW w:w="584" w:type="dxa"/>
            <w:vMerge w:val="restart"/>
            <w:tcBorders>
              <w:top w:val="single" w:sz="4" w:space="0" w:color="000000"/>
              <w:left w:val="single" w:sz="4" w:space="0" w:color="000000"/>
              <w:right w:val="single" w:sz="4" w:space="0" w:color="000000"/>
            </w:tcBorders>
          </w:tcPr>
          <w:p>
            <w:pPr/>
          </w:p>
        </w:tc>
        <w:tc>
          <w:tcPr>
            <w:tcW w:w="584" w:type="dxa"/>
            <w:vMerge w:val="restart"/>
            <w:tcBorders>
              <w:top w:val="single" w:sz="4" w:space="0" w:color="000000"/>
              <w:left w:val="single" w:sz="4" w:space="0" w:color="000000"/>
              <w:right w:val="single" w:sz="4" w:space="0" w:color="000000"/>
            </w:tcBorders>
          </w:tcPr>
          <w:p>
            <w:pPr/>
          </w:p>
        </w:tc>
        <w:tc>
          <w:tcPr>
            <w:tcW w:w="58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8"/>
              <w:ind w:right="18"/>
              <w:jc w:val="right"/>
              <w:rPr>
                <w:rFonts w:ascii="Times New Roman" w:hAnsi="Times New Roman" w:cs="Times New Roman" w:eastAsia="Times New Roman" w:hint="default"/>
                <w:sz w:val="18"/>
                <w:szCs w:val="18"/>
              </w:rPr>
            </w:pPr>
            <w:r>
              <w:rPr>
                <w:rFonts w:ascii="Times New Roman"/>
                <w:sz w:val="18"/>
              </w:rPr>
              <w:t>-76,33</w:t>
            </w:r>
          </w:p>
        </w:tc>
        <w:tc>
          <w:tcPr>
            <w:tcW w:w="584" w:type="dxa"/>
            <w:vMerge w:val="restart"/>
            <w:tcBorders>
              <w:top w:val="single" w:sz="4" w:space="0" w:color="000000"/>
              <w:left w:val="single" w:sz="4" w:space="0" w:color="000000"/>
              <w:right w:val="single" w:sz="4" w:space="0" w:color="000000"/>
            </w:tcBorders>
          </w:tcPr>
          <w:p>
            <w:pPr/>
          </w:p>
        </w:tc>
        <w:tc>
          <w:tcPr>
            <w:tcW w:w="57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8"/>
              <w:ind w:right="19"/>
              <w:jc w:val="right"/>
              <w:rPr>
                <w:rFonts w:ascii="Times New Roman" w:hAnsi="Times New Roman" w:cs="Times New Roman" w:eastAsia="Times New Roman" w:hint="default"/>
                <w:sz w:val="18"/>
                <w:szCs w:val="18"/>
              </w:rPr>
            </w:pPr>
            <w:r>
              <w:rPr>
                <w:rFonts w:ascii="Times New Roman"/>
                <w:sz w:val="18"/>
              </w:rPr>
              <w:t>-76,33</w:t>
            </w:r>
          </w:p>
        </w:tc>
      </w:tr>
      <w:tr>
        <w:trPr>
          <w:trHeight w:val="210" w:hRule="exact"/>
        </w:trPr>
        <w:tc>
          <w:tcPr>
            <w:tcW w:w="12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189" w:lineRule="exact"/>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493" w:type="dxa"/>
            <w:vMerge/>
            <w:tcBorders>
              <w:left w:val="single" w:sz="4" w:space="0" w:color="000000"/>
              <w:right w:val="single" w:sz="4" w:space="0" w:color="000000"/>
            </w:tcBorders>
          </w:tcPr>
          <w:p>
            <w:pPr/>
          </w:p>
        </w:tc>
        <w:tc>
          <w:tcPr>
            <w:tcW w:w="466" w:type="dxa"/>
            <w:vMerge/>
            <w:tcBorders>
              <w:left w:val="single" w:sz="4" w:space="0" w:color="000000"/>
              <w:right w:val="single" w:sz="4" w:space="0" w:color="000000"/>
            </w:tcBorders>
          </w:tcPr>
          <w:p>
            <w:pPr/>
          </w:p>
        </w:tc>
        <w:tc>
          <w:tcPr>
            <w:tcW w:w="467" w:type="dxa"/>
            <w:vMerge/>
            <w:tcBorders>
              <w:left w:val="single" w:sz="4" w:space="0" w:color="000000"/>
              <w:right w:val="single" w:sz="4" w:space="0" w:color="000000"/>
            </w:tcBorders>
          </w:tcPr>
          <w:p>
            <w:pPr/>
          </w:p>
        </w:tc>
        <w:tc>
          <w:tcPr>
            <w:tcW w:w="468" w:type="dxa"/>
            <w:vMerge/>
            <w:tcBorders>
              <w:left w:val="single" w:sz="4" w:space="0" w:color="000000"/>
              <w:right w:val="single" w:sz="4" w:space="0" w:color="000000"/>
            </w:tcBorders>
          </w:tcPr>
          <w:p>
            <w:pPr/>
          </w:p>
        </w:tc>
        <w:tc>
          <w:tcPr>
            <w:tcW w:w="583" w:type="dxa"/>
            <w:tcBorders>
              <w:top w:val="nil" w:sz="6" w:space="0" w:color="auto"/>
              <w:left w:val="single" w:sz="4" w:space="0" w:color="000000"/>
              <w:bottom w:val="nil" w:sz="6" w:space="0" w:color="auto"/>
              <w:right w:val="single" w:sz="4" w:space="0" w:color="000000"/>
            </w:tcBorders>
          </w:tcPr>
          <w:p>
            <w:pPr>
              <w:pStyle w:val="TableParagraph"/>
              <w:spacing w:line="201" w:lineRule="exact"/>
              <w:ind w:right="20"/>
              <w:jc w:val="right"/>
              <w:rPr>
                <w:rFonts w:ascii="Times New Roman" w:hAnsi="Times New Roman" w:cs="Times New Roman" w:eastAsia="Times New Roman" w:hint="default"/>
                <w:sz w:val="18"/>
                <w:szCs w:val="18"/>
              </w:rPr>
            </w:pPr>
            <w:r>
              <w:rPr>
                <w:rFonts w:ascii="Times New Roman"/>
                <w:spacing w:val="-1"/>
                <w:sz w:val="18"/>
              </w:rPr>
              <w:t>4,387.</w:t>
            </w:r>
          </w:p>
        </w:tc>
        <w:tc>
          <w:tcPr>
            <w:tcW w:w="584"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4" w:type="dxa"/>
            <w:tcBorders>
              <w:top w:val="nil" w:sz="6" w:space="0" w:color="auto"/>
              <w:left w:val="single" w:sz="4" w:space="0" w:color="000000"/>
              <w:bottom w:val="nil" w:sz="6" w:space="0" w:color="auto"/>
              <w:right w:val="single" w:sz="4" w:space="0" w:color="000000"/>
            </w:tcBorders>
          </w:tcPr>
          <w:p>
            <w:pPr>
              <w:pStyle w:val="TableParagraph"/>
              <w:spacing w:line="201" w:lineRule="exact"/>
              <w:ind w:right="20"/>
              <w:jc w:val="right"/>
              <w:rPr>
                <w:rFonts w:ascii="Times New Roman" w:hAnsi="Times New Roman" w:cs="Times New Roman" w:eastAsia="Times New Roman" w:hint="default"/>
                <w:sz w:val="18"/>
                <w:szCs w:val="18"/>
              </w:rPr>
            </w:pPr>
            <w:r>
              <w:rPr>
                <w:rFonts w:ascii="Times New Roman"/>
                <w:spacing w:val="-1"/>
                <w:sz w:val="18"/>
              </w:rPr>
              <w:t>4,387.</w:t>
            </w:r>
          </w:p>
        </w:tc>
        <w:tc>
          <w:tcPr>
            <w:tcW w:w="584" w:type="dxa"/>
            <w:vMerge/>
            <w:tcBorders>
              <w:left w:val="single" w:sz="4" w:space="0" w:color="000000"/>
              <w:right w:val="single" w:sz="4" w:space="0" w:color="000000"/>
            </w:tcBorders>
          </w:tcPr>
          <w:p>
            <w:pPr/>
          </w:p>
        </w:tc>
        <w:tc>
          <w:tcPr>
            <w:tcW w:w="578" w:type="dxa"/>
            <w:tcBorders>
              <w:top w:val="nil" w:sz="6" w:space="0" w:color="auto"/>
              <w:left w:val="single" w:sz="4" w:space="0" w:color="000000"/>
              <w:bottom w:val="nil" w:sz="6" w:space="0" w:color="auto"/>
              <w:right w:val="single" w:sz="4" w:space="0" w:color="000000"/>
            </w:tcBorders>
          </w:tcPr>
          <w:p>
            <w:pPr>
              <w:pStyle w:val="TableParagraph"/>
              <w:spacing w:line="201" w:lineRule="exact"/>
              <w:ind w:right="21"/>
              <w:jc w:val="right"/>
              <w:rPr>
                <w:rFonts w:ascii="Times New Roman" w:hAnsi="Times New Roman" w:cs="Times New Roman" w:eastAsia="Times New Roman" w:hint="default"/>
                <w:sz w:val="18"/>
                <w:szCs w:val="18"/>
              </w:rPr>
            </w:pPr>
            <w:r>
              <w:rPr>
                <w:rFonts w:ascii="Times New Roman"/>
                <w:spacing w:val="-1"/>
                <w:sz w:val="18"/>
              </w:rPr>
              <w:t>4,387.</w:t>
            </w:r>
          </w:p>
        </w:tc>
      </w:tr>
      <w:tr>
        <w:trPr>
          <w:trHeight w:val="245" w:hRule="exact"/>
        </w:trPr>
        <w:tc>
          <w:tcPr>
            <w:tcW w:w="1253" w:type="dxa"/>
            <w:tcBorders>
              <w:top w:val="nil" w:sz="6" w:space="0" w:color="auto"/>
              <w:left w:val="single" w:sz="4" w:space="0" w:color="000000"/>
              <w:bottom w:val="single" w:sz="4" w:space="0" w:color="000000"/>
              <w:right w:val="single" w:sz="4" w:space="0" w:color="000000"/>
            </w:tcBorders>
            <w:shd w:val="clear" w:color="auto" w:fill="D2D2D2"/>
          </w:tcPr>
          <w:p>
            <w:pPr/>
          </w:p>
        </w:tc>
        <w:tc>
          <w:tcPr>
            <w:tcW w:w="493" w:type="dxa"/>
            <w:vMerge/>
            <w:tcBorders>
              <w:left w:val="single" w:sz="4" w:space="0" w:color="000000"/>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7" w:type="dxa"/>
            <w:vMerge/>
            <w:tcBorders>
              <w:left w:val="single" w:sz="4" w:space="0" w:color="000000"/>
              <w:bottom w:val="single" w:sz="4" w:space="0" w:color="000000"/>
              <w:right w:val="single" w:sz="4" w:space="0" w:color="000000"/>
            </w:tcBorders>
          </w:tcPr>
          <w:p>
            <w:pPr/>
          </w:p>
        </w:tc>
        <w:tc>
          <w:tcPr>
            <w:tcW w:w="468" w:type="dxa"/>
            <w:vMerge/>
            <w:tcBorders>
              <w:left w:val="single" w:sz="4" w:space="0" w:color="000000"/>
              <w:bottom w:val="single" w:sz="4" w:space="0" w:color="000000"/>
              <w:right w:val="single" w:sz="4" w:space="0" w:color="000000"/>
            </w:tcBorders>
          </w:tcPr>
          <w:p>
            <w:pPr/>
          </w:p>
        </w:tc>
        <w:tc>
          <w:tcPr>
            <w:tcW w:w="583" w:type="dxa"/>
            <w:tcBorders>
              <w:top w:val="nil" w:sz="6" w:space="0" w:color="auto"/>
              <w:left w:val="single" w:sz="4" w:space="0" w:color="000000"/>
              <w:bottom w:val="single" w:sz="4" w:space="0" w:color="000000"/>
              <w:right w:val="single" w:sz="4" w:space="0" w:color="000000"/>
            </w:tcBorders>
          </w:tcPr>
          <w:p>
            <w:pPr>
              <w:pStyle w:val="TableParagraph"/>
              <w:spacing w:line="197" w:lineRule="exact"/>
              <w:ind w:right="20"/>
              <w:jc w:val="right"/>
              <w:rPr>
                <w:rFonts w:ascii="Times New Roman" w:hAnsi="Times New Roman" w:cs="Times New Roman" w:eastAsia="Times New Roman" w:hint="default"/>
                <w:sz w:val="18"/>
                <w:szCs w:val="18"/>
              </w:rPr>
            </w:pPr>
            <w:r>
              <w:rPr>
                <w:rFonts w:ascii="Times New Roman"/>
                <w:sz w:val="18"/>
              </w:rPr>
              <w:t>39</w:t>
            </w:r>
          </w:p>
        </w:tc>
        <w:tc>
          <w:tcPr>
            <w:tcW w:w="584"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4" w:type="dxa"/>
            <w:tcBorders>
              <w:top w:val="nil" w:sz="6" w:space="0" w:color="auto"/>
              <w:left w:val="single" w:sz="4" w:space="0" w:color="000000"/>
              <w:bottom w:val="single" w:sz="4" w:space="0" w:color="000000"/>
              <w:right w:val="single" w:sz="4" w:space="0" w:color="000000"/>
            </w:tcBorders>
          </w:tcPr>
          <w:p>
            <w:pPr>
              <w:pStyle w:val="TableParagraph"/>
              <w:spacing w:line="197" w:lineRule="exact"/>
              <w:ind w:right="21"/>
              <w:jc w:val="right"/>
              <w:rPr>
                <w:rFonts w:ascii="Times New Roman" w:hAnsi="Times New Roman" w:cs="Times New Roman" w:eastAsia="Times New Roman" w:hint="default"/>
                <w:sz w:val="18"/>
                <w:szCs w:val="18"/>
              </w:rPr>
            </w:pPr>
            <w:r>
              <w:rPr>
                <w:rFonts w:ascii="Times New Roman"/>
                <w:sz w:val="18"/>
              </w:rPr>
              <w:t>39</w:t>
            </w:r>
          </w:p>
        </w:tc>
        <w:tc>
          <w:tcPr>
            <w:tcW w:w="584" w:type="dxa"/>
            <w:vMerge/>
            <w:tcBorders>
              <w:left w:val="single" w:sz="4" w:space="0" w:color="000000"/>
              <w:bottom w:val="single" w:sz="4" w:space="0" w:color="000000"/>
              <w:right w:val="single" w:sz="4" w:space="0" w:color="000000"/>
            </w:tcBorders>
          </w:tcPr>
          <w:p>
            <w:pPr/>
          </w:p>
        </w:tc>
        <w:tc>
          <w:tcPr>
            <w:tcW w:w="578" w:type="dxa"/>
            <w:tcBorders>
              <w:top w:val="nil" w:sz="6" w:space="0" w:color="auto"/>
              <w:left w:val="single" w:sz="4" w:space="0" w:color="000000"/>
              <w:bottom w:val="single" w:sz="4" w:space="0" w:color="000000"/>
              <w:right w:val="single" w:sz="4" w:space="0" w:color="000000"/>
            </w:tcBorders>
          </w:tcPr>
          <w:p>
            <w:pPr>
              <w:pStyle w:val="TableParagraph"/>
              <w:spacing w:line="197" w:lineRule="exact"/>
              <w:ind w:right="19"/>
              <w:jc w:val="right"/>
              <w:rPr>
                <w:rFonts w:ascii="Times New Roman" w:hAnsi="Times New Roman" w:cs="Times New Roman" w:eastAsia="Times New Roman" w:hint="default"/>
                <w:sz w:val="18"/>
                <w:szCs w:val="18"/>
              </w:rPr>
            </w:pPr>
            <w:r>
              <w:rPr>
                <w:rFonts w:ascii="Times New Roman"/>
                <w:sz w:val="18"/>
              </w:rPr>
              <w:t>39</w:t>
            </w:r>
          </w:p>
        </w:tc>
      </w:tr>
      <w:tr>
        <w:trPr>
          <w:trHeight w:val="918"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32" w:lineRule="exact"/>
              <w:ind w:left="22" w:right="21"/>
              <w:jc w:val="left"/>
              <w:rPr>
                <w:rFonts w:ascii="宋体" w:hAnsi="宋体" w:cs="宋体" w:eastAsia="宋体" w:hint="default"/>
                <w:sz w:val="18"/>
                <w:szCs w:val="18"/>
              </w:rPr>
            </w:pPr>
            <w:r>
              <w:rPr>
                <w:rFonts w:ascii="宋体" w:hAnsi="宋体" w:cs="宋体" w:eastAsia="宋体" w:hint="default"/>
                <w:spacing w:val="-9"/>
                <w:sz w:val="18"/>
                <w:szCs w:val="18"/>
              </w:rPr>
              <w:t>四、本期期末余</w:t>
            </w:r>
            <w:r>
              <w:rPr>
                <w:rFonts w:ascii="宋体" w:hAnsi="宋体" w:cs="宋体" w:eastAsia="宋体" w:hint="default"/>
                <w:sz w:val="18"/>
                <w:szCs w:val="18"/>
              </w:rPr>
              <w:t> 额</w:t>
            </w:r>
          </w:p>
        </w:tc>
        <w:tc>
          <w:tcPr>
            <w:tcW w:w="4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before="40"/>
              <w:ind w:left="55" w:right="0"/>
              <w:jc w:val="left"/>
              <w:rPr>
                <w:rFonts w:ascii="Times New Roman" w:hAnsi="Times New Roman" w:cs="Times New Roman" w:eastAsia="Times New Roman" w:hint="default"/>
                <w:sz w:val="18"/>
                <w:szCs w:val="18"/>
              </w:rPr>
            </w:pPr>
            <w:r>
              <w:rPr>
                <w:rFonts w:ascii="Times New Roman"/>
                <w:sz w:val="18"/>
              </w:rPr>
              <w:t>2,408</w:t>
            </w:r>
          </w:p>
          <w:p>
            <w:pPr>
              <w:pStyle w:val="TableParagraph"/>
              <w:spacing w:line="205" w:lineRule="exact"/>
              <w:ind w:left="101" w:right="0"/>
              <w:jc w:val="left"/>
              <w:rPr>
                <w:rFonts w:ascii="Times New Roman" w:hAnsi="Times New Roman" w:cs="Times New Roman" w:eastAsia="Times New Roman" w:hint="default"/>
                <w:sz w:val="18"/>
                <w:szCs w:val="18"/>
              </w:rPr>
            </w:pPr>
            <w:r>
              <w:rPr>
                <w:rFonts w:ascii="Times New Roman"/>
                <w:sz w:val="18"/>
              </w:rPr>
              <w:t>,993,</w:t>
            </w:r>
          </w:p>
          <w:p>
            <w:pPr>
              <w:pStyle w:val="TableParagraph"/>
              <w:spacing w:line="207" w:lineRule="exact" w:before="2"/>
              <w:ind w:left="55" w:right="0"/>
              <w:jc w:val="left"/>
              <w:rPr>
                <w:rFonts w:ascii="Times New Roman" w:hAnsi="Times New Roman" w:cs="Times New Roman" w:eastAsia="Times New Roman" w:hint="default"/>
                <w:sz w:val="18"/>
                <w:szCs w:val="18"/>
              </w:rPr>
            </w:pPr>
            <w:r>
              <w:rPr>
                <w:rFonts w:ascii="Times New Roman"/>
                <w:sz w:val="18"/>
              </w:rPr>
              <w:t>951.0</w:t>
            </w:r>
          </w:p>
          <w:p>
            <w:pPr>
              <w:pStyle w:val="TableParagraph"/>
              <w:spacing w:line="207" w:lineRule="exact"/>
              <w:ind w:right="21"/>
              <w:jc w:val="right"/>
              <w:rPr>
                <w:rFonts w:ascii="Times New Roman" w:hAnsi="Times New Roman" w:cs="Times New Roman" w:eastAsia="Times New Roman" w:hint="default"/>
                <w:sz w:val="18"/>
                <w:szCs w:val="18"/>
              </w:rPr>
            </w:pPr>
            <w:r>
              <w:rPr>
                <w:rFonts w:ascii="Times New Roman"/>
                <w:sz w:val="18"/>
              </w:rPr>
              <w:t>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7"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41"/>
              <w:ind w:left="78" w:right="0"/>
              <w:jc w:val="center"/>
              <w:rPr>
                <w:rFonts w:ascii="Times New Roman" w:hAnsi="Times New Roman" w:cs="Times New Roman" w:eastAsia="Times New Roman" w:hint="default"/>
                <w:sz w:val="18"/>
                <w:szCs w:val="18"/>
              </w:rPr>
            </w:pPr>
            <w:r>
              <w:rPr>
                <w:rFonts w:ascii="Times New Roman"/>
                <w:sz w:val="18"/>
              </w:rPr>
              <w:t>2,008,</w:t>
            </w:r>
          </w:p>
          <w:p>
            <w:pPr>
              <w:pStyle w:val="TableParagraph"/>
              <w:spacing w:line="207" w:lineRule="exact"/>
              <w:ind w:left="32" w:right="0"/>
              <w:jc w:val="center"/>
              <w:rPr>
                <w:rFonts w:ascii="Times New Roman" w:hAnsi="Times New Roman" w:cs="Times New Roman" w:eastAsia="Times New Roman" w:hint="default"/>
                <w:sz w:val="18"/>
                <w:szCs w:val="18"/>
              </w:rPr>
            </w:pPr>
            <w:r>
              <w:rPr>
                <w:rFonts w:ascii="Times New Roman"/>
                <w:sz w:val="18"/>
              </w:rPr>
              <w:t>211,94</w:t>
            </w:r>
          </w:p>
          <w:p>
            <w:pPr>
              <w:pStyle w:val="TableParagraph"/>
              <w:spacing w:line="240" w:lineRule="auto" w:before="2"/>
              <w:ind w:left="212" w:right="0"/>
              <w:jc w:val="center"/>
              <w:rPr>
                <w:rFonts w:ascii="Times New Roman" w:hAnsi="Times New Roman" w:cs="Times New Roman" w:eastAsia="Times New Roman" w:hint="default"/>
                <w:sz w:val="18"/>
                <w:szCs w:val="18"/>
              </w:rPr>
            </w:pPr>
            <w:r>
              <w:rPr>
                <w:rFonts w:ascii="Times New Roman"/>
                <w:sz w:val="18"/>
              </w:rPr>
              <w:t>6.49</w:t>
            </w: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41"/>
              <w:ind w:left="88" w:right="0"/>
              <w:jc w:val="left"/>
              <w:rPr>
                <w:rFonts w:ascii="Times New Roman" w:hAnsi="Times New Roman" w:cs="Times New Roman" w:eastAsia="Times New Roman" w:hint="default"/>
                <w:sz w:val="18"/>
                <w:szCs w:val="18"/>
              </w:rPr>
            </w:pPr>
            <w:r>
              <w:rPr>
                <w:rFonts w:ascii="Times New Roman"/>
                <w:sz w:val="18"/>
              </w:rPr>
              <w:t>-274,4</w:t>
            </w:r>
          </w:p>
          <w:p>
            <w:pPr>
              <w:pStyle w:val="TableParagraph"/>
              <w:spacing w:line="207" w:lineRule="exact"/>
              <w:ind w:left="56" w:right="0"/>
              <w:jc w:val="left"/>
              <w:rPr>
                <w:rFonts w:ascii="Times New Roman" w:hAnsi="Times New Roman" w:cs="Times New Roman" w:eastAsia="Times New Roman" w:hint="default"/>
                <w:sz w:val="18"/>
                <w:szCs w:val="18"/>
              </w:rPr>
            </w:pPr>
            <w:r>
              <w:rPr>
                <w:rFonts w:ascii="Times New Roman"/>
                <w:sz w:val="18"/>
              </w:rPr>
              <w:t>39,306</w:t>
            </w:r>
          </w:p>
          <w:p>
            <w:pPr>
              <w:pStyle w:val="TableParagraph"/>
              <w:spacing w:line="240" w:lineRule="auto" w:before="2"/>
              <w:ind w:left="325" w:right="0"/>
              <w:jc w:val="left"/>
              <w:rPr>
                <w:rFonts w:ascii="Times New Roman" w:hAnsi="Times New Roman" w:cs="Times New Roman" w:eastAsia="Times New Roman" w:hint="default"/>
                <w:sz w:val="18"/>
                <w:szCs w:val="18"/>
              </w:rPr>
            </w:pPr>
            <w:r>
              <w:rPr>
                <w:rFonts w:ascii="Times New Roman"/>
                <w:sz w:val="18"/>
              </w:rPr>
              <w:t>.85</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41"/>
              <w:ind w:left="55" w:right="0"/>
              <w:jc w:val="left"/>
              <w:rPr>
                <w:rFonts w:ascii="Times New Roman" w:hAnsi="Times New Roman" w:cs="Times New Roman" w:eastAsia="Times New Roman" w:hint="default"/>
                <w:sz w:val="18"/>
                <w:szCs w:val="18"/>
              </w:rPr>
            </w:pPr>
            <w:r>
              <w:rPr>
                <w:rFonts w:ascii="Times New Roman"/>
                <w:sz w:val="18"/>
              </w:rPr>
              <w:t>682,25</w:t>
            </w:r>
          </w:p>
          <w:p>
            <w:pPr>
              <w:pStyle w:val="TableParagraph"/>
              <w:spacing w:line="207" w:lineRule="exact"/>
              <w:ind w:left="101" w:right="0"/>
              <w:jc w:val="left"/>
              <w:rPr>
                <w:rFonts w:ascii="Times New Roman" w:hAnsi="Times New Roman" w:cs="Times New Roman" w:eastAsia="Times New Roman" w:hint="default"/>
                <w:sz w:val="18"/>
                <w:szCs w:val="18"/>
              </w:rPr>
            </w:pPr>
            <w:r>
              <w:rPr>
                <w:rFonts w:ascii="Times New Roman"/>
                <w:sz w:val="18"/>
              </w:rPr>
              <w:t>9,502.</w:t>
            </w:r>
          </w:p>
          <w:p>
            <w:pPr>
              <w:pStyle w:val="TableParagraph"/>
              <w:spacing w:line="240" w:lineRule="auto" w:before="2"/>
              <w:ind w:left="369" w:right="0"/>
              <w:jc w:val="left"/>
              <w:rPr>
                <w:rFonts w:ascii="Times New Roman" w:hAnsi="Times New Roman" w:cs="Times New Roman" w:eastAsia="Times New Roman" w:hint="default"/>
                <w:sz w:val="18"/>
                <w:szCs w:val="18"/>
              </w:rPr>
            </w:pPr>
            <w:r>
              <w:rPr>
                <w:rFonts w:ascii="Times New Roman"/>
                <w:sz w:val="18"/>
              </w:rPr>
              <w:t>34</w:t>
            </w: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41"/>
              <w:ind w:left="76" w:right="0"/>
              <w:jc w:val="center"/>
              <w:rPr>
                <w:rFonts w:ascii="Times New Roman" w:hAnsi="Times New Roman" w:cs="Times New Roman" w:eastAsia="Times New Roman" w:hint="default"/>
                <w:sz w:val="18"/>
                <w:szCs w:val="18"/>
              </w:rPr>
            </w:pPr>
            <w:r>
              <w:rPr>
                <w:rFonts w:ascii="Times New Roman"/>
                <w:sz w:val="18"/>
              </w:rPr>
              <w:t>4,227,</w:t>
            </w:r>
          </w:p>
          <w:p>
            <w:pPr>
              <w:pStyle w:val="TableParagraph"/>
              <w:spacing w:line="207" w:lineRule="exact"/>
              <w:ind w:left="35" w:right="0"/>
              <w:jc w:val="center"/>
              <w:rPr>
                <w:rFonts w:ascii="Times New Roman" w:hAnsi="Times New Roman" w:cs="Times New Roman" w:eastAsia="Times New Roman" w:hint="default"/>
                <w:sz w:val="18"/>
                <w:szCs w:val="18"/>
              </w:rPr>
            </w:pPr>
            <w:r>
              <w:rPr>
                <w:rFonts w:ascii="Times New Roman"/>
                <w:sz w:val="18"/>
              </w:rPr>
              <w:t>900,99</w:t>
            </w:r>
          </w:p>
          <w:p>
            <w:pPr>
              <w:pStyle w:val="TableParagraph"/>
              <w:spacing w:line="240" w:lineRule="auto" w:before="2"/>
              <w:ind w:left="215" w:right="0"/>
              <w:jc w:val="center"/>
              <w:rPr>
                <w:rFonts w:ascii="Times New Roman" w:hAnsi="Times New Roman" w:cs="Times New Roman" w:eastAsia="Times New Roman" w:hint="default"/>
                <w:sz w:val="18"/>
                <w:szCs w:val="18"/>
              </w:rPr>
            </w:pPr>
            <w:r>
              <w:rPr>
                <w:rFonts w:ascii="Times New Roman"/>
                <w:sz w:val="18"/>
              </w:rPr>
              <w:t>2.93</w:t>
            </w: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41"/>
              <w:ind w:left="78" w:right="0"/>
              <w:jc w:val="center"/>
              <w:rPr>
                <w:rFonts w:ascii="Times New Roman" w:hAnsi="Times New Roman" w:cs="Times New Roman" w:eastAsia="Times New Roman" w:hint="default"/>
                <w:sz w:val="18"/>
                <w:szCs w:val="18"/>
              </w:rPr>
            </w:pPr>
            <w:r>
              <w:rPr>
                <w:rFonts w:ascii="Times New Roman"/>
                <w:sz w:val="18"/>
              </w:rPr>
              <w:t>9,052,</w:t>
            </w:r>
          </w:p>
          <w:p>
            <w:pPr>
              <w:pStyle w:val="TableParagraph"/>
              <w:spacing w:line="207" w:lineRule="exact"/>
              <w:ind w:left="32" w:right="0"/>
              <w:jc w:val="center"/>
              <w:rPr>
                <w:rFonts w:ascii="Times New Roman" w:hAnsi="Times New Roman" w:cs="Times New Roman" w:eastAsia="Times New Roman" w:hint="default"/>
                <w:sz w:val="18"/>
                <w:szCs w:val="18"/>
              </w:rPr>
            </w:pPr>
            <w:r>
              <w:rPr>
                <w:rFonts w:ascii="Times New Roman"/>
                <w:sz w:val="18"/>
              </w:rPr>
              <w:t>927,08</w:t>
            </w:r>
          </w:p>
          <w:p>
            <w:pPr>
              <w:pStyle w:val="TableParagraph"/>
              <w:spacing w:line="240" w:lineRule="auto" w:before="2"/>
              <w:ind w:left="212" w:right="0"/>
              <w:jc w:val="center"/>
              <w:rPr>
                <w:rFonts w:ascii="Times New Roman" w:hAnsi="Times New Roman" w:cs="Times New Roman" w:eastAsia="Times New Roman" w:hint="default"/>
                <w:sz w:val="18"/>
                <w:szCs w:val="18"/>
              </w:rPr>
            </w:pPr>
            <w:r>
              <w:rPr>
                <w:rFonts w:ascii="Times New Roman"/>
                <w:sz w:val="18"/>
              </w:rPr>
              <w:t>5.91</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41"/>
              <w:ind w:left="57" w:right="0"/>
              <w:jc w:val="left"/>
              <w:rPr>
                <w:rFonts w:ascii="Times New Roman" w:hAnsi="Times New Roman" w:cs="Times New Roman" w:eastAsia="Times New Roman" w:hint="default"/>
                <w:sz w:val="18"/>
                <w:szCs w:val="18"/>
              </w:rPr>
            </w:pPr>
            <w:r>
              <w:rPr>
                <w:rFonts w:ascii="Times New Roman"/>
                <w:sz w:val="18"/>
              </w:rPr>
              <w:t>858,64</w:t>
            </w:r>
          </w:p>
          <w:p>
            <w:pPr>
              <w:pStyle w:val="TableParagraph"/>
              <w:spacing w:line="207" w:lineRule="exact"/>
              <w:ind w:left="100" w:right="0"/>
              <w:jc w:val="left"/>
              <w:rPr>
                <w:rFonts w:ascii="Times New Roman" w:hAnsi="Times New Roman" w:cs="Times New Roman" w:eastAsia="Times New Roman" w:hint="default"/>
                <w:sz w:val="18"/>
                <w:szCs w:val="18"/>
              </w:rPr>
            </w:pPr>
            <w:r>
              <w:rPr>
                <w:rFonts w:ascii="Times New Roman"/>
                <w:sz w:val="18"/>
              </w:rPr>
              <w:t>0,270.</w:t>
            </w:r>
          </w:p>
          <w:p>
            <w:pPr>
              <w:pStyle w:val="TableParagraph"/>
              <w:spacing w:line="240" w:lineRule="auto" w:before="2"/>
              <w:ind w:left="371" w:right="0"/>
              <w:jc w:val="left"/>
              <w:rPr>
                <w:rFonts w:ascii="Times New Roman" w:hAnsi="Times New Roman" w:cs="Times New Roman" w:eastAsia="Times New Roman" w:hint="default"/>
                <w:sz w:val="18"/>
                <w:szCs w:val="18"/>
              </w:rPr>
            </w:pPr>
            <w:r>
              <w:rPr>
                <w:rFonts w:ascii="Times New Roman"/>
                <w:sz w:val="18"/>
              </w:rPr>
              <w:t>23</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41"/>
              <w:ind w:left="71" w:right="0"/>
              <w:jc w:val="center"/>
              <w:rPr>
                <w:rFonts w:ascii="Times New Roman" w:hAnsi="Times New Roman" w:cs="Times New Roman" w:eastAsia="Times New Roman" w:hint="default"/>
                <w:sz w:val="18"/>
                <w:szCs w:val="18"/>
              </w:rPr>
            </w:pPr>
            <w:r>
              <w:rPr>
                <w:rFonts w:ascii="Times New Roman"/>
                <w:sz w:val="18"/>
              </w:rPr>
              <w:t>9,911,</w:t>
            </w:r>
          </w:p>
          <w:p>
            <w:pPr>
              <w:pStyle w:val="TableParagraph"/>
              <w:spacing w:line="207" w:lineRule="exact"/>
              <w:ind w:left="25" w:right="0"/>
              <w:jc w:val="center"/>
              <w:rPr>
                <w:rFonts w:ascii="Times New Roman" w:hAnsi="Times New Roman" w:cs="Times New Roman" w:eastAsia="Times New Roman" w:hint="default"/>
                <w:sz w:val="18"/>
                <w:szCs w:val="18"/>
              </w:rPr>
            </w:pPr>
            <w:r>
              <w:rPr>
                <w:rFonts w:ascii="Times New Roman"/>
                <w:sz w:val="18"/>
              </w:rPr>
              <w:t>567,35</w:t>
            </w:r>
          </w:p>
          <w:p>
            <w:pPr>
              <w:pStyle w:val="TableParagraph"/>
              <w:spacing w:line="240" w:lineRule="auto" w:before="2"/>
              <w:ind w:left="205" w:right="0"/>
              <w:jc w:val="center"/>
              <w:rPr>
                <w:rFonts w:ascii="Times New Roman" w:hAnsi="Times New Roman" w:cs="Times New Roman" w:eastAsia="Times New Roman" w:hint="default"/>
                <w:sz w:val="18"/>
                <w:szCs w:val="18"/>
              </w:rPr>
            </w:pPr>
            <w:r>
              <w:rPr>
                <w:rFonts w:ascii="Times New Roman"/>
                <w:sz w:val="18"/>
              </w:rPr>
              <w:t>6.14</w:t>
            </w:r>
          </w:p>
        </w:tc>
      </w:tr>
    </w:tbl>
    <w:p>
      <w:pPr>
        <w:pStyle w:val="BodyText"/>
        <w:spacing w:line="240" w:lineRule="auto" w:before="11"/>
        <w:ind w:left="117" w:right="1603"/>
        <w:jc w:val="left"/>
      </w:pPr>
      <w:r>
        <w:rPr/>
        <w:t>上期金额</w:t>
      </w:r>
    </w:p>
    <w:p>
      <w:pPr>
        <w:pStyle w:val="BodyText"/>
        <w:spacing w:line="240" w:lineRule="auto" w:before="38"/>
        <w:ind w:left="0" w:right="1796"/>
        <w:jc w:val="right"/>
      </w:pPr>
      <w:r>
        <w:rPr/>
        <w:t>单位：元</w:t>
      </w:r>
    </w:p>
    <w:p>
      <w:pPr>
        <w:spacing w:line="240" w:lineRule="auto" w:before="1"/>
        <w:rPr>
          <w:rFonts w:ascii="宋体" w:hAnsi="宋体" w:cs="宋体" w:eastAsia="宋体" w:hint="default"/>
          <w:sz w:val="5"/>
          <w:szCs w:val="5"/>
        </w:rPr>
      </w:pPr>
    </w:p>
    <w:tbl>
      <w:tblPr>
        <w:tblW w:w="0" w:type="auto"/>
        <w:jc w:val="left"/>
        <w:tblInd w:w="112" w:type="dxa"/>
        <w:tblLayout w:type="fixed"/>
        <w:tblCellMar>
          <w:top w:w="0" w:type="dxa"/>
          <w:left w:w="0" w:type="dxa"/>
          <w:bottom w:w="0" w:type="dxa"/>
          <w:right w:w="0" w:type="dxa"/>
        </w:tblCellMar>
        <w:tblLook w:val="01E0"/>
      </w:tblPr>
      <w:tblGrid>
        <w:gridCol w:w="1212"/>
        <w:gridCol w:w="490"/>
        <w:gridCol w:w="449"/>
        <w:gridCol w:w="449"/>
        <w:gridCol w:w="491"/>
        <w:gridCol w:w="576"/>
        <w:gridCol w:w="577"/>
        <w:gridCol w:w="577"/>
        <w:gridCol w:w="577"/>
        <w:gridCol w:w="576"/>
        <w:gridCol w:w="577"/>
        <w:gridCol w:w="589"/>
        <w:gridCol w:w="567"/>
        <w:gridCol w:w="567"/>
        <w:gridCol w:w="643"/>
        <w:gridCol w:w="651"/>
      </w:tblGrid>
      <w:tr>
        <w:trPr>
          <w:trHeight w:val="323" w:hRule="exact"/>
        </w:trPr>
        <w:tc>
          <w:tcPr>
            <w:tcW w:w="12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8356"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w:t>
            </w:r>
          </w:p>
        </w:tc>
      </w:tr>
      <w:tr>
        <w:trPr>
          <w:trHeight w:val="324" w:hRule="exact"/>
        </w:trPr>
        <w:tc>
          <w:tcPr>
            <w:tcW w:w="1212" w:type="dxa"/>
            <w:vMerge/>
            <w:tcBorders>
              <w:left w:val="single" w:sz="4" w:space="0" w:color="000000"/>
              <w:right w:val="single" w:sz="4" w:space="0" w:color="000000"/>
            </w:tcBorders>
            <w:shd w:val="clear" w:color="auto" w:fill="D2D2D2"/>
          </w:tcPr>
          <w:p>
            <w:pPr/>
          </w:p>
        </w:tc>
        <w:tc>
          <w:tcPr>
            <w:tcW w:w="706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4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32" w:lineRule="exact" w:before="123"/>
              <w:ind w:left="45" w:right="4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6"/>
                <w:szCs w:val="16"/>
              </w:rPr>
            </w:pPr>
          </w:p>
          <w:p>
            <w:pPr>
              <w:pStyle w:val="TableParagraph"/>
              <w:spacing w:line="237" w:lineRule="auto"/>
              <w:ind w:left="50" w:right="49"/>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323" w:hRule="exact"/>
        </w:trPr>
        <w:tc>
          <w:tcPr>
            <w:tcW w:w="1212" w:type="dxa"/>
            <w:vMerge/>
            <w:tcBorders>
              <w:left w:val="single" w:sz="4" w:space="0" w:color="000000"/>
              <w:right w:val="single" w:sz="4" w:space="0" w:color="000000"/>
            </w:tcBorders>
            <w:shd w:val="clear" w:color="auto" w:fill="D2D2D2"/>
          </w:tcPr>
          <w:p>
            <w:pPr/>
          </w:p>
        </w:tc>
        <w:tc>
          <w:tcPr>
            <w:tcW w:w="4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38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48"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5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4"/>
                <w:szCs w:val="14"/>
              </w:rPr>
            </w:pPr>
          </w:p>
          <w:p>
            <w:pPr>
              <w:pStyle w:val="TableParagraph"/>
              <w:spacing w:line="232" w:lineRule="exact"/>
              <w:ind w:left="103" w:right="100"/>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5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4"/>
                <w:szCs w:val="14"/>
              </w:rPr>
            </w:pPr>
          </w:p>
          <w:p>
            <w:pPr>
              <w:pStyle w:val="TableParagraph"/>
              <w:spacing w:line="232" w:lineRule="exact"/>
              <w:ind w:left="103" w:right="22" w:hanging="82"/>
              <w:jc w:val="left"/>
              <w:rPr>
                <w:rFonts w:ascii="宋体" w:hAnsi="宋体" w:cs="宋体" w:eastAsia="宋体" w:hint="default"/>
                <w:sz w:val="18"/>
                <w:szCs w:val="18"/>
              </w:rPr>
            </w:pPr>
            <w:r>
              <w:rPr>
                <w:rFonts w:ascii="宋体" w:hAnsi="宋体" w:cs="宋体" w:eastAsia="宋体" w:hint="default"/>
                <w:spacing w:val="-7"/>
                <w:sz w:val="18"/>
                <w:szCs w:val="18"/>
              </w:rPr>
              <w:t>减：库</w:t>
            </w:r>
            <w:r>
              <w:rPr>
                <w:rFonts w:ascii="宋体" w:hAnsi="宋体" w:cs="宋体" w:eastAsia="宋体" w:hint="default"/>
                <w:sz w:val="18"/>
                <w:szCs w:val="18"/>
              </w:rPr>
              <w:t> 存股</w:t>
            </w:r>
          </w:p>
        </w:tc>
        <w:tc>
          <w:tcPr>
            <w:tcW w:w="577" w:type="dxa"/>
            <w:vMerge w:val="restart"/>
            <w:tcBorders>
              <w:top w:val="single" w:sz="4" w:space="0" w:color="000000"/>
              <w:left w:val="single" w:sz="4" w:space="0" w:color="000000"/>
              <w:right w:val="single" w:sz="4" w:space="0" w:color="000000"/>
            </w:tcBorders>
            <w:shd w:val="clear" w:color="auto" w:fill="D2D2D2"/>
          </w:tcPr>
          <w:p>
            <w:pPr>
              <w:pStyle w:val="TableParagraph"/>
              <w:spacing w:line="232" w:lineRule="exact" w:before="81"/>
              <w:ind w:left="102" w:right="102"/>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5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4"/>
                <w:szCs w:val="14"/>
              </w:rPr>
            </w:pPr>
          </w:p>
          <w:p>
            <w:pPr>
              <w:pStyle w:val="TableParagraph"/>
              <w:spacing w:line="232" w:lineRule="exact"/>
              <w:ind w:left="102" w:right="103"/>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5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4"/>
                <w:szCs w:val="14"/>
              </w:rPr>
            </w:pPr>
          </w:p>
          <w:p>
            <w:pPr>
              <w:pStyle w:val="TableParagraph"/>
              <w:spacing w:line="232" w:lineRule="exact"/>
              <w:ind w:left="103" w:right="101"/>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577" w:type="dxa"/>
            <w:vMerge w:val="restart"/>
            <w:tcBorders>
              <w:top w:val="single" w:sz="4" w:space="0" w:color="000000"/>
              <w:left w:val="single" w:sz="4" w:space="0" w:color="000000"/>
              <w:right w:val="single" w:sz="4" w:space="0" w:color="000000"/>
            </w:tcBorders>
            <w:shd w:val="clear" w:color="auto" w:fill="D2D2D2"/>
          </w:tcPr>
          <w:p>
            <w:pPr>
              <w:pStyle w:val="TableParagraph"/>
              <w:spacing w:line="232" w:lineRule="exact" w:before="81"/>
              <w:ind w:left="103" w:right="102"/>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589" w:type="dxa"/>
            <w:vMerge w:val="restart"/>
            <w:tcBorders>
              <w:top w:val="single" w:sz="4" w:space="0" w:color="000000"/>
              <w:left w:val="single" w:sz="4" w:space="0" w:color="000000"/>
              <w:right w:val="single" w:sz="4" w:space="0" w:color="000000"/>
            </w:tcBorders>
            <w:shd w:val="clear" w:color="auto" w:fill="D2D2D2"/>
          </w:tcPr>
          <w:p>
            <w:pPr>
              <w:pStyle w:val="TableParagraph"/>
              <w:spacing w:line="232" w:lineRule="exact" w:before="81"/>
              <w:ind w:left="109" w:right="107"/>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5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643" w:type="dxa"/>
            <w:vMerge/>
            <w:tcBorders>
              <w:left w:val="single" w:sz="4" w:space="0" w:color="000000"/>
              <w:right w:val="single" w:sz="4" w:space="0" w:color="000000"/>
            </w:tcBorders>
            <w:shd w:val="clear" w:color="auto" w:fill="D2D2D2"/>
          </w:tcPr>
          <w:p>
            <w:pPr/>
          </w:p>
        </w:tc>
        <w:tc>
          <w:tcPr>
            <w:tcW w:w="651" w:type="dxa"/>
            <w:vMerge/>
            <w:tcBorders>
              <w:left w:val="single" w:sz="4" w:space="0" w:color="000000"/>
              <w:right w:val="single" w:sz="4" w:space="0" w:color="000000"/>
            </w:tcBorders>
            <w:shd w:val="clear" w:color="auto" w:fill="D2D2D2"/>
          </w:tcPr>
          <w:p>
            <w:pPr/>
          </w:p>
        </w:tc>
      </w:tr>
      <w:tr>
        <w:trPr>
          <w:trHeight w:val="557" w:hRule="exact"/>
        </w:trPr>
        <w:tc>
          <w:tcPr>
            <w:tcW w:w="1212" w:type="dxa"/>
            <w:vMerge/>
            <w:tcBorders>
              <w:left w:val="single" w:sz="4" w:space="0" w:color="000000"/>
              <w:bottom w:val="single" w:sz="4" w:space="0" w:color="000000"/>
              <w:right w:val="single" w:sz="4" w:space="0" w:color="000000"/>
            </w:tcBorders>
            <w:shd w:val="clear" w:color="auto" w:fill="D2D2D2"/>
          </w:tcPr>
          <w:p>
            <w:pPr/>
          </w:p>
        </w:tc>
        <w:tc>
          <w:tcPr>
            <w:tcW w:w="490" w:type="dxa"/>
            <w:vMerge/>
            <w:tcBorders>
              <w:left w:val="single" w:sz="4" w:space="0" w:color="000000"/>
              <w:bottom w:val="single" w:sz="4" w:space="0" w:color="000000"/>
              <w:right w:val="single" w:sz="4" w:space="0" w:color="000000"/>
            </w:tcBorders>
            <w:shd w:val="clear" w:color="auto" w:fill="D2D2D2"/>
          </w:tcPr>
          <w:p>
            <w:pPr/>
          </w:p>
        </w:tc>
        <w:tc>
          <w:tcPr>
            <w:tcW w:w="4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6"/>
              <w:ind w:left="129" w:right="38" w:hanging="92"/>
              <w:jc w:val="left"/>
              <w:rPr>
                <w:rFonts w:ascii="宋体" w:hAnsi="宋体" w:cs="宋体" w:eastAsia="宋体" w:hint="default"/>
                <w:sz w:val="18"/>
                <w:szCs w:val="18"/>
              </w:rPr>
            </w:pPr>
            <w:r>
              <w:rPr>
                <w:rFonts w:ascii="宋体" w:hAnsi="宋体" w:cs="宋体" w:eastAsia="宋体" w:hint="default"/>
                <w:sz w:val="18"/>
                <w:szCs w:val="18"/>
              </w:rPr>
              <w:t>优先 股</w:t>
            </w:r>
          </w:p>
        </w:tc>
        <w:tc>
          <w:tcPr>
            <w:tcW w:w="4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6"/>
              <w:ind w:left="129" w:right="39" w:hanging="92"/>
              <w:jc w:val="left"/>
              <w:rPr>
                <w:rFonts w:ascii="宋体" w:hAnsi="宋体" w:cs="宋体" w:eastAsia="宋体" w:hint="default"/>
                <w:sz w:val="18"/>
                <w:szCs w:val="18"/>
              </w:rPr>
            </w:pPr>
            <w:r>
              <w:rPr>
                <w:rFonts w:ascii="宋体" w:hAnsi="宋体" w:cs="宋体" w:eastAsia="宋体" w:hint="default"/>
                <w:sz w:val="18"/>
                <w:szCs w:val="18"/>
              </w:rPr>
              <w:t>永续 债</w:t>
            </w:r>
          </w:p>
        </w:tc>
        <w:tc>
          <w:tcPr>
            <w:tcW w:w="4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6"/>
              <w:ind w:left="5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6" w:type="dxa"/>
            <w:vMerge/>
            <w:tcBorders>
              <w:left w:val="single" w:sz="4" w:space="0" w:color="000000"/>
              <w:bottom w:val="single" w:sz="4" w:space="0" w:color="000000"/>
              <w:right w:val="single" w:sz="4" w:space="0" w:color="000000"/>
            </w:tcBorders>
            <w:shd w:val="clear" w:color="auto" w:fill="D2D2D2"/>
          </w:tcPr>
          <w:p>
            <w:pPr/>
          </w:p>
        </w:tc>
        <w:tc>
          <w:tcPr>
            <w:tcW w:w="577" w:type="dxa"/>
            <w:vMerge/>
            <w:tcBorders>
              <w:left w:val="single" w:sz="4" w:space="0" w:color="000000"/>
              <w:bottom w:val="single" w:sz="4" w:space="0" w:color="000000"/>
              <w:right w:val="single" w:sz="4" w:space="0" w:color="000000"/>
            </w:tcBorders>
            <w:shd w:val="clear" w:color="auto" w:fill="D2D2D2"/>
          </w:tcPr>
          <w:p>
            <w:pPr/>
          </w:p>
        </w:tc>
        <w:tc>
          <w:tcPr>
            <w:tcW w:w="577" w:type="dxa"/>
            <w:vMerge/>
            <w:tcBorders>
              <w:left w:val="single" w:sz="4" w:space="0" w:color="000000"/>
              <w:bottom w:val="single" w:sz="4" w:space="0" w:color="000000"/>
              <w:right w:val="single" w:sz="4" w:space="0" w:color="000000"/>
            </w:tcBorders>
            <w:shd w:val="clear" w:color="auto" w:fill="D2D2D2"/>
          </w:tcPr>
          <w:p>
            <w:pPr/>
          </w:p>
        </w:tc>
        <w:tc>
          <w:tcPr>
            <w:tcW w:w="577" w:type="dxa"/>
            <w:vMerge/>
            <w:tcBorders>
              <w:left w:val="single" w:sz="4" w:space="0" w:color="000000"/>
              <w:bottom w:val="single" w:sz="4" w:space="0" w:color="000000"/>
              <w:right w:val="single" w:sz="4" w:space="0" w:color="000000"/>
            </w:tcBorders>
            <w:shd w:val="clear" w:color="auto" w:fill="D2D2D2"/>
          </w:tcPr>
          <w:p>
            <w:pPr/>
          </w:p>
        </w:tc>
        <w:tc>
          <w:tcPr>
            <w:tcW w:w="576" w:type="dxa"/>
            <w:vMerge/>
            <w:tcBorders>
              <w:left w:val="single" w:sz="4" w:space="0" w:color="000000"/>
              <w:bottom w:val="single" w:sz="4" w:space="0" w:color="000000"/>
              <w:right w:val="single" w:sz="4" w:space="0" w:color="000000"/>
            </w:tcBorders>
            <w:shd w:val="clear" w:color="auto" w:fill="D2D2D2"/>
          </w:tcPr>
          <w:p>
            <w:pPr/>
          </w:p>
        </w:tc>
        <w:tc>
          <w:tcPr>
            <w:tcW w:w="577" w:type="dxa"/>
            <w:vMerge/>
            <w:tcBorders>
              <w:left w:val="single" w:sz="4" w:space="0" w:color="000000"/>
              <w:bottom w:val="single" w:sz="4" w:space="0" w:color="000000"/>
              <w:right w:val="single" w:sz="4" w:space="0" w:color="000000"/>
            </w:tcBorders>
            <w:shd w:val="clear" w:color="auto" w:fill="D2D2D2"/>
          </w:tcPr>
          <w:p>
            <w:pPr/>
          </w:p>
        </w:tc>
        <w:tc>
          <w:tcPr>
            <w:tcW w:w="589" w:type="dxa"/>
            <w:vMerge/>
            <w:tcBorders>
              <w:left w:val="single" w:sz="4" w:space="0" w:color="000000"/>
              <w:bottom w:val="single" w:sz="4" w:space="0" w:color="000000"/>
              <w:right w:val="single" w:sz="4" w:space="0" w:color="000000"/>
            </w:tcBorders>
            <w:shd w:val="clear" w:color="auto" w:fill="D2D2D2"/>
          </w:tcPr>
          <w:p>
            <w:pPr/>
          </w:p>
        </w:tc>
        <w:tc>
          <w:tcPr>
            <w:tcW w:w="567" w:type="dxa"/>
            <w:vMerge/>
            <w:tcBorders>
              <w:left w:val="single" w:sz="4" w:space="0" w:color="000000"/>
              <w:bottom w:val="single" w:sz="4" w:space="0" w:color="000000"/>
              <w:right w:val="single" w:sz="4" w:space="0" w:color="000000"/>
            </w:tcBorders>
            <w:shd w:val="clear" w:color="auto" w:fill="D2D2D2"/>
          </w:tcPr>
          <w:p>
            <w:pPr/>
          </w:p>
        </w:tc>
        <w:tc>
          <w:tcPr>
            <w:tcW w:w="567" w:type="dxa"/>
            <w:vMerge/>
            <w:tcBorders>
              <w:left w:val="single" w:sz="4" w:space="0" w:color="000000"/>
              <w:bottom w:val="single" w:sz="4" w:space="0" w:color="000000"/>
              <w:right w:val="single" w:sz="4" w:space="0" w:color="000000"/>
            </w:tcBorders>
            <w:shd w:val="clear" w:color="auto" w:fill="D2D2D2"/>
          </w:tcPr>
          <w:p>
            <w:pPr/>
          </w:p>
        </w:tc>
        <w:tc>
          <w:tcPr>
            <w:tcW w:w="643" w:type="dxa"/>
            <w:vMerge/>
            <w:tcBorders>
              <w:left w:val="single" w:sz="4" w:space="0" w:color="000000"/>
              <w:bottom w:val="single" w:sz="4" w:space="0" w:color="000000"/>
              <w:right w:val="single" w:sz="4" w:space="0" w:color="000000"/>
            </w:tcBorders>
            <w:shd w:val="clear" w:color="auto" w:fill="D2D2D2"/>
          </w:tcPr>
          <w:p>
            <w:pPr/>
          </w:p>
        </w:tc>
        <w:tc>
          <w:tcPr>
            <w:tcW w:w="651" w:type="dxa"/>
            <w:vMerge/>
            <w:tcBorders>
              <w:left w:val="single" w:sz="4" w:space="0" w:color="000000"/>
              <w:bottom w:val="single" w:sz="4" w:space="0" w:color="000000"/>
              <w:right w:val="single" w:sz="4" w:space="0" w:color="000000"/>
            </w:tcBorders>
            <w:shd w:val="clear" w:color="auto" w:fill="D2D2D2"/>
          </w:tcPr>
          <w:p>
            <w:pPr/>
          </w:p>
        </w:tc>
      </w:tr>
      <w:tr>
        <w:trPr>
          <w:trHeight w:val="918"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6"/>
                <w:szCs w:val="16"/>
              </w:rPr>
            </w:pPr>
          </w:p>
          <w:p>
            <w:pPr>
              <w:pStyle w:val="TableParagraph"/>
              <w:spacing w:line="232" w:lineRule="exact"/>
              <w:ind w:left="22" w:right="98"/>
              <w:jc w:val="left"/>
              <w:rPr>
                <w:rFonts w:ascii="宋体" w:hAnsi="宋体" w:cs="宋体" w:eastAsia="宋体" w:hint="default"/>
                <w:sz w:val="18"/>
                <w:szCs w:val="18"/>
              </w:rPr>
            </w:pPr>
            <w:r>
              <w:rPr>
                <w:rFonts w:ascii="宋体" w:hAnsi="宋体" w:cs="宋体" w:eastAsia="宋体" w:hint="default"/>
                <w:sz w:val="18"/>
                <w:szCs w:val="18"/>
              </w:rPr>
              <w:t>一、上年期末 余额</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9"/>
              <w:ind w:left="51" w:right="0"/>
              <w:jc w:val="left"/>
              <w:rPr>
                <w:rFonts w:ascii="Times New Roman" w:hAnsi="Times New Roman" w:cs="Times New Roman" w:eastAsia="Times New Roman" w:hint="default"/>
                <w:sz w:val="18"/>
                <w:szCs w:val="18"/>
              </w:rPr>
            </w:pPr>
            <w:r>
              <w:rPr>
                <w:rFonts w:ascii="Times New Roman"/>
                <w:sz w:val="18"/>
              </w:rPr>
              <w:t>2,428</w:t>
            </w:r>
          </w:p>
          <w:p>
            <w:pPr>
              <w:pStyle w:val="TableParagraph"/>
              <w:spacing w:line="206" w:lineRule="exact"/>
              <w:ind w:left="96" w:right="0"/>
              <w:jc w:val="left"/>
              <w:rPr>
                <w:rFonts w:ascii="Times New Roman" w:hAnsi="Times New Roman" w:cs="Times New Roman" w:eastAsia="Times New Roman" w:hint="default"/>
                <w:sz w:val="18"/>
                <w:szCs w:val="18"/>
              </w:rPr>
            </w:pPr>
            <w:r>
              <w:rPr>
                <w:rFonts w:ascii="Times New Roman"/>
                <w:sz w:val="18"/>
              </w:rPr>
              <w:t>,885,</w:t>
            </w:r>
          </w:p>
          <w:p>
            <w:pPr>
              <w:pStyle w:val="TableParagraph"/>
              <w:spacing w:line="206" w:lineRule="exact"/>
              <w:ind w:left="51" w:right="0"/>
              <w:jc w:val="left"/>
              <w:rPr>
                <w:rFonts w:ascii="Times New Roman" w:hAnsi="Times New Roman" w:cs="Times New Roman" w:eastAsia="Times New Roman" w:hint="default"/>
                <w:sz w:val="18"/>
                <w:szCs w:val="18"/>
              </w:rPr>
            </w:pPr>
            <w:r>
              <w:rPr>
                <w:rFonts w:ascii="Times New Roman"/>
                <w:sz w:val="18"/>
              </w:rPr>
              <w:t>725.0</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42"/>
              <w:ind w:left="68" w:right="0"/>
              <w:jc w:val="center"/>
              <w:rPr>
                <w:rFonts w:ascii="Times New Roman" w:hAnsi="Times New Roman" w:cs="Times New Roman" w:eastAsia="Times New Roman" w:hint="default"/>
                <w:sz w:val="18"/>
                <w:szCs w:val="18"/>
              </w:rPr>
            </w:pPr>
            <w:r>
              <w:rPr>
                <w:rFonts w:ascii="Times New Roman"/>
                <w:sz w:val="18"/>
              </w:rPr>
              <w:t>2,298,</w:t>
            </w:r>
          </w:p>
          <w:p>
            <w:pPr>
              <w:pStyle w:val="TableParagraph"/>
              <w:spacing w:line="206" w:lineRule="exact"/>
              <w:ind w:left="26" w:right="0"/>
              <w:jc w:val="center"/>
              <w:rPr>
                <w:rFonts w:ascii="Times New Roman" w:hAnsi="Times New Roman" w:cs="Times New Roman" w:eastAsia="Times New Roman" w:hint="default"/>
                <w:sz w:val="18"/>
                <w:szCs w:val="18"/>
              </w:rPr>
            </w:pPr>
            <w:r>
              <w:rPr>
                <w:rFonts w:ascii="Times New Roman"/>
                <w:sz w:val="18"/>
              </w:rPr>
              <w:t>125,81</w:t>
            </w:r>
          </w:p>
          <w:p>
            <w:pPr>
              <w:pStyle w:val="TableParagraph"/>
              <w:spacing w:line="207" w:lineRule="exact"/>
              <w:ind w:left="206" w:right="0"/>
              <w:jc w:val="center"/>
              <w:rPr>
                <w:rFonts w:ascii="Times New Roman" w:hAnsi="Times New Roman" w:cs="Times New Roman" w:eastAsia="Times New Roman" w:hint="default"/>
                <w:sz w:val="18"/>
                <w:szCs w:val="18"/>
              </w:rPr>
            </w:pPr>
            <w:r>
              <w:rPr>
                <w:rFonts w:ascii="Times New Roman"/>
                <w:sz w:val="18"/>
              </w:rPr>
              <w:t>9.56</w:t>
            </w: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42"/>
              <w:ind w:left="78" w:right="0"/>
              <w:jc w:val="left"/>
              <w:rPr>
                <w:rFonts w:ascii="Times New Roman" w:hAnsi="Times New Roman" w:cs="Times New Roman" w:eastAsia="Times New Roman" w:hint="default"/>
                <w:sz w:val="18"/>
                <w:szCs w:val="18"/>
              </w:rPr>
            </w:pPr>
            <w:r>
              <w:rPr>
                <w:rFonts w:ascii="Times New Roman"/>
                <w:sz w:val="18"/>
              </w:rPr>
              <w:t>-92,84</w:t>
            </w:r>
          </w:p>
          <w:p>
            <w:pPr>
              <w:pStyle w:val="TableParagraph"/>
              <w:spacing w:line="206" w:lineRule="exact"/>
              <w:ind w:left="93" w:right="0"/>
              <w:jc w:val="left"/>
              <w:rPr>
                <w:rFonts w:ascii="Times New Roman" w:hAnsi="Times New Roman" w:cs="Times New Roman" w:eastAsia="Times New Roman" w:hint="default"/>
                <w:sz w:val="18"/>
                <w:szCs w:val="18"/>
              </w:rPr>
            </w:pPr>
            <w:r>
              <w:rPr>
                <w:rFonts w:ascii="Times New Roman"/>
                <w:sz w:val="18"/>
              </w:rPr>
              <w:t>6,447.</w:t>
            </w:r>
          </w:p>
          <w:p>
            <w:pPr>
              <w:pStyle w:val="TableParagraph"/>
              <w:spacing w:line="207" w:lineRule="exact"/>
              <w:ind w:left="364" w:right="0"/>
              <w:jc w:val="left"/>
              <w:rPr>
                <w:rFonts w:ascii="Times New Roman" w:hAnsi="Times New Roman" w:cs="Times New Roman" w:eastAsia="Times New Roman" w:hint="default"/>
                <w:sz w:val="18"/>
                <w:szCs w:val="18"/>
              </w:rPr>
            </w:pPr>
            <w:r>
              <w:rPr>
                <w:rFonts w:ascii="Times New Roman"/>
                <w:sz w:val="18"/>
              </w:rPr>
              <w:t>41</w:t>
            </w: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42"/>
              <w:ind w:left="48" w:right="0"/>
              <w:jc w:val="left"/>
              <w:rPr>
                <w:rFonts w:ascii="Times New Roman" w:hAnsi="Times New Roman" w:cs="Times New Roman" w:eastAsia="Times New Roman" w:hint="default"/>
                <w:sz w:val="18"/>
                <w:szCs w:val="18"/>
              </w:rPr>
            </w:pPr>
            <w:r>
              <w:rPr>
                <w:rFonts w:ascii="Times New Roman"/>
                <w:sz w:val="18"/>
              </w:rPr>
              <w:t>615,07</w:t>
            </w:r>
          </w:p>
          <w:p>
            <w:pPr>
              <w:pStyle w:val="TableParagraph"/>
              <w:spacing w:line="206" w:lineRule="exact"/>
              <w:ind w:left="93" w:right="0"/>
              <w:jc w:val="left"/>
              <w:rPr>
                <w:rFonts w:ascii="Times New Roman" w:hAnsi="Times New Roman" w:cs="Times New Roman" w:eastAsia="Times New Roman" w:hint="default"/>
                <w:sz w:val="18"/>
                <w:szCs w:val="18"/>
              </w:rPr>
            </w:pPr>
            <w:r>
              <w:rPr>
                <w:rFonts w:ascii="Times New Roman"/>
                <w:sz w:val="18"/>
              </w:rPr>
              <w:t>9,483.</w:t>
            </w:r>
          </w:p>
          <w:p>
            <w:pPr>
              <w:pStyle w:val="TableParagraph"/>
              <w:spacing w:line="207" w:lineRule="exact"/>
              <w:ind w:left="362" w:right="0"/>
              <w:jc w:val="left"/>
              <w:rPr>
                <w:rFonts w:ascii="Times New Roman" w:hAnsi="Times New Roman" w:cs="Times New Roman" w:eastAsia="Times New Roman" w:hint="default"/>
                <w:sz w:val="18"/>
                <w:szCs w:val="18"/>
              </w:rPr>
            </w:pPr>
            <w:r>
              <w:rPr>
                <w:rFonts w:ascii="Times New Roman"/>
                <w:sz w:val="18"/>
              </w:rPr>
              <w:t>51</w:t>
            </w: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42"/>
              <w:ind w:left="85" w:right="0"/>
              <w:jc w:val="center"/>
              <w:rPr>
                <w:rFonts w:ascii="Times New Roman" w:hAnsi="Times New Roman" w:cs="Times New Roman" w:eastAsia="Times New Roman" w:hint="default"/>
                <w:sz w:val="18"/>
                <w:szCs w:val="18"/>
              </w:rPr>
            </w:pPr>
            <w:r>
              <w:rPr>
                <w:rFonts w:ascii="Times New Roman"/>
                <w:sz w:val="18"/>
              </w:rPr>
              <w:t>3,641,</w:t>
            </w:r>
          </w:p>
          <w:p>
            <w:pPr>
              <w:pStyle w:val="TableParagraph"/>
              <w:spacing w:line="206" w:lineRule="exact"/>
              <w:ind w:left="39" w:right="0"/>
              <w:jc w:val="center"/>
              <w:rPr>
                <w:rFonts w:ascii="Times New Roman" w:hAnsi="Times New Roman" w:cs="Times New Roman" w:eastAsia="Times New Roman" w:hint="default"/>
                <w:sz w:val="18"/>
                <w:szCs w:val="18"/>
              </w:rPr>
            </w:pPr>
            <w:r>
              <w:rPr>
                <w:rFonts w:ascii="Times New Roman"/>
                <w:sz w:val="18"/>
              </w:rPr>
              <w:t>664,70</w:t>
            </w:r>
          </w:p>
          <w:p>
            <w:pPr>
              <w:pStyle w:val="TableParagraph"/>
              <w:spacing w:line="207" w:lineRule="exact"/>
              <w:ind w:left="219" w:right="0"/>
              <w:jc w:val="center"/>
              <w:rPr>
                <w:rFonts w:ascii="Times New Roman" w:hAnsi="Times New Roman" w:cs="Times New Roman" w:eastAsia="Times New Roman" w:hint="default"/>
                <w:sz w:val="18"/>
                <w:szCs w:val="18"/>
              </w:rPr>
            </w:pPr>
            <w:r>
              <w:rPr>
                <w:rFonts w:ascii="Times New Roman"/>
                <w:sz w:val="18"/>
              </w:rPr>
              <w:t>5.24</w:t>
            </w:r>
          </w:p>
        </w:tc>
        <w:tc>
          <w:tcPr>
            <w:tcW w:w="56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42"/>
              <w:ind w:left="61" w:right="0"/>
              <w:jc w:val="center"/>
              <w:rPr>
                <w:rFonts w:ascii="Times New Roman" w:hAnsi="Times New Roman" w:cs="Times New Roman" w:eastAsia="Times New Roman" w:hint="default"/>
                <w:sz w:val="18"/>
                <w:szCs w:val="18"/>
              </w:rPr>
            </w:pPr>
            <w:r>
              <w:rPr>
                <w:rFonts w:ascii="Times New Roman"/>
                <w:sz w:val="18"/>
              </w:rPr>
              <w:t>8,890,</w:t>
            </w:r>
          </w:p>
          <w:p>
            <w:pPr>
              <w:pStyle w:val="TableParagraph"/>
              <w:spacing w:line="206" w:lineRule="exact"/>
              <w:ind w:left="14" w:right="0"/>
              <w:jc w:val="center"/>
              <w:rPr>
                <w:rFonts w:ascii="Times New Roman" w:hAnsi="Times New Roman" w:cs="Times New Roman" w:eastAsia="Times New Roman" w:hint="default"/>
                <w:sz w:val="18"/>
                <w:szCs w:val="18"/>
              </w:rPr>
            </w:pPr>
            <w:r>
              <w:rPr>
                <w:rFonts w:ascii="Times New Roman"/>
                <w:sz w:val="18"/>
              </w:rPr>
              <w:t>909,28</w:t>
            </w:r>
          </w:p>
          <w:p>
            <w:pPr>
              <w:pStyle w:val="TableParagraph"/>
              <w:spacing w:line="207" w:lineRule="exact"/>
              <w:ind w:left="194" w:right="0"/>
              <w:jc w:val="center"/>
              <w:rPr>
                <w:rFonts w:ascii="Times New Roman" w:hAnsi="Times New Roman" w:cs="Times New Roman" w:eastAsia="Times New Roman" w:hint="default"/>
                <w:sz w:val="18"/>
                <w:szCs w:val="18"/>
              </w:rPr>
            </w:pPr>
            <w:r>
              <w:rPr>
                <w:rFonts w:ascii="Times New Roman"/>
                <w:sz w:val="18"/>
              </w:rPr>
              <w:t>5.90</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07" w:lineRule="exact"/>
              <w:ind w:left="25" w:right="0"/>
              <w:jc w:val="left"/>
              <w:rPr>
                <w:rFonts w:ascii="Times New Roman" w:hAnsi="Times New Roman" w:cs="Times New Roman" w:eastAsia="Times New Roman" w:hint="default"/>
                <w:sz w:val="18"/>
                <w:szCs w:val="18"/>
              </w:rPr>
            </w:pPr>
            <w:r>
              <w:rPr>
                <w:rFonts w:ascii="Times New Roman"/>
                <w:sz w:val="18"/>
              </w:rPr>
              <w:t>593,329</w:t>
            </w:r>
          </w:p>
          <w:p>
            <w:pPr>
              <w:pStyle w:val="TableParagraph"/>
              <w:spacing w:line="207" w:lineRule="exact"/>
              <w:ind w:left="68" w:right="0"/>
              <w:jc w:val="left"/>
              <w:rPr>
                <w:rFonts w:ascii="Times New Roman" w:hAnsi="Times New Roman" w:cs="Times New Roman" w:eastAsia="Times New Roman" w:hint="default"/>
                <w:sz w:val="18"/>
                <w:szCs w:val="18"/>
              </w:rPr>
            </w:pPr>
            <w:r>
              <w:rPr>
                <w:rFonts w:ascii="Times New Roman"/>
                <w:sz w:val="18"/>
              </w:rPr>
              <w:t>,839.28</w:t>
            </w: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42"/>
              <w:ind w:right="19"/>
              <w:jc w:val="right"/>
              <w:rPr>
                <w:rFonts w:ascii="Times New Roman" w:hAnsi="Times New Roman" w:cs="Times New Roman" w:eastAsia="Times New Roman" w:hint="default"/>
                <w:sz w:val="18"/>
                <w:szCs w:val="18"/>
              </w:rPr>
            </w:pPr>
            <w:r>
              <w:rPr>
                <w:rFonts w:ascii="Times New Roman"/>
                <w:spacing w:val="-1"/>
                <w:sz w:val="18"/>
              </w:rPr>
              <w:t>9,484,2</w:t>
            </w:r>
          </w:p>
          <w:p>
            <w:pPr>
              <w:pStyle w:val="TableParagraph"/>
              <w:spacing w:line="206" w:lineRule="exact"/>
              <w:ind w:right="21"/>
              <w:jc w:val="right"/>
              <w:rPr>
                <w:rFonts w:ascii="Times New Roman" w:hAnsi="Times New Roman" w:cs="Times New Roman" w:eastAsia="Times New Roman" w:hint="default"/>
                <w:sz w:val="18"/>
                <w:szCs w:val="18"/>
              </w:rPr>
            </w:pPr>
            <w:r>
              <w:rPr>
                <w:rFonts w:ascii="Times New Roman"/>
                <w:spacing w:val="-1"/>
                <w:sz w:val="18"/>
              </w:rPr>
              <w:t>39,125.</w:t>
            </w:r>
          </w:p>
          <w:p>
            <w:pPr>
              <w:pStyle w:val="TableParagraph"/>
              <w:spacing w:line="207" w:lineRule="exact"/>
              <w:ind w:right="19"/>
              <w:jc w:val="right"/>
              <w:rPr>
                <w:rFonts w:ascii="Times New Roman" w:hAnsi="Times New Roman" w:cs="Times New Roman" w:eastAsia="Times New Roman" w:hint="default"/>
                <w:sz w:val="18"/>
                <w:szCs w:val="18"/>
              </w:rPr>
            </w:pPr>
            <w:r>
              <w:rPr>
                <w:rFonts w:ascii="Times New Roman"/>
                <w:sz w:val="18"/>
              </w:rPr>
              <w:t>18</w:t>
            </w:r>
          </w:p>
        </w:tc>
      </w:tr>
      <w:tr>
        <w:trPr>
          <w:trHeight w:val="557"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5"/>
              <w:ind w:left="22" w:right="98" w:firstLine="360"/>
              <w:jc w:val="left"/>
              <w:rPr>
                <w:rFonts w:ascii="宋体" w:hAnsi="宋体" w:cs="宋体" w:eastAsia="宋体" w:hint="default"/>
                <w:sz w:val="18"/>
                <w:szCs w:val="18"/>
              </w:rPr>
            </w:pPr>
            <w:r>
              <w:rPr>
                <w:rFonts w:ascii="宋体" w:hAnsi="宋体" w:cs="宋体" w:eastAsia="宋体" w:hint="default"/>
                <w:sz w:val="18"/>
                <w:szCs w:val="18"/>
              </w:rPr>
              <w:t>加：会计 政策变更</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98" w:firstLine="720"/>
              <w:jc w:val="left"/>
              <w:rPr>
                <w:rFonts w:ascii="宋体" w:hAnsi="宋体" w:cs="宋体" w:eastAsia="宋体" w:hint="default"/>
                <w:sz w:val="18"/>
                <w:szCs w:val="18"/>
              </w:rPr>
            </w:pPr>
            <w:r>
              <w:rPr>
                <w:rFonts w:ascii="宋体" w:hAnsi="宋体" w:cs="宋体" w:eastAsia="宋体" w:hint="default"/>
                <w:sz w:val="18"/>
                <w:szCs w:val="18"/>
              </w:rPr>
              <w:t>前期 差错更正</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r>
      <w:tr>
        <w:trPr>
          <w:trHeight w:val="791"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8"/>
              <w:ind w:left="22" w:right="98" w:firstLine="720"/>
              <w:jc w:val="both"/>
              <w:rPr>
                <w:rFonts w:ascii="宋体" w:hAnsi="宋体" w:cs="宋体" w:eastAsia="宋体" w:hint="default"/>
                <w:sz w:val="18"/>
                <w:szCs w:val="18"/>
              </w:rPr>
            </w:pPr>
            <w:r>
              <w:rPr>
                <w:rFonts w:ascii="宋体" w:hAnsi="宋体" w:cs="宋体" w:eastAsia="宋体" w:hint="default"/>
                <w:sz w:val="18"/>
                <w:szCs w:val="18"/>
              </w:rPr>
              <w:t>同一 控制下企业合 并</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7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r>
      <w:tr>
        <w:trPr>
          <w:trHeight w:val="918"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6"/>
                <w:szCs w:val="16"/>
              </w:rPr>
            </w:pPr>
          </w:p>
          <w:p>
            <w:pPr>
              <w:pStyle w:val="TableParagraph"/>
              <w:spacing w:line="232" w:lineRule="exact"/>
              <w:ind w:left="22" w:right="98"/>
              <w:jc w:val="left"/>
              <w:rPr>
                <w:rFonts w:ascii="宋体" w:hAnsi="宋体" w:cs="宋体" w:eastAsia="宋体" w:hint="default"/>
                <w:sz w:val="18"/>
                <w:szCs w:val="18"/>
              </w:rPr>
            </w:pPr>
            <w:r>
              <w:rPr>
                <w:rFonts w:ascii="宋体" w:hAnsi="宋体" w:cs="宋体" w:eastAsia="宋体" w:hint="default"/>
                <w:sz w:val="18"/>
                <w:szCs w:val="18"/>
              </w:rPr>
              <w:t>二、本年期初 余额</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40"/>
              <w:ind w:left="51" w:right="0"/>
              <w:jc w:val="left"/>
              <w:rPr>
                <w:rFonts w:ascii="Times New Roman" w:hAnsi="Times New Roman" w:cs="Times New Roman" w:eastAsia="Times New Roman" w:hint="default"/>
                <w:sz w:val="18"/>
                <w:szCs w:val="18"/>
              </w:rPr>
            </w:pPr>
            <w:r>
              <w:rPr>
                <w:rFonts w:ascii="Times New Roman"/>
                <w:sz w:val="18"/>
              </w:rPr>
              <w:t>2,428</w:t>
            </w:r>
          </w:p>
          <w:p>
            <w:pPr>
              <w:pStyle w:val="TableParagraph"/>
              <w:spacing w:line="206" w:lineRule="exact"/>
              <w:ind w:left="96" w:right="0"/>
              <w:jc w:val="left"/>
              <w:rPr>
                <w:rFonts w:ascii="Times New Roman" w:hAnsi="Times New Roman" w:cs="Times New Roman" w:eastAsia="Times New Roman" w:hint="default"/>
                <w:sz w:val="18"/>
                <w:szCs w:val="18"/>
              </w:rPr>
            </w:pPr>
            <w:r>
              <w:rPr>
                <w:rFonts w:ascii="Times New Roman"/>
                <w:sz w:val="18"/>
              </w:rPr>
              <w:t>,885,</w:t>
            </w:r>
          </w:p>
          <w:p>
            <w:pPr>
              <w:pStyle w:val="TableParagraph"/>
              <w:spacing w:line="206" w:lineRule="exact"/>
              <w:ind w:left="51" w:right="0"/>
              <w:jc w:val="left"/>
              <w:rPr>
                <w:rFonts w:ascii="Times New Roman" w:hAnsi="Times New Roman" w:cs="Times New Roman" w:eastAsia="Times New Roman" w:hint="default"/>
                <w:sz w:val="18"/>
                <w:szCs w:val="18"/>
              </w:rPr>
            </w:pPr>
            <w:r>
              <w:rPr>
                <w:rFonts w:ascii="Times New Roman"/>
                <w:sz w:val="18"/>
              </w:rPr>
              <w:t>725.0</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43"/>
              <w:ind w:left="68" w:right="0"/>
              <w:jc w:val="center"/>
              <w:rPr>
                <w:rFonts w:ascii="Times New Roman" w:hAnsi="Times New Roman" w:cs="Times New Roman" w:eastAsia="Times New Roman" w:hint="default"/>
                <w:sz w:val="18"/>
                <w:szCs w:val="18"/>
              </w:rPr>
            </w:pPr>
            <w:r>
              <w:rPr>
                <w:rFonts w:ascii="Times New Roman"/>
                <w:sz w:val="18"/>
              </w:rPr>
              <w:t>2,298,</w:t>
            </w:r>
          </w:p>
          <w:p>
            <w:pPr>
              <w:pStyle w:val="TableParagraph"/>
              <w:spacing w:line="206" w:lineRule="exact"/>
              <w:ind w:left="26" w:right="0"/>
              <w:jc w:val="center"/>
              <w:rPr>
                <w:rFonts w:ascii="Times New Roman" w:hAnsi="Times New Roman" w:cs="Times New Roman" w:eastAsia="Times New Roman" w:hint="default"/>
                <w:sz w:val="18"/>
                <w:szCs w:val="18"/>
              </w:rPr>
            </w:pPr>
            <w:r>
              <w:rPr>
                <w:rFonts w:ascii="Times New Roman"/>
                <w:sz w:val="18"/>
              </w:rPr>
              <w:t>125,81</w:t>
            </w:r>
          </w:p>
          <w:p>
            <w:pPr>
              <w:pStyle w:val="TableParagraph"/>
              <w:spacing w:line="207" w:lineRule="exact"/>
              <w:ind w:left="206" w:right="0"/>
              <w:jc w:val="center"/>
              <w:rPr>
                <w:rFonts w:ascii="Times New Roman" w:hAnsi="Times New Roman" w:cs="Times New Roman" w:eastAsia="Times New Roman" w:hint="default"/>
                <w:sz w:val="18"/>
                <w:szCs w:val="18"/>
              </w:rPr>
            </w:pPr>
            <w:r>
              <w:rPr>
                <w:rFonts w:ascii="Times New Roman"/>
                <w:sz w:val="18"/>
              </w:rPr>
              <w:t>9.56</w:t>
            </w: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43"/>
              <w:ind w:left="78" w:right="0"/>
              <w:jc w:val="left"/>
              <w:rPr>
                <w:rFonts w:ascii="Times New Roman" w:hAnsi="Times New Roman" w:cs="Times New Roman" w:eastAsia="Times New Roman" w:hint="default"/>
                <w:sz w:val="18"/>
                <w:szCs w:val="18"/>
              </w:rPr>
            </w:pPr>
            <w:r>
              <w:rPr>
                <w:rFonts w:ascii="Times New Roman"/>
                <w:sz w:val="18"/>
              </w:rPr>
              <w:t>-92,84</w:t>
            </w:r>
          </w:p>
          <w:p>
            <w:pPr>
              <w:pStyle w:val="TableParagraph"/>
              <w:spacing w:line="206" w:lineRule="exact"/>
              <w:ind w:left="93" w:right="0"/>
              <w:jc w:val="left"/>
              <w:rPr>
                <w:rFonts w:ascii="Times New Roman" w:hAnsi="Times New Roman" w:cs="Times New Roman" w:eastAsia="Times New Roman" w:hint="default"/>
                <w:sz w:val="18"/>
                <w:szCs w:val="18"/>
              </w:rPr>
            </w:pPr>
            <w:r>
              <w:rPr>
                <w:rFonts w:ascii="Times New Roman"/>
                <w:sz w:val="18"/>
              </w:rPr>
              <w:t>6,447.</w:t>
            </w:r>
          </w:p>
          <w:p>
            <w:pPr>
              <w:pStyle w:val="TableParagraph"/>
              <w:spacing w:line="207" w:lineRule="exact"/>
              <w:ind w:left="364" w:right="0"/>
              <w:jc w:val="left"/>
              <w:rPr>
                <w:rFonts w:ascii="Times New Roman" w:hAnsi="Times New Roman" w:cs="Times New Roman" w:eastAsia="Times New Roman" w:hint="default"/>
                <w:sz w:val="18"/>
                <w:szCs w:val="18"/>
              </w:rPr>
            </w:pPr>
            <w:r>
              <w:rPr>
                <w:rFonts w:ascii="Times New Roman"/>
                <w:sz w:val="18"/>
              </w:rPr>
              <w:t>41</w:t>
            </w: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43"/>
              <w:ind w:left="48" w:right="0"/>
              <w:jc w:val="left"/>
              <w:rPr>
                <w:rFonts w:ascii="Times New Roman" w:hAnsi="Times New Roman" w:cs="Times New Roman" w:eastAsia="Times New Roman" w:hint="default"/>
                <w:sz w:val="18"/>
                <w:szCs w:val="18"/>
              </w:rPr>
            </w:pPr>
            <w:r>
              <w:rPr>
                <w:rFonts w:ascii="Times New Roman"/>
                <w:sz w:val="18"/>
              </w:rPr>
              <w:t>615,07</w:t>
            </w:r>
          </w:p>
          <w:p>
            <w:pPr>
              <w:pStyle w:val="TableParagraph"/>
              <w:spacing w:line="206" w:lineRule="exact"/>
              <w:ind w:left="93" w:right="0"/>
              <w:jc w:val="left"/>
              <w:rPr>
                <w:rFonts w:ascii="Times New Roman" w:hAnsi="Times New Roman" w:cs="Times New Roman" w:eastAsia="Times New Roman" w:hint="default"/>
                <w:sz w:val="18"/>
                <w:szCs w:val="18"/>
              </w:rPr>
            </w:pPr>
            <w:r>
              <w:rPr>
                <w:rFonts w:ascii="Times New Roman"/>
                <w:sz w:val="18"/>
              </w:rPr>
              <w:t>9,483.</w:t>
            </w:r>
          </w:p>
          <w:p>
            <w:pPr>
              <w:pStyle w:val="TableParagraph"/>
              <w:spacing w:line="207" w:lineRule="exact"/>
              <w:ind w:left="362" w:right="0"/>
              <w:jc w:val="left"/>
              <w:rPr>
                <w:rFonts w:ascii="Times New Roman" w:hAnsi="Times New Roman" w:cs="Times New Roman" w:eastAsia="Times New Roman" w:hint="default"/>
                <w:sz w:val="18"/>
                <w:szCs w:val="18"/>
              </w:rPr>
            </w:pPr>
            <w:r>
              <w:rPr>
                <w:rFonts w:ascii="Times New Roman"/>
                <w:sz w:val="18"/>
              </w:rPr>
              <w:t>51</w:t>
            </w: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43"/>
              <w:ind w:left="85" w:right="0"/>
              <w:jc w:val="center"/>
              <w:rPr>
                <w:rFonts w:ascii="Times New Roman" w:hAnsi="Times New Roman" w:cs="Times New Roman" w:eastAsia="Times New Roman" w:hint="default"/>
                <w:sz w:val="18"/>
                <w:szCs w:val="18"/>
              </w:rPr>
            </w:pPr>
            <w:r>
              <w:rPr>
                <w:rFonts w:ascii="Times New Roman"/>
                <w:sz w:val="18"/>
              </w:rPr>
              <w:t>3,641,</w:t>
            </w:r>
          </w:p>
          <w:p>
            <w:pPr>
              <w:pStyle w:val="TableParagraph"/>
              <w:spacing w:line="206" w:lineRule="exact"/>
              <w:ind w:left="39" w:right="0"/>
              <w:jc w:val="center"/>
              <w:rPr>
                <w:rFonts w:ascii="Times New Roman" w:hAnsi="Times New Roman" w:cs="Times New Roman" w:eastAsia="Times New Roman" w:hint="default"/>
                <w:sz w:val="18"/>
                <w:szCs w:val="18"/>
              </w:rPr>
            </w:pPr>
            <w:r>
              <w:rPr>
                <w:rFonts w:ascii="Times New Roman"/>
                <w:sz w:val="18"/>
              </w:rPr>
              <w:t>664,70</w:t>
            </w:r>
          </w:p>
          <w:p>
            <w:pPr>
              <w:pStyle w:val="TableParagraph"/>
              <w:spacing w:line="207" w:lineRule="exact"/>
              <w:ind w:left="219" w:right="0"/>
              <w:jc w:val="center"/>
              <w:rPr>
                <w:rFonts w:ascii="Times New Roman" w:hAnsi="Times New Roman" w:cs="Times New Roman" w:eastAsia="Times New Roman" w:hint="default"/>
                <w:sz w:val="18"/>
                <w:szCs w:val="18"/>
              </w:rPr>
            </w:pPr>
            <w:r>
              <w:rPr>
                <w:rFonts w:ascii="Times New Roman"/>
                <w:sz w:val="18"/>
              </w:rPr>
              <w:t>5.24</w:t>
            </w:r>
          </w:p>
        </w:tc>
        <w:tc>
          <w:tcPr>
            <w:tcW w:w="56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43"/>
              <w:ind w:left="61" w:right="0"/>
              <w:jc w:val="center"/>
              <w:rPr>
                <w:rFonts w:ascii="Times New Roman" w:hAnsi="Times New Roman" w:cs="Times New Roman" w:eastAsia="Times New Roman" w:hint="default"/>
                <w:sz w:val="18"/>
                <w:szCs w:val="18"/>
              </w:rPr>
            </w:pPr>
            <w:r>
              <w:rPr>
                <w:rFonts w:ascii="Times New Roman"/>
                <w:sz w:val="18"/>
              </w:rPr>
              <w:t>8,890,</w:t>
            </w:r>
          </w:p>
          <w:p>
            <w:pPr>
              <w:pStyle w:val="TableParagraph"/>
              <w:spacing w:line="206" w:lineRule="exact"/>
              <w:ind w:left="14" w:right="0"/>
              <w:jc w:val="center"/>
              <w:rPr>
                <w:rFonts w:ascii="Times New Roman" w:hAnsi="Times New Roman" w:cs="Times New Roman" w:eastAsia="Times New Roman" w:hint="default"/>
                <w:sz w:val="18"/>
                <w:szCs w:val="18"/>
              </w:rPr>
            </w:pPr>
            <w:r>
              <w:rPr>
                <w:rFonts w:ascii="Times New Roman"/>
                <w:sz w:val="18"/>
              </w:rPr>
              <w:t>909,28</w:t>
            </w:r>
          </w:p>
          <w:p>
            <w:pPr>
              <w:pStyle w:val="TableParagraph"/>
              <w:spacing w:line="207" w:lineRule="exact"/>
              <w:ind w:left="194" w:right="0"/>
              <w:jc w:val="center"/>
              <w:rPr>
                <w:rFonts w:ascii="Times New Roman" w:hAnsi="Times New Roman" w:cs="Times New Roman" w:eastAsia="Times New Roman" w:hint="default"/>
                <w:sz w:val="18"/>
                <w:szCs w:val="18"/>
              </w:rPr>
            </w:pPr>
            <w:r>
              <w:rPr>
                <w:rFonts w:ascii="Times New Roman"/>
                <w:sz w:val="18"/>
              </w:rPr>
              <w:t>5.90</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07" w:lineRule="exact"/>
              <w:ind w:left="25" w:right="0"/>
              <w:jc w:val="left"/>
              <w:rPr>
                <w:rFonts w:ascii="Times New Roman" w:hAnsi="Times New Roman" w:cs="Times New Roman" w:eastAsia="Times New Roman" w:hint="default"/>
                <w:sz w:val="18"/>
                <w:szCs w:val="18"/>
              </w:rPr>
            </w:pPr>
            <w:r>
              <w:rPr>
                <w:rFonts w:ascii="Times New Roman"/>
                <w:sz w:val="18"/>
              </w:rPr>
              <w:t>593,329</w:t>
            </w:r>
          </w:p>
          <w:p>
            <w:pPr>
              <w:pStyle w:val="TableParagraph"/>
              <w:spacing w:line="207" w:lineRule="exact"/>
              <w:ind w:left="68" w:right="0"/>
              <w:jc w:val="left"/>
              <w:rPr>
                <w:rFonts w:ascii="Times New Roman" w:hAnsi="Times New Roman" w:cs="Times New Roman" w:eastAsia="Times New Roman" w:hint="default"/>
                <w:sz w:val="18"/>
                <w:szCs w:val="18"/>
              </w:rPr>
            </w:pPr>
            <w:r>
              <w:rPr>
                <w:rFonts w:ascii="Times New Roman"/>
                <w:sz w:val="18"/>
              </w:rPr>
              <w:t>,839.28</w:t>
            </w: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43"/>
              <w:ind w:right="19"/>
              <w:jc w:val="right"/>
              <w:rPr>
                <w:rFonts w:ascii="Times New Roman" w:hAnsi="Times New Roman" w:cs="Times New Roman" w:eastAsia="Times New Roman" w:hint="default"/>
                <w:sz w:val="18"/>
                <w:szCs w:val="18"/>
              </w:rPr>
            </w:pPr>
            <w:r>
              <w:rPr>
                <w:rFonts w:ascii="Times New Roman"/>
                <w:spacing w:val="-1"/>
                <w:sz w:val="18"/>
              </w:rPr>
              <w:t>9,484,2</w:t>
            </w:r>
          </w:p>
          <w:p>
            <w:pPr>
              <w:pStyle w:val="TableParagraph"/>
              <w:spacing w:line="206" w:lineRule="exact"/>
              <w:ind w:right="21"/>
              <w:jc w:val="right"/>
              <w:rPr>
                <w:rFonts w:ascii="Times New Roman" w:hAnsi="Times New Roman" w:cs="Times New Roman" w:eastAsia="Times New Roman" w:hint="default"/>
                <w:sz w:val="18"/>
                <w:szCs w:val="18"/>
              </w:rPr>
            </w:pPr>
            <w:r>
              <w:rPr>
                <w:rFonts w:ascii="Times New Roman"/>
                <w:spacing w:val="-1"/>
                <w:sz w:val="18"/>
              </w:rPr>
              <w:t>39,125.</w:t>
            </w:r>
          </w:p>
          <w:p>
            <w:pPr>
              <w:pStyle w:val="TableParagraph"/>
              <w:spacing w:line="207" w:lineRule="exact"/>
              <w:ind w:right="19"/>
              <w:jc w:val="right"/>
              <w:rPr>
                <w:rFonts w:ascii="Times New Roman" w:hAnsi="Times New Roman" w:cs="Times New Roman" w:eastAsia="Times New Roman" w:hint="default"/>
                <w:sz w:val="18"/>
                <w:szCs w:val="18"/>
              </w:rPr>
            </w:pPr>
            <w:r>
              <w:rPr>
                <w:rFonts w:ascii="Times New Roman"/>
                <w:sz w:val="18"/>
              </w:rPr>
              <w:t>18</w:t>
            </w:r>
          </w:p>
        </w:tc>
      </w:tr>
      <w:tr>
        <w:trPr>
          <w:trHeight w:val="1022"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auto" w:before="18"/>
              <w:ind w:left="22" w:right="98"/>
              <w:jc w:val="both"/>
              <w:rPr>
                <w:rFonts w:ascii="宋体" w:hAnsi="宋体" w:cs="宋体" w:eastAsia="宋体" w:hint="default"/>
                <w:sz w:val="18"/>
                <w:szCs w:val="18"/>
              </w:rPr>
            </w:pPr>
            <w:r>
              <w:rPr>
                <w:rFonts w:ascii="宋体" w:hAnsi="宋体" w:cs="宋体" w:eastAsia="宋体" w:hint="default"/>
                <w:sz w:val="18"/>
                <w:szCs w:val="18"/>
              </w:rPr>
              <w:t>三、本期增减 变动金额（减 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07" w:lineRule="exact"/>
              <w:ind w:left="48" w:right="0"/>
              <w:jc w:val="left"/>
              <w:rPr>
                <w:rFonts w:ascii="Times New Roman" w:hAnsi="Times New Roman" w:cs="Times New Roman" w:eastAsia="Times New Roman" w:hint="default"/>
                <w:sz w:val="18"/>
                <w:szCs w:val="18"/>
              </w:rPr>
            </w:pPr>
            <w:r>
              <w:rPr>
                <w:rFonts w:ascii="Times New Roman"/>
                <w:sz w:val="18"/>
              </w:rPr>
              <w:t>113,00</w:t>
            </w:r>
          </w:p>
          <w:p>
            <w:pPr>
              <w:pStyle w:val="TableParagraph"/>
              <w:spacing w:line="206" w:lineRule="exact"/>
              <w:ind w:left="94" w:right="0"/>
              <w:jc w:val="left"/>
              <w:rPr>
                <w:rFonts w:ascii="Times New Roman" w:hAnsi="Times New Roman" w:cs="Times New Roman" w:eastAsia="Times New Roman" w:hint="default"/>
                <w:sz w:val="18"/>
                <w:szCs w:val="18"/>
              </w:rPr>
            </w:pPr>
            <w:r>
              <w:rPr>
                <w:rFonts w:ascii="Times New Roman"/>
                <w:sz w:val="18"/>
              </w:rPr>
              <w:t>6,514.</w:t>
            </w:r>
          </w:p>
          <w:p>
            <w:pPr>
              <w:pStyle w:val="TableParagraph"/>
              <w:spacing w:line="207" w:lineRule="exact"/>
              <w:ind w:left="363" w:right="0"/>
              <w:jc w:val="left"/>
              <w:rPr>
                <w:rFonts w:ascii="Times New Roman" w:hAnsi="Times New Roman" w:cs="Times New Roman" w:eastAsia="Times New Roman" w:hint="default"/>
                <w:sz w:val="18"/>
                <w:szCs w:val="18"/>
              </w:rPr>
            </w:pPr>
            <w:r>
              <w:rPr>
                <w:rFonts w:ascii="Times New Roman"/>
                <w:sz w:val="18"/>
              </w:rPr>
              <w:t>72</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07" w:lineRule="exact"/>
              <w:ind w:left="78" w:right="0"/>
              <w:jc w:val="left"/>
              <w:rPr>
                <w:rFonts w:ascii="Times New Roman" w:hAnsi="Times New Roman" w:cs="Times New Roman" w:eastAsia="Times New Roman" w:hint="default"/>
                <w:sz w:val="18"/>
                <w:szCs w:val="18"/>
              </w:rPr>
            </w:pPr>
            <w:r>
              <w:rPr>
                <w:rFonts w:ascii="Times New Roman"/>
                <w:sz w:val="18"/>
              </w:rPr>
              <w:t>-275,4</w:t>
            </w:r>
          </w:p>
          <w:p>
            <w:pPr>
              <w:pStyle w:val="TableParagraph"/>
              <w:spacing w:line="206" w:lineRule="exact"/>
              <w:ind w:left="50" w:right="0"/>
              <w:jc w:val="left"/>
              <w:rPr>
                <w:rFonts w:ascii="Times New Roman" w:hAnsi="Times New Roman" w:cs="Times New Roman" w:eastAsia="Times New Roman" w:hint="default"/>
                <w:sz w:val="18"/>
                <w:szCs w:val="18"/>
              </w:rPr>
            </w:pPr>
            <w:r>
              <w:rPr>
                <w:rFonts w:ascii="Times New Roman"/>
                <w:sz w:val="18"/>
              </w:rPr>
              <w:t>33,229</w:t>
            </w:r>
          </w:p>
          <w:p>
            <w:pPr>
              <w:pStyle w:val="TableParagraph"/>
              <w:spacing w:line="207" w:lineRule="exact"/>
              <w:ind w:left="318" w:right="0"/>
              <w:jc w:val="left"/>
              <w:rPr>
                <w:rFonts w:ascii="Times New Roman" w:hAnsi="Times New Roman" w:cs="Times New Roman" w:eastAsia="Times New Roman" w:hint="default"/>
                <w:sz w:val="18"/>
                <w:szCs w:val="18"/>
              </w:rPr>
            </w:pPr>
            <w:r>
              <w:rPr>
                <w:rFonts w:ascii="Times New Roman"/>
                <w:sz w:val="18"/>
              </w:rPr>
              <w:t>.18</w:t>
            </w: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pacing w:val="-1"/>
                <w:sz w:val="18"/>
              </w:rPr>
              <w:t>13,514</w:t>
            </w:r>
          </w:p>
          <w:p>
            <w:pPr>
              <w:pStyle w:val="TableParagraph"/>
              <w:spacing w:line="206" w:lineRule="exact"/>
              <w:ind w:right="20"/>
              <w:jc w:val="right"/>
              <w:rPr>
                <w:rFonts w:ascii="Times New Roman" w:hAnsi="Times New Roman" w:cs="Times New Roman" w:eastAsia="Times New Roman" w:hint="default"/>
                <w:sz w:val="18"/>
                <w:szCs w:val="18"/>
              </w:rPr>
            </w:pPr>
            <w:r>
              <w:rPr>
                <w:rFonts w:ascii="Times New Roman"/>
                <w:spacing w:val="-1"/>
                <w:sz w:val="18"/>
              </w:rPr>
              <w:t>,099.9</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0</w:t>
            </w: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07" w:lineRule="exact"/>
              <w:ind w:left="61" w:right="0"/>
              <w:jc w:val="left"/>
              <w:rPr>
                <w:rFonts w:ascii="Times New Roman" w:hAnsi="Times New Roman" w:cs="Times New Roman" w:eastAsia="Times New Roman" w:hint="default"/>
                <w:sz w:val="18"/>
                <w:szCs w:val="18"/>
              </w:rPr>
            </w:pPr>
            <w:r>
              <w:rPr>
                <w:rFonts w:ascii="Times New Roman"/>
                <w:sz w:val="18"/>
              </w:rPr>
              <w:t>171,00</w:t>
            </w:r>
          </w:p>
          <w:p>
            <w:pPr>
              <w:pStyle w:val="TableParagraph"/>
              <w:spacing w:line="206" w:lineRule="exact"/>
              <w:ind w:left="107" w:right="0"/>
              <w:jc w:val="left"/>
              <w:rPr>
                <w:rFonts w:ascii="Times New Roman" w:hAnsi="Times New Roman" w:cs="Times New Roman" w:eastAsia="Times New Roman" w:hint="default"/>
                <w:sz w:val="18"/>
                <w:szCs w:val="18"/>
              </w:rPr>
            </w:pPr>
            <w:r>
              <w:rPr>
                <w:rFonts w:ascii="Times New Roman"/>
                <w:sz w:val="18"/>
              </w:rPr>
              <w:t>5,798.</w:t>
            </w:r>
          </w:p>
          <w:p>
            <w:pPr>
              <w:pStyle w:val="TableParagraph"/>
              <w:spacing w:line="207" w:lineRule="exact"/>
              <w:ind w:left="376" w:right="0"/>
              <w:jc w:val="left"/>
              <w:rPr>
                <w:rFonts w:ascii="Times New Roman" w:hAnsi="Times New Roman" w:cs="Times New Roman" w:eastAsia="Times New Roman" w:hint="default"/>
                <w:sz w:val="18"/>
                <w:szCs w:val="18"/>
              </w:rPr>
            </w:pPr>
            <w:r>
              <w:rPr>
                <w:rFonts w:ascii="Times New Roman"/>
                <w:sz w:val="18"/>
              </w:rPr>
              <w:t>62</w:t>
            </w:r>
          </w:p>
        </w:tc>
        <w:tc>
          <w:tcPr>
            <w:tcW w:w="56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07" w:lineRule="exact"/>
              <w:ind w:left="69" w:right="0"/>
              <w:jc w:val="left"/>
              <w:rPr>
                <w:rFonts w:ascii="Times New Roman" w:hAnsi="Times New Roman" w:cs="Times New Roman" w:eastAsia="Times New Roman" w:hint="default"/>
                <w:sz w:val="18"/>
                <w:szCs w:val="18"/>
              </w:rPr>
            </w:pPr>
            <w:r>
              <w:rPr>
                <w:rFonts w:ascii="Times New Roman"/>
                <w:sz w:val="18"/>
              </w:rPr>
              <w:t>-203,9</w:t>
            </w:r>
          </w:p>
          <w:p>
            <w:pPr>
              <w:pStyle w:val="TableParagraph"/>
              <w:spacing w:line="206" w:lineRule="exact"/>
              <w:ind w:left="38" w:right="0"/>
              <w:jc w:val="left"/>
              <w:rPr>
                <w:rFonts w:ascii="Times New Roman" w:hAnsi="Times New Roman" w:cs="Times New Roman" w:eastAsia="Times New Roman" w:hint="default"/>
                <w:sz w:val="18"/>
                <w:szCs w:val="18"/>
              </w:rPr>
            </w:pPr>
            <w:r>
              <w:rPr>
                <w:rFonts w:ascii="Times New Roman"/>
                <w:sz w:val="18"/>
              </w:rPr>
              <w:t>19,845</w:t>
            </w:r>
          </w:p>
          <w:p>
            <w:pPr>
              <w:pStyle w:val="TableParagraph"/>
              <w:spacing w:line="207" w:lineRule="exact"/>
              <w:ind w:left="309" w:right="0"/>
              <w:jc w:val="left"/>
              <w:rPr>
                <w:rFonts w:ascii="Times New Roman" w:hAnsi="Times New Roman" w:cs="Times New Roman" w:eastAsia="Times New Roman" w:hint="default"/>
                <w:sz w:val="18"/>
                <w:szCs w:val="18"/>
              </w:rPr>
            </w:pPr>
            <w:r>
              <w:rPr>
                <w:rFonts w:ascii="Times New Roman"/>
                <w:sz w:val="18"/>
              </w:rPr>
              <w:t>.38</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07" w:lineRule="exact"/>
              <w:ind w:left="25" w:right="0"/>
              <w:jc w:val="left"/>
              <w:rPr>
                <w:rFonts w:ascii="Times New Roman" w:hAnsi="Times New Roman" w:cs="Times New Roman" w:eastAsia="Times New Roman" w:hint="default"/>
                <w:sz w:val="18"/>
                <w:szCs w:val="18"/>
              </w:rPr>
            </w:pPr>
            <w:r>
              <w:rPr>
                <w:rFonts w:ascii="Times New Roman"/>
                <w:sz w:val="18"/>
              </w:rPr>
              <w:t>229,282</w:t>
            </w:r>
          </w:p>
          <w:p>
            <w:pPr>
              <w:pStyle w:val="TableParagraph"/>
              <w:spacing w:line="207" w:lineRule="exact"/>
              <w:ind w:left="68" w:right="0"/>
              <w:jc w:val="left"/>
              <w:rPr>
                <w:rFonts w:ascii="Times New Roman" w:hAnsi="Times New Roman" w:cs="Times New Roman" w:eastAsia="Times New Roman" w:hint="default"/>
                <w:sz w:val="18"/>
                <w:szCs w:val="18"/>
              </w:rPr>
            </w:pPr>
            <w:r>
              <w:rPr>
                <w:rFonts w:ascii="Times New Roman"/>
                <w:sz w:val="18"/>
              </w:rPr>
              <w:t>,726.94</w:t>
            </w: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07" w:lineRule="exact"/>
              <w:ind w:left="78" w:right="0"/>
              <w:jc w:val="left"/>
              <w:rPr>
                <w:rFonts w:ascii="Times New Roman" w:hAnsi="Times New Roman" w:cs="Times New Roman" w:eastAsia="Times New Roman" w:hint="default"/>
                <w:sz w:val="18"/>
                <w:szCs w:val="18"/>
              </w:rPr>
            </w:pPr>
            <w:r>
              <w:rPr>
                <w:rFonts w:ascii="Times New Roman"/>
                <w:sz w:val="18"/>
              </w:rPr>
              <w:t>25,362,</w:t>
            </w:r>
          </w:p>
          <w:p>
            <w:pPr>
              <w:pStyle w:val="TableParagraph"/>
              <w:spacing w:line="207" w:lineRule="exact"/>
              <w:ind w:left="121" w:right="0"/>
              <w:jc w:val="left"/>
              <w:rPr>
                <w:rFonts w:ascii="Times New Roman" w:hAnsi="Times New Roman" w:cs="Times New Roman" w:eastAsia="Times New Roman" w:hint="default"/>
                <w:sz w:val="18"/>
                <w:szCs w:val="18"/>
              </w:rPr>
            </w:pPr>
            <w:r>
              <w:rPr>
                <w:rFonts w:ascii="Times New Roman"/>
                <w:sz w:val="18"/>
              </w:rPr>
              <w:t>881.56</w:t>
            </w:r>
          </w:p>
        </w:tc>
      </w:tr>
    </w:tbl>
    <w:p>
      <w:pPr>
        <w:spacing w:after="0" w:line="207" w:lineRule="exact"/>
        <w:jc w:val="left"/>
        <w:rPr>
          <w:rFonts w:ascii="Times New Roman" w:hAnsi="Times New Roman" w:cs="Times New Roman" w:eastAsia="Times New Roman" w:hint="default"/>
          <w:sz w:val="18"/>
          <w:szCs w:val="18"/>
        </w:rPr>
        <w:sectPr>
          <w:pgSz w:w="11910" w:h="16840"/>
          <w:pgMar w:header="712" w:footer="1264" w:top="980" w:bottom="1460" w:left="1680" w:right="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9"/>
          <w:szCs w:val="19"/>
        </w:rPr>
      </w:pPr>
    </w:p>
    <w:tbl>
      <w:tblPr>
        <w:tblW w:w="0" w:type="auto"/>
        <w:jc w:val="left"/>
        <w:tblInd w:w="112" w:type="dxa"/>
        <w:tblLayout w:type="fixed"/>
        <w:tblCellMar>
          <w:top w:w="0" w:type="dxa"/>
          <w:left w:w="0" w:type="dxa"/>
          <w:bottom w:w="0" w:type="dxa"/>
          <w:right w:w="0" w:type="dxa"/>
        </w:tblCellMar>
        <w:tblLook w:val="01E0"/>
      </w:tblPr>
      <w:tblGrid>
        <w:gridCol w:w="1212"/>
        <w:gridCol w:w="490"/>
        <w:gridCol w:w="449"/>
        <w:gridCol w:w="449"/>
        <w:gridCol w:w="491"/>
        <w:gridCol w:w="576"/>
        <w:gridCol w:w="577"/>
        <w:gridCol w:w="577"/>
        <w:gridCol w:w="577"/>
        <w:gridCol w:w="576"/>
        <w:gridCol w:w="577"/>
        <w:gridCol w:w="589"/>
        <w:gridCol w:w="567"/>
        <w:gridCol w:w="567"/>
        <w:gridCol w:w="643"/>
        <w:gridCol w:w="651"/>
      </w:tblGrid>
      <w:tr>
        <w:trPr>
          <w:trHeight w:val="711"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113"/>
              <w:ind w:left="22" w:right="98"/>
              <w:jc w:val="left"/>
              <w:rPr>
                <w:rFonts w:ascii="宋体" w:hAnsi="宋体" w:cs="宋体" w:eastAsia="宋体" w:hint="default"/>
                <w:sz w:val="18"/>
                <w:szCs w:val="18"/>
              </w:rPr>
            </w:pPr>
            <w:r>
              <w:rPr>
                <w:rFonts w:ascii="宋体" w:hAnsi="宋体" w:cs="宋体" w:eastAsia="宋体" w:hint="default"/>
                <w:sz w:val="18"/>
                <w:szCs w:val="18"/>
              </w:rPr>
              <w:t>（一）综合收 益总额</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9"/>
              <w:ind w:left="78" w:right="0"/>
              <w:jc w:val="left"/>
              <w:rPr>
                <w:rFonts w:ascii="Times New Roman" w:hAnsi="Times New Roman" w:cs="Times New Roman" w:eastAsia="Times New Roman" w:hint="default"/>
                <w:sz w:val="18"/>
                <w:szCs w:val="18"/>
              </w:rPr>
            </w:pPr>
            <w:r>
              <w:rPr>
                <w:rFonts w:ascii="Times New Roman"/>
                <w:sz w:val="18"/>
              </w:rPr>
              <w:t>-275,4</w:t>
            </w:r>
          </w:p>
          <w:p>
            <w:pPr>
              <w:pStyle w:val="TableParagraph"/>
              <w:spacing w:line="206" w:lineRule="exact"/>
              <w:ind w:left="50" w:right="0"/>
              <w:jc w:val="left"/>
              <w:rPr>
                <w:rFonts w:ascii="Times New Roman" w:hAnsi="Times New Roman" w:cs="Times New Roman" w:eastAsia="Times New Roman" w:hint="default"/>
                <w:sz w:val="18"/>
                <w:szCs w:val="18"/>
              </w:rPr>
            </w:pPr>
            <w:r>
              <w:rPr>
                <w:rFonts w:ascii="Times New Roman"/>
                <w:sz w:val="18"/>
              </w:rPr>
              <w:t>33,229</w:t>
            </w:r>
          </w:p>
          <w:p>
            <w:pPr>
              <w:pStyle w:val="TableParagraph"/>
              <w:spacing w:line="207" w:lineRule="exact"/>
              <w:ind w:left="318" w:right="0"/>
              <w:jc w:val="left"/>
              <w:rPr>
                <w:rFonts w:ascii="Times New Roman" w:hAnsi="Times New Roman" w:cs="Times New Roman" w:eastAsia="Times New Roman" w:hint="default"/>
                <w:sz w:val="18"/>
                <w:szCs w:val="18"/>
              </w:rPr>
            </w:pPr>
            <w:r>
              <w:rPr>
                <w:rFonts w:ascii="Times New Roman"/>
                <w:sz w:val="18"/>
              </w:rPr>
              <w:t>.18</w:t>
            </w: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9"/>
              <w:ind w:left="61" w:right="0"/>
              <w:jc w:val="left"/>
              <w:rPr>
                <w:rFonts w:ascii="Times New Roman" w:hAnsi="Times New Roman" w:cs="Times New Roman" w:eastAsia="Times New Roman" w:hint="default"/>
                <w:sz w:val="18"/>
                <w:szCs w:val="18"/>
              </w:rPr>
            </w:pPr>
            <w:r>
              <w:rPr>
                <w:rFonts w:ascii="Times New Roman"/>
                <w:sz w:val="18"/>
              </w:rPr>
              <w:t>670,29</w:t>
            </w:r>
          </w:p>
          <w:p>
            <w:pPr>
              <w:pStyle w:val="TableParagraph"/>
              <w:spacing w:line="206" w:lineRule="exact"/>
              <w:ind w:left="107" w:right="0"/>
              <w:jc w:val="left"/>
              <w:rPr>
                <w:rFonts w:ascii="Times New Roman" w:hAnsi="Times New Roman" w:cs="Times New Roman" w:eastAsia="Times New Roman" w:hint="default"/>
                <w:sz w:val="18"/>
                <w:szCs w:val="18"/>
              </w:rPr>
            </w:pPr>
            <w:r>
              <w:rPr>
                <w:rFonts w:ascii="Times New Roman"/>
                <w:sz w:val="18"/>
              </w:rPr>
              <w:t>7,043.</w:t>
            </w:r>
          </w:p>
          <w:p>
            <w:pPr>
              <w:pStyle w:val="TableParagraph"/>
              <w:spacing w:line="207" w:lineRule="exact"/>
              <w:ind w:left="376" w:right="0"/>
              <w:jc w:val="left"/>
              <w:rPr>
                <w:rFonts w:ascii="Times New Roman" w:hAnsi="Times New Roman" w:cs="Times New Roman" w:eastAsia="Times New Roman" w:hint="default"/>
                <w:sz w:val="18"/>
                <w:szCs w:val="18"/>
              </w:rPr>
            </w:pPr>
            <w:r>
              <w:rPr>
                <w:rFonts w:ascii="Times New Roman"/>
                <w:sz w:val="18"/>
              </w:rPr>
              <w:t>52</w:t>
            </w:r>
          </w:p>
        </w:tc>
        <w:tc>
          <w:tcPr>
            <w:tcW w:w="56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9"/>
              <w:ind w:left="38" w:right="0"/>
              <w:jc w:val="left"/>
              <w:rPr>
                <w:rFonts w:ascii="Times New Roman" w:hAnsi="Times New Roman" w:cs="Times New Roman" w:eastAsia="Times New Roman" w:hint="default"/>
                <w:sz w:val="18"/>
                <w:szCs w:val="18"/>
              </w:rPr>
            </w:pPr>
            <w:r>
              <w:rPr>
                <w:rFonts w:ascii="Times New Roman"/>
                <w:sz w:val="18"/>
              </w:rPr>
              <w:t>394,86</w:t>
            </w:r>
          </w:p>
          <w:p>
            <w:pPr>
              <w:pStyle w:val="TableParagraph"/>
              <w:spacing w:line="206" w:lineRule="exact"/>
              <w:ind w:left="83" w:right="0"/>
              <w:jc w:val="left"/>
              <w:rPr>
                <w:rFonts w:ascii="Times New Roman" w:hAnsi="Times New Roman" w:cs="Times New Roman" w:eastAsia="Times New Roman" w:hint="default"/>
                <w:sz w:val="18"/>
                <w:szCs w:val="18"/>
              </w:rPr>
            </w:pPr>
            <w:r>
              <w:rPr>
                <w:rFonts w:ascii="Times New Roman"/>
                <w:sz w:val="18"/>
              </w:rPr>
              <w:t>3,814.</w:t>
            </w:r>
          </w:p>
          <w:p>
            <w:pPr>
              <w:pStyle w:val="TableParagraph"/>
              <w:spacing w:line="207" w:lineRule="exact"/>
              <w:ind w:left="355" w:right="0"/>
              <w:jc w:val="left"/>
              <w:rPr>
                <w:rFonts w:ascii="Times New Roman" w:hAnsi="Times New Roman" w:cs="Times New Roman" w:eastAsia="Times New Roman" w:hint="default"/>
                <w:sz w:val="18"/>
                <w:szCs w:val="18"/>
              </w:rPr>
            </w:pPr>
            <w:r>
              <w:rPr>
                <w:rFonts w:ascii="Times New Roman"/>
                <w:sz w:val="18"/>
              </w:rPr>
              <w:t>34</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42"/>
              <w:ind w:left="25" w:right="0"/>
              <w:jc w:val="left"/>
              <w:rPr>
                <w:rFonts w:ascii="Times New Roman" w:hAnsi="Times New Roman" w:cs="Times New Roman" w:eastAsia="Times New Roman" w:hint="default"/>
                <w:sz w:val="18"/>
                <w:szCs w:val="18"/>
              </w:rPr>
            </w:pPr>
            <w:r>
              <w:rPr>
                <w:rFonts w:ascii="Times New Roman"/>
                <w:sz w:val="18"/>
              </w:rPr>
              <w:t>113,708</w:t>
            </w:r>
          </w:p>
          <w:p>
            <w:pPr>
              <w:pStyle w:val="TableParagraph"/>
              <w:spacing w:line="207" w:lineRule="exact"/>
              <w:ind w:left="68" w:right="0"/>
              <w:jc w:val="left"/>
              <w:rPr>
                <w:rFonts w:ascii="Times New Roman" w:hAnsi="Times New Roman" w:cs="Times New Roman" w:eastAsia="Times New Roman" w:hint="default"/>
                <w:sz w:val="18"/>
                <w:szCs w:val="18"/>
              </w:rPr>
            </w:pPr>
            <w:r>
              <w:rPr>
                <w:rFonts w:ascii="Times New Roman"/>
                <w:sz w:val="18"/>
              </w:rPr>
              <w:t>,249.65</w:t>
            </w: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42"/>
              <w:ind w:left="33" w:right="0"/>
              <w:jc w:val="left"/>
              <w:rPr>
                <w:rFonts w:ascii="Times New Roman" w:hAnsi="Times New Roman" w:cs="Times New Roman" w:eastAsia="Times New Roman" w:hint="default"/>
                <w:sz w:val="18"/>
                <w:szCs w:val="18"/>
              </w:rPr>
            </w:pPr>
            <w:r>
              <w:rPr>
                <w:rFonts w:ascii="Times New Roman"/>
                <w:sz w:val="18"/>
              </w:rPr>
              <w:t>508,572</w:t>
            </w:r>
          </w:p>
          <w:p>
            <w:pPr>
              <w:pStyle w:val="TableParagraph"/>
              <w:spacing w:line="207" w:lineRule="exact"/>
              <w:ind w:left="78" w:right="0"/>
              <w:jc w:val="left"/>
              <w:rPr>
                <w:rFonts w:ascii="Times New Roman" w:hAnsi="Times New Roman" w:cs="Times New Roman" w:eastAsia="Times New Roman" w:hint="default"/>
                <w:sz w:val="18"/>
                <w:szCs w:val="18"/>
              </w:rPr>
            </w:pPr>
            <w:r>
              <w:rPr>
                <w:rFonts w:ascii="Times New Roman"/>
                <w:sz w:val="18"/>
              </w:rPr>
              <w:t>,063.99</w:t>
            </w:r>
          </w:p>
        </w:tc>
      </w:tr>
      <w:tr>
        <w:trPr>
          <w:trHeight w:val="790"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5"/>
              <w:ind w:left="22" w:right="98"/>
              <w:jc w:val="both"/>
              <w:rPr>
                <w:rFonts w:ascii="宋体" w:hAnsi="宋体" w:cs="宋体" w:eastAsia="宋体" w:hint="default"/>
                <w:sz w:val="18"/>
                <w:szCs w:val="18"/>
              </w:rPr>
            </w:pPr>
            <w:r>
              <w:rPr>
                <w:rFonts w:ascii="宋体" w:hAnsi="宋体" w:cs="宋体" w:eastAsia="宋体" w:hint="default"/>
                <w:sz w:val="18"/>
                <w:szCs w:val="18"/>
              </w:rPr>
              <w:t>（二）所有者 投入和减少资 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77"/>
              <w:ind w:left="48" w:right="0"/>
              <w:jc w:val="left"/>
              <w:rPr>
                <w:rFonts w:ascii="Times New Roman" w:hAnsi="Times New Roman" w:cs="Times New Roman" w:eastAsia="Times New Roman" w:hint="default"/>
                <w:sz w:val="18"/>
                <w:szCs w:val="18"/>
              </w:rPr>
            </w:pPr>
            <w:r>
              <w:rPr>
                <w:rFonts w:ascii="Times New Roman"/>
                <w:sz w:val="18"/>
              </w:rPr>
              <w:t>113,00</w:t>
            </w:r>
          </w:p>
          <w:p>
            <w:pPr>
              <w:pStyle w:val="TableParagraph"/>
              <w:spacing w:line="207" w:lineRule="exact"/>
              <w:ind w:left="94" w:right="0"/>
              <w:jc w:val="left"/>
              <w:rPr>
                <w:rFonts w:ascii="Times New Roman" w:hAnsi="Times New Roman" w:cs="Times New Roman" w:eastAsia="Times New Roman" w:hint="default"/>
                <w:sz w:val="18"/>
                <w:szCs w:val="18"/>
              </w:rPr>
            </w:pPr>
            <w:r>
              <w:rPr>
                <w:rFonts w:ascii="Times New Roman"/>
                <w:sz w:val="18"/>
              </w:rPr>
              <w:t>6,514.</w:t>
            </w:r>
          </w:p>
          <w:p>
            <w:pPr>
              <w:pStyle w:val="TableParagraph"/>
              <w:spacing w:line="240" w:lineRule="auto" w:before="2"/>
              <w:ind w:left="363" w:right="0"/>
              <w:jc w:val="left"/>
              <w:rPr>
                <w:rFonts w:ascii="Times New Roman" w:hAnsi="Times New Roman" w:cs="Times New Roman" w:eastAsia="Times New Roman" w:hint="default"/>
                <w:sz w:val="18"/>
                <w:szCs w:val="18"/>
              </w:rPr>
            </w:pPr>
            <w:r>
              <w:rPr>
                <w:rFonts w:ascii="Times New Roman"/>
                <w:sz w:val="18"/>
              </w:rPr>
              <w:t>72</w:t>
            </w: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77"/>
              <w:ind w:left="69" w:right="0"/>
              <w:jc w:val="left"/>
              <w:rPr>
                <w:rFonts w:ascii="Times New Roman" w:hAnsi="Times New Roman" w:cs="Times New Roman" w:eastAsia="Times New Roman" w:hint="default"/>
                <w:sz w:val="18"/>
                <w:szCs w:val="18"/>
              </w:rPr>
            </w:pPr>
            <w:r>
              <w:rPr>
                <w:rFonts w:ascii="Times New Roman"/>
                <w:sz w:val="18"/>
              </w:rPr>
              <w:t>-113,0</w:t>
            </w:r>
          </w:p>
          <w:p>
            <w:pPr>
              <w:pStyle w:val="TableParagraph"/>
              <w:spacing w:line="207" w:lineRule="exact"/>
              <w:ind w:left="38" w:right="0"/>
              <w:jc w:val="left"/>
              <w:rPr>
                <w:rFonts w:ascii="Times New Roman" w:hAnsi="Times New Roman" w:cs="Times New Roman" w:eastAsia="Times New Roman" w:hint="default"/>
                <w:sz w:val="18"/>
                <w:szCs w:val="18"/>
              </w:rPr>
            </w:pPr>
            <w:r>
              <w:rPr>
                <w:rFonts w:ascii="Times New Roman"/>
                <w:sz w:val="18"/>
              </w:rPr>
              <w:t>06,514</w:t>
            </w:r>
          </w:p>
          <w:p>
            <w:pPr>
              <w:pStyle w:val="TableParagraph"/>
              <w:spacing w:line="240" w:lineRule="auto" w:before="2"/>
              <w:ind w:left="309" w:right="0"/>
              <w:jc w:val="left"/>
              <w:rPr>
                <w:rFonts w:ascii="Times New Roman" w:hAnsi="Times New Roman" w:cs="Times New Roman" w:eastAsia="Times New Roman" w:hint="default"/>
                <w:sz w:val="18"/>
                <w:szCs w:val="18"/>
              </w:rPr>
            </w:pPr>
            <w:r>
              <w:rPr>
                <w:rFonts w:ascii="Times New Roman"/>
                <w:sz w:val="18"/>
              </w:rPr>
              <w:t>.72</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07" w:lineRule="exact"/>
              <w:ind w:left="25" w:right="0"/>
              <w:jc w:val="left"/>
              <w:rPr>
                <w:rFonts w:ascii="Times New Roman" w:hAnsi="Times New Roman" w:cs="Times New Roman" w:eastAsia="Times New Roman" w:hint="default"/>
                <w:sz w:val="18"/>
                <w:szCs w:val="18"/>
              </w:rPr>
            </w:pPr>
            <w:r>
              <w:rPr>
                <w:rFonts w:ascii="Times New Roman"/>
                <w:sz w:val="18"/>
              </w:rPr>
              <w:t>180,364</w:t>
            </w:r>
          </w:p>
          <w:p>
            <w:pPr>
              <w:pStyle w:val="TableParagraph"/>
              <w:spacing w:line="207" w:lineRule="exact"/>
              <w:ind w:left="68" w:right="0"/>
              <w:jc w:val="left"/>
              <w:rPr>
                <w:rFonts w:ascii="Times New Roman" w:hAnsi="Times New Roman" w:cs="Times New Roman" w:eastAsia="Times New Roman" w:hint="default"/>
                <w:sz w:val="18"/>
                <w:szCs w:val="18"/>
              </w:rPr>
            </w:pPr>
            <w:r>
              <w:rPr>
                <w:rFonts w:ascii="Times New Roman"/>
                <w:sz w:val="18"/>
              </w:rPr>
              <w:t>,649.33</w:t>
            </w: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07" w:lineRule="exact"/>
              <w:ind w:left="78" w:right="0"/>
              <w:jc w:val="left"/>
              <w:rPr>
                <w:rFonts w:ascii="Times New Roman" w:hAnsi="Times New Roman" w:cs="Times New Roman" w:eastAsia="Times New Roman" w:hint="default"/>
                <w:sz w:val="18"/>
                <w:szCs w:val="18"/>
              </w:rPr>
            </w:pPr>
            <w:r>
              <w:rPr>
                <w:rFonts w:ascii="Times New Roman"/>
                <w:sz w:val="18"/>
              </w:rPr>
              <w:t>67,358,</w:t>
            </w:r>
          </w:p>
          <w:p>
            <w:pPr>
              <w:pStyle w:val="TableParagraph"/>
              <w:spacing w:line="207" w:lineRule="exact"/>
              <w:ind w:left="121" w:right="0"/>
              <w:jc w:val="left"/>
              <w:rPr>
                <w:rFonts w:ascii="Times New Roman" w:hAnsi="Times New Roman" w:cs="Times New Roman" w:eastAsia="Times New Roman" w:hint="default"/>
                <w:sz w:val="18"/>
                <w:szCs w:val="18"/>
              </w:rPr>
            </w:pPr>
            <w:r>
              <w:rPr>
                <w:rFonts w:ascii="Times New Roman"/>
                <w:sz w:val="18"/>
              </w:rPr>
              <w:t>134.61</w:t>
            </w:r>
          </w:p>
        </w:tc>
      </w:tr>
      <w:tr>
        <w:trPr>
          <w:trHeight w:val="287" w:hRule="exact"/>
        </w:trPr>
        <w:tc>
          <w:tcPr>
            <w:tcW w:w="1212"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1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w:t>
            </w:r>
          </w:p>
        </w:tc>
        <w:tc>
          <w:tcPr>
            <w:tcW w:w="490" w:type="dxa"/>
            <w:vMerge w:val="restart"/>
            <w:tcBorders>
              <w:top w:val="single" w:sz="4" w:space="0" w:color="000000"/>
              <w:left w:val="single" w:sz="4" w:space="0" w:color="000000"/>
              <w:right w:val="single" w:sz="4" w:space="0" w:color="000000"/>
            </w:tcBorders>
          </w:tcPr>
          <w:p>
            <w:pPr/>
          </w:p>
        </w:tc>
        <w:tc>
          <w:tcPr>
            <w:tcW w:w="449" w:type="dxa"/>
            <w:vMerge w:val="restart"/>
            <w:tcBorders>
              <w:top w:val="single" w:sz="4" w:space="0" w:color="000000"/>
              <w:left w:val="single" w:sz="4" w:space="0" w:color="000000"/>
              <w:right w:val="single" w:sz="4" w:space="0" w:color="000000"/>
            </w:tcBorders>
          </w:tcPr>
          <w:p>
            <w:pPr/>
          </w:p>
        </w:tc>
        <w:tc>
          <w:tcPr>
            <w:tcW w:w="449" w:type="dxa"/>
            <w:vMerge w:val="restart"/>
            <w:tcBorders>
              <w:top w:val="single" w:sz="4" w:space="0" w:color="000000"/>
              <w:left w:val="single" w:sz="4" w:space="0" w:color="000000"/>
              <w:right w:val="single" w:sz="4" w:space="0" w:color="000000"/>
            </w:tcBorders>
          </w:tcPr>
          <w:p>
            <w:pPr/>
          </w:p>
        </w:tc>
        <w:tc>
          <w:tcPr>
            <w:tcW w:w="491"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7" w:type="dxa"/>
            <w:vMerge w:val="restart"/>
            <w:tcBorders>
              <w:top w:val="single" w:sz="4" w:space="0" w:color="000000"/>
              <w:left w:val="single" w:sz="4" w:space="0" w:color="000000"/>
              <w:right w:val="single" w:sz="4" w:space="0" w:color="000000"/>
            </w:tcBorders>
          </w:tcPr>
          <w:p>
            <w:pPr/>
          </w:p>
        </w:tc>
        <w:tc>
          <w:tcPr>
            <w:tcW w:w="577" w:type="dxa"/>
            <w:vMerge w:val="restart"/>
            <w:tcBorders>
              <w:top w:val="single" w:sz="4" w:space="0" w:color="000000"/>
              <w:left w:val="single" w:sz="4" w:space="0" w:color="000000"/>
              <w:right w:val="single" w:sz="4" w:space="0" w:color="000000"/>
            </w:tcBorders>
          </w:tcPr>
          <w:p>
            <w:pPr/>
          </w:p>
        </w:tc>
        <w:tc>
          <w:tcPr>
            <w:tcW w:w="577"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7" w:type="dxa"/>
            <w:vMerge w:val="restart"/>
            <w:tcBorders>
              <w:top w:val="single" w:sz="4" w:space="0" w:color="000000"/>
              <w:left w:val="single" w:sz="4" w:space="0" w:color="000000"/>
              <w:right w:val="single" w:sz="4" w:space="0" w:color="000000"/>
            </w:tcBorders>
          </w:tcPr>
          <w:p>
            <w:pPr/>
          </w:p>
        </w:tc>
        <w:tc>
          <w:tcPr>
            <w:tcW w:w="589" w:type="dxa"/>
            <w:vMerge w:val="restart"/>
            <w:tcBorders>
              <w:top w:val="single" w:sz="4" w:space="0" w:color="000000"/>
              <w:left w:val="single" w:sz="4" w:space="0" w:color="000000"/>
              <w:right w:val="single" w:sz="4" w:space="0" w:color="000000"/>
            </w:tcBorders>
          </w:tcPr>
          <w:p>
            <w:pPr/>
          </w:p>
        </w:tc>
        <w:tc>
          <w:tcPr>
            <w:tcW w:w="567" w:type="dxa"/>
            <w:vMerge w:val="restart"/>
            <w:tcBorders>
              <w:top w:val="single" w:sz="4" w:space="0" w:color="000000"/>
              <w:left w:val="single" w:sz="4" w:space="0" w:color="000000"/>
              <w:right w:val="single" w:sz="4" w:space="0" w:color="000000"/>
            </w:tcBorders>
          </w:tcPr>
          <w:p>
            <w:pPr/>
          </w:p>
        </w:tc>
        <w:tc>
          <w:tcPr>
            <w:tcW w:w="567" w:type="dxa"/>
            <w:vMerge w:val="restart"/>
            <w:tcBorders>
              <w:top w:val="single" w:sz="4" w:space="0" w:color="000000"/>
              <w:left w:val="single" w:sz="4" w:space="0" w:color="000000"/>
              <w:right w:val="single" w:sz="4" w:space="0" w:color="000000"/>
            </w:tcBorders>
          </w:tcPr>
          <w:p>
            <w:pPr/>
          </w:p>
        </w:tc>
        <w:tc>
          <w:tcPr>
            <w:tcW w:w="64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7"/>
              <w:ind w:right="20"/>
              <w:jc w:val="right"/>
              <w:rPr>
                <w:rFonts w:ascii="Times New Roman" w:hAnsi="Times New Roman" w:cs="Times New Roman" w:eastAsia="Times New Roman" w:hint="default"/>
                <w:sz w:val="18"/>
                <w:szCs w:val="18"/>
              </w:rPr>
            </w:pPr>
            <w:r>
              <w:rPr>
                <w:rFonts w:ascii="Times New Roman"/>
                <w:spacing w:val="-1"/>
                <w:sz w:val="18"/>
              </w:rPr>
              <w:t>37,840,</w:t>
            </w:r>
          </w:p>
        </w:tc>
        <w:tc>
          <w:tcPr>
            <w:tcW w:w="65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7"/>
              <w:ind w:right="21"/>
              <w:jc w:val="right"/>
              <w:rPr>
                <w:rFonts w:ascii="Times New Roman" w:hAnsi="Times New Roman" w:cs="Times New Roman" w:eastAsia="Times New Roman" w:hint="default"/>
                <w:sz w:val="18"/>
                <w:szCs w:val="18"/>
              </w:rPr>
            </w:pPr>
            <w:r>
              <w:rPr>
                <w:rFonts w:ascii="Times New Roman"/>
                <w:spacing w:val="-1"/>
                <w:sz w:val="18"/>
              </w:rPr>
              <w:t>37,840,</w:t>
            </w:r>
          </w:p>
        </w:tc>
      </w:tr>
      <w:tr>
        <w:trPr>
          <w:trHeight w:val="270" w:hRule="exact"/>
        </w:trPr>
        <w:tc>
          <w:tcPr>
            <w:tcW w:w="1212"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199" w:lineRule="exact"/>
              <w:ind w:left="22" w:right="0"/>
              <w:jc w:val="left"/>
              <w:rPr>
                <w:rFonts w:ascii="宋体" w:hAnsi="宋体" w:cs="宋体" w:eastAsia="宋体" w:hint="default"/>
                <w:sz w:val="18"/>
                <w:szCs w:val="18"/>
              </w:rPr>
            </w:pPr>
            <w:r>
              <w:rPr>
                <w:rFonts w:ascii="宋体" w:hAnsi="宋体" w:cs="宋体" w:eastAsia="宋体" w:hint="default"/>
                <w:sz w:val="18"/>
                <w:szCs w:val="18"/>
              </w:rPr>
              <w:t>的普通股</w:t>
            </w:r>
          </w:p>
        </w:tc>
        <w:tc>
          <w:tcPr>
            <w:tcW w:w="490" w:type="dxa"/>
            <w:vMerge/>
            <w:tcBorders>
              <w:left w:val="single" w:sz="4" w:space="0" w:color="000000"/>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91"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7" w:type="dxa"/>
            <w:vMerge/>
            <w:tcBorders>
              <w:left w:val="single" w:sz="4" w:space="0" w:color="000000"/>
              <w:bottom w:val="single" w:sz="4" w:space="0" w:color="000000"/>
              <w:right w:val="single" w:sz="4" w:space="0" w:color="000000"/>
            </w:tcBorders>
          </w:tcPr>
          <w:p>
            <w:pPr/>
          </w:p>
        </w:tc>
        <w:tc>
          <w:tcPr>
            <w:tcW w:w="577" w:type="dxa"/>
            <w:vMerge/>
            <w:tcBorders>
              <w:left w:val="single" w:sz="4" w:space="0" w:color="000000"/>
              <w:bottom w:val="single" w:sz="4" w:space="0" w:color="000000"/>
              <w:right w:val="single" w:sz="4" w:space="0" w:color="000000"/>
            </w:tcBorders>
          </w:tcPr>
          <w:p>
            <w:pPr/>
          </w:p>
        </w:tc>
        <w:tc>
          <w:tcPr>
            <w:tcW w:w="577"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7" w:type="dxa"/>
            <w:vMerge/>
            <w:tcBorders>
              <w:left w:val="single" w:sz="4" w:space="0" w:color="000000"/>
              <w:bottom w:val="single" w:sz="4" w:space="0" w:color="000000"/>
              <w:right w:val="single" w:sz="4" w:space="0" w:color="000000"/>
            </w:tcBorders>
          </w:tcPr>
          <w:p>
            <w:pPr/>
          </w:p>
        </w:tc>
        <w:tc>
          <w:tcPr>
            <w:tcW w:w="589" w:type="dxa"/>
            <w:vMerge/>
            <w:tcBorders>
              <w:left w:val="single" w:sz="4" w:space="0" w:color="000000"/>
              <w:bottom w:val="single" w:sz="4" w:space="0" w:color="000000"/>
              <w:right w:val="single" w:sz="4" w:space="0" w:color="000000"/>
            </w:tcBorders>
          </w:tcPr>
          <w:p>
            <w:pPr/>
          </w:p>
        </w:tc>
        <w:tc>
          <w:tcPr>
            <w:tcW w:w="567" w:type="dxa"/>
            <w:vMerge/>
            <w:tcBorders>
              <w:left w:val="single" w:sz="4" w:space="0" w:color="000000"/>
              <w:bottom w:val="single" w:sz="4" w:space="0" w:color="000000"/>
              <w:right w:val="single" w:sz="4" w:space="0" w:color="000000"/>
            </w:tcBorders>
          </w:tcPr>
          <w:p>
            <w:pPr/>
          </w:p>
        </w:tc>
        <w:tc>
          <w:tcPr>
            <w:tcW w:w="567" w:type="dxa"/>
            <w:vMerge/>
            <w:tcBorders>
              <w:left w:val="single" w:sz="4" w:space="0" w:color="000000"/>
              <w:bottom w:val="single" w:sz="4" w:space="0" w:color="000000"/>
              <w:right w:val="single" w:sz="4" w:space="0" w:color="000000"/>
            </w:tcBorders>
          </w:tcPr>
          <w:p>
            <w:pPr/>
          </w:p>
        </w:tc>
        <w:tc>
          <w:tcPr>
            <w:tcW w:w="643" w:type="dxa"/>
            <w:tcBorders>
              <w:top w:val="nil" w:sz="6" w:space="0" w:color="auto"/>
              <w:left w:val="single" w:sz="4" w:space="0" w:color="000000"/>
              <w:bottom w:val="single" w:sz="4" w:space="0" w:color="000000"/>
              <w:right w:val="single" w:sz="4" w:space="0" w:color="000000"/>
            </w:tcBorders>
          </w:tcPr>
          <w:p>
            <w:pPr>
              <w:pStyle w:val="TableParagraph"/>
              <w:spacing w:line="196" w:lineRule="exact"/>
              <w:ind w:right="21"/>
              <w:jc w:val="right"/>
              <w:rPr>
                <w:rFonts w:ascii="Times New Roman" w:hAnsi="Times New Roman" w:cs="Times New Roman" w:eastAsia="Times New Roman" w:hint="default"/>
                <w:sz w:val="18"/>
                <w:szCs w:val="18"/>
              </w:rPr>
            </w:pPr>
            <w:r>
              <w:rPr>
                <w:rFonts w:ascii="Times New Roman"/>
                <w:spacing w:val="-1"/>
                <w:sz w:val="18"/>
              </w:rPr>
              <w:t>000.00</w:t>
            </w:r>
          </w:p>
        </w:tc>
        <w:tc>
          <w:tcPr>
            <w:tcW w:w="651" w:type="dxa"/>
            <w:tcBorders>
              <w:top w:val="nil" w:sz="6" w:space="0" w:color="auto"/>
              <w:left w:val="single" w:sz="4" w:space="0" w:color="000000"/>
              <w:bottom w:val="single" w:sz="4" w:space="0" w:color="000000"/>
              <w:right w:val="single" w:sz="4" w:space="0" w:color="000000"/>
            </w:tcBorders>
          </w:tcPr>
          <w:p>
            <w:pPr>
              <w:pStyle w:val="TableParagraph"/>
              <w:spacing w:line="196" w:lineRule="exact"/>
              <w:ind w:right="21"/>
              <w:jc w:val="right"/>
              <w:rPr>
                <w:rFonts w:ascii="Times New Roman" w:hAnsi="Times New Roman" w:cs="Times New Roman" w:eastAsia="Times New Roman" w:hint="default"/>
                <w:sz w:val="18"/>
                <w:szCs w:val="18"/>
              </w:rPr>
            </w:pPr>
            <w:r>
              <w:rPr>
                <w:rFonts w:ascii="Times New Roman"/>
                <w:spacing w:val="-1"/>
                <w:sz w:val="18"/>
              </w:rPr>
              <w:t>000.00</w:t>
            </w:r>
          </w:p>
        </w:tc>
      </w:tr>
      <w:tr>
        <w:trPr>
          <w:trHeight w:val="283" w:hRule="exact"/>
        </w:trPr>
        <w:tc>
          <w:tcPr>
            <w:tcW w:w="1212"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1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w:t>
            </w:r>
          </w:p>
        </w:tc>
        <w:tc>
          <w:tcPr>
            <w:tcW w:w="490" w:type="dxa"/>
            <w:vMerge w:val="restart"/>
            <w:tcBorders>
              <w:top w:val="single" w:sz="4" w:space="0" w:color="000000"/>
              <w:left w:val="single" w:sz="4" w:space="0" w:color="000000"/>
              <w:right w:val="single" w:sz="4" w:space="0" w:color="000000"/>
            </w:tcBorders>
          </w:tcPr>
          <w:p>
            <w:pPr/>
          </w:p>
        </w:tc>
        <w:tc>
          <w:tcPr>
            <w:tcW w:w="449" w:type="dxa"/>
            <w:vMerge w:val="restart"/>
            <w:tcBorders>
              <w:top w:val="single" w:sz="4" w:space="0" w:color="000000"/>
              <w:left w:val="single" w:sz="4" w:space="0" w:color="000000"/>
              <w:right w:val="single" w:sz="4" w:space="0" w:color="000000"/>
            </w:tcBorders>
          </w:tcPr>
          <w:p>
            <w:pPr/>
          </w:p>
        </w:tc>
        <w:tc>
          <w:tcPr>
            <w:tcW w:w="449" w:type="dxa"/>
            <w:vMerge w:val="restart"/>
            <w:tcBorders>
              <w:top w:val="single" w:sz="4" w:space="0" w:color="000000"/>
              <w:left w:val="single" w:sz="4" w:space="0" w:color="000000"/>
              <w:right w:val="single" w:sz="4" w:space="0" w:color="000000"/>
            </w:tcBorders>
          </w:tcPr>
          <w:p>
            <w:pPr/>
          </w:p>
        </w:tc>
        <w:tc>
          <w:tcPr>
            <w:tcW w:w="491"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7" w:type="dxa"/>
            <w:vMerge w:val="restart"/>
            <w:tcBorders>
              <w:top w:val="single" w:sz="4" w:space="0" w:color="000000"/>
              <w:left w:val="single" w:sz="4" w:space="0" w:color="000000"/>
              <w:right w:val="single" w:sz="4" w:space="0" w:color="000000"/>
            </w:tcBorders>
          </w:tcPr>
          <w:p>
            <w:pPr/>
          </w:p>
        </w:tc>
        <w:tc>
          <w:tcPr>
            <w:tcW w:w="577" w:type="dxa"/>
            <w:vMerge w:val="restart"/>
            <w:tcBorders>
              <w:top w:val="single" w:sz="4" w:space="0" w:color="000000"/>
              <w:left w:val="single" w:sz="4" w:space="0" w:color="000000"/>
              <w:right w:val="single" w:sz="4" w:space="0" w:color="000000"/>
            </w:tcBorders>
          </w:tcPr>
          <w:p>
            <w:pPr/>
          </w:p>
        </w:tc>
        <w:tc>
          <w:tcPr>
            <w:tcW w:w="577"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7" w:type="dxa"/>
            <w:vMerge w:val="restart"/>
            <w:tcBorders>
              <w:top w:val="single" w:sz="4" w:space="0" w:color="000000"/>
              <w:left w:val="single" w:sz="4" w:space="0" w:color="000000"/>
              <w:right w:val="single" w:sz="4" w:space="0" w:color="000000"/>
            </w:tcBorders>
          </w:tcPr>
          <w:p>
            <w:pPr/>
          </w:p>
        </w:tc>
        <w:tc>
          <w:tcPr>
            <w:tcW w:w="589" w:type="dxa"/>
            <w:vMerge w:val="restart"/>
            <w:tcBorders>
              <w:top w:val="single" w:sz="4" w:space="0" w:color="000000"/>
              <w:left w:val="single" w:sz="4" w:space="0" w:color="000000"/>
              <w:right w:val="single" w:sz="4" w:space="0" w:color="000000"/>
            </w:tcBorders>
          </w:tcPr>
          <w:p>
            <w:pPr/>
          </w:p>
        </w:tc>
        <w:tc>
          <w:tcPr>
            <w:tcW w:w="567" w:type="dxa"/>
            <w:vMerge w:val="restart"/>
            <w:tcBorders>
              <w:top w:val="single" w:sz="4" w:space="0" w:color="000000"/>
              <w:left w:val="single" w:sz="4" w:space="0" w:color="000000"/>
              <w:right w:val="single" w:sz="4" w:space="0" w:color="000000"/>
            </w:tcBorders>
          </w:tcPr>
          <w:p>
            <w:pPr/>
          </w:p>
        </w:tc>
        <w:tc>
          <w:tcPr>
            <w:tcW w:w="567" w:type="dxa"/>
            <w:vMerge w:val="restart"/>
            <w:tcBorders>
              <w:top w:val="single" w:sz="4" w:space="0" w:color="000000"/>
              <w:left w:val="single" w:sz="4" w:space="0" w:color="000000"/>
              <w:right w:val="single" w:sz="4" w:space="0" w:color="000000"/>
            </w:tcBorders>
          </w:tcPr>
          <w:p>
            <w:pPr/>
          </w:p>
        </w:tc>
        <w:tc>
          <w:tcPr>
            <w:tcW w:w="643" w:type="dxa"/>
            <w:vMerge w:val="restart"/>
            <w:tcBorders>
              <w:top w:val="single" w:sz="4" w:space="0" w:color="000000"/>
              <w:left w:val="single" w:sz="4" w:space="0" w:color="000000"/>
              <w:right w:val="single" w:sz="4" w:space="0" w:color="000000"/>
            </w:tcBorders>
          </w:tcPr>
          <w:p>
            <w:pPr/>
          </w:p>
        </w:tc>
        <w:tc>
          <w:tcPr>
            <w:tcW w:w="651" w:type="dxa"/>
            <w:vMerge w:val="restart"/>
            <w:tcBorders>
              <w:top w:val="single" w:sz="4" w:space="0" w:color="000000"/>
              <w:left w:val="single" w:sz="4" w:space="0" w:color="000000"/>
              <w:right w:val="single" w:sz="4" w:space="0" w:color="000000"/>
            </w:tcBorders>
          </w:tcPr>
          <w:p>
            <w:pPr/>
          </w:p>
        </w:tc>
      </w:tr>
      <w:tr>
        <w:trPr>
          <w:trHeight w:val="229" w:hRule="exact"/>
        </w:trPr>
        <w:tc>
          <w:tcPr>
            <w:tcW w:w="12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03" w:lineRule="exact"/>
              <w:ind w:left="22" w:right="0"/>
              <w:jc w:val="left"/>
              <w:rPr>
                <w:rFonts w:ascii="宋体" w:hAnsi="宋体" w:cs="宋体" w:eastAsia="宋体" w:hint="default"/>
                <w:sz w:val="18"/>
                <w:szCs w:val="18"/>
              </w:rPr>
            </w:pPr>
            <w:r>
              <w:rPr>
                <w:rFonts w:ascii="宋体" w:hAnsi="宋体" w:cs="宋体" w:eastAsia="宋体" w:hint="default"/>
                <w:sz w:val="18"/>
                <w:szCs w:val="18"/>
              </w:rPr>
              <w:t>具持有者投入</w:t>
            </w:r>
          </w:p>
        </w:tc>
        <w:tc>
          <w:tcPr>
            <w:tcW w:w="490" w:type="dxa"/>
            <w:vMerge/>
            <w:tcBorders>
              <w:left w:val="single" w:sz="4" w:space="0" w:color="000000"/>
              <w:right w:val="single" w:sz="4" w:space="0" w:color="000000"/>
            </w:tcBorders>
          </w:tcPr>
          <w:p>
            <w:pPr/>
          </w:p>
        </w:tc>
        <w:tc>
          <w:tcPr>
            <w:tcW w:w="449" w:type="dxa"/>
            <w:vMerge/>
            <w:tcBorders>
              <w:left w:val="single" w:sz="4" w:space="0" w:color="000000"/>
              <w:right w:val="single" w:sz="4" w:space="0" w:color="000000"/>
            </w:tcBorders>
          </w:tcPr>
          <w:p>
            <w:pPr/>
          </w:p>
        </w:tc>
        <w:tc>
          <w:tcPr>
            <w:tcW w:w="449" w:type="dxa"/>
            <w:vMerge/>
            <w:tcBorders>
              <w:left w:val="single" w:sz="4" w:space="0" w:color="000000"/>
              <w:right w:val="single" w:sz="4" w:space="0" w:color="000000"/>
            </w:tcBorders>
          </w:tcPr>
          <w:p>
            <w:pPr/>
          </w:p>
        </w:tc>
        <w:tc>
          <w:tcPr>
            <w:tcW w:w="491"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7" w:type="dxa"/>
            <w:vMerge/>
            <w:tcBorders>
              <w:left w:val="single" w:sz="4" w:space="0" w:color="000000"/>
              <w:right w:val="single" w:sz="4" w:space="0" w:color="000000"/>
            </w:tcBorders>
          </w:tcPr>
          <w:p>
            <w:pPr/>
          </w:p>
        </w:tc>
        <w:tc>
          <w:tcPr>
            <w:tcW w:w="577" w:type="dxa"/>
            <w:vMerge/>
            <w:tcBorders>
              <w:left w:val="single" w:sz="4" w:space="0" w:color="000000"/>
              <w:right w:val="single" w:sz="4" w:space="0" w:color="000000"/>
            </w:tcBorders>
          </w:tcPr>
          <w:p>
            <w:pPr/>
          </w:p>
        </w:tc>
        <w:tc>
          <w:tcPr>
            <w:tcW w:w="577"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7" w:type="dxa"/>
            <w:vMerge/>
            <w:tcBorders>
              <w:left w:val="single" w:sz="4" w:space="0" w:color="000000"/>
              <w:right w:val="single" w:sz="4" w:space="0" w:color="000000"/>
            </w:tcBorders>
          </w:tcPr>
          <w:p>
            <w:pPr/>
          </w:p>
        </w:tc>
        <w:tc>
          <w:tcPr>
            <w:tcW w:w="589" w:type="dxa"/>
            <w:vMerge/>
            <w:tcBorders>
              <w:left w:val="single" w:sz="4" w:space="0" w:color="000000"/>
              <w:right w:val="single" w:sz="4" w:space="0" w:color="000000"/>
            </w:tcBorders>
          </w:tcPr>
          <w:p>
            <w:pPr/>
          </w:p>
        </w:tc>
        <w:tc>
          <w:tcPr>
            <w:tcW w:w="567" w:type="dxa"/>
            <w:vMerge/>
            <w:tcBorders>
              <w:left w:val="single" w:sz="4" w:space="0" w:color="000000"/>
              <w:right w:val="single" w:sz="4" w:space="0" w:color="000000"/>
            </w:tcBorders>
          </w:tcPr>
          <w:p>
            <w:pPr/>
          </w:p>
        </w:tc>
        <w:tc>
          <w:tcPr>
            <w:tcW w:w="567" w:type="dxa"/>
            <w:vMerge/>
            <w:tcBorders>
              <w:left w:val="single" w:sz="4" w:space="0" w:color="000000"/>
              <w:right w:val="single" w:sz="4" w:space="0" w:color="000000"/>
            </w:tcBorders>
          </w:tcPr>
          <w:p>
            <w:pPr/>
          </w:p>
        </w:tc>
        <w:tc>
          <w:tcPr>
            <w:tcW w:w="643" w:type="dxa"/>
            <w:vMerge/>
            <w:tcBorders>
              <w:left w:val="single" w:sz="4" w:space="0" w:color="000000"/>
              <w:right w:val="single" w:sz="4" w:space="0" w:color="000000"/>
            </w:tcBorders>
          </w:tcPr>
          <w:p>
            <w:pPr/>
          </w:p>
        </w:tc>
        <w:tc>
          <w:tcPr>
            <w:tcW w:w="651" w:type="dxa"/>
            <w:vMerge/>
            <w:tcBorders>
              <w:left w:val="single" w:sz="4" w:space="0" w:color="000000"/>
              <w:right w:val="single" w:sz="4" w:space="0" w:color="000000"/>
            </w:tcBorders>
          </w:tcPr>
          <w:p>
            <w:pPr/>
          </w:p>
        </w:tc>
      </w:tr>
      <w:tr>
        <w:trPr>
          <w:trHeight w:val="278" w:hRule="exact"/>
        </w:trPr>
        <w:tc>
          <w:tcPr>
            <w:tcW w:w="1212"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06" w:lineRule="exact"/>
              <w:ind w:left="22" w:right="0"/>
              <w:jc w:val="left"/>
              <w:rPr>
                <w:rFonts w:ascii="宋体" w:hAnsi="宋体" w:cs="宋体" w:eastAsia="宋体" w:hint="default"/>
                <w:sz w:val="18"/>
                <w:szCs w:val="18"/>
              </w:rPr>
            </w:pPr>
            <w:r>
              <w:rPr>
                <w:rFonts w:ascii="宋体" w:hAnsi="宋体" w:cs="宋体" w:eastAsia="宋体" w:hint="default"/>
                <w:sz w:val="18"/>
                <w:szCs w:val="18"/>
              </w:rPr>
              <w:t>资本</w:t>
            </w:r>
          </w:p>
        </w:tc>
        <w:tc>
          <w:tcPr>
            <w:tcW w:w="490" w:type="dxa"/>
            <w:vMerge/>
            <w:tcBorders>
              <w:left w:val="single" w:sz="4" w:space="0" w:color="000000"/>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91"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7" w:type="dxa"/>
            <w:vMerge/>
            <w:tcBorders>
              <w:left w:val="single" w:sz="4" w:space="0" w:color="000000"/>
              <w:bottom w:val="single" w:sz="4" w:space="0" w:color="000000"/>
              <w:right w:val="single" w:sz="4" w:space="0" w:color="000000"/>
            </w:tcBorders>
          </w:tcPr>
          <w:p>
            <w:pPr/>
          </w:p>
        </w:tc>
        <w:tc>
          <w:tcPr>
            <w:tcW w:w="577" w:type="dxa"/>
            <w:vMerge/>
            <w:tcBorders>
              <w:left w:val="single" w:sz="4" w:space="0" w:color="000000"/>
              <w:bottom w:val="single" w:sz="4" w:space="0" w:color="000000"/>
              <w:right w:val="single" w:sz="4" w:space="0" w:color="000000"/>
            </w:tcBorders>
          </w:tcPr>
          <w:p>
            <w:pPr/>
          </w:p>
        </w:tc>
        <w:tc>
          <w:tcPr>
            <w:tcW w:w="577"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7" w:type="dxa"/>
            <w:vMerge/>
            <w:tcBorders>
              <w:left w:val="single" w:sz="4" w:space="0" w:color="000000"/>
              <w:bottom w:val="single" w:sz="4" w:space="0" w:color="000000"/>
              <w:right w:val="single" w:sz="4" w:space="0" w:color="000000"/>
            </w:tcBorders>
          </w:tcPr>
          <w:p>
            <w:pPr/>
          </w:p>
        </w:tc>
        <w:tc>
          <w:tcPr>
            <w:tcW w:w="589" w:type="dxa"/>
            <w:vMerge/>
            <w:tcBorders>
              <w:left w:val="single" w:sz="4" w:space="0" w:color="000000"/>
              <w:bottom w:val="single" w:sz="4" w:space="0" w:color="000000"/>
              <w:right w:val="single" w:sz="4" w:space="0" w:color="000000"/>
            </w:tcBorders>
          </w:tcPr>
          <w:p>
            <w:pPr/>
          </w:p>
        </w:tc>
        <w:tc>
          <w:tcPr>
            <w:tcW w:w="567" w:type="dxa"/>
            <w:vMerge/>
            <w:tcBorders>
              <w:left w:val="single" w:sz="4" w:space="0" w:color="000000"/>
              <w:bottom w:val="single" w:sz="4" w:space="0" w:color="000000"/>
              <w:right w:val="single" w:sz="4" w:space="0" w:color="000000"/>
            </w:tcBorders>
          </w:tcPr>
          <w:p>
            <w:pPr/>
          </w:p>
        </w:tc>
        <w:tc>
          <w:tcPr>
            <w:tcW w:w="567" w:type="dxa"/>
            <w:vMerge/>
            <w:tcBorders>
              <w:left w:val="single" w:sz="4" w:space="0" w:color="000000"/>
              <w:bottom w:val="single" w:sz="4" w:space="0" w:color="000000"/>
              <w:right w:val="single" w:sz="4" w:space="0" w:color="000000"/>
            </w:tcBorders>
          </w:tcPr>
          <w:p>
            <w:pPr/>
          </w:p>
        </w:tc>
        <w:tc>
          <w:tcPr>
            <w:tcW w:w="643" w:type="dxa"/>
            <w:vMerge/>
            <w:tcBorders>
              <w:left w:val="single" w:sz="4" w:space="0" w:color="000000"/>
              <w:bottom w:val="single" w:sz="4" w:space="0" w:color="000000"/>
              <w:right w:val="single" w:sz="4" w:space="0" w:color="000000"/>
            </w:tcBorders>
          </w:tcPr>
          <w:p>
            <w:pPr/>
          </w:p>
        </w:tc>
        <w:tc>
          <w:tcPr>
            <w:tcW w:w="651" w:type="dxa"/>
            <w:vMerge/>
            <w:tcBorders>
              <w:left w:val="single" w:sz="4" w:space="0" w:color="000000"/>
              <w:bottom w:val="single" w:sz="4" w:space="0" w:color="000000"/>
              <w:right w:val="single" w:sz="4" w:space="0" w:color="000000"/>
            </w:tcBorders>
          </w:tcPr>
          <w:p>
            <w:pPr/>
          </w:p>
        </w:tc>
      </w:tr>
      <w:tr>
        <w:trPr>
          <w:trHeight w:val="283" w:hRule="exact"/>
        </w:trPr>
        <w:tc>
          <w:tcPr>
            <w:tcW w:w="1212"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1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w:t>
            </w:r>
          </w:p>
        </w:tc>
        <w:tc>
          <w:tcPr>
            <w:tcW w:w="490" w:type="dxa"/>
            <w:vMerge w:val="restart"/>
            <w:tcBorders>
              <w:top w:val="single" w:sz="4" w:space="0" w:color="000000"/>
              <w:left w:val="single" w:sz="4" w:space="0" w:color="000000"/>
              <w:right w:val="single" w:sz="4" w:space="0" w:color="000000"/>
            </w:tcBorders>
          </w:tcPr>
          <w:p>
            <w:pPr/>
          </w:p>
        </w:tc>
        <w:tc>
          <w:tcPr>
            <w:tcW w:w="449" w:type="dxa"/>
            <w:vMerge w:val="restart"/>
            <w:tcBorders>
              <w:top w:val="single" w:sz="4" w:space="0" w:color="000000"/>
              <w:left w:val="single" w:sz="4" w:space="0" w:color="000000"/>
              <w:right w:val="single" w:sz="4" w:space="0" w:color="000000"/>
            </w:tcBorders>
          </w:tcPr>
          <w:p>
            <w:pPr/>
          </w:p>
        </w:tc>
        <w:tc>
          <w:tcPr>
            <w:tcW w:w="449" w:type="dxa"/>
            <w:vMerge w:val="restart"/>
            <w:tcBorders>
              <w:top w:val="single" w:sz="4" w:space="0" w:color="000000"/>
              <w:left w:val="single" w:sz="4" w:space="0" w:color="000000"/>
              <w:right w:val="single" w:sz="4" w:space="0" w:color="000000"/>
            </w:tcBorders>
          </w:tcPr>
          <w:p>
            <w:pPr/>
          </w:p>
        </w:tc>
        <w:tc>
          <w:tcPr>
            <w:tcW w:w="491"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7" w:type="dxa"/>
            <w:vMerge w:val="restart"/>
            <w:tcBorders>
              <w:top w:val="single" w:sz="4" w:space="0" w:color="000000"/>
              <w:left w:val="single" w:sz="4" w:space="0" w:color="000000"/>
              <w:right w:val="single" w:sz="4" w:space="0" w:color="000000"/>
            </w:tcBorders>
          </w:tcPr>
          <w:p>
            <w:pPr/>
          </w:p>
        </w:tc>
        <w:tc>
          <w:tcPr>
            <w:tcW w:w="577" w:type="dxa"/>
            <w:vMerge w:val="restart"/>
            <w:tcBorders>
              <w:top w:val="single" w:sz="4" w:space="0" w:color="000000"/>
              <w:left w:val="single" w:sz="4" w:space="0" w:color="000000"/>
              <w:right w:val="single" w:sz="4" w:space="0" w:color="000000"/>
            </w:tcBorders>
          </w:tcPr>
          <w:p>
            <w:pPr/>
          </w:p>
        </w:tc>
        <w:tc>
          <w:tcPr>
            <w:tcW w:w="577"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7" w:type="dxa"/>
            <w:vMerge w:val="restart"/>
            <w:tcBorders>
              <w:top w:val="single" w:sz="4" w:space="0" w:color="000000"/>
              <w:left w:val="single" w:sz="4" w:space="0" w:color="000000"/>
              <w:right w:val="single" w:sz="4" w:space="0" w:color="000000"/>
            </w:tcBorders>
          </w:tcPr>
          <w:p>
            <w:pPr/>
          </w:p>
        </w:tc>
        <w:tc>
          <w:tcPr>
            <w:tcW w:w="589" w:type="dxa"/>
            <w:vMerge w:val="restart"/>
            <w:tcBorders>
              <w:top w:val="single" w:sz="4" w:space="0" w:color="000000"/>
              <w:left w:val="single" w:sz="4" w:space="0" w:color="000000"/>
              <w:right w:val="single" w:sz="4" w:space="0" w:color="000000"/>
            </w:tcBorders>
          </w:tcPr>
          <w:p>
            <w:pPr/>
          </w:p>
        </w:tc>
        <w:tc>
          <w:tcPr>
            <w:tcW w:w="567" w:type="dxa"/>
            <w:vMerge w:val="restart"/>
            <w:tcBorders>
              <w:top w:val="single" w:sz="4" w:space="0" w:color="000000"/>
              <w:left w:val="single" w:sz="4" w:space="0" w:color="000000"/>
              <w:right w:val="single" w:sz="4" w:space="0" w:color="000000"/>
            </w:tcBorders>
          </w:tcPr>
          <w:p>
            <w:pPr/>
          </w:p>
        </w:tc>
        <w:tc>
          <w:tcPr>
            <w:tcW w:w="567" w:type="dxa"/>
            <w:vMerge w:val="restart"/>
            <w:tcBorders>
              <w:top w:val="single" w:sz="4" w:space="0" w:color="000000"/>
              <w:left w:val="single" w:sz="4" w:space="0" w:color="000000"/>
              <w:right w:val="single" w:sz="4" w:space="0" w:color="000000"/>
            </w:tcBorders>
          </w:tcPr>
          <w:p>
            <w:pPr/>
          </w:p>
        </w:tc>
        <w:tc>
          <w:tcPr>
            <w:tcW w:w="643" w:type="dxa"/>
            <w:vMerge w:val="restart"/>
            <w:tcBorders>
              <w:top w:val="single" w:sz="4" w:space="0" w:color="000000"/>
              <w:left w:val="single" w:sz="4" w:space="0" w:color="000000"/>
              <w:right w:val="single" w:sz="4" w:space="0" w:color="000000"/>
            </w:tcBorders>
          </w:tcPr>
          <w:p>
            <w:pPr/>
          </w:p>
        </w:tc>
        <w:tc>
          <w:tcPr>
            <w:tcW w:w="651" w:type="dxa"/>
            <w:vMerge w:val="restart"/>
            <w:tcBorders>
              <w:top w:val="single" w:sz="4" w:space="0" w:color="000000"/>
              <w:left w:val="single" w:sz="4" w:space="0" w:color="000000"/>
              <w:right w:val="single" w:sz="4" w:space="0" w:color="000000"/>
            </w:tcBorders>
          </w:tcPr>
          <w:p>
            <w:pPr/>
          </w:p>
        </w:tc>
      </w:tr>
      <w:tr>
        <w:trPr>
          <w:trHeight w:val="229" w:hRule="exact"/>
        </w:trPr>
        <w:tc>
          <w:tcPr>
            <w:tcW w:w="12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03" w:lineRule="exact"/>
              <w:ind w:left="22" w:right="0"/>
              <w:jc w:val="left"/>
              <w:rPr>
                <w:rFonts w:ascii="宋体" w:hAnsi="宋体" w:cs="宋体" w:eastAsia="宋体" w:hint="default"/>
                <w:sz w:val="18"/>
                <w:szCs w:val="18"/>
              </w:rPr>
            </w:pPr>
            <w:r>
              <w:rPr>
                <w:rFonts w:ascii="宋体" w:hAnsi="宋体" w:cs="宋体" w:eastAsia="宋体" w:hint="default"/>
                <w:sz w:val="18"/>
                <w:szCs w:val="18"/>
              </w:rPr>
              <w:t>入所有者权益</w:t>
            </w:r>
          </w:p>
        </w:tc>
        <w:tc>
          <w:tcPr>
            <w:tcW w:w="490" w:type="dxa"/>
            <w:vMerge/>
            <w:tcBorders>
              <w:left w:val="single" w:sz="4" w:space="0" w:color="000000"/>
              <w:right w:val="single" w:sz="4" w:space="0" w:color="000000"/>
            </w:tcBorders>
          </w:tcPr>
          <w:p>
            <w:pPr/>
          </w:p>
        </w:tc>
        <w:tc>
          <w:tcPr>
            <w:tcW w:w="449" w:type="dxa"/>
            <w:vMerge/>
            <w:tcBorders>
              <w:left w:val="single" w:sz="4" w:space="0" w:color="000000"/>
              <w:right w:val="single" w:sz="4" w:space="0" w:color="000000"/>
            </w:tcBorders>
          </w:tcPr>
          <w:p>
            <w:pPr/>
          </w:p>
        </w:tc>
        <w:tc>
          <w:tcPr>
            <w:tcW w:w="449" w:type="dxa"/>
            <w:vMerge/>
            <w:tcBorders>
              <w:left w:val="single" w:sz="4" w:space="0" w:color="000000"/>
              <w:right w:val="single" w:sz="4" w:space="0" w:color="000000"/>
            </w:tcBorders>
          </w:tcPr>
          <w:p>
            <w:pPr/>
          </w:p>
        </w:tc>
        <w:tc>
          <w:tcPr>
            <w:tcW w:w="491"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7" w:type="dxa"/>
            <w:vMerge/>
            <w:tcBorders>
              <w:left w:val="single" w:sz="4" w:space="0" w:color="000000"/>
              <w:right w:val="single" w:sz="4" w:space="0" w:color="000000"/>
            </w:tcBorders>
          </w:tcPr>
          <w:p>
            <w:pPr/>
          </w:p>
        </w:tc>
        <w:tc>
          <w:tcPr>
            <w:tcW w:w="577" w:type="dxa"/>
            <w:vMerge/>
            <w:tcBorders>
              <w:left w:val="single" w:sz="4" w:space="0" w:color="000000"/>
              <w:right w:val="single" w:sz="4" w:space="0" w:color="000000"/>
            </w:tcBorders>
          </w:tcPr>
          <w:p>
            <w:pPr/>
          </w:p>
        </w:tc>
        <w:tc>
          <w:tcPr>
            <w:tcW w:w="577"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7" w:type="dxa"/>
            <w:vMerge/>
            <w:tcBorders>
              <w:left w:val="single" w:sz="4" w:space="0" w:color="000000"/>
              <w:right w:val="single" w:sz="4" w:space="0" w:color="000000"/>
            </w:tcBorders>
          </w:tcPr>
          <w:p>
            <w:pPr/>
          </w:p>
        </w:tc>
        <w:tc>
          <w:tcPr>
            <w:tcW w:w="589" w:type="dxa"/>
            <w:vMerge/>
            <w:tcBorders>
              <w:left w:val="single" w:sz="4" w:space="0" w:color="000000"/>
              <w:right w:val="single" w:sz="4" w:space="0" w:color="000000"/>
            </w:tcBorders>
          </w:tcPr>
          <w:p>
            <w:pPr/>
          </w:p>
        </w:tc>
        <w:tc>
          <w:tcPr>
            <w:tcW w:w="567" w:type="dxa"/>
            <w:vMerge/>
            <w:tcBorders>
              <w:left w:val="single" w:sz="4" w:space="0" w:color="000000"/>
              <w:right w:val="single" w:sz="4" w:space="0" w:color="000000"/>
            </w:tcBorders>
          </w:tcPr>
          <w:p>
            <w:pPr/>
          </w:p>
        </w:tc>
        <w:tc>
          <w:tcPr>
            <w:tcW w:w="567" w:type="dxa"/>
            <w:vMerge/>
            <w:tcBorders>
              <w:left w:val="single" w:sz="4" w:space="0" w:color="000000"/>
              <w:right w:val="single" w:sz="4" w:space="0" w:color="000000"/>
            </w:tcBorders>
          </w:tcPr>
          <w:p>
            <w:pPr/>
          </w:p>
        </w:tc>
        <w:tc>
          <w:tcPr>
            <w:tcW w:w="643" w:type="dxa"/>
            <w:vMerge/>
            <w:tcBorders>
              <w:left w:val="single" w:sz="4" w:space="0" w:color="000000"/>
              <w:right w:val="single" w:sz="4" w:space="0" w:color="000000"/>
            </w:tcBorders>
          </w:tcPr>
          <w:p>
            <w:pPr/>
          </w:p>
        </w:tc>
        <w:tc>
          <w:tcPr>
            <w:tcW w:w="651" w:type="dxa"/>
            <w:vMerge/>
            <w:tcBorders>
              <w:left w:val="single" w:sz="4" w:space="0" w:color="000000"/>
              <w:right w:val="single" w:sz="4" w:space="0" w:color="000000"/>
            </w:tcBorders>
          </w:tcPr>
          <w:p>
            <w:pPr/>
          </w:p>
        </w:tc>
      </w:tr>
      <w:tr>
        <w:trPr>
          <w:trHeight w:val="279" w:hRule="exact"/>
        </w:trPr>
        <w:tc>
          <w:tcPr>
            <w:tcW w:w="1212"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06" w:lineRule="exact"/>
              <w:ind w:left="22" w:right="0"/>
              <w:jc w:val="left"/>
              <w:rPr>
                <w:rFonts w:ascii="宋体" w:hAnsi="宋体" w:cs="宋体" w:eastAsia="宋体" w:hint="default"/>
                <w:sz w:val="18"/>
                <w:szCs w:val="18"/>
              </w:rPr>
            </w:pPr>
            <w:r>
              <w:rPr>
                <w:rFonts w:ascii="宋体" w:hAnsi="宋体" w:cs="宋体" w:eastAsia="宋体" w:hint="default"/>
                <w:sz w:val="18"/>
                <w:szCs w:val="18"/>
              </w:rPr>
              <w:t>的金额</w:t>
            </w:r>
          </w:p>
        </w:tc>
        <w:tc>
          <w:tcPr>
            <w:tcW w:w="490" w:type="dxa"/>
            <w:vMerge/>
            <w:tcBorders>
              <w:left w:val="single" w:sz="4" w:space="0" w:color="000000"/>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91"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7" w:type="dxa"/>
            <w:vMerge/>
            <w:tcBorders>
              <w:left w:val="single" w:sz="4" w:space="0" w:color="000000"/>
              <w:bottom w:val="single" w:sz="4" w:space="0" w:color="000000"/>
              <w:right w:val="single" w:sz="4" w:space="0" w:color="000000"/>
            </w:tcBorders>
          </w:tcPr>
          <w:p>
            <w:pPr/>
          </w:p>
        </w:tc>
        <w:tc>
          <w:tcPr>
            <w:tcW w:w="577" w:type="dxa"/>
            <w:vMerge/>
            <w:tcBorders>
              <w:left w:val="single" w:sz="4" w:space="0" w:color="000000"/>
              <w:bottom w:val="single" w:sz="4" w:space="0" w:color="000000"/>
              <w:right w:val="single" w:sz="4" w:space="0" w:color="000000"/>
            </w:tcBorders>
          </w:tcPr>
          <w:p>
            <w:pPr/>
          </w:p>
        </w:tc>
        <w:tc>
          <w:tcPr>
            <w:tcW w:w="577"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7" w:type="dxa"/>
            <w:vMerge/>
            <w:tcBorders>
              <w:left w:val="single" w:sz="4" w:space="0" w:color="000000"/>
              <w:bottom w:val="single" w:sz="4" w:space="0" w:color="000000"/>
              <w:right w:val="single" w:sz="4" w:space="0" w:color="000000"/>
            </w:tcBorders>
          </w:tcPr>
          <w:p>
            <w:pPr/>
          </w:p>
        </w:tc>
        <w:tc>
          <w:tcPr>
            <w:tcW w:w="589" w:type="dxa"/>
            <w:vMerge/>
            <w:tcBorders>
              <w:left w:val="single" w:sz="4" w:space="0" w:color="000000"/>
              <w:bottom w:val="single" w:sz="4" w:space="0" w:color="000000"/>
              <w:right w:val="single" w:sz="4" w:space="0" w:color="000000"/>
            </w:tcBorders>
          </w:tcPr>
          <w:p>
            <w:pPr/>
          </w:p>
        </w:tc>
        <w:tc>
          <w:tcPr>
            <w:tcW w:w="567" w:type="dxa"/>
            <w:vMerge/>
            <w:tcBorders>
              <w:left w:val="single" w:sz="4" w:space="0" w:color="000000"/>
              <w:bottom w:val="single" w:sz="4" w:space="0" w:color="000000"/>
              <w:right w:val="single" w:sz="4" w:space="0" w:color="000000"/>
            </w:tcBorders>
          </w:tcPr>
          <w:p>
            <w:pPr/>
          </w:p>
        </w:tc>
        <w:tc>
          <w:tcPr>
            <w:tcW w:w="567" w:type="dxa"/>
            <w:vMerge/>
            <w:tcBorders>
              <w:left w:val="single" w:sz="4" w:space="0" w:color="000000"/>
              <w:bottom w:val="single" w:sz="4" w:space="0" w:color="000000"/>
              <w:right w:val="single" w:sz="4" w:space="0" w:color="000000"/>
            </w:tcBorders>
          </w:tcPr>
          <w:p>
            <w:pPr/>
          </w:p>
        </w:tc>
        <w:tc>
          <w:tcPr>
            <w:tcW w:w="643" w:type="dxa"/>
            <w:vMerge/>
            <w:tcBorders>
              <w:left w:val="single" w:sz="4" w:space="0" w:color="000000"/>
              <w:bottom w:val="single" w:sz="4" w:space="0" w:color="000000"/>
              <w:right w:val="single" w:sz="4" w:space="0" w:color="000000"/>
            </w:tcBorders>
          </w:tcPr>
          <w:p>
            <w:pPr/>
          </w:p>
        </w:tc>
        <w:tc>
          <w:tcPr>
            <w:tcW w:w="651" w:type="dxa"/>
            <w:vMerge/>
            <w:tcBorders>
              <w:left w:val="single" w:sz="4" w:space="0" w:color="000000"/>
              <w:bottom w:val="single" w:sz="4" w:space="0" w:color="000000"/>
              <w:right w:val="single" w:sz="4" w:space="0" w:color="000000"/>
            </w:tcBorders>
          </w:tcPr>
          <w:p>
            <w:pPr/>
          </w:p>
        </w:tc>
      </w:tr>
      <w:tr>
        <w:trPr>
          <w:trHeight w:val="711"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8"/>
              <w:ind w:left="48" w:right="0"/>
              <w:jc w:val="left"/>
              <w:rPr>
                <w:rFonts w:ascii="Times New Roman" w:hAnsi="Times New Roman" w:cs="Times New Roman" w:eastAsia="Times New Roman" w:hint="default"/>
                <w:sz w:val="18"/>
                <w:szCs w:val="18"/>
              </w:rPr>
            </w:pPr>
            <w:r>
              <w:rPr>
                <w:rFonts w:ascii="Times New Roman"/>
                <w:sz w:val="18"/>
              </w:rPr>
              <w:t>113,00</w:t>
            </w:r>
          </w:p>
          <w:p>
            <w:pPr>
              <w:pStyle w:val="TableParagraph"/>
              <w:spacing w:line="206" w:lineRule="exact"/>
              <w:ind w:left="94" w:right="0"/>
              <w:jc w:val="left"/>
              <w:rPr>
                <w:rFonts w:ascii="Times New Roman" w:hAnsi="Times New Roman" w:cs="Times New Roman" w:eastAsia="Times New Roman" w:hint="default"/>
                <w:sz w:val="18"/>
                <w:szCs w:val="18"/>
              </w:rPr>
            </w:pPr>
            <w:r>
              <w:rPr>
                <w:rFonts w:ascii="Times New Roman"/>
                <w:sz w:val="18"/>
              </w:rPr>
              <w:t>6,514.</w:t>
            </w:r>
          </w:p>
          <w:p>
            <w:pPr>
              <w:pStyle w:val="TableParagraph"/>
              <w:spacing w:line="207" w:lineRule="exact"/>
              <w:ind w:left="363" w:right="0"/>
              <w:jc w:val="left"/>
              <w:rPr>
                <w:rFonts w:ascii="Times New Roman" w:hAnsi="Times New Roman" w:cs="Times New Roman" w:eastAsia="Times New Roman" w:hint="default"/>
                <w:sz w:val="18"/>
                <w:szCs w:val="18"/>
              </w:rPr>
            </w:pPr>
            <w:r>
              <w:rPr>
                <w:rFonts w:ascii="Times New Roman"/>
                <w:sz w:val="18"/>
              </w:rPr>
              <w:t>72</w:t>
            </w: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8"/>
              <w:ind w:left="69" w:right="0"/>
              <w:jc w:val="left"/>
              <w:rPr>
                <w:rFonts w:ascii="Times New Roman" w:hAnsi="Times New Roman" w:cs="Times New Roman" w:eastAsia="Times New Roman" w:hint="default"/>
                <w:sz w:val="18"/>
                <w:szCs w:val="18"/>
              </w:rPr>
            </w:pPr>
            <w:r>
              <w:rPr>
                <w:rFonts w:ascii="Times New Roman"/>
                <w:sz w:val="18"/>
              </w:rPr>
              <w:t>-113,0</w:t>
            </w:r>
          </w:p>
          <w:p>
            <w:pPr>
              <w:pStyle w:val="TableParagraph"/>
              <w:spacing w:line="206" w:lineRule="exact"/>
              <w:ind w:left="38" w:right="0"/>
              <w:jc w:val="left"/>
              <w:rPr>
                <w:rFonts w:ascii="Times New Roman" w:hAnsi="Times New Roman" w:cs="Times New Roman" w:eastAsia="Times New Roman" w:hint="default"/>
                <w:sz w:val="18"/>
                <w:szCs w:val="18"/>
              </w:rPr>
            </w:pPr>
            <w:r>
              <w:rPr>
                <w:rFonts w:ascii="Times New Roman"/>
                <w:sz w:val="18"/>
              </w:rPr>
              <w:t>06,514</w:t>
            </w:r>
          </w:p>
          <w:p>
            <w:pPr>
              <w:pStyle w:val="TableParagraph"/>
              <w:spacing w:line="207" w:lineRule="exact"/>
              <w:ind w:left="309" w:right="0"/>
              <w:jc w:val="left"/>
              <w:rPr>
                <w:rFonts w:ascii="Times New Roman" w:hAnsi="Times New Roman" w:cs="Times New Roman" w:eastAsia="Times New Roman" w:hint="default"/>
                <w:sz w:val="18"/>
                <w:szCs w:val="18"/>
              </w:rPr>
            </w:pPr>
            <w:r>
              <w:rPr>
                <w:rFonts w:ascii="Times New Roman"/>
                <w:sz w:val="18"/>
              </w:rPr>
              <w:t>.72</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42"/>
              <w:ind w:left="25" w:right="0"/>
              <w:jc w:val="left"/>
              <w:rPr>
                <w:rFonts w:ascii="Times New Roman" w:hAnsi="Times New Roman" w:cs="Times New Roman" w:eastAsia="Times New Roman" w:hint="default"/>
                <w:sz w:val="18"/>
                <w:szCs w:val="18"/>
              </w:rPr>
            </w:pPr>
            <w:r>
              <w:rPr>
                <w:rFonts w:ascii="Times New Roman"/>
                <w:sz w:val="18"/>
              </w:rPr>
              <w:t>142,524</w:t>
            </w:r>
          </w:p>
          <w:p>
            <w:pPr>
              <w:pStyle w:val="TableParagraph"/>
              <w:spacing w:line="207" w:lineRule="exact"/>
              <w:ind w:left="68" w:right="0"/>
              <w:jc w:val="left"/>
              <w:rPr>
                <w:rFonts w:ascii="Times New Roman" w:hAnsi="Times New Roman" w:cs="Times New Roman" w:eastAsia="Times New Roman" w:hint="default"/>
                <w:sz w:val="18"/>
                <w:szCs w:val="18"/>
              </w:rPr>
            </w:pPr>
            <w:r>
              <w:rPr>
                <w:rFonts w:ascii="Times New Roman"/>
                <w:sz w:val="18"/>
              </w:rPr>
              <w:t>,649.33</w:t>
            </w: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42"/>
              <w:ind w:left="78" w:right="0"/>
              <w:jc w:val="left"/>
              <w:rPr>
                <w:rFonts w:ascii="Times New Roman" w:hAnsi="Times New Roman" w:cs="Times New Roman" w:eastAsia="Times New Roman" w:hint="default"/>
                <w:sz w:val="18"/>
                <w:szCs w:val="18"/>
              </w:rPr>
            </w:pPr>
            <w:r>
              <w:rPr>
                <w:rFonts w:ascii="Times New Roman"/>
                <w:sz w:val="18"/>
              </w:rPr>
              <w:t>29,518,</w:t>
            </w:r>
          </w:p>
          <w:p>
            <w:pPr>
              <w:pStyle w:val="TableParagraph"/>
              <w:spacing w:line="207" w:lineRule="exact"/>
              <w:ind w:left="121" w:right="0"/>
              <w:jc w:val="left"/>
              <w:rPr>
                <w:rFonts w:ascii="Times New Roman" w:hAnsi="Times New Roman" w:cs="Times New Roman" w:eastAsia="Times New Roman" w:hint="default"/>
                <w:sz w:val="18"/>
                <w:szCs w:val="18"/>
              </w:rPr>
            </w:pPr>
            <w:r>
              <w:rPr>
                <w:rFonts w:ascii="Times New Roman"/>
                <w:sz w:val="18"/>
              </w:rPr>
              <w:t>134.61</w:t>
            </w:r>
          </w:p>
        </w:tc>
      </w:tr>
      <w:tr>
        <w:trPr>
          <w:trHeight w:val="711"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112"/>
              <w:ind w:left="22" w:right="98"/>
              <w:jc w:val="left"/>
              <w:rPr>
                <w:rFonts w:ascii="宋体" w:hAnsi="宋体" w:cs="宋体" w:eastAsia="宋体" w:hint="default"/>
                <w:sz w:val="18"/>
                <w:szCs w:val="18"/>
              </w:rPr>
            </w:pPr>
            <w:r>
              <w:rPr>
                <w:rFonts w:ascii="宋体" w:hAnsi="宋体" w:cs="宋体" w:eastAsia="宋体" w:hint="default"/>
                <w:sz w:val="18"/>
                <w:szCs w:val="18"/>
              </w:rPr>
              <w:t>（三）利润分 配</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8"/>
              <w:ind w:right="20"/>
              <w:jc w:val="right"/>
              <w:rPr>
                <w:rFonts w:ascii="Times New Roman" w:hAnsi="Times New Roman" w:cs="Times New Roman" w:eastAsia="Times New Roman" w:hint="default"/>
                <w:sz w:val="18"/>
                <w:szCs w:val="18"/>
              </w:rPr>
            </w:pPr>
            <w:r>
              <w:rPr>
                <w:rFonts w:ascii="Times New Roman"/>
                <w:spacing w:val="-1"/>
                <w:sz w:val="18"/>
              </w:rPr>
              <w:t>13,514</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pacing w:val="-1"/>
                <w:sz w:val="18"/>
              </w:rPr>
              <w:t>,099.9</w:t>
            </w:r>
          </w:p>
          <w:p>
            <w:pPr>
              <w:pStyle w:val="TableParagraph"/>
              <w:spacing w:line="240" w:lineRule="auto" w:before="2"/>
              <w:ind w:right="20"/>
              <w:jc w:val="right"/>
              <w:rPr>
                <w:rFonts w:ascii="Times New Roman" w:hAnsi="Times New Roman" w:cs="Times New Roman" w:eastAsia="Times New Roman" w:hint="default"/>
                <w:sz w:val="18"/>
                <w:szCs w:val="18"/>
              </w:rPr>
            </w:pPr>
            <w:r>
              <w:rPr>
                <w:rFonts w:ascii="Times New Roman"/>
                <w:sz w:val="18"/>
              </w:rPr>
              <w:t>0</w:t>
            </w: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8"/>
              <w:ind w:left="92" w:right="0"/>
              <w:jc w:val="left"/>
              <w:rPr>
                <w:rFonts w:ascii="Times New Roman" w:hAnsi="Times New Roman" w:cs="Times New Roman" w:eastAsia="Times New Roman" w:hint="default"/>
                <w:sz w:val="18"/>
                <w:szCs w:val="18"/>
              </w:rPr>
            </w:pPr>
            <w:r>
              <w:rPr>
                <w:rFonts w:ascii="Times New Roman"/>
                <w:sz w:val="18"/>
              </w:rPr>
              <w:t>-499,2</w:t>
            </w:r>
          </w:p>
          <w:p>
            <w:pPr>
              <w:pStyle w:val="TableParagraph"/>
              <w:spacing w:line="207" w:lineRule="exact"/>
              <w:ind w:left="61" w:right="0"/>
              <w:jc w:val="left"/>
              <w:rPr>
                <w:rFonts w:ascii="Times New Roman" w:hAnsi="Times New Roman" w:cs="Times New Roman" w:eastAsia="Times New Roman" w:hint="default"/>
                <w:sz w:val="18"/>
                <w:szCs w:val="18"/>
              </w:rPr>
            </w:pPr>
            <w:r>
              <w:rPr>
                <w:rFonts w:ascii="Times New Roman"/>
                <w:sz w:val="18"/>
              </w:rPr>
              <w:t>91,244</w:t>
            </w:r>
          </w:p>
          <w:p>
            <w:pPr>
              <w:pStyle w:val="TableParagraph"/>
              <w:spacing w:line="240" w:lineRule="auto" w:before="2"/>
              <w:ind w:left="330" w:right="0"/>
              <w:jc w:val="left"/>
              <w:rPr>
                <w:rFonts w:ascii="Times New Roman" w:hAnsi="Times New Roman" w:cs="Times New Roman" w:eastAsia="Times New Roman" w:hint="default"/>
                <w:sz w:val="18"/>
                <w:szCs w:val="18"/>
              </w:rPr>
            </w:pPr>
            <w:r>
              <w:rPr>
                <w:rFonts w:ascii="Times New Roman"/>
                <w:sz w:val="18"/>
              </w:rPr>
              <w:t>.90</w:t>
            </w:r>
          </w:p>
        </w:tc>
        <w:tc>
          <w:tcPr>
            <w:tcW w:w="56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8"/>
              <w:ind w:left="69" w:right="0"/>
              <w:jc w:val="left"/>
              <w:rPr>
                <w:rFonts w:ascii="Times New Roman" w:hAnsi="Times New Roman" w:cs="Times New Roman" w:eastAsia="Times New Roman" w:hint="default"/>
                <w:sz w:val="18"/>
                <w:szCs w:val="18"/>
              </w:rPr>
            </w:pPr>
            <w:r>
              <w:rPr>
                <w:rFonts w:ascii="Times New Roman"/>
                <w:sz w:val="18"/>
              </w:rPr>
              <w:t>-485,7</w:t>
            </w:r>
          </w:p>
          <w:p>
            <w:pPr>
              <w:pStyle w:val="TableParagraph"/>
              <w:spacing w:line="207" w:lineRule="exact"/>
              <w:ind w:left="38" w:right="0"/>
              <w:jc w:val="left"/>
              <w:rPr>
                <w:rFonts w:ascii="Times New Roman" w:hAnsi="Times New Roman" w:cs="Times New Roman" w:eastAsia="Times New Roman" w:hint="default"/>
                <w:sz w:val="18"/>
                <w:szCs w:val="18"/>
              </w:rPr>
            </w:pPr>
            <w:r>
              <w:rPr>
                <w:rFonts w:ascii="Times New Roman"/>
                <w:sz w:val="18"/>
              </w:rPr>
              <w:t>77,145</w:t>
            </w:r>
          </w:p>
          <w:p>
            <w:pPr>
              <w:pStyle w:val="TableParagraph"/>
              <w:spacing w:line="240" w:lineRule="auto" w:before="2"/>
              <w:ind w:left="309" w:right="0"/>
              <w:jc w:val="left"/>
              <w:rPr>
                <w:rFonts w:ascii="Times New Roman" w:hAnsi="Times New Roman" w:cs="Times New Roman" w:eastAsia="Times New Roman" w:hint="default"/>
                <w:sz w:val="18"/>
                <w:szCs w:val="18"/>
              </w:rPr>
            </w:pPr>
            <w:r>
              <w:rPr>
                <w:rFonts w:ascii="Times New Roman"/>
                <w:sz w:val="18"/>
              </w:rPr>
              <w:t>.00</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41"/>
              <w:ind w:left="56" w:right="0"/>
              <w:jc w:val="left"/>
              <w:rPr>
                <w:rFonts w:ascii="Times New Roman" w:hAnsi="Times New Roman" w:cs="Times New Roman" w:eastAsia="Times New Roman" w:hint="default"/>
                <w:sz w:val="18"/>
                <w:szCs w:val="18"/>
              </w:rPr>
            </w:pPr>
            <w:r>
              <w:rPr>
                <w:rFonts w:ascii="Times New Roman"/>
                <w:sz w:val="18"/>
              </w:rPr>
              <w:t>-64,790</w:t>
            </w:r>
          </w:p>
          <w:p>
            <w:pPr>
              <w:pStyle w:val="TableParagraph"/>
              <w:spacing w:line="207" w:lineRule="exact"/>
              <w:ind w:left="68" w:right="0"/>
              <w:jc w:val="left"/>
              <w:rPr>
                <w:rFonts w:ascii="Times New Roman" w:hAnsi="Times New Roman" w:cs="Times New Roman" w:eastAsia="Times New Roman" w:hint="default"/>
                <w:sz w:val="18"/>
                <w:szCs w:val="18"/>
              </w:rPr>
            </w:pPr>
            <w:r>
              <w:rPr>
                <w:rFonts w:ascii="Times New Roman"/>
                <w:sz w:val="18"/>
              </w:rPr>
              <w:t>,172.04</w:t>
            </w: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8"/>
              <w:ind w:right="19"/>
              <w:jc w:val="right"/>
              <w:rPr>
                <w:rFonts w:ascii="Times New Roman" w:hAnsi="Times New Roman" w:cs="Times New Roman" w:eastAsia="Times New Roman" w:hint="default"/>
                <w:sz w:val="18"/>
                <w:szCs w:val="18"/>
              </w:rPr>
            </w:pPr>
            <w:r>
              <w:rPr>
                <w:rFonts w:ascii="Times New Roman"/>
                <w:spacing w:val="-1"/>
                <w:sz w:val="18"/>
              </w:rPr>
              <w:t>-550,56</w:t>
            </w:r>
          </w:p>
          <w:p>
            <w:pPr>
              <w:pStyle w:val="TableParagraph"/>
              <w:spacing w:line="207" w:lineRule="exact"/>
              <w:ind w:right="19"/>
              <w:jc w:val="right"/>
              <w:rPr>
                <w:rFonts w:ascii="Times New Roman" w:hAnsi="Times New Roman" w:cs="Times New Roman" w:eastAsia="Times New Roman" w:hint="default"/>
                <w:sz w:val="18"/>
                <w:szCs w:val="18"/>
              </w:rPr>
            </w:pPr>
            <w:r>
              <w:rPr>
                <w:rFonts w:ascii="Times New Roman"/>
                <w:spacing w:val="-1"/>
                <w:sz w:val="18"/>
              </w:rPr>
              <w:t>7,317.0</w:t>
            </w:r>
          </w:p>
          <w:p>
            <w:pPr>
              <w:pStyle w:val="TableParagraph"/>
              <w:spacing w:line="240" w:lineRule="auto" w:before="2"/>
              <w:ind w:right="21"/>
              <w:jc w:val="right"/>
              <w:rPr>
                <w:rFonts w:ascii="Times New Roman" w:hAnsi="Times New Roman" w:cs="Times New Roman" w:eastAsia="Times New Roman" w:hint="default"/>
                <w:sz w:val="18"/>
                <w:szCs w:val="18"/>
              </w:rPr>
            </w:pPr>
            <w:r>
              <w:rPr>
                <w:rFonts w:ascii="Times New Roman"/>
                <w:sz w:val="18"/>
              </w:rPr>
              <w:t>4</w:t>
            </w:r>
          </w:p>
        </w:tc>
      </w:tr>
      <w:tr>
        <w:trPr>
          <w:trHeight w:val="711"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111"/>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．提取盈余公</w:t>
            </w:r>
            <w:r>
              <w:rPr>
                <w:rFonts w:ascii="宋体" w:hAnsi="宋体" w:cs="宋体" w:eastAsia="宋体" w:hint="default"/>
                <w:sz w:val="18"/>
                <w:szCs w:val="18"/>
              </w:rPr>
              <w:t> 积</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40"/>
              <w:ind w:right="20"/>
              <w:jc w:val="right"/>
              <w:rPr>
                <w:rFonts w:ascii="Times New Roman" w:hAnsi="Times New Roman" w:cs="Times New Roman" w:eastAsia="Times New Roman" w:hint="default"/>
                <w:sz w:val="18"/>
                <w:szCs w:val="18"/>
              </w:rPr>
            </w:pPr>
            <w:r>
              <w:rPr>
                <w:rFonts w:ascii="Times New Roman"/>
                <w:spacing w:val="-1"/>
                <w:sz w:val="18"/>
              </w:rPr>
              <w:t>13,514</w:t>
            </w:r>
          </w:p>
          <w:p>
            <w:pPr>
              <w:pStyle w:val="TableParagraph"/>
              <w:spacing w:line="206" w:lineRule="exact"/>
              <w:ind w:right="20"/>
              <w:jc w:val="right"/>
              <w:rPr>
                <w:rFonts w:ascii="Times New Roman" w:hAnsi="Times New Roman" w:cs="Times New Roman" w:eastAsia="Times New Roman" w:hint="default"/>
                <w:sz w:val="18"/>
                <w:szCs w:val="18"/>
              </w:rPr>
            </w:pPr>
            <w:r>
              <w:rPr>
                <w:rFonts w:ascii="Times New Roman"/>
                <w:spacing w:val="-1"/>
                <w:sz w:val="18"/>
              </w:rPr>
              <w:t>,099.9</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0</w:t>
            </w: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40"/>
              <w:ind w:left="92" w:right="0"/>
              <w:jc w:val="left"/>
              <w:rPr>
                <w:rFonts w:ascii="Times New Roman" w:hAnsi="Times New Roman" w:cs="Times New Roman" w:eastAsia="Times New Roman" w:hint="default"/>
                <w:sz w:val="18"/>
                <w:szCs w:val="18"/>
              </w:rPr>
            </w:pPr>
            <w:r>
              <w:rPr>
                <w:rFonts w:ascii="Times New Roman"/>
                <w:sz w:val="18"/>
              </w:rPr>
              <w:t>-13,51</w:t>
            </w:r>
          </w:p>
          <w:p>
            <w:pPr>
              <w:pStyle w:val="TableParagraph"/>
              <w:spacing w:line="206" w:lineRule="exact"/>
              <w:ind w:left="107" w:right="0"/>
              <w:jc w:val="left"/>
              <w:rPr>
                <w:rFonts w:ascii="Times New Roman" w:hAnsi="Times New Roman" w:cs="Times New Roman" w:eastAsia="Times New Roman" w:hint="default"/>
                <w:sz w:val="18"/>
                <w:szCs w:val="18"/>
              </w:rPr>
            </w:pPr>
            <w:r>
              <w:rPr>
                <w:rFonts w:ascii="Times New Roman"/>
                <w:sz w:val="18"/>
              </w:rPr>
              <w:t>4,099.</w:t>
            </w:r>
          </w:p>
          <w:p>
            <w:pPr>
              <w:pStyle w:val="TableParagraph"/>
              <w:spacing w:line="207" w:lineRule="exact"/>
              <w:ind w:left="376" w:right="0"/>
              <w:jc w:val="left"/>
              <w:rPr>
                <w:rFonts w:ascii="Times New Roman" w:hAnsi="Times New Roman" w:cs="Times New Roman" w:eastAsia="Times New Roman" w:hint="default"/>
                <w:sz w:val="18"/>
                <w:szCs w:val="18"/>
              </w:rPr>
            </w:pPr>
            <w:r>
              <w:rPr>
                <w:rFonts w:ascii="Times New Roman"/>
                <w:sz w:val="18"/>
              </w:rPr>
              <w:t>90</w:t>
            </w:r>
          </w:p>
        </w:tc>
        <w:tc>
          <w:tcPr>
            <w:tcW w:w="56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6"/>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．提取一般风</w:t>
            </w:r>
            <w:r>
              <w:rPr>
                <w:rFonts w:ascii="宋体" w:hAnsi="宋体" w:cs="宋体" w:eastAsia="宋体" w:hint="default"/>
                <w:sz w:val="18"/>
                <w:szCs w:val="18"/>
              </w:rPr>
              <w:t> 险准备</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r>
      <w:tr>
        <w:trPr>
          <w:trHeight w:val="791"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before="1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w:t>
            </w:r>
          </w:p>
          <w:p>
            <w:pPr>
              <w:pStyle w:val="TableParagraph"/>
              <w:spacing w:line="232" w:lineRule="exact" w:before="16"/>
              <w:ind w:left="22" w:right="98"/>
              <w:jc w:val="left"/>
              <w:rPr>
                <w:rFonts w:ascii="宋体" w:hAnsi="宋体" w:cs="宋体" w:eastAsia="宋体" w:hint="default"/>
                <w:sz w:val="18"/>
                <w:szCs w:val="18"/>
              </w:rPr>
            </w:pPr>
            <w:r>
              <w:rPr>
                <w:rFonts w:ascii="宋体" w:hAnsi="宋体" w:cs="宋体" w:eastAsia="宋体" w:hint="default"/>
                <w:sz w:val="18"/>
                <w:szCs w:val="18"/>
              </w:rPr>
              <w:t>（或股东）的 分配</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78"/>
              <w:ind w:left="92" w:right="0"/>
              <w:jc w:val="left"/>
              <w:rPr>
                <w:rFonts w:ascii="Times New Roman" w:hAnsi="Times New Roman" w:cs="Times New Roman" w:eastAsia="Times New Roman" w:hint="default"/>
                <w:sz w:val="18"/>
                <w:szCs w:val="18"/>
              </w:rPr>
            </w:pPr>
            <w:r>
              <w:rPr>
                <w:rFonts w:ascii="Times New Roman"/>
                <w:sz w:val="18"/>
              </w:rPr>
              <w:t>-485,7</w:t>
            </w:r>
          </w:p>
          <w:p>
            <w:pPr>
              <w:pStyle w:val="TableParagraph"/>
              <w:spacing w:line="206" w:lineRule="exact"/>
              <w:ind w:left="61" w:right="0"/>
              <w:jc w:val="left"/>
              <w:rPr>
                <w:rFonts w:ascii="Times New Roman" w:hAnsi="Times New Roman" w:cs="Times New Roman" w:eastAsia="Times New Roman" w:hint="default"/>
                <w:sz w:val="18"/>
                <w:szCs w:val="18"/>
              </w:rPr>
            </w:pPr>
            <w:r>
              <w:rPr>
                <w:rFonts w:ascii="Times New Roman"/>
                <w:sz w:val="18"/>
              </w:rPr>
              <w:t>77,145</w:t>
            </w:r>
          </w:p>
          <w:p>
            <w:pPr>
              <w:pStyle w:val="TableParagraph"/>
              <w:spacing w:line="207" w:lineRule="exact"/>
              <w:ind w:left="330" w:right="0"/>
              <w:jc w:val="left"/>
              <w:rPr>
                <w:rFonts w:ascii="Times New Roman" w:hAnsi="Times New Roman" w:cs="Times New Roman" w:eastAsia="Times New Roman" w:hint="default"/>
                <w:sz w:val="18"/>
                <w:szCs w:val="18"/>
              </w:rPr>
            </w:pPr>
            <w:r>
              <w:rPr>
                <w:rFonts w:ascii="Times New Roman"/>
                <w:sz w:val="18"/>
              </w:rPr>
              <w:t>.00</w:t>
            </w:r>
          </w:p>
        </w:tc>
        <w:tc>
          <w:tcPr>
            <w:tcW w:w="56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78"/>
              <w:ind w:left="69" w:right="0"/>
              <w:jc w:val="left"/>
              <w:rPr>
                <w:rFonts w:ascii="Times New Roman" w:hAnsi="Times New Roman" w:cs="Times New Roman" w:eastAsia="Times New Roman" w:hint="default"/>
                <w:sz w:val="18"/>
                <w:szCs w:val="18"/>
              </w:rPr>
            </w:pPr>
            <w:r>
              <w:rPr>
                <w:rFonts w:ascii="Times New Roman"/>
                <w:sz w:val="18"/>
              </w:rPr>
              <w:t>-485,7</w:t>
            </w:r>
          </w:p>
          <w:p>
            <w:pPr>
              <w:pStyle w:val="TableParagraph"/>
              <w:spacing w:line="206" w:lineRule="exact"/>
              <w:ind w:left="38" w:right="0"/>
              <w:jc w:val="left"/>
              <w:rPr>
                <w:rFonts w:ascii="Times New Roman" w:hAnsi="Times New Roman" w:cs="Times New Roman" w:eastAsia="Times New Roman" w:hint="default"/>
                <w:sz w:val="18"/>
                <w:szCs w:val="18"/>
              </w:rPr>
            </w:pPr>
            <w:r>
              <w:rPr>
                <w:rFonts w:ascii="Times New Roman"/>
                <w:sz w:val="18"/>
              </w:rPr>
              <w:t>77,145</w:t>
            </w:r>
          </w:p>
          <w:p>
            <w:pPr>
              <w:pStyle w:val="TableParagraph"/>
              <w:spacing w:line="207" w:lineRule="exact"/>
              <w:ind w:left="309" w:right="0"/>
              <w:jc w:val="left"/>
              <w:rPr>
                <w:rFonts w:ascii="Times New Roman" w:hAnsi="Times New Roman" w:cs="Times New Roman" w:eastAsia="Times New Roman" w:hint="default"/>
                <w:sz w:val="18"/>
                <w:szCs w:val="18"/>
              </w:rPr>
            </w:pPr>
            <w:r>
              <w:rPr>
                <w:rFonts w:ascii="Times New Roman"/>
                <w:sz w:val="18"/>
              </w:rPr>
              <w:t>.00</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05" w:lineRule="exact"/>
              <w:ind w:left="56" w:right="0"/>
              <w:jc w:val="left"/>
              <w:rPr>
                <w:rFonts w:ascii="Times New Roman" w:hAnsi="Times New Roman" w:cs="Times New Roman" w:eastAsia="Times New Roman" w:hint="default"/>
                <w:sz w:val="18"/>
                <w:szCs w:val="18"/>
              </w:rPr>
            </w:pPr>
            <w:r>
              <w:rPr>
                <w:rFonts w:ascii="Times New Roman"/>
                <w:sz w:val="18"/>
              </w:rPr>
              <w:t>-64,790</w:t>
            </w:r>
          </w:p>
          <w:p>
            <w:pPr>
              <w:pStyle w:val="TableParagraph"/>
              <w:spacing w:line="205" w:lineRule="exact"/>
              <w:ind w:left="68" w:right="0"/>
              <w:jc w:val="left"/>
              <w:rPr>
                <w:rFonts w:ascii="Times New Roman" w:hAnsi="Times New Roman" w:cs="Times New Roman" w:eastAsia="Times New Roman" w:hint="default"/>
                <w:sz w:val="18"/>
                <w:szCs w:val="18"/>
              </w:rPr>
            </w:pPr>
            <w:r>
              <w:rPr>
                <w:rFonts w:ascii="Times New Roman"/>
                <w:sz w:val="18"/>
              </w:rPr>
              <w:t>,172.04</w:t>
            </w: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78"/>
              <w:ind w:right="19"/>
              <w:jc w:val="right"/>
              <w:rPr>
                <w:rFonts w:ascii="Times New Roman" w:hAnsi="Times New Roman" w:cs="Times New Roman" w:eastAsia="Times New Roman" w:hint="default"/>
                <w:sz w:val="18"/>
                <w:szCs w:val="18"/>
              </w:rPr>
            </w:pPr>
            <w:r>
              <w:rPr>
                <w:rFonts w:ascii="Times New Roman"/>
                <w:spacing w:val="-1"/>
                <w:sz w:val="18"/>
              </w:rPr>
              <w:t>-550,56</w:t>
            </w:r>
          </w:p>
          <w:p>
            <w:pPr>
              <w:pStyle w:val="TableParagraph"/>
              <w:spacing w:line="206" w:lineRule="exact"/>
              <w:ind w:right="19"/>
              <w:jc w:val="right"/>
              <w:rPr>
                <w:rFonts w:ascii="Times New Roman" w:hAnsi="Times New Roman" w:cs="Times New Roman" w:eastAsia="Times New Roman" w:hint="default"/>
                <w:sz w:val="18"/>
                <w:szCs w:val="18"/>
              </w:rPr>
            </w:pPr>
            <w:r>
              <w:rPr>
                <w:rFonts w:ascii="Times New Roman"/>
                <w:spacing w:val="-1"/>
                <w:sz w:val="18"/>
              </w:rPr>
              <w:t>7,317.0</w:t>
            </w:r>
          </w:p>
          <w:p>
            <w:pPr>
              <w:pStyle w:val="TableParagraph"/>
              <w:spacing w:line="207" w:lineRule="exact"/>
              <w:ind w:right="21"/>
              <w:jc w:val="right"/>
              <w:rPr>
                <w:rFonts w:ascii="Times New Roman" w:hAnsi="Times New Roman" w:cs="Times New Roman" w:eastAsia="Times New Roman" w:hint="default"/>
                <w:sz w:val="18"/>
                <w:szCs w:val="18"/>
              </w:rPr>
            </w:pPr>
            <w:r>
              <w:rPr>
                <w:rFonts w:ascii="Times New Roman"/>
                <w:sz w:val="18"/>
              </w:rPr>
              <w:t>4</w:t>
            </w:r>
          </w:p>
        </w:tc>
      </w:tr>
      <w:tr>
        <w:trPr>
          <w:trHeight w:val="323"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6"/>
              <w:ind w:left="22" w:right="98"/>
              <w:jc w:val="left"/>
              <w:rPr>
                <w:rFonts w:ascii="宋体" w:hAnsi="宋体" w:cs="宋体" w:eastAsia="宋体" w:hint="default"/>
                <w:sz w:val="18"/>
                <w:szCs w:val="18"/>
              </w:rPr>
            </w:pPr>
            <w:r>
              <w:rPr>
                <w:rFonts w:ascii="宋体" w:hAnsi="宋体" w:cs="宋体" w:eastAsia="宋体" w:hint="default"/>
                <w:sz w:val="18"/>
                <w:szCs w:val="18"/>
              </w:rPr>
              <w:t>（四）所有者 权益内部结转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212"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w:t>
            </w:r>
          </w:p>
        </w:tc>
        <w:tc>
          <w:tcPr>
            <w:tcW w:w="490" w:type="dxa"/>
            <w:vMerge w:val="restart"/>
            <w:tcBorders>
              <w:top w:val="single" w:sz="4" w:space="0" w:color="000000"/>
              <w:left w:val="single" w:sz="4" w:space="0" w:color="000000"/>
              <w:right w:val="single" w:sz="4" w:space="0" w:color="000000"/>
            </w:tcBorders>
          </w:tcPr>
          <w:p>
            <w:pPr/>
          </w:p>
        </w:tc>
        <w:tc>
          <w:tcPr>
            <w:tcW w:w="449" w:type="dxa"/>
            <w:vMerge w:val="restart"/>
            <w:tcBorders>
              <w:top w:val="single" w:sz="4" w:space="0" w:color="000000"/>
              <w:left w:val="single" w:sz="4" w:space="0" w:color="000000"/>
              <w:right w:val="single" w:sz="4" w:space="0" w:color="000000"/>
            </w:tcBorders>
          </w:tcPr>
          <w:p>
            <w:pPr/>
          </w:p>
        </w:tc>
        <w:tc>
          <w:tcPr>
            <w:tcW w:w="449" w:type="dxa"/>
            <w:vMerge w:val="restart"/>
            <w:tcBorders>
              <w:top w:val="single" w:sz="4" w:space="0" w:color="000000"/>
              <w:left w:val="single" w:sz="4" w:space="0" w:color="000000"/>
              <w:right w:val="single" w:sz="4" w:space="0" w:color="000000"/>
            </w:tcBorders>
          </w:tcPr>
          <w:p>
            <w:pPr/>
          </w:p>
        </w:tc>
        <w:tc>
          <w:tcPr>
            <w:tcW w:w="491"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7" w:type="dxa"/>
            <w:vMerge w:val="restart"/>
            <w:tcBorders>
              <w:top w:val="single" w:sz="4" w:space="0" w:color="000000"/>
              <w:left w:val="single" w:sz="4" w:space="0" w:color="000000"/>
              <w:right w:val="single" w:sz="4" w:space="0" w:color="000000"/>
            </w:tcBorders>
          </w:tcPr>
          <w:p>
            <w:pPr/>
          </w:p>
        </w:tc>
        <w:tc>
          <w:tcPr>
            <w:tcW w:w="577" w:type="dxa"/>
            <w:vMerge w:val="restart"/>
            <w:tcBorders>
              <w:top w:val="single" w:sz="4" w:space="0" w:color="000000"/>
              <w:left w:val="single" w:sz="4" w:space="0" w:color="000000"/>
              <w:right w:val="single" w:sz="4" w:space="0" w:color="000000"/>
            </w:tcBorders>
          </w:tcPr>
          <w:p>
            <w:pPr/>
          </w:p>
        </w:tc>
        <w:tc>
          <w:tcPr>
            <w:tcW w:w="577"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7" w:type="dxa"/>
            <w:vMerge w:val="restart"/>
            <w:tcBorders>
              <w:top w:val="single" w:sz="4" w:space="0" w:color="000000"/>
              <w:left w:val="single" w:sz="4" w:space="0" w:color="000000"/>
              <w:right w:val="single" w:sz="4" w:space="0" w:color="000000"/>
            </w:tcBorders>
          </w:tcPr>
          <w:p>
            <w:pPr/>
          </w:p>
        </w:tc>
        <w:tc>
          <w:tcPr>
            <w:tcW w:w="589" w:type="dxa"/>
            <w:vMerge w:val="restart"/>
            <w:tcBorders>
              <w:top w:val="single" w:sz="4" w:space="0" w:color="000000"/>
              <w:left w:val="single" w:sz="4" w:space="0" w:color="000000"/>
              <w:right w:val="single" w:sz="4" w:space="0" w:color="000000"/>
            </w:tcBorders>
          </w:tcPr>
          <w:p>
            <w:pPr/>
          </w:p>
        </w:tc>
        <w:tc>
          <w:tcPr>
            <w:tcW w:w="567" w:type="dxa"/>
            <w:vMerge w:val="restart"/>
            <w:tcBorders>
              <w:top w:val="single" w:sz="4" w:space="0" w:color="000000"/>
              <w:left w:val="single" w:sz="4" w:space="0" w:color="000000"/>
              <w:right w:val="single" w:sz="4" w:space="0" w:color="000000"/>
            </w:tcBorders>
          </w:tcPr>
          <w:p>
            <w:pPr/>
          </w:p>
        </w:tc>
        <w:tc>
          <w:tcPr>
            <w:tcW w:w="567" w:type="dxa"/>
            <w:vMerge w:val="restart"/>
            <w:tcBorders>
              <w:top w:val="single" w:sz="4" w:space="0" w:color="000000"/>
              <w:left w:val="single" w:sz="4" w:space="0" w:color="000000"/>
              <w:right w:val="single" w:sz="4" w:space="0" w:color="000000"/>
            </w:tcBorders>
          </w:tcPr>
          <w:p>
            <w:pPr/>
          </w:p>
        </w:tc>
        <w:tc>
          <w:tcPr>
            <w:tcW w:w="643" w:type="dxa"/>
            <w:vMerge w:val="restart"/>
            <w:tcBorders>
              <w:top w:val="single" w:sz="4" w:space="0" w:color="000000"/>
              <w:left w:val="single" w:sz="4" w:space="0" w:color="000000"/>
              <w:right w:val="single" w:sz="4" w:space="0" w:color="000000"/>
            </w:tcBorders>
          </w:tcPr>
          <w:p>
            <w:pPr/>
          </w:p>
        </w:tc>
        <w:tc>
          <w:tcPr>
            <w:tcW w:w="651" w:type="dxa"/>
            <w:vMerge w:val="restart"/>
            <w:tcBorders>
              <w:top w:val="single" w:sz="4" w:space="0" w:color="000000"/>
              <w:left w:val="single" w:sz="4" w:space="0" w:color="000000"/>
              <w:right w:val="single" w:sz="4" w:space="0" w:color="000000"/>
            </w:tcBorders>
          </w:tcPr>
          <w:p>
            <w:pPr/>
          </w:p>
        </w:tc>
      </w:tr>
      <w:tr>
        <w:trPr>
          <w:trHeight w:val="228" w:hRule="exact"/>
        </w:trPr>
        <w:tc>
          <w:tcPr>
            <w:tcW w:w="12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01" w:lineRule="exact"/>
              <w:ind w:left="22" w:right="0"/>
              <w:jc w:val="left"/>
              <w:rPr>
                <w:rFonts w:ascii="宋体" w:hAnsi="宋体" w:cs="宋体" w:eastAsia="宋体" w:hint="default"/>
                <w:sz w:val="18"/>
                <w:szCs w:val="18"/>
              </w:rPr>
            </w:pPr>
            <w:r>
              <w:rPr>
                <w:rFonts w:ascii="宋体" w:hAnsi="宋体" w:cs="宋体" w:eastAsia="宋体" w:hint="default"/>
                <w:sz w:val="18"/>
                <w:szCs w:val="18"/>
              </w:rPr>
              <w:t>增资本（或股</w:t>
            </w:r>
          </w:p>
        </w:tc>
        <w:tc>
          <w:tcPr>
            <w:tcW w:w="490" w:type="dxa"/>
            <w:vMerge/>
            <w:tcBorders>
              <w:left w:val="single" w:sz="4" w:space="0" w:color="000000"/>
              <w:right w:val="single" w:sz="4" w:space="0" w:color="000000"/>
            </w:tcBorders>
          </w:tcPr>
          <w:p>
            <w:pPr/>
          </w:p>
        </w:tc>
        <w:tc>
          <w:tcPr>
            <w:tcW w:w="449" w:type="dxa"/>
            <w:vMerge/>
            <w:tcBorders>
              <w:left w:val="single" w:sz="4" w:space="0" w:color="000000"/>
              <w:right w:val="single" w:sz="4" w:space="0" w:color="000000"/>
            </w:tcBorders>
          </w:tcPr>
          <w:p>
            <w:pPr/>
          </w:p>
        </w:tc>
        <w:tc>
          <w:tcPr>
            <w:tcW w:w="449" w:type="dxa"/>
            <w:vMerge/>
            <w:tcBorders>
              <w:left w:val="single" w:sz="4" w:space="0" w:color="000000"/>
              <w:right w:val="single" w:sz="4" w:space="0" w:color="000000"/>
            </w:tcBorders>
          </w:tcPr>
          <w:p>
            <w:pPr/>
          </w:p>
        </w:tc>
        <w:tc>
          <w:tcPr>
            <w:tcW w:w="491"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7" w:type="dxa"/>
            <w:vMerge/>
            <w:tcBorders>
              <w:left w:val="single" w:sz="4" w:space="0" w:color="000000"/>
              <w:right w:val="single" w:sz="4" w:space="0" w:color="000000"/>
            </w:tcBorders>
          </w:tcPr>
          <w:p>
            <w:pPr/>
          </w:p>
        </w:tc>
        <w:tc>
          <w:tcPr>
            <w:tcW w:w="577" w:type="dxa"/>
            <w:vMerge/>
            <w:tcBorders>
              <w:left w:val="single" w:sz="4" w:space="0" w:color="000000"/>
              <w:right w:val="single" w:sz="4" w:space="0" w:color="000000"/>
            </w:tcBorders>
          </w:tcPr>
          <w:p>
            <w:pPr/>
          </w:p>
        </w:tc>
        <w:tc>
          <w:tcPr>
            <w:tcW w:w="577"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7" w:type="dxa"/>
            <w:vMerge/>
            <w:tcBorders>
              <w:left w:val="single" w:sz="4" w:space="0" w:color="000000"/>
              <w:right w:val="single" w:sz="4" w:space="0" w:color="000000"/>
            </w:tcBorders>
          </w:tcPr>
          <w:p>
            <w:pPr/>
          </w:p>
        </w:tc>
        <w:tc>
          <w:tcPr>
            <w:tcW w:w="589" w:type="dxa"/>
            <w:vMerge/>
            <w:tcBorders>
              <w:left w:val="single" w:sz="4" w:space="0" w:color="000000"/>
              <w:right w:val="single" w:sz="4" w:space="0" w:color="000000"/>
            </w:tcBorders>
          </w:tcPr>
          <w:p>
            <w:pPr/>
          </w:p>
        </w:tc>
        <w:tc>
          <w:tcPr>
            <w:tcW w:w="567" w:type="dxa"/>
            <w:vMerge/>
            <w:tcBorders>
              <w:left w:val="single" w:sz="4" w:space="0" w:color="000000"/>
              <w:right w:val="single" w:sz="4" w:space="0" w:color="000000"/>
            </w:tcBorders>
          </w:tcPr>
          <w:p>
            <w:pPr/>
          </w:p>
        </w:tc>
        <w:tc>
          <w:tcPr>
            <w:tcW w:w="567" w:type="dxa"/>
            <w:vMerge/>
            <w:tcBorders>
              <w:left w:val="single" w:sz="4" w:space="0" w:color="000000"/>
              <w:right w:val="single" w:sz="4" w:space="0" w:color="000000"/>
            </w:tcBorders>
          </w:tcPr>
          <w:p>
            <w:pPr/>
          </w:p>
        </w:tc>
        <w:tc>
          <w:tcPr>
            <w:tcW w:w="643" w:type="dxa"/>
            <w:vMerge/>
            <w:tcBorders>
              <w:left w:val="single" w:sz="4" w:space="0" w:color="000000"/>
              <w:right w:val="single" w:sz="4" w:space="0" w:color="000000"/>
            </w:tcBorders>
          </w:tcPr>
          <w:p>
            <w:pPr/>
          </w:p>
        </w:tc>
        <w:tc>
          <w:tcPr>
            <w:tcW w:w="651" w:type="dxa"/>
            <w:vMerge/>
            <w:tcBorders>
              <w:left w:val="single" w:sz="4" w:space="0" w:color="000000"/>
              <w:right w:val="single" w:sz="4" w:space="0" w:color="000000"/>
            </w:tcBorders>
          </w:tcPr>
          <w:p>
            <w:pPr/>
          </w:p>
        </w:tc>
      </w:tr>
      <w:tr>
        <w:trPr>
          <w:trHeight w:val="279" w:hRule="exact"/>
        </w:trPr>
        <w:tc>
          <w:tcPr>
            <w:tcW w:w="1212"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06" w:lineRule="exact"/>
              <w:ind w:left="22" w:right="0"/>
              <w:jc w:val="left"/>
              <w:rPr>
                <w:rFonts w:ascii="宋体" w:hAnsi="宋体" w:cs="宋体" w:eastAsia="宋体" w:hint="default"/>
                <w:sz w:val="18"/>
                <w:szCs w:val="18"/>
              </w:rPr>
            </w:pPr>
            <w:r>
              <w:rPr>
                <w:rFonts w:ascii="宋体" w:hAnsi="宋体" w:cs="宋体" w:eastAsia="宋体" w:hint="default"/>
                <w:sz w:val="18"/>
                <w:szCs w:val="18"/>
              </w:rPr>
              <w:t>本）</w:t>
            </w:r>
          </w:p>
        </w:tc>
        <w:tc>
          <w:tcPr>
            <w:tcW w:w="490" w:type="dxa"/>
            <w:vMerge/>
            <w:tcBorders>
              <w:left w:val="single" w:sz="4" w:space="0" w:color="000000"/>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91"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7" w:type="dxa"/>
            <w:vMerge/>
            <w:tcBorders>
              <w:left w:val="single" w:sz="4" w:space="0" w:color="000000"/>
              <w:bottom w:val="single" w:sz="4" w:space="0" w:color="000000"/>
              <w:right w:val="single" w:sz="4" w:space="0" w:color="000000"/>
            </w:tcBorders>
          </w:tcPr>
          <w:p>
            <w:pPr/>
          </w:p>
        </w:tc>
        <w:tc>
          <w:tcPr>
            <w:tcW w:w="577" w:type="dxa"/>
            <w:vMerge/>
            <w:tcBorders>
              <w:left w:val="single" w:sz="4" w:space="0" w:color="000000"/>
              <w:bottom w:val="single" w:sz="4" w:space="0" w:color="000000"/>
              <w:right w:val="single" w:sz="4" w:space="0" w:color="000000"/>
            </w:tcBorders>
          </w:tcPr>
          <w:p>
            <w:pPr/>
          </w:p>
        </w:tc>
        <w:tc>
          <w:tcPr>
            <w:tcW w:w="577"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7" w:type="dxa"/>
            <w:vMerge/>
            <w:tcBorders>
              <w:left w:val="single" w:sz="4" w:space="0" w:color="000000"/>
              <w:bottom w:val="single" w:sz="4" w:space="0" w:color="000000"/>
              <w:right w:val="single" w:sz="4" w:space="0" w:color="000000"/>
            </w:tcBorders>
          </w:tcPr>
          <w:p>
            <w:pPr/>
          </w:p>
        </w:tc>
        <w:tc>
          <w:tcPr>
            <w:tcW w:w="589" w:type="dxa"/>
            <w:vMerge/>
            <w:tcBorders>
              <w:left w:val="single" w:sz="4" w:space="0" w:color="000000"/>
              <w:bottom w:val="single" w:sz="4" w:space="0" w:color="000000"/>
              <w:right w:val="single" w:sz="4" w:space="0" w:color="000000"/>
            </w:tcBorders>
          </w:tcPr>
          <w:p>
            <w:pPr/>
          </w:p>
        </w:tc>
        <w:tc>
          <w:tcPr>
            <w:tcW w:w="567" w:type="dxa"/>
            <w:vMerge/>
            <w:tcBorders>
              <w:left w:val="single" w:sz="4" w:space="0" w:color="000000"/>
              <w:bottom w:val="single" w:sz="4" w:space="0" w:color="000000"/>
              <w:right w:val="single" w:sz="4" w:space="0" w:color="000000"/>
            </w:tcBorders>
          </w:tcPr>
          <w:p>
            <w:pPr/>
          </w:p>
        </w:tc>
        <w:tc>
          <w:tcPr>
            <w:tcW w:w="567" w:type="dxa"/>
            <w:vMerge/>
            <w:tcBorders>
              <w:left w:val="single" w:sz="4" w:space="0" w:color="000000"/>
              <w:bottom w:val="single" w:sz="4" w:space="0" w:color="000000"/>
              <w:right w:val="single" w:sz="4" w:space="0" w:color="000000"/>
            </w:tcBorders>
          </w:tcPr>
          <w:p>
            <w:pPr/>
          </w:p>
        </w:tc>
        <w:tc>
          <w:tcPr>
            <w:tcW w:w="643" w:type="dxa"/>
            <w:vMerge/>
            <w:tcBorders>
              <w:left w:val="single" w:sz="4" w:space="0" w:color="000000"/>
              <w:bottom w:val="single" w:sz="4" w:space="0" w:color="000000"/>
              <w:right w:val="single" w:sz="4" w:space="0" w:color="000000"/>
            </w:tcBorders>
          </w:tcPr>
          <w:p>
            <w:pPr/>
          </w:p>
        </w:tc>
        <w:tc>
          <w:tcPr>
            <w:tcW w:w="651" w:type="dxa"/>
            <w:vMerge/>
            <w:tcBorders>
              <w:left w:val="single" w:sz="4" w:space="0" w:color="000000"/>
              <w:bottom w:val="single" w:sz="4" w:space="0" w:color="000000"/>
              <w:right w:val="single" w:sz="4" w:space="0" w:color="000000"/>
            </w:tcBorders>
          </w:tcPr>
          <w:p>
            <w:pPr/>
          </w:p>
        </w:tc>
      </w:tr>
      <w:tr>
        <w:trPr>
          <w:trHeight w:val="283" w:hRule="exact"/>
        </w:trPr>
        <w:tc>
          <w:tcPr>
            <w:tcW w:w="1212"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w:t>
            </w:r>
          </w:p>
        </w:tc>
        <w:tc>
          <w:tcPr>
            <w:tcW w:w="490" w:type="dxa"/>
            <w:vMerge w:val="restart"/>
            <w:tcBorders>
              <w:top w:val="single" w:sz="4" w:space="0" w:color="000000"/>
              <w:left w:val="single" w:sz="4" w:space="0" w:color="000000"/>
              <w:right w:val="single" w:sz="4" w:space="0" w:color="000000"/>
            </w:tcBorders>
          </w:tcPr>
          <w:p>
            <w:pPr/>
          </w:p>
        </w:tc>
        <w:tc>
          <w:tcPr>
            <w:tcW w:w="449" w:type="dxa"/>
            <w:vMerge w:val="restart"/>
            <w:tcBorders>
              <w:top w:val="single" w:sz="4" w:space="0" w:color="000000"/>
              <w:left w:val="single" w:sz="4" w:space="0" w:color="000000"/>
              <w:right w:val="single" w:sz="4" w:space="0" w:color="000000"/>
            </w:tcBorders>
          </w:tcPr>
          <w:p>
            <w:pPr/>
          </w:p>
        </w:tc>
        <w:tc>
          <w:tcPr>
            <w:tcW w:w="449" w:type="dxa"/>
            <w:vMerge w:val="restart"/>
            <w:tcBorders>
              <w:top w:val="single" w:sz="4" w:space="0" w:color="000000"/>
              <w:left w:val="single" w:sz="4" w:space="0" w:color="000000"/>
              <w:right w:val="single" w:sz="4" w:space="0" w:color="000000"/>
            </w:tcBorders>
          </w:tcPr>
          <w:p>
            <w:pPr/>
          </w:p>
        </w:tc>
        <w:tc>
          <w:tcPr>
            <w:tcW w:w="491"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7" w:type="dxa"/>
            <w:vMerge w:val="restart"/>
            <w:tcBorders>
              <w:top w:val="single" w:sz="4" w:space="0" w:color="000000"/>
              <w:left w:val="single" w:sz="4" w:space="0" w:color="000000"/>
              <w:right w:val="single" w:sz="4" w:space="0" w:color="000000"/>
            </w:tcBorders>
          </w:tcPr>
          <w:p>
            <w:pPr/>
          </w:p>
        </w:tc>
        <w:tc>
          <w:tcPr>
            <w:tcW w:w="577" w:type="dxa"/>
            <w:vMerge w:val="restart"/>
            <w:tcBorders>
              <w:top w:val="single" w:sz="4" w:space="0" w:color="000000"/>
              <w:left w:val="single" w:sz="4" w:space="0" w:color="000000"/>
              <w:right w:val="single" w:sz="4" w:space="0" w:color="000000"/>
            </w:tcBorders>
          </w:tcPr>
          <w:p>
            <w:pPr/>
          </w:p>
        </w:tc>
        <w:tc>
          <w:tcPr>
            <w:tcW w:w="577"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7" w:type="dxa"/>
            <w:vMerge w:val="restart"/>
            <w:tcBorders>
              <w:top w:val="single" w:sz="4" w:space="0" w:color="000000"/>
              <w:left w:val="single" w:sz="4" w:space="0" w:color="000000"/>
              <w:right w:val="single" w:sz="4" w:space="0" w:color="000000"/>
            </w:tcBorders>
          </w:tcPr>
          <w:p>
            <w:pPr/>
          </w:p>
        </w:tc>
        <w:tc>
          <w:tcPr>
            <w:tcW w:w="589" w:type="dxa"/>
            <w:vMerge w:val="restart"/>
            <w:tcBorders>
              <w:top w:val="single" w:sz="4" w:space="0" w:color="000000"/>
              <w:left w:val="single" w:sz="4" w:space="0" w:color="000000"/>
              <w:right w:val="single" w:sz="4" w:space="0" w:color="000000"/>
            </w:tcBorders>
          </w:tcPr>
          <w:p>
            <w:pPr/>
          </w:p>
        </w:tc>
        <w:tc>
          <w:tcPr>
            <w:tcW w:w="567" w:type="dxa"/>
            <w:vMerge w:val="restart"/>
            <w:tcBorders>
              <w:top w:val="single" w:sz="4" w:space="0" w:color="000000"/>
              <w:left w:val="single" w:sz="4" w:space="0" w:color="000000"/>
              <w:right w:val="single" w:sz="4" w:space="0" w:color="000000"/>
            </w:tcBorders>
          </w:tcPr>
          <w:p>
            <w:pPr/>
          </w:p>
        </w:tc>
        <w:tc>
          <w:tcPr>
            <w:tcW w:w="567" w:type="dxa"/>
            <w:vMerge w:val="restart"/>
            <w:tcBorders>
              <w:top w:val="single" w:sz="4" w:space="0" w:color="000000"/>
              <w:left w:val="single" w:sz="4" w:space="0" w:color="000000"/>
              <w:right w:val="single" w:sz="4" w:space="0" w:color="000000"/>
            </w:tcBorders>
          </w:tcPr>
          <w:p>
            <w:pPr/>
          </w:p>
        </w:tc>
        <w:tc>
          <w:tcPr>
            <w:tcW w:w="643" w:type="dxa"/>
            <w:vMerge w:val="restart"/>
            <w:tcBorders>
              <w:top w:val="single" w:sz="4" w:space="0" w:color="000000"/>
              <w:left w:val="single" w:sz="4" w:space="0" w:color="000000"/>
              <w:right w:val="single" w:sz="4" w:space="0" w:color="000000"/>
            </w:tcBorders>
          </w:tcPr>
          <w:p>
            <w:pPr/>
          </w:p>
        </w:tc>
        <w:tc>
          <w:tcPr>
            <w:tcW w:w="651" w:type="dxa"/>
            <w:vMerge w:val="restart"/>
            <w:tcBorders>
              <w:top w:val="single" w:sz="4" w:space="0" w:color="000000"/>
              <w:left w:val="single" w:sz="4" w:space="0" w:color="000000"/>
              <w:right w:val="single" w:sz="4" w:space="0" w:color="000000"/>
            </w:tcBorders>
          </w:tcPr>
          <w:p>
            <w:pPr/>
          </w:p>
        </w:tc>
      </w:tr>
      <w:tr>
        <w:trPr>
          <w:trHeight w:val="228" w:hRule="exact"/>
        </w:trPr>
        <w:tc>
          <w:tcPr>
            <w:tcW w:w="12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01" w:lineRule="exact"/>
              <w:ind w:left="22" w:right="0"/>
              <w:jc w:val="left"/>
              <w:rPr>
                <w:rFonts w:ascii="宋体" w:hAnsi="宋体" w:cs="宋体" w:eastAsia="宋体" w:hint="default"/>
                <w:sz w:val="18"/>
                <w:szCs w:val="18"/>
              </w:rPr>
            </w:pPr>
            <w:r>
              <w:rPr>
                <w:rFonts w:ascii="宋体" w:hAnsi="宋体" w:cs="宋体" w:eastAsia="宋体" w:hint="default"/>
                <w:sz w:val="18"/>
                <w:szCs w:val="18"/>
              </w:rPr>
              <w:t>增资本（或股</w:t>
            </w:r>
          </w:p>
        </w:tc>
        <w:tc>
          <w:tcPr>
            <w:tcW w:w="490" w:type="dxa"/>
            <w:vMerge/>
            <w:tcBorders>
              <w:left w:val="single" w:sz="4" w:space="0" w:color="000000"/>
              <w:right w:val="single" w:sz="4" w:space="0" w:color="000000"/>
            </w:tcBorders>
          </w:tcPr>
          <w:p>
            <w:pPr/>
          </w:p>
        </w:tc>
        <w:tc>
          <w:tcPr>
            <w:tcW w:w="449" w:type="dxa"/>
            <w:vMerge/>
            <w:tcBorders>
              <w:left w:val="single" w:sz="4" w:space="0" w:color="000000"/>
              <w:right w:val="single" w:sz="4" w:space="0" w:color="000000"/>
            </w:tcBorders>
          </w:tcPr>
          <w:p>
            <w:pPr/>
          </w:p>
        </w:tc>
        <w:tc>
          <w:tcPr>
            <w:tcW w:w="449" w:type="dxa"/>
            <w:vMerge/>
            <w:tcBorders>
              <w:left w:val="single" w:sz="4" w:space="0" w:color="000000"/>
              <w:right w:val="single" w:sz="4" w:space="0" w:color="000000"/>
            </w:tcBorders>
          </w:tcPr>
          <w:p>
            <w:pPr/>
          </w:p>
        </w:tc>
        <w:tc>
          <w:tcPr>
            <w:tcW w:w="491"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7" w:type="dxa"/>
            <w:vMerge/>
            <w:tcBorders>
              <w:left w:val="single" w:sz="4" w:space="0" w:color="000000"/>
              <w:right w:val="single" w:sz="4" w:space="0" w:color="000000"/>
            </w:tcBorders>
          </w:tcPr>
          <w:p>
            <w:pPr/>
          </w:p>
        </w:tc>
        <w:tc>
          <w:tcPr>
            <w:tcW w:w="577" w:type="dxa"/>
            <w:vMerge/>
            <w:tcBorders>
              <w:left w:val="single" w:sz="4" w:space="0" w:color="000000"/>
              <w:right w:val="single" w:sz="4" w:space="0" w:color="000000"/>
            </w:tcBorders>
          </w:tcPr>
          <w:p>
            <w:pPr/>
          </w:p>
        </w:tc>
        <w:tc>
          <w:tcPr>
            <w:tcW w:w="577"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7" w:type="dxa"/>
            <w:vMerge/>
            <w:tcBorders>
              <w:left w:val="single" w:sz="4" w:space="0" w:color="000000"/>
              <w:right w:val="single" w:sz="4" w:space="0" w:color="000000"/>
            </w:tcBorders>
          </w:tcPr>
          <w:p>
            <w:pPr/>
          </w:p>
        </w:tc>
        <w:tc>
          <w:tcPr>
            <w:tcW w:w="589" w:type="dxa"/>
            <w:vMerge/>
            <w:tcBorders>
              <w:left w:val="single" w:sz="4" w:space="0" w:color="000000"/>
              <w:right w:val="single" w:sz="4" w:space="0" w:color="000000"/>
            </w:tcBorders>
          </w:tcPr>
          <w:p>
            <w:pPr/>
          </w:p>
        </w:tc>
        <w:tc>
          <w:tcPr>
            <w:tcW w:w="567" w:type="dxa"/>
            <w:vMerge/>
            <w:tcBorders>
              <w:left w:val="single" w:sz="4" w:space="0" w:color="000000"/>
              <w:right w:val="single" w:sz="4" w:space="0" w:color="000000"/>
            </w:tcBorders>
          </w:tcPr>
          <w:p>
            <w:pPr/>
          </w:p>
        </w:tc>
        <w:tc>
          <w:tcPr>
            <w:tcW w:w="567" w:type="dxa"/>
            <w:vMerge/>
            <w:tcBorders>
              <w:left w:val="single" w:sz="4" w:space="0" w:color="000000"/>
              <w:right w:val="single" w:sz="4" w:space="0" w:color="000000"/>
            </w:tcBorders>
          </w:tcPr>
          <w:p>
            <w:pPr/>
          </w:p>
        </w:tc>
        <w:tc>
          <w:tcPr>
            <w:tcW w:w="643" w:type="dxa"/>
            <w:vMerge/>
            <w:tcBorders>
              <w:left w:val="single" w:sz="4" w:space="0" w:color="000000"/>
              <w:right w:val="single" w:sz="4" w:space="0" w:color="000000"/>
            </w:tcBorders>
          </w:tcPr>
          <w:p>
            <w:pPr/>
          </w:p>
        </w:tc>
        <w:tc>
          <w:tcPr>
            <w:tcW w:w="651" w:type="dxa"/>
            <w:vMerge/>
            <w:tcBorders>
              <w:left w:val="single" w:sz="4" w:space="0" w:color="000000"/>
              <w:right w:val="single" w:sz="4" w:space="0" w:color="000000"/>
            </w:tcBorders>
          </w:tcPr>
          <w:p>
            <w:pPr/>
          </w:p>
        </w:tc>
      </w:tr>
      <w:tr>
        <w:trPr>
          <w:trHeight w:val="280" w:hRule="exact"/>
        </w:trPr>
        <w:tc>
          <w:tcPr>
            <w:tcW w:w="1212"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06" w:lineRule="exact"/>
              <w:ind w:left="22" w:right="0"/>
              <w:jc w:val="left"/>
              <w:rPr>
                <w:rFonts w:ascii="宋体" w:hAnsi="宋体" w:cs="宋体" w:eastAsia="宋体" w:hint="default"/>
                <w:sz w:val="18"/>
                <w:szCs w:val="18"/>
              </w:rPr>
            </w:pPr>
            <w:r>
              <w:rPr>
                <w:rFonts w:ascii="宋体" w:hAnsi="宋体" w:cs="宋体" w:eastAsia="宋体" w:hint="default"/>
                <w:sz w:val="18"/>
                <w:szCs w:val="18"/>
              </w:rPr>
              <w:t>本）</w:t>
            </w:r>
          </w:p>
        </w:tc>
        <w:tc>
          <w:tcPr>
            <w:tcW w:w="490" w:type="dxa"/>
            <w:vMerge/>
            <w:tcBorders>
              <w:left w:val="single" w:sz="4" w:space="0" w:color="000000"/>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91"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7" w:type="dxa"/>
            <w:vMerge/>
            <w:tcBorders>
              <w:left w:val="single" w:sz="4" w:space="0" w:color="000000"/>
              <w:bottom w:val="single" w:sz="4" w:space="0" w:color="000000"/>
              <w:right w:val="single" w:sz="4" w:space="0" w:color="000000"/>
            </w:tcBorders>
          </w:tcPr>
          <w:p>
            <w:pPr/>
          </w:p>
        </w:tc>
        <w:tc>
          <w:tcPr>
            <w:tcW w:w="577" w:type="dxa"/>
            <w:vMerge/>
            <w:tcBorders>
              <w:left w:val="single" w:sz="4" w:space="0" w:color="000000"/>
              <w:bottom w:val="single" w:sz="4" w:space="0" w:color="000000"/>
              <w:right w:val="single" w:sz="4" w:space="0" w:color="000000"/>
            </w:tcBorders>
          </w:tcPr>
          <w:p>
            <w:pPr/>
          </w:p>
        </w:tc>
        <w:tc>
          <w:tcPr>
            <w:tcW w:w="577"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7" w:type="dxa"/>
            <w:vMerge/>
            <w:tcBorders>
              <w:left w:val="single" w:sz="4" w:space="0" w:color="000000"/>
              <w:bottom w:val="single" w:sz="4" w:space="0" w:color="000000"/>
              <w:right w:val="single" w:sz="4" w:space="0" w:color="000000"/>
            </w:tcBorders>
          </w:tcPr>
          <w:p>
            <w:pPr/>
          </w:p>
        </w:tc>
        <w:tc>
          <w:tcPr>
            <w:tcW w:w="589" w:type="dxa"/>
            <w:vMerge/>
            <w:tcBorders>
              <w:left w:val="single" w:sz="4" w:space="0" w:color="000000"/>
              <w:bottom w:val="single" w:sz="4" w:space="0" w:color="000000"/>
              <w:right w:val="single" w:sz="4" w:space="0" w:color="000000"/>
            </w:tcBorders>
          </w:tcPr>
          <w:p>
            <w:pPr/>
          </w:p>
        </w:tc>
        <w:tc>
          <w:tcPr>
            <w:tcW w:w="567" w:type="dxa"/>
            <w:vMerge/>
            <w:tcBorders>
              <w:left w:val="single" w:sz="4" w:space="0" w:color="000000"/>
              <w:bottom w:val="single" w:sz="4" w:space="0" w:color="000000"/>
              <w:right w:val="single" w:sz="4" w:space="0" w:color="000000"/>
            </w:tcBorders>
          </w:tcPr>
          <w:p>
            <w:pPr/>
          </w:p>
        </w:tc>
        <w:tc>
          <w:tcPr>
            <w:tcW w:w="567" w:type="dxa"/>
            <w:vMerge/>
            <w:tcBorders>
              <w:left w:val="single" w:sz="4" w:space="0" w:color="000000"/>
              <w:bottom w:val="single" w:sz="4" w:space="0" w:color="000000"/>
              <w:right w:val="single" w:sz="4" w:space="0" w:color="000000"/>
            </w:tcBorders>
          </w:tcPr>
          <w:p>
            <w:pPr/>
          </w:p>
        </w:tc>
        <w:tc>
          <w:tcPr>
            <w:tcW w:w="643" w:type="dxa"/>
            <w:vMerge/>
            <w:tcBorders>
              <w:left w:val="single" w:sz="4" w:space="0" w:color="000000"/>
              <w:bottom w:val="single" w:sz="4" w:space="0" w:color="000000"/>
              <w:right w:val="single" w:sz="4" w:space="0" w:color="000000"/>
            </w:tcBorders>
          </w:tcPr>
          <w:p>
            <w:pPr/>
          </w:p>
        </w:tc>
        <w:tc>
          <w:tcPr>
            <w:tcW w:w="651" w:type="dxa"/>
            <w:vMerge/>
            <w:tcBorders>
              <w:left w:val="single" w:sz="4" w:space="0" w:color="000000"/>
              <w:bottom w:val="single" w:sz="4" w:space="0" w:color="000000"/>
              <w:right w:val="single" w:sz="4" w:space="0" w:color="000000"/>
            </w:tcBorders>
          </w:tcPr>
          <w:p>
            <w:pPr/>
          </w:p>
        </w:tc>
      </w:tr>
      <w:tr>
        <w:trPr>
          <w:trHeight w:val="557"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6" w:lineRule="exact" w:before="31"/>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．盈余公积弥</w:t>
            </w:r>
            <w:r>
              <w:rPr>
                <w:rFonts w:ascii="宋体" w:hAnsi="宋体" w:cs="宋体" w:eastAsia="宋体" w:hint="default"/>
                <w:sz w:val="18"/>
                <w:szCs w:val="18"/>
              </w:rPr>
              <w:t> 补亏损</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212"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1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w:t>
            </w:r>
          </w:p>
        </w:tc>
        <w:tc>
          <w:tcPr>
            <w:tcW w:w="490" w:type="dxa"/>
            <w:vMerge w:val="restart"/>
            <w:tcBorders>
              <w:top w:val="single" w:sz="4" w:space="0" w:color="000000"/>
              <w:left w:val="single" w:sz="4" w:space="0" w:color="000000"/>
              <w:right w:val="single" w:sz="4" w:space="0" w:color="000000"/>
            </w:tcBorders>
          </w:tcPr>
          <w:p>
            <w:pPr/>
          </w:p>
        </w:tc>
        <w:tc>
          <w:tcPr>
            <w:tcW w:w="449" w:type="dxa"/>
            <w:vMerge w:val="restart"/>
            <w:tcBorders>
              <w:top w:val="single" w:sz="4" w:space="0" w:color="000000"/>
              <w:left w:val="single" w:sz="4" w:space="0" w:color="000000"/>
              <w:right w:val="single" w:sz="4" w:space="0" w:color="000000"/>
            </w:tcBorders>
          </w:tcPr>
          <w:p>
            <w:pPr/>
          </w:p>
        </w:tc>
        <w:tc>
          <w:tcPr>
            <w:tcW w:w="449" w:type="dxa"/>
            <w:vMerge w:val="restart"/>
            <w:tcBorders>
              <w:top w:val="single" w:sz="4" w:space="0" w:color="000000"/>
              <w:left w:val="single" w:sz="4" w:space="0" w:color="000000"/>
              <w:right w:val="single" w:sz="4" w:space="0" w:color="000000"/>
            </w:tcBorders>
          </w:tcPr>
          <w:p>
            <w:pPr/>
          </w:p>
        </w:tc>
        <w:tc>
          <w:tcPr>
            <w:tcW w:w="491"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7" w:type="dxa"/>
            <w:vMerge w:val="restart"/>
            <w:tcBorders>
              <w:top w:val="single" w:sz="4" w:space="0" w:color="000000"/>
              <w:left w:val="single" w:sz="4" w:space="0" w:color="000000"/>
              <w:right w:val="single" w:sz="4" w:space="0" w:color="000000"/>
            </w:tcBorders>
          </w:tcPr>
          <w:p>
            <w:pPr/>
          </w:p>
        </w:tc>
        <w:tc>
          <w:tcPr>
            <w:tcW w:w="577" w:type="dxa"/>
            <w:vMerge w:val="restart"/>
            <w:tcBorders>
              <w:top w:val="single" w:sz="4" w:space="0" w:color="000000"/>
              <w:left w:val="single" w:sz="4" w:space="0" w:color="000000"/>
              <w:right w:val="single" w:sz="4" w:space="0" w:color="000000"/>
            </w:tcBorders>
          </w:tcPr>
          <w:p>
            <w:pPr/>
          </w:p>
        </w:tc>
        <w:tc>
          <w:tcPr>
            <w:tcW w:w="577"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7" w:type="dxa"/>
            <w:vMerge w:val="restart"/>
            <w:tcBorders>
              <w:top w:val="single" w:sz="4" w:space="0" w:color="000000"/>
              <w:left w:val="single" w:sz="4" w:space="0" w:color="000000"/>
              <w:right w:val="single" w:sz="4" w:space="0" w:color="000000"/>
            </w:tcBorders>
          </w:tcPr>
          <w:p>
            <w:pPr/>
          </w:p>
        </w:tc>
        <w:tc>
          <w:tcPr>
            <w:tcW w:w="589" w:type="dxa"/>
            <w:vMerge w:val="restart"/>
            <w:tcBorders>
              <w:top w:val="single" w:sz="4" w:space="0" w:color="000000"/>
              <w:left w:val="single" w:sz="4" w:space="0" w:color="000000"/>
              <w:right w:val="single" w:sz="4" w:space="0" w:color="000000"/>
            </w:tcBorders>
          </w:tcPr>
          <w:p>
            <w:pPr/>
          </w:p>
        </w:tc>
        <w:tc>
          <w:tcPr>
            <w:tcW w:w="567" w:type="dxa"/>
            <w:vMerge w:val="restart"/>
            <w:tcBorders>
              <w:top w:val="single" w:sz="4" w:space="0" w:color="000000"/>
              <w:left w:val="single" w:sz="4" w:space="0" w:color="000000"/>
              <w:right w:val="single" w:sz="4" w:space="0" w:color="000000"/>
            </w:tcBorders>
          </w:tcPr>
          <w:p>
            <w:pPr/>
          </w:p>
        </w:tc>
        <w:tc>
          <w:tcPr>
            <w:tcW w:w="567" w:type="dxa"/>
            <w:vMerge w:val="restart"/>
            <w:tcBorders>
              <w:top w:val="single" w:sz="4" w:space="0" w:color="000000"/>
              <w:left w:val="single" w:sz="4" w:space="0" w:color="000000"/>
              <w:right w:val="single" w:sz="4" w:space="0" w:color="000000"/>
            </w:tcBorders>
          </w:tcPr>
          <w:p>
            <w:pPr/>
          </w:p>
        </w:tc>
        <w:tc>
          <w:tcPr>
            <w:tcW w:w="643" w:type="dxa"/>
            <w:vMerge w:val="restart"/>
            <w:tcBorders>
              <w:top w:val="single" w:sz="4" w:space="0" w:color="000000"/>
              <w:left w:val="single" w:sz="4" w:space="0" w:color="000000"/>
              <w:right w:val="single" w:sz="4" w:space="0" w:color="000000"/>
            </w:tcBorders>
          </w:tcPr>
          <w:p>
            <w:pPr/>
          </w:p>
        </w:tc>
        <w:tc>
          <w:tcPr>
            <w:tcW w:w="651" w:type="dxa"/>
            <w:vMerge w:val="restart"/>
            <w:tcBorders>
              <w:top w:val="single" w:sz="4" w:space="0" w:color="000000"/>
              <w:left w:val="single" w:sz="4" w:space="0" w:color="000000"/>
              <w:right w:val="single" w:sz="4" w:space="0" w:color="000000"/>
            </w:tcBorders>
          </w:tcPr>
          <w:p>
            <w:pPr/>
          </w:p>
        </w:tc>
      </w:tr>
      <w:tr>
        <w:trPr>
          <w:trHeight w:val="229" w:hRule="exact"/>
        </w:trPr>
        <w:tc>
          <w:tcPr>
            <w:tcW w:w="12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03" w:lineRule="exact"/>
              <w:ind w:left="22" w:right="0"/>
              <w:jc w:val="left"/>
              <w:rPr>
                <w:rFonts w:ascii="宋体" w:hAnsi="宋体" w:cs="宋体" w:eastAsia="宋体" w:hint="default"/>
                <w:sz w:val="18"/>
                <w:szCs w:val="18"/>
              </w:rPr>
            </w:pPr>
            <w:r>
              <w:rPr>
                <w:rFonts w:ascii="宋体" w:hAnsi="宋体" w:cs="宋体" w:eastAsia="宋体" w:hint="default"/>
                <w:sz w:val="18"/>
                <w:szCs w:val="18"/>
              </w:rPr>
              <w:t>划变动额结转</w:t>
            </w:r>
          </w:p>
        </w:tc>
        <w:tc>
          <w:tcPr>
            <w:tcW w:w="490" w:type="dxa"/>
            <w:vMerge/>
            <w:tcBorders>
              <w:left w:val="single" w:sz="4" w:space="0" w:color="000000"/>
              <w:right w:val="single" w:sz="4" w:space="0" w:color="000000"/>
            </w:tcBorders>
          </w:tcPr>
          <w:p>
            <w:pPr/>
          </w:p>
        </w:tc>
        <w:tc>
          <w:tcPr>
            <w:tcW w:w="449" w:type="dxa"/>
            <w:vMerge/>
            <w:tcBorders>
              <w:left w:val="single" w:sz="4" w:space="0" w:color="000000"/>
              <w:right w:val="single" w:sz="4" w:space="0" w:color="000000"/>
            </w:tcBorders>
          </w:tcPr>
          <w:p>
            <w:pPr/>
          </w:p>
        </w:tc>
        <w:tc>
          <w:tcPr>
            <w:tcW w:w="449" w:type="dxa"/>
            <w:vMerge/>
            <w:tcBorders>
              <w:left w:val="single" w:sz="4" w:space="0" w:color="000000"/>
              <w:right w:val="single" w:sz="4" w:space="0" w:color="000000"/>
            </w:tcBorders>
          </w:tcPr>
          <w:p>
            <w:pPr/>
          </w:p>
        </w:tc>
        <w:tc>
          <w:tcPr>
            <w:tcW w:w="491"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7" w:type="dxa"/>
            <w:vMerge/>
            <w:tcBorders>
              <w:left w:val="single" w:sz="4" w:space="0" w:color="000000"/>
              <w:right w:val="single" w:sz="4" w:space="0" w:color="000000"/>
            </w:tcBorders>
          </w:tcPr>
          <w:p>
            <w:pPr/>
          </w:p>
        </w:tc>
        <w:tc>
          <w:tcPr>
            <w:tcW w:w="577" w:type="dxa"/>
            <w:vMerge/>
            <w:tcBorders>
              <w:left w:val="single" w:sz="4" w:space="0" w:color="000000"/>
              <w:right w:val="single" w:sz="4" w:space="0" w:color="000000"/>
            </w:tcBorders>
          </w:tcPr>
          <w:p>
            <w:pPr/>
          </w:p>
        </w:tc>
        <w:tc>
          <w:tcPr>
            <w:tcW w:w="577"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7" w:type="dxa"/>
            <w:vMerge/>
            <w:tcBorders>
              <w:left w:val="single" w:sz="4" w:space="0" w:color="000000"/>
              <w:right w:val="single" w:sz="4" w:space="0" w:color="000000"/>
            </w:tcBorders>
          </w:tcPr>
          <w:p>
            <w:pPr/>
          </w:p>
        </w:tc>
        <w:tc>
          <w:tcPr>
            <w:tcW w:w="589" w:type="dxa"/>
            <w:vMerge/>
            <w:tcBorders>
              <w:left w:val="single" w:sz="4" w:space="0" w:color="000000"/>
              <w:right w:val="single" w:sz="4" w:space="0" w:color="000000"/>
            </w:tcBorders>
          </w:tcPr>
          <w:p>
            <w:pPr/>
          </w:p>
        </w:tc>
        <w:tc>
          <w:tcPr>
            <w:tcW w:w="567" w:type="dxa"/>
            <w:vMerge/>
            <w:tcBorders>
              <w:left w:val="single" w:sz="4" w:space="0" w:color="000000"/>
              <w:right w:val="single" w:sz="4" w:space="0" w:color="000000"/>
            </w:tcBorders>
          </w:tcPr>
          <w:p>
            <w:pPr/>
          </w:p>
        </w:tc>
        <w:tc>
          <w:tcPr>
            <w:tcW w:w="567" w:type="dxa"/>
            <w:vMerge/>
            <w:tcBorders>
              <w:left w:val="single" w:sz="4" w:space="0" w:color="000000"/>
              <w:right w:val="single" w:sz="4" w:space="0" w:color="000000"/>
            </w:tcBorders>
          </w:tcPr>
          <w:p>
            <w:pPr/>
          </w:p>
        </w:tc>
        <w:tc>
          <w:tcPr>
            <w:tcW w:w="643" w:type="dxa"/>
            <w:vMerge/>
            <w:tcBorders>
              <w:left w:val="single" w:sz="4" w:space="0" w:color="000000"/>
              <w:right w:val="single" w:sz="4" w:space="0" w:color="000000"/>
            </w:tcBorders>
          </w:tcPr>
          <w:p>
            <w:pPr/>
          </w:p>
        </w:tc>
        <w:tc>
          <w:tcPr>
            <w:tcW w:w="651" w:type="dxa"/>
            <w:vMerge/>
            <w:tcBorders>
              <w:left w:val="single" w:sz="4" w:space="0" w:color="000000"/>
              <w:right w:val="single" w:sz="4" w:space="0" w:color="000000"/>
            </w:tcBorders>
          </w:tcPr>
          <w:p>
            <w:pPr/>
          </w:p>
        </w:tc>
      </w:tr>
      <w:tr>
        <w:trPr>
          <w:trHeight w:val="278" w:hRule="exact"/>
        </w:trPr>
        <w:tc>
          <w:tcPr>
            <w:tcW w:w="1212"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06" w:lineRule="exact"/>
              <w:ind w:left="22" w:right="0"/>
              <w:jc w:val="left"/>
              <w:rPr>
                <w:rFonts w:ascii="宋体" w:hAnsi="宋体" w:cs="宋体" w:eastAsia="宋体" w:hint="default"/>
                <w:sz w:val="18"/>
                <w:szCs w:val="18"/>
              </w:rPr>
            </w:pPr>
            <w:r>
              <w:rPr>
                <w:rFonts w:ascii="宋体" w:hAnsi="宋体" w:cs="宋体" w:eastAsia="宋体" w:hint="default"/>
                <w:sz w:val="18"/>
                <w:szCs w:val="18"/>
              </w:rPr>
              <w:t>留存收益</w:t>
            </w:r>
          </w:p>
        </w:tc>
        <w:tc>
          <w:tcPr>
            <w:tcW w:w="490" w:type="dxa"/>
            <w:vMerge/>
            <w:tcBorders>
              <w:left w:val="single" w:sz="4" w:space="0" w:color="000000"/>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91"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7" w:type="dxa"/>
            <w:vMerge/>
            <w:tcBorders>
              <w:left w:val="single" w:sz="4" w:space="0" w:color="000000"/>
              <w:bottom w:val="single" w:sz="4" w:space="0" w:color="000000"/>
              <w:right w:val="single" w:sz="4" w:space="0" w:color="000000"/>
            </w:tcBorders>
          </w:tcPr>
          <w:p>
            <w:pPr/>
          </w:p>
        </w:tc>
        <w:tc>
          <w:tcPr>
            <w:tcW w:w="577" w:type="dxa"/>
            <w:vMerge/>
            <w:tcBorders>
              <w:left w:val="single" w:sz="4" w:space="0" w:color="000000"/>
              <w:bottom w:val="single" w:sz="4" w:space="0" w:color="000000"/>
              <w:right w:val="single" w:sz="4" w:space="0" w:color="000000"/>
            </w:tcBorders>
          </w:tcPr>
          <w:p>
            <w:pPr/>
          </w:p>
        </w:tc>
        <w:tc>
          <w:tcPr>
            <w:tcW w:w="577"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7" w:type="dxa"/>
            <w:vMerge/>
            <w:tcBorders>
              <w:left w:val="single" w:sz="4" w:space="0" w:color="000000"/>
              <w:bottom w:val="single" w:sz="4" w:space="0" w:color="000000"/>
              <w:right w:val="single" w:sz="4" w:space="0" w:color="000000"/>
            </w:tcBorders>
          </w:tcPr>
          <w:p>
            <w:pPr/>
          </w:p>
        </w:tc>
        <w:tc>
          <w:tcPr>
            <w:tcW w:w="589" w:type="dxa"/>
            <w:vMerge/>
            <w:tcBorders>
              <w:left w:val="single" w:sz="4" w:space="0" w:color="000000"/>
              <w:bottom w:val="single" w:sz="4" w:space="0" w:color="000000"/>
              <w:right w:val="single" w:sz="4" w:space="0" w:color="000000"/>
            </w:tcBorders>
          </w:tcPr>
          <w:p>
            <w:pPr/>
          </w:p>
        </w:tc>
        <w:tc>
          <w:tcPr>
            <w:tcW w:w="567" w:type="dxa"/>
            <w:vMerge/>
            <w:tcBorders>
              <w:left w:val="single" w:sz="4" w:space="0" w:color="000000"/>
              <w:bottom w:val="single" w:sz="4" w:space="0" w:color="000000"/>
              <w:right w:val="single" w:sz="4" w:space="0" w:color="000000"/>
            </w:tcBorders>
          </w:tcPr>
          <w:p>
            <w:pPr/>
          </w:p>
        </w:tc>
        <w:tc>
          <w:tcPr>
            <w:tcW w:w="567" w:type="dxa"/>
            <w:vMerge/>
            <w:tcBorders>
              <w:left w:val="single" w:sz="4" w:space="0" w:color="000000"/>
              <w:bottom w:val="single" w:sz="4" w:space="0" w:color="000000"/>
              <w:right w:val="single" w:sz="4" w:space="0" w:color="000000"/>
            </w:tcBorders>
          </w:tcPr>
          <w:p>
            <w:pPr/>
          </w:p>
        </w:tc>
        <w:tc>
          <w:tcPr>
            <w:tcW w:w="643" w:type="dxa"/>
            <w:vMerge/>
            <w:tcBorders>
              <w:left w:val="single" w:sz="4" w:space="0" w:color="000000"/>
              <w:bottom w:val="single" w:sz="4" w:space="0" w:color="000000"/>
              <w:right w:val="single" w:sz="4" w:space="0" w:color="000000"/>
            </w:tcBorders>
          </w:tcPr>
          <w:p>
            <w:pPr/>
          </w:p>
        </w:tc>
        <w:tc>
          <w:tcPr>
            <w:tcW w:w="651" w:type="dxa"/>
            <w:vMerge/>
            <w:tcBorders>
              <w:left w:val="single" w:sz="4" w:space="0" w:color="000000"/>
              <w:bottom w:val="single" w:sz="4" w:space="0" w:color="000000"/>
              <w:right w:val="single" w:sz="4" w:space="0" w:color="000000"/>
            </w:tcBorders>
          </w:tcPr>
          <w:p>
            <w:pPr/>
          </w:p>
        </w:tc>
      </w:tr>
      <w:tr>
        <w:trPr>
          <w:trHeight w:val="282" w:hRule="exact"/>
        </w:trPr>
        <w:tc>
          <w:tcPr>
            <w:tcW w:w="1212"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w:t>
            </w:r>
          </w:p>
        </w:tc>
        <w:tc>
          <w:tcPr>
            <w:tcW w:w="490" w:type="dxa"/>
            <w:vMerge w:val="restart"/>
            <w:tcBorders>
              <w:top w:val="single" w:sz="4" w:space="0" w:color="000000"/>
              <w:left w:val="single" w:sz="4" w:space="0" w:color="000000"/>
              <w:right w:val="single" w:sz="4" w:space="0" w:color="000000"/>
            </w:tcBorders>
          </w:tcPr>
          <w:p>
            <w:pPr/>
          </w:p>
        </w:tc>
        <w:tc>
          <w:tcPr>
            <w:tcW w:w="449" w:type="dxa"/>
            <w:vMerge w:val="restart"/>
            <w:tcBorders>
              <w:top w:val="single" w:sz="4" w:space="0" w:color="000000"/>
              <w:left w:val="single" w:sz="4" w:space="0" w:color="000000"/>
              <w:right w:val="single" w:sz="4" w:space="0" w:color="000000"/>
            </w:tcBorders>
          </w:tcPr>
          <w:p>
            <w:pPr/>
          </w:p>
        </w:tc>
        <w:tc>
          <w:tcPr>
            <w:tcW w:w="449" w:type="dxa"/>
            <w:vMerge w:val="restart"/>
            <w:tcBorders>
              <w:top w:val="single" w:sz="4" w:space="0" w:color="000000"/>
              <w:left w:val="single" w:sz="4" w:space="0" w:color="000000"/>
              <w:right w:val="single" w:sz="4" w:space="0" w:color="000000"/>
            </w:tcBorders>
          </w:tcPr>
          <w:p>
            <w:pPr/>
          </w:p>
        </w:tc>
        <w:tc>
          <w:tcPr>
            <w:tcW w:w="491"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7" w:type="dxa"/>
            <w:vMerge w:val="restart"/>
            <w:tcBorders>
              <w:top w:val="single" w:sz="4" w:space="0" w:color="000000"/>
              <w:left w:val="single" w:sz="4" w:space="0" w:color="000000"/>
              <w:right w:val="single" w:sz="4" w:space="0" w:color="000000"/>
            </w:tcBorders>
          </w:tcPr>
          <w:p>
            <w:pPr/>
          </w:p>
        </w:tc>
        <w:tc>
          <w:tcPr>
            <w:tcW w:w="577" w:type="dxa"/>
            <w:vMerge w:val="restart"/>
            <w:tcBorders>
              <w:top w:val="single" w:sz="4" w:space="0" w:color="000000"/>
              <w:left w:val="single" w:sz="4" w:space="0" w:color="000000"/>
              <w:right w:val="single" w:sz="4" w:space="0" w:color="000000"/>
            </w:tcBorders>
          </w:tcPr>
          <w:p>
            <w:pPr/>
          </w:p>
        </w:tc>
        <w:tc>
          <w:tcPr>
            <w:tcW w:w="577"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7" w:type="dxa"/>
            <w:vMerge w:val="restart"/>
            <w:tcBorders>
              <w:top w:val="single" w:sz="4" w:space="0" w:color="000000"/>
              <w:left w:val="single" w:sz="4" w:space="0" w:color="000000"/>
              <w:right w:val="single" w:sz="4" w:space="0" w:color="000000"/>
            </w:tcBorders>
          </w:tcPr>
          <w:p>
            <w:pPr/>
          </w:p>
        </w:tc>
        <w:tc>
          <w:tcPr>
            <w:tcW w:w="589" w:type="dxa"/>
            <w:vMerge w:val="restart"/>
            <w:tcBorders>
              <w:top w:val="single" w:sz="4" w:space="0" w:color="000000"/>
              <w:left w:val="single" w:sz="4" w:space="0" w:color="000000"/>
              <w:right w:val="single" w:sz="4" w:space="0" w:color="000000"/>
            </w:tcBorders>
          </w:tcPr>
          <w:p>
            <w:pPr/>
          </w:p>
        </w:tc>
        <w:tc>
          <w:tcPr>
            <w:tcW w:w="567" w:type="dxa"/>
            <w:vMerge w:val="restart"/>
            <w:tcBorders>
              <w:top w:val="single" w:sz="4" w:space="0" w:color="000000"/>
              <w:left w:val="single" w:sz="4" w:space="0" w:color="000000"/>
              <w:right w:val="single" w:sz="4" w:space="0" w:color="000000"/>
            </w:tcBorders>
          </w:tcPr>
          <w:p>
            <w:pPr/>
          </w:p>
        </w:tc>
        <w:tc>
          <w:tcPr>
            <w:tcW w:w="567" w:type="dxa"/>
            <w:vMerge w:val="restart"/>
            <w:tcBorders>
              <w:top w:val="single" w:sz="4" w:space="0" w:color="000000"/>
              <w:left w:val="single" w:sz="4" w:space="0" w:color="000000"/>
              <w:right w:val="single" w:sz="4" w:space="0" w:color="000000"/>
            </w:tcBorders>
          </w:tcPr>
          <w:p>
            <w:pPr/>
          </w:p>
        </w:tc>
        <w:tc>
          <w:tcPr>
            <w:tcW w:w="643" w:type="dxa"/>
            <w:vMerge w:val="restart"/>
            <w:tcBorders>
              <w:top w:val="single" w:sz="4" w:space="0" w:color="000000"/>
              <w:left w:val="single" w:sz="4" w:space="0" w:color="000000"/>
              <w:right w:val="single" w:sz="4" w:space="0" w:color="000000"/>
            </w:tcBorders>
          </w:tcPr>
          <w:p>
            <w:pPr/>
          </w:p>
        </w:tc>
        <w:tc>
          <w:tcPr>
            <w:tcW w:w="651" w:type="dxa"/>
            <w:vMerge w:val="restart"/>
            <w:tcBorders>
              <w:top w:val="single" w:sz="4" w:space="0" w:color="000000"/>
              <w:left w:val="single" w:sz="4" w:space="0" w:color="000000"/>
              <w:right w:val="single" w:sz="4" w:space="0" w:color="000000"/>
            </w:tcBorders>
          </w:tcPr>
          <w:p>
            <w:pPr/>
          </w:p>
        </w:tc>
      </w:tr>
      <w:tr>
        <w:trPr>
          <w:trHeight w:val="229" w:hRule="exact"/>
        </w:trPr>
        <w:tc>
          <w:tcPr>
            <w:tcW w:w="12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03" w:lineRule="exact"/>
              <w:ind w:left="22" w:right="0"/>
              <w:jc w:val="left"/>
              <w:rPr>
                <w:rFonts w:ascii="宋体" w:hAnsi="宋体" w:cs="宋体" w:eastAsia="宋体" w:hint="default"/>
                <w:sz w:val="18"/>
                <w:szCs w:val="18"/>
              </w:rPr>
            </w:pPr>
            <w:r>
              <w:rPr>
                <w:rFonts w:ascii="宋体" w:hAnsi="宋体" w:cs="宋体" w:eastAsia="宋体" w:hint="default"/>
                <w:sz w:val="18"/>
                <w:szCs w:val="18"/>
              </w:rPr>
              <w:t>益结转留存收</w:t>
            </w:r>
          </w:p>
        </w:tc>
        <w:tc>
          <w:tcPr>
            <w:tcW w:w="490" w:type="dxa"/>
            <w:vMerge/>
            <w:tcBorders>
              <w:left w:val="single" w:sz="4" w:space="0" w:color="000000"/>
              <w:right w:val="single" w:sz="4" w:space="0" w:color="000000"/>
            </w:tcBorders>
          </w:tcPr>
          <w:p>
            <w:pPr/>
          </w:p>
        </w:tc>
        <w:tc>
          <w:tcPr>
            <w:tcW w:w="449" w:type="dxa"/>
            <w:vMerge/>
            <w:tcBorders>
              <w:left w:val="single" w:sz="4" w:space="0" w:color="000000"/>
              <w:right w:val="single" w:sz="4" w:space="0" w:color="000000"/>
            </w:tcBorders>
          </w:tcPr>
          <w:p>
            <w:pPr/>
          </w:p>
        </w:tc>
        <w:tc>
          <w:tcPr>
            <w:tcW w:w="449" w:type="dxa"/>
            <w:vMerge/>
            <w:tcBorders>
              <w:left w:val="single" w:sz="4" w:space="0" w:color="000000"/>
              <w:right w:val="single" w:sz="4" w:space="0" w:color="000000"/>
            </w:tcBorders>
          </w:tcPr>
          <w:p>
            <w:pPr/>
          </w:p>
        </w:tc>
        <w:tc>
          <w:tcPr>
            <w:tcW w:w="491"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7" w:type="dxa"/>
            <w:vMerge/>
            <w:tcBorders>
              <w:left w:val="single" w:sz="4" w:space="0" w:color="000000"/>
              <w:right w:val="single" w:sz="4" w:space="0" w:color="000000"/>
            </w:tcBorders>
          </w:tcPr>
          <w:p>
            <w:pPr/>
          </w:p>
        </w:tc>
        <w:tc>
          <w:tcPr>
            <w:tcW w:w="577" w:type="dxa"/>
            <w:vMerge/>
            <w:tcBorders>
              <w:left w:val="single" w:sz="4" w:space="0" w:color="000000"/>
              <w:right w:val="single" w:sz="4" w:space="0" w:color="000000"/>
            </w:tcBorders>
          </w:tcPr>
          <w:p>
            <w:pPr/>
          </w:p>
        </w:tc>
        <w:tc>
          <w:tcPr>
            <w:tcW w:w="577"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7" w:type="dxa"/>
            <w:vMerge/>
            <w:tcBorders>
              <w:left w:val="single" w:sz="4" w:space="0" w:color="000000"/>
              <w:right w:val="single" w:sz="4" w:space="0" w:color="000000"/>
            </w:tcBorders>
          </w:tcPr>
          <w:p>
            <w:pPr/>
          </w:p>
        </w:tc>
        <w:tc>
          <w:tcPr>
            <w:tcW w:w="589" w:type="dxa"/>
            <w:vMerge/>
            <w:tcBorders>
              <w:left w:val="single" w:sz="4" w:space="0" w:color="000000"/>
              <w:right w:val="single" w:sz="4" w:space="0" w:color="000000"/>
            </w:tcBorders>
          </w:tcPr>
          <w:p>
            <w:pPr/>
          </w:p>
        </w:tc>
        <w:tc>
          <w:tcPr>
            <w:tcW w:w="567" w:type="dxa"/>
            <w:vMerge/>
            <w:tcBorders>
              <w:left w:val="single" w:sz="4" w:space="0" w:color="000000"/>
              <w:right w:val="single" w:sz="4" w:space="0" w:color="000000"/>
            </w:tcBorders>
          </w:tcPr>
          <w:p>
            <w:pPr/>
          </w:p>
        </w:tc>
        <w:tc>
          <w:tcPr>
            <w:tcW w:w="567" w:type="dxa"/>
            <w:vMerge/>
            <w:tcBorders>
              <w:left w:val="single" w:sz="4" w:space="0" w:color="000000"/>
              <w:right w:val="single" w:sz="4" w:space="0" w:color="000000"/>
            </w:tcBorders>
          </w:tcPr>
          <w:p>
            <w:pPr/>
          </w:p>
        </w:tc>
        <w:tc>
          <w:tcPr>
            <w:tcW w:w="643" w:type="dxa"/>
            <w:vMerge/>
            <w:tcBorders>
              <w:left w:val="single" w:sz="4" w:space="0" w:color="000000"/>
              <w:right w:val="single" w:sz="4" w:space="0" w:color="000000"/>
            </w:tcBorders>
          </w:tcPr>
          <w:p>
            <w:pPr/>
          </w:p>
        </w:tc>
        <w:tc>
          <w:tcPr>
            <w:tcW w:w="651" w:type="dxa"/>
            <w:vMerge/>
            <w:tcBorders>
              <w:left w:val="single" w:sz="4" w:space="0" w:color="000000"/>
              <w:right w:val="single" w:sz="4" w:space="0" w:color="000000"/>
            </w:tcBorders>
          </w:tcPr>
          <w:p>
            <w:pPr/>
          </w:p>
        </w:tc>
      </w:tr>
      <w:tr>
        <w:trPr>
          <w:trHeight w:val="279" w:hRule="exact"/>
        </w:trPr>
        <w:tc>
          <w:tcPr>
            <w:tcW w:w="1212"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06" w:lineRule="exact"/>
              <w:ind w:left="22" w:right="0"/>
              <w:jc w:val="left"/>
              <w:rPr>
                <w:rFonts w:ascii="宋体" w:hAnsi="宋体" w:cs="宋体" w:eastAsia="宋体" w:hint="default"/>
                <w:sz w:val="18"/>
                <w:szCs w:val="18"/>
              </w:rPr>
            </w:pPr>
            <w:r>
              <w:rPr>
                <w:rFonts w:ascii="宋体" w:hAnsi="宋体" w:cs="宋体" w:eastAsia="宋体" w:hint="default"/>
                <w:sz w:val="18"/>
                <w:szCs w:val="18"/>
              </w:rPr>
              <w:t>益</w:t>
            </w:r>
          </w:p>
        </w:tc>
        <w:tc>
          <w:tcPr>
            <w:tcW w:w="490" w:type="dxa"/>
            <w:vMerge/>
            <w:tcBorders>
              <w:left w:val="single" w:sz="4" w:space="0" w:color="000000"/>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91"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7" w:type="dxa"/>
            <w:vMerge/>
            <w:tcBorders>
              <w:left w:val="single" w:sz="4" w:space="0" w:color="000000"/>
              <w:bottom w:val="single" w:sz="4" w:space="0" w:color="000000"/>
              <w:right w:val="single" w:sz="4" w:space="0" w:color="000000"/>
            </w:tcBorders>
          </w:tcPr>
          <w:p>
            <w:pPr/>
          </w:p>
        </w:tc>
        <w:tc>
          <w:tcPr>
            <w:tcW w:w="577" w:type="dxa"/>
            <w:vMerge/>
            <w:tcBorders>
              <w:left w:val="single" w:sz="4" w:space="0" w:color="000000"/>
              <w:bottom w:val="single" w:sz="4" w:space="0" w:color="000000"/>
              <w:right w:val="single" w:sz="4" w:space="0" w:color="000000"/>
            </w:tcBorders>
          </w:tcPr>
          <w:p>
            <w:pPr/>
          </w:p>
        </w:tc>
        <w:tc>
          <w:tcPr>
            <w:tcW w:w="577"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7" w:type="dxa"/>
            <w:vMerge/>
            <w:tcBorders>
              <w:left w:val="single" w:sz="4" w:space="0" w:color="000000"/>
              <w:bottom w:val="single" w:sz="4" w:space="0" w:color="000000"/>
              <w:right w:val="single" w:sz="4" w:space="0" w:color="000000"/>
            </w:tcBorders>
          </w:tcPr>
          <w:p>
            <w:pPr/>
          </w:p>
        </w:tc>
        <w:tc>
          <w:tcPr>
            <w:tcW w:w="589" w:type="dxa"/>
            <w:vMerge/>
            <w:tcBorders>
              <w:left w:val="single" w:sz="4" w:space="0" w:color="000000"/>
              <w:bottom w:val="single" w:sz="4" w:space="0" w:color="000000"/>
              <w:right w:val="single" w:sz="4" w:space="0" w:color="000000"/>
            </w:tcBorders>
          </w:tcPr>
          <w:p>
            <w:pPr/>
          </w:p>
        </w:tc>
        <w:tc>
          <w:tcPr>
            <w:tcW w:w="567" w:type="dxa"/>
            <w:vMerge/>
            <w:tcBorders>
              <w:left w:val="single" w:sz="4" w:space="0" w:color="000000"/>
              <w:bottom w:val="single" w:sz="4" w:space="0" w:color="000000"/>
              <w:right w:val="single" w:sz="4" w:space="0" w:color="000000"/>
            </w:tcBorders>
          </w:tcPr>
          <w:p>
            <w:pPr/>
          </w:p>
        </w:tc>
        <w:tc>
          <w:tcPr>
            <w:tcW w:w="567" w:type="dxa"/>
            <w:vMerge/>
            <w:tcBorders>
              <w:left w:val="single" w:sz="4" w:space="0" w:color="000000"/>
              <w:bottom w:val="single" w:sz="4" w:space="0" w:color="000000"/>
              <w:right w:val="single" w:sz="4" w:space="0" w:color="000000"/>
            </w:tcBorders>
          </w:tcPr>
          <w:p>
            <w:pPr/>
          </w:p>
        </w:tc>
        <w:tc>
          <w:tcPr>
            <w:tcW w:w="643" w:type="dxa"/>
            <w:vMerge/>
            <w:tcBorders>
              <w:left w:val="single" w:sz="4" w:space="0" w:color="000000"/>
              <w:bottom w:val="single" w:sz="4" w:space="0" w:color="000000"/>
              <w:right w:val="single" w:sz="4" w:space="0" w:color="000000"/>
            </w:tcBorders>
          </w:tcPr>
          <w:p>
            <w:pPr/>
          </w:p>
        </w:tc>
        <w:tc>
          <w:tcPr>
            <w:tcW w:w="651" w:type="dxa"/>
            <w:vMerge/>
            <w:tcBorders>
              <w:left w:val="single" w:sz="4" w:space="0" w:color="000000"/>
              <w:bottom w:val="single" w:sz="4" w:space="0" w:color="000000"/>
              <w:right w:val="single" w:sz="4" w:space="0" w:color="000000"/>
            </w:tcBorders>
          </w:tcPr>
          <w:p>
            <w:pPr/>
          </w:p>
        </w:tc>
      </w:tr>
      <w:tr>
        <w:trPr>
          <w:trHeight w:val="324"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6"/>
              <w:ind w:left="22" w:right="98"/>
              <w:jc w:val="left"/>
              <w:rPr>
                <w:rFonts w:ascii="宋体" w:hAnsi="宋体" w:cs="宋体" w:eastAsia="宋体" w:hint="default"/>
                <w:sz w:val="18"/>
                <w:szCs w:val="18"/>
              </w:rPr>
            </w:pPr>
            <w:r>
              <w:rPr>
                <w:rFonts w:ascii="宋体" w:hAnsi="宋体" w:cs="宋体" w:eastAsia="宋体" w:hint="default"/>
                <w:sz w:val="18"/>
                <w:szCs w:val="18"/>
              </w:rPr>
              <w:t>（五）专项储 备</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12" w:footer="1264" w:top="980" w:bottom="1460" w:left="1680" w:right="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9"/>
          <w:szCs w:val="19"/>
        </w:rPr>
      </w:pPr>
    </w:p>
    <w:tbl>
      <w:tblPr>
        <w:tblW w:w="0" w:type="auto"/>
        <w:jc w:val="left"/>
        <w:tblInd w:w="112" w:type="dxa"/>
        <w:tblLayout w:type="fixed"/>
        <w:tblCellMar>
          <w:top w:w="0" w:type="dxa"/>
          <w:left w:w="0" w:type="dxa"/>
          <w:bottom w:w="0" w:type="dxa"/>
          <w:right w:w="0" w:type="dxa"/>
        </w:tblCellMar>
        <w:tblLook w:val="01E0"/>
      </w:tblPr>
      <w:tblGrid>
        <w:gridCol w:w="1212"/>
        <w:gridCol w:w="490"/>
        <w:gridCol w:w="449"/>
        <w:gridCol w:w="449"/>
        <w:gridCol w:w="491"/>
        <w:gridCol w:w="576"/>
        <w:gridCol w:w="577"/>
        <w:gridCol w:w="577"/>
        <w:gridCol w:w="577"/>
        <w:gridCol w:w="576"/>
        <w:gridCol w:w="577"/>
        <w:gridCol w:w="589"/>
        <w:gridCol w:w="567"/>
        <w:gridCol w:w="567"/>
        <w:gridCol w:w="643"/>
        <w:gridCol w:w="651"/>
      </w:tblGrid>
      <w:tr>
        <w:trPr>
          <w:trHeight w:val="918"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32" w:lineRule="exact"/>
              <w:ind w:left="22" w:right="98"/>
              <w:jc w:val="left"/>
              <w:rPr>
                <w:rFonts w:ascii="宋体" w:hAnsi="宋体" w:cs="宋体" w:eastAsia="宋体" w:hint="default"/>
                <w:sz w:val="18"/>
                <w:szCs w:val="18"/>
              </w:rPr>
            </w:pPr>
            <w:r>
              <w:rPr>
                <w:rFonts w:ascii="宋体" w:hAnsi="宋体" w:cs="宋体" w:eastAsia="宋体" w:hint="default"/>
                <w:sz w:val="18"/>
                <w:szCs w:val="18"/>
              </w:rPr>
              <w:t>四、本期期末 余额</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9"/>
              <w:ind w:left="51" w:right="0"/>
              <w:jc w:val="left"/>
              <w:rPr>
                <w:rFonts w:ascii="Times New Roman" w:hAnsi="Times New Roman" w:cs="Times New Roman" w:eastAsia="Times New Roman" w:hint="default"/>
                <w:sz w:val="18"/>
                <w:szCs w:val="18"/>
              </w:rPr>
            </w:pPr>
            <w:r>
              <w:rPr>
                <w:rFonts w:ascii="Times New Roman"/>
                <w:sz w:val="18"/>
              </w:rPr>
              <w:t>2,428</w:t>
            </w:r>
          </w:p>
          <w:p>
            <w:pPr>
              <w:pStyle w:val="TableParagraph"/>
              <w:spacing w:line="206" w:lineRule="exact"/>
              <w:ind w:left="96" w:right="0"/>
              <w:jc w:val="left"/>
              <w:rPr>
                <w:rFonts w:ascii="Times New Roman" w:hAnsi="Times New Roman" w:cs="Times New Roman" w:eastAsia="Times New Roman" w:hint="default"/>
                <w:sz w:val="18"/>
                <w:szCs w:val="18"/>
              </w:rPr>
            </w:pPr>
            <w:r>
              <w:rPr>
                <w:rFonts w:ascii="Times New Roman"/>
                <w:sz w:val="18"/>
              </w:rPr>
              <w:t>,885,</w:t>
            </w:r>
          </w:p>
          <w:p>
            <w:pPr>
              <w:pStyle w:val="TableParagraph"/>
              <w:spacing w:line="207" w:lineRule="exact"/>
              <w:ind w:left="51" w:right="0"/>
              <w:jc w:val="left"/>
              <w:rPr>
                <w:rFonts w:ascii="Times New Roman" w:hAnsi="Times New Roman" w:cs="Times New Roman" w:eastAsia="Times New Roman" w:hint="default"/>
                <w:sz w:val="18"/>
                <w:szCs w:val="18"/>
              </w:rPr>
            </w:pPr>
            <w:r>
              <w:rPr>
                <w:rFonts w:ascii="Times New Roman"/>
                <w:sz w:val="18"/>
              </w:rPr>
              <w:t>725.0</w:t>
            </w:r>
          </w:p>
          <w:p>
            <w:pPr>
              <w:pStyle w:val="TableParagraph"/>
              <w:spacing w:line="240" w:lineRule="auto" w:before="2"/>
              <w:ind w:right="20"/>
              <w:jc w:val="right"/>
              <w:rPr>
                <w:rFonts w:ascii="Times New Roman" w:hAnsi="Times New Roman" w:cs="Times New Roman" w:eastAsia="Times New Roman" w:hint="default"/>
                <w:sz w:val="18"/>
                <w:szCs w:val="18"/>
              </w:rPr>
            </w:pPr>
            <w:r>
              <w:rPr>
                <w:rFonts w:ascii="Times New Roman"/>
                <w:sz w:val="18"/>
              </w:rPr>
              <w:t>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42"/>
              <w:ind w:left="68" w:right="0"/>
              <w:jc w:val="center"/>
              <w:rPr>
                <w:rFonts w:ascii="Times New Roman" w:hAnsi="Times New Roman" w:cs="Times New Roman" w:eastAsia="Times New Roman" w:hint="default"/>
                <w:sz w:val="18"/>
                <w:szCs w:val="18"/>
              </w:rPr>
            </w:pPr>
            <w:r>
              <w:rPr>
                <w:rFonts w:ascii="Times New Roman"/>
                <w:sz w:val="18"/>
              </w:rPr>
              <w:t>2,298,</w:t>
            </w:r>
          </w:p>
          <w:p>
            <w:pPr>
              <w:pStyle w:val="TableParagraph"/>
              <w:spacing w:line="206" w:lineRule="exact"/>
              <w:ind w:left="26" w:right="0"/>
              <w:jc w:val="center"/>
              <w:rPr>
                <w:rFonts w:ascii="Times New Roman" w:hAnsi="Times New Roman" w:cs="Times New Roman" w:eastAsia="Times New Roman" w:hint="default"/>
                <w:sz w:val="18"/>
                <w:szCs w:val="18"/>
              </w:rPr>
            </w:pPr>
            <w:r>
              <w:rPr>
                <w:rFonts w:ascii="Times New Roman"/>
                <w:sz w:val="18"/>
              </w:rPr>
              <w:t>125,81</w:t>
            </w:r>
          </w:p>
          <w:p>
            <w:pPr>
              <w:pStyle w:val="TableParagraph"/>
              <w:spacing w:line="207" w:lineRule="exact"/>
              <w:ind w:left="206" w:right="0"/>
              <w:jc w:val="center"/>
              <w:rPr>
                <w:rFonts w:ascii="Times New Roman" w:hAnsi="Times New Roman" w:cs="Times New Roman" w:eastAsia="Times New Roman" w:hint="default"/>
                <w:sz w:val="18"/>
                <w:szCs w:val="18"/>
              </w:rPr>
            </w:pPr>
            <w:r>
              <w:rPr>
                <w:rFonts w:ascii="Times New Roman"/>
                <w:sz w:val="18"/>
              </w:rPr>
              <w:t>9.56</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42"/>
              <w:ind w:left="48" w:right="0"/>
              <w:jc w:val="left"/>
              <w:rPr>
                <w:rFonts w:ascii="Times New Roman" w:hAnsi="Times New Roman" w:cs="Times New Roman" w:eastAsia="Times New Roman" w:hint="default"/>
                <w:sz w:val="18"/>
                <w:szCs w:val="18"/>
              </w:rPr>
            </w:pPr>
            <w:r>
              <w:rPr>
                <w:rFonts w:ascii="Times New Roman"/>
                <w:sz w:val="18"/>
              </w:rPr>
              <w:t>113,00</w:t>
            </w:r>
          </w:p>
          <w:p>
            <w:pPr>
              <w:pStyle w:val="TableParagraph"/>
              <w:spacing w:line="206" w:lineRule="exact"/>
              <w:ind w:left="94" w:right="0"/>
              <w:jc w:val="left"/>
              <w:rPr>
                <w:rFonts w:ascii="Times New Roman" w:hAnsi="Times New Roman" w:cs="Times New Roman" w:eastAsia="Times New Roman" w:hint="default"/>
                <w:sz w:val="18"/>
                <w:szCs w:val="18"/>
              </w:rPr>
            </w:pPr>
            <w:r>
              <w:rPr>
                <w:rFonts w:ascii="Times New Roman"/>
                <w:sz w:val="18"/>
              </w:rPr>
              <w:t>6,514.</w:t>
            </w:r>
          </w:p>
          <w:p>
            <w:pPr>
              <w:pStyle w:val="TableParagraph"/>
              <w:spacing w:line="207" w:lineRule="exact"/>
              <w:ind w:left="363" w:right="0"/>
              <w:jc w:val="left"/>
              <w:rPr>
                <w:rFonts w:ascii="Times New Roman" w:hAnsi="Times New Roman" w:cs="Times New Roman" w:eastAsia="Times New Roman" w:hint="default"/>
                <w:sz w:val="18"/>
                <w:szCs w:val="18"/>
              </w:rPr>
            </w:pPr>
            <w:r>
              <w:rPr>
                <w:rFonts w:ascii="Times New Roman"/>
                <w:sz w:val="18"/>
              </w:rPr>
              <w:t>72</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42"/>
              <w:ind w:left="78" w:right="0"/>
              <w:jc w:val="left"/>
              <w:rPr>
                <w:rFonts w:ascii="Times New Roman" w:hAnsi="Times New Roman" w:cs="Times New Roman" w:eastAsia="Times New Roman" w:hint="default"/>
                <w:sz w:val="18"/>
                <w:szCs w:val="18"/>
              </w:rPr>
            </w:pPr>
            <w:r>
              <w:rPr>
                <w:rFonts w:ascii="Times New Roman"/>
                <w:sz w:val="18"/>
              </w:rPr>
              <w:t>-368,2</w:t>
            </w:r>
          </w:p>
          <w:p>
            <w:pPr>
              <w:pStyle w:val="TableParagraph"/>
              <w:spacing w:line="206" w:lineRule="exact"/>
              <w:ind w:left="50" w:right="0"/>
              <w:jc w:val="left"/>
              <w:rPr>
                <w:rFonts w:ascii="Times New Roman" w:hAnsi="Times New Roman" w:cs="Times New Roman" w:eastAsia="Times New Roman" w:hint="default"/>
                <w:sz w:val="18"/>
                <w:szCs w:val="18"/>
              </w:rPr>
            </w:pPr>
            <w:r>
              <w:rPr>
                <w:rFonts w:ascii="Times New Roman"/>
                <w:sz w:val="18"/>
              </w:rPr>
              <w:t>79,676</w:t>
            </w:r>
          </w:p>
          <w:p>
            <w:pPr>
              <w:pStyle w:val="TableParagraph"/>
              <w:spacing w:line="207" w:lineRule="exact"/>
              <w:ind w:left="318" w:right="0"/>
              <w:jc w:val="left"/>
              <w:rPr>
                <w:rFonts w:ascii="Times New Roman" w:hAnsi="Times New Roman" w:cs="Times New Roman" w:eastAsia="Times New Roman" w:hint="default"/>
                <w:sz w:val="18"/>
                <w:szCs w:val="18"/>
              </w:rPr>
            </w:pPr>
            <w:r>
              <w:rPr>
                <w:rFonts w:ascii="Times New Roman"/>
                <w:sz w:val="18"/>
              </w:rPr>
              <w:t>.59</w:t>
            </w: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42"/>
              <w:ind w:left="48" w:right="0"/>
              <w:jc w:val="left"/>
              <w:rPr>
                <w:rFonts w:ascii="Times New Roman" w:hAnsi="Times New Roman" w:cs="Times New Roman" w:eastAsia="Times New Roman" w:hint="default"/>
                <w:sz w:val="18"/>
                <w:szCs w:val="18"/>
              </w:rPr>
            </w:pPr>
            <w:r>
              <w:rPr>
                <w:rFonts w:ascii="Times New Roman"/>
                <w:sz w:val="18"/>
              </w:rPr>
              <w:t>628,59</w:t>
            </w:r>
          </w:p>
          <w:p>
            <w:pPr>
              <w:pStyle w:val="TableParagraph"/>
              <w:spacing w:line="206" w:lineRule="exact"/>
              <w:ind w:left="93" w:right="0"/>
              <w:jc w:val="left"/>
              <w:rPr>
                <w:rFonts w:ascii="Times New Roman" w:hAnsi="Times New Roman" w:cs="Times New Roman" w:eastAsia="Times New Roman" w:hint="default"/>
                <w:sz w:val="18"/>
                <w:szCs w:val="18"/>
              </w:rPr>
            </w:pPr>
            <w:r>
              <w:rPr>
                <w:rFonts w:ascii="Times New Roman"/>
                <w:sz w:val="18"/>
              </w:rPr>
              <w:t>3,583.</w:t>
            </w:r>
          </w:p>
          <w:p>
            <w:pPr>
              <w:pStyle w:val="TableParagraph"/>
              <w:spacing w:line="207" w:lineRule="exact"/>
              <w:ind w:left="362" w:right="0"/>
              <w:jc w:val="left"/>
              <w:rPr>
                <w:rFonts w:ascii="Times New Roman" w:hAnsi="Times New Roman" w:cs="Times New Roman" w:eastAsia="Times New Roman" w:hint="default"/>
                <w:sz w:val="18"/>
                <w:szCs w:val="18"/>
              </w:rPr>
            </w:pPr>
            <w:r>
              <w:rPr>
                <w:rFonts w:ascii="Times New Roman"/>
                <w:sz w:val="18"/>
              </w:rPr>
              <w:t>41</w:t>
            </w: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42"/>
              <w:ind w:left="85" w:right="0"/>
              <w:jc w:val="center"/>
              <w:rPr>
                <w:rFonts w:ascii="Times New Roman" w:hAnsi="Times New Roman" w:cs="Times New Roman" w:eastAsia="Times New Roman" w:hint="default"/>
                <w:sz w:val="18"/>
                <w:szCs w:val="18"/>
              </w:rPr>
            </w:pPr>
            <w:r>
              <w:rPr>
                <w:rFonts w:ascii="Times New Roman"/>
                <w:sz w:val="18"/>
              </w:rPr>
              <w:t>3,812,</w:t>
            </w:r>
          </w:p>
          <w:p>
            <w:pPr>
              <w:pStyle w:val="TableParagraph"/>
              <w:spacing w:line="206" w:lineRule="exact"/>
              <w:ind w:left="39" w:right="0"/>
              <w:jc w:val="center"/>
              <w:rPr>
                <w:rFonts w:ascii="Times New Roman" w:hAnsi="Times New Roman" w:cs="Times New Roman" w:eastAsia="Times New Roman" w:hint="default"/>
                <w:sz w:val="18"/>
                <w:szCs w:val="18"/>
              </w:rPr>
            </w:pPr>
            <w:r>
              <w:rPr>
                <w:rFonts w:ascii="Times New Roman"/>
                <w:sz w:val="18"/>
              </w:rPr>
              <w:t>670,50</w:t>
            </w:r>
          </w:p>
          <w:p>
            <w:pPr>
              <w:pStyle w:val="TableParagraph"/>
              <w:spacing w:line="207" w:lineRule="exact"/>
              <w:ind w:left="219" w:right="0"/>
              <w:jc w:val="center"/>
              <w:rPr>
                <w:rFonts w:ascii="Times New Roman" w:hAnsi="Times New Roman" w:cs="Times New Roman" w:eastAsia="Times New Roman" w:hint="default"/>
                <w:sz w:val="18"/>
                <w:szCs w:val="18"/>
              </w:rPr>
            </w:pPr>
            <w:r>
              <w:rPr>
                <w:rFonts w:ascii="Times New Roman"/>
                <w:sz w:val="18"/>
              </w:rPr>
              <w:t>3.86</w:t>
            </w:r>
          </w:p>
        </w:tc>
        <w:tc>
          <w:tcPr>
            <w:tcW w:w="56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42"/>
              <w:ind w:left="61" w:right="0"/>
              <w:jc w:val="center"/>
              <w:rPr>
                <w:rFonts w:ascii="Times New Roman" w:hAnsi="Times New Roman" w:cs="Times New Roman" w:eastAsia="Times New Roman" w:hint="default"/>
                <w:sz w:val="18"/>
                <w:szCs w:val="18"/>
              </w:rPr>
            </w:pPr>
            <w:r>
              <w:rPr>
                <w:rFonts w:ascii="Times New Roman"/>
                <w:sz w:val="18"/>
              </w:rPr>
              <w:t>8,686,</w:t>
            </w:r>
          </w:p>
          <w:p>
            <w:pPr>
              <w:pStyle w:val="TableParagraph"/>
              <w:spacing w:line="206" w:lineRule="exact"/>
              <w:ind w:left="14" w:right="0"/>
              <w:jc w:val="center"/>
              <w:rPr>
                <w:rFonts w:ascii="Times New Roman" w:hAnsi="Times New Roman" w:cs="Times New Roman" w:eastAsia="Times New Roman" w:hint="default"/>
                <w:sz w:val="18"/>
                <w:szCs w:val="18"/>
              </w:rPr>
            </w:pPr>
            <w:r>
              <w:rPr>
                <w:rFonts w:ascii="Times New Roman"/>
                <w:sz w:val="18"/>
              </w:rPr>
              <w:t>989,44</w:t>
            </w:r>
          </w:p>
          <w:p>
            <w:pPr>
              <w:pStyle w:val="TableParagraph"/>
              <w:spacing w:line="207" w:lineRule="exact"/>
              <w:ind w:left="194" w:right="0"/>
              <w:jc w:val="center"/>
              <w:rPr>
                <w:rFonts w:ascii="Times New Roman" w:hAnsi="Times New Roman" w:cs="Times New Roman" w:eastAsia="Times New Roman" w:hint="default"/>
                <w:sz w:val="18"/>
                <w:szCs w:val="18"/>
              </w:rPr>
            </w:pPr>
            <w:r>
              <w:rPr>
                <w:rFonts w:ascii="Times New Roman"/>
                <w:sz w:val="18"/>
              </w:rPr>
              <w:t>0.52</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07" w:lineRule="exact"/>
              <w:ind w:left="25" w:right="0"/>
              <w:jc w:val="left"/>
              <w:rPr>
                <w:rFonts w:ascii="Times New Roman" w:hAnsi="Times New Roman" w:cs="Times New Roman" w:eastAsia="Times New Roman" w:hint="default"/>
                <w:sz w:val="18"/>
                <w:szCs w:val="18"/>
              </w:rPr>
            </w:pPr>
            <w:r>
              <w:rPr>
                <w:rFonts w:ascii="Times New Roman"/>
                <w:sz w:val="18"/>
              </w:rPr>
              <w:t>822,612</w:t>
            </w:r>
          </w:p>
          <w:p>
            <w:pPr>
              <w:pStyle w:val="TableParagraph"/>
              <w:spacing w:line="207" w:lineRule="exact"/>
              <w:ind w:left="68" w:right="0"/>
              <w:jc w:val="left"/>
              <w:rPr>
                <w:rFonts w:ascii="Times New Roman" w:hAnsi="Times New Roman" w:cs="Times New Roman" w:eastAsia="Times New Roman" w:hint="default"/>
                <w:sz w:val="18"/>
                <w:szCs w:val="18"/>
              </w:rPr>
            </w:pPr>
            <w:r>
              <w:rPr>
                <w:rFonts w:ascii="Times New Roman"/>
                <w:sz w:val="18"/>
              </w:rPr>
              <w:t>,566.22</w:t>
            </w: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42"/>
              <w:ind w:right="19"/>
              <w:jc w:val="right"/>
              <w:rPr>
                <w:rFonts w:ascii="Times New Roman" w:hAnsi="Times New Roman" w:cs="Times New Roman" w:eastAsia="Times New Roman" w:hint="default"/>
                <w:sz w:val="18"/>
                <w:szCs w:val="18"/>
              </w:rPr>
            </w:pPr>
            <w:r>
              <w:rPr>
                <w:rFonts w:ascii="Times New Roman"/>
                <w:spacing w:val="-1"/>
                <w:sz w:val="18"/>
              </w:rPr>
              <w:t>9,509,6</w:t>
            </w:r>
          </w:p>
          <w:p>
            <w:pPr>
              <w:pStyle w:val="TableParagraph"/>
              <w:spacing w:line="206" w:lineRule="exact"/>
              <w:ind w:right="21"/>
              <w:jc w:val="right"/>
              <w:rPr>
                <w:rFonts w:ascii="Times New Roman" w:hAnsi="Times New Roman" w:cs="Times New Roman" w:eastAsia="Times New Roman" w:hint="default"/>
                <w:sz w:val="18"/>
                <w:szCs w:val="18"/>
              </w:rPr>
            </w:pPr>
            <w:r>
              <w:rPr>
                <w:rFonts w:ascii="Times New Roman"/>
                <w:spacing w:val="-1"/>
                <w:sz w:val="18"/>
              </w:rPr>
              <w:t>02,006.</w:t>
            </w:r>
          </w:p>
          <w:p>
            <w:pPr>
              <w:pStyle w:val="TableParagraph"/>
              <w:spacing w:line="207" w:lineRule="exact"/>
              <w:ind w:right="19"/>
              <w:jc w:val="right"/>
              <w:rPr>
                <w:rFonts w:ascii="Times New Roman" w:hAnsi="Times New Roman" w:cs="Times New Roman" w:eastAsia="Times New Roman" w:hint="default"/>
                <w:sz w:val="18"/>
                <w:szCs w:val="18"/>
              </w:rPr>
            </w:pPr>
            <w:r>
              <w:rPr>
                <w:rFonts w:ascii="Times New Roman"/>
                <w:sz w:val="18"/>
              </w:rPr>
              <w:t>74</w:t>
            </w:r>
          </w:p>
        </w:tc>
      </w:tr>
    </w:tbl>
    <w:p>
      <w:pPr>
        <w:spacing w:line="240" w:lineRule="auto" w:before="1"/>
        <w:rPr>
          <w:rFonts w:ascii="Times New Roman" w:hAnsi="Times New Roman" w:cs="Times New Roman" w:eastAsia="Times New Roman" w:hint="default"/>
          <w:sz w:val="20"/>
          <w:szCs w:val="20"/>
        </w:rPr>
      </w:pPr>
    </w:p>
    <w:p>
      <w:pPr>
        <w:pStyle w:val="Heading3"/>
        <w:spacing w:line="240" w:lineRule="auto"/>
        <w:ind w:left="117" w:right="1603"/>
        <w:jc w:val="left"/>
        <w:rPr>
          <w:b w:val="0"/>
          <w:bCs w:val="0"/>
        </w:rPr>
      </w:pPr>
      <w:bookmarkStart w:name="8、母公司所有者权益变动表" w:id="166"/>
      <w:bookmarkEnd w:id="166"/>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44"/>
        <w:ind w:left="117" w:right="1603"/>
        <w:jc w:val="left"/>
      </w:pPr>
      <w:r>
        <w:rPr/>
        <w:t>本期金额</w:t>
      </w:r>
    </w:p>
    <w:p>
      <w:pPr>
        <w:pStyle w:val="BodyText"/>
        <w:spacing w:line="240" w:lineRule="auto" w:before="38"/>
        <w:ind w:left="0" w:right="1796"/>
        <w:jc w:val="right"/>
      </w:pPr>
      <w:r>
        <w:rPr/>
        <w:t>单位：元</w:t>
      </w:r>
    </w:p>
    <w:p>
      <w:pPr>
        <w:spacing w:line="240" w:lineRule="auto" w:before="0"/>
        <w:rPr>
          <w:rFonts w:ascii="宋体" w:hAnsi="宋体" w:cs="宋体" w:eastAsia="宋体" w:hint="default"/>
          <w:sz w:val="5"/>
          <w:szCs w:val="5"/>
        </w:rPr>
      </w:pPr>
    </w:p>
    <w:tbl>
      <w:tblPr>
        <w:tblW w:w="0" w:type="auto"/>
        <w:jc w:val="left"/>
        <w:tblInd w:w="112" w:type="dxa"/>
        <w:tblLayout w:type="fixed"/>
        <w:tblCellMar>
          <w:top w:w="0" w:type="dxa"/>
          <w:left w:w="0" w:type="dxa"/>
          <w:bottom w:w="0" w:type="dxa"/>
          <w:right w:w="0" w:type="dxa"/>
        </w:tblCellMar>
        <w:tblLook w:val="01E0"/>
      </w:tblPr>
      <w:tblGrid>
        <w:gridCol w:w="1306"/>
        <w:gridCol w:w="628"/>
        <w:gridCol w:w="604"/>
        <w:gridCol w:w="604"/>
        <w:gridCol w:w="605"/>
        <w:gridCol w:w="726"/>
        <w:gridCol w:w="727"/>
        <w:gridCol w:w="726"/>
        <w:gridCol w:w="727"/>
        <w:gridCol w:w="726"/>
        <w:gridCol w:w="615"/>
        <w:gridCol w:w="710"/>
        <w:gridCol w:w="863"/>
      </w:tblGrid>
      <w:tr>
        <w:trPr>
          <w:trHeight w:val="324" w:hRule="exact"/>
        </w:trPr>
        <w:tc>
          <w:tcPr>
            <w:tcW w:w="130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261"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w:t>
            </w:r>
          </w:p>
        </w:tc>
      </w:tr>
      <w:tr>
        <w:trPr>
          <w:trHeight w:val="323" w:hRule="exact"/>
        </w:trPr>
        <w:tc>
          <w:tcPr>
            <w:tcW w:w="1306" w:type="dxa"/>
            <w:vMerge/>
            <w:tcBorders>
              <w:left w:val="single" w:sz="4" w:space="0" w:color="000000"/>
              <w:right w:val="single" w:sz="4" w:space="0" w:color="000000"/>
            </w:tcBorders>
            <w:shd w:val="clear" w:color="auto" w:fill="D2D2D2"/>
          </w:tcPr>
          <w:p>
            <w:pPr/>
          </w:p>
        </w:tc>
        <w:tc>
          <w:tcPr>
            <w:tcW w:w="6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81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6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268" w:right="8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7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267" w:right="20" w:hanging="245"/>
              <w:jc w:val="left"/>
              <w:rPr>
                <w:rFonts w:ascii="宋体" w:hAnsi="宋体" w:cs="宋体" w:eastAsia="宋体" w:hint="default"/>
                <w:sz w:val="18"/>
                <w:szCs w:val="18"/>
              </w:rPr>
            </w:pPr>
            <w:r>
              <w:rPr>
                <w:rFonts w:ascii="宋体" w:hAnsi="宋体" w:cs="宋体" w:eastAsia="宋体" w:hint="default"/>
                <w:spacing w:val="-12"/>
                <w:sz w:val="18"/>
                <w:szCs w:val="18"/>
              </w:rPr>
              <w:t>减：库存</w:t>
            </w:r>
            <w:r>
              <w:rPr>
                <w:rFonts w:ascii="宋体" w:hAnsi="宋体" w:cs="宋体" w:eastAsia="宋体" w:hint="default"/>
                <w:sz w:val="18"/>
                <w:szCs w:val="18"/>
              </w:rPr>
              <w:t> 股</w:t>
            </w:r>
          </w:p>
        </w:tc>
        <w:tc>
          <w:tcPr>
            <w:tcW w:w="7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87" w:right="8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7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268" w:right="8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7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269" w:right="8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121" w:right="30"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1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155" w:right="65"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324" w:hRule="exact"/>
        </w:trPr>
        <w:tc>
          <w:tcPr>
            <w:tcW w:w="1306" w:type="dxa"/>
            <w:vMerge/>
            <w:tcBorders>
              <w:left w:val="single" w:sz="4" w:space="0" w:color="000000"/>
              <w:bottom w:val="single" w:sz="4" w:space="0" w:color="000000"/>
              <w:right w:val="single" w:sz="4" w:space="0" w:color="000000"/>
            </w:tcBorders>
            <w:shd w:val="clear" w:color="auto" w:fill="D2D2D2"/>
          </w:tcPr>
          <w:p>
            <w:pPr/>
          </w:p>
        </w:tc>
        <w:tc>
          <w:tcPr>
            <w:tcW w:w="628" w:type="dxa"/>
            <w:vMerge/>
            <w:tcBorders>
              <w:left w:val="single" w:sz="4" w:space="0" w:color="000000"/>
              <w:bottom w:val="single" w:sz="4" w:space="0" w:color="000000"/>
              <w:right w:val="single" w:sz="4" w:space="0" w:color="000000"/>
            </w:tcBorders>
            <w:shd w:val="clear" w:color="auto" w:fill="D2D2D2"/>
          </w:tcPr>
          <w:p>
            <w:pPr/>
          </w:p>
        </w:tc>
        <w:tc>
          <w:tcPr>
            <w:tcW w:w="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8"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26" w:type="dxa"/>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bottom w:val="single" w:sz="4" w:space="0" w:color="000000"/>
              <w:right w:val="single" w:sz="4" w:space="0" w:color="000000"/>
            </w:tcBorders>
            <w:shd w:val="clear" w:color="auto" w:fill="D2D2D2"/>
          </w:tcPr>
          <w:p>
            <w:pPr/>
          </w:p>
        </w:tc>
        <w:tc>
          <w:tcPr>
            <w:tcW w:w="726" w:type="dxa"/>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bottom w:val="single" w:sz="4" w:space="0" w:color="000000"/>
              <w:right w:val="single" w:sz="4" w:space="0" w:color="000000"/>
            </w:tcBorders>
            <w:shd w:val="clear" w:color="auto" w:fill="D2D2D2"/>
          </w:tcPr>
          <w:p>
            <w:pPr/>
          </w:p>
        </w:tc>
        <w:tc>
          <w:tcPr>
            <w:tcW w:w="726" w:type="dxa"/>
            <w:vMerge/>
            <w:tcBorders>
              <w:left w:val="single" w:sz="4" w:space="0" w:color="000000"/>
              <w:bottom w:val="single" w:sz="4" w:space="0" w:color="000000"/>
              <w:right w:val="single" w:sz="4" w:space="0" w:color="000000"/>
            </w:tcBorders>
            <w:shd w:val="clear" w:color="auto" w:fill="D2D2D2"/>
          </w:tcPr>
          <w:p>
            <w:pPr/>
          </w:p>
        </w:tc>
        <w:tc>
          <w:tcPr>
            <w:tcW w:w="615" w:type="dxa"/>
            <w:vMerge/>
            <w:tcBorders>
              <w:left w:val="single" w:sz="4" w:space="0" w:color="000000"/>
              <w:bottom w:val="single" w:sz="4" w:space="0" w:color="000000"/>
              <w:right w:val="single" w:sz="4" w:space="0" w:color="000000"/>
            </w:tcBorders>
            <w:shd w:val="clear" w:color="auto" w:fill="D2D2D2"/>
          </w:tcPr>
          <w:p>
            <w:pPr/>
          </w:p>
        </w:tc>
        <w:tc>
          <w:tcPr>
            <w:tcW w:w="710" w:type="dxa"/>
            <w:vMerge/>
            <w:tcBorders>
              <w:left w:val="single" w:sz="4" w:space="0" w:color="000000"/>
              <w:bottom w:val="single" w:sz="4" w:space="0" w:color="000000"/>
              <w:right w:val="single" w:sz="4" w:space="0" w:color="000000"/>
            </w:tcBorders>
            <w:shd w:val="clear" w:color="auto" w:fill="D2D2D2"/>
          </w:tcPr>
          <w:p>
            <w:pPr/>
          </w:p>
        </w:tc>
        <w:tc>
          <w:tcPr>
            <w:tcW w:w="863" w:type="dxa"/>
            <w:vMerge/>
            <w:tcBorders>
              <w:left w:val="single" w:sz="4" w:space="0" w:color="000000"/>
              <w:bottom w:val="single" w:sz="4" w:space="0" w:color="000000"/>
              <w:right w:val="single" w:sz="4" w:space="0" w:color="000000"/>
            </w:tcBorders>
            <w:shd w:val="clear" w:color="auto" w:fill="D2D2D2"/>
          </w:tcPr>
          <w:p>
            <w:pPr/>
          </w:p>
        </w:tc>
      </w:tr>
      <w:tr>
        <w:trPr>
          <w:trHeight w:val="711"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110"/>
              <w:ind w:left="22" w:right="21"/>
              <w:jc w:val="left"/>
              <w:rPr>
                <w:rFonts w:ascii="宋体" w:hAnsi="宋体" w:cs="宋体" w:eastAsia="宋体" w:hint="default"/>
                <w:sz w:val="18"/>
                <w:szCs w:val="18"/>
              </w:rPr>
            </w:pPr>
            <w:r>
              <w:rPr>
                <w:rFonts w:ascii="宋体" w:hAnsi="宋体" w:cs="宋体" w:eastAsia="宋体" w:hint="default"/>
                <w:spacing w:val="-2"/>
                <w:sz w:val="18"/>
                <w:szCs w:val="18"/>
              </w:rPr>
              <w:t>一、上年期末余</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62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9"/>
              <w:ind w:right="19"/>
              <w:jc w:val="right"/>
              <w:rPr>
                <w:rFonts w:ascii="Times New Roman" w:hAnsi="Times New Roman" w:cs="Times New Roman" w:eastAsia="Times New Roman" w:hint="default"/>
                <w:sz w:val="18"/>
                <w:szCs w:val="18"/>
              </w:rPr>
            </w:pPr>
            <w:r>
              <w:rPr>
                <w:rFonts w:ascii="Times New Roman"/>
                <w:spacing w:val="-1"/>
                <w:sz w:val="18"/>
              </w:rPr>
              <w:t>2,428,8</w:t>
            </w:r>
          </w:p>
          <w:p>
            <w:pPr>
              <w:pStyle w:val="TableParagraph"/>
              <w:spacing w:line="206" w:lineRule="exact"/>
              <w:ind w:right="19"/>
              <w:jc w:val="right"/>
              <w:rPr>
                <w:rFonts w:ascii="Times New Roman" w:hAnsi="Times New Roman" w:cs="Times New Roman" w:eastAsia="Times New Roman" w:hint="default"/>
                <w:sz w:val="18"/>
                <w:szCs w:val="18"/>
              </w:rPr>
            </w:pPr>
            <w:r>
              <w:rPr>
                <w:rFonts w:ascii="Times New Roman"/>
                <w:spacing w:val="-1"/>
                <w:sz w:val="18"/>
              </w:rPr>
              <w:t>85,725.</w:t>
            </w:r>
          </w:p>
          <w:p>
            <w:pPr>
              <w:pStyle w:val="TableParagraph"/>
              <w:spacing w:line="207" w:lineRule="exact"/>
              <w:ind w:right="19"/>
              <w:jc w:val="right"/>
              <w:rPr>
                <w:rFonts w:ascii="Times New Roman" w:hAnsi="Times New Roman" w:cs="Times New Roman" w:eastAsia="Times New Roman" w:hint="default"/>
                <w:sz w:val="18"/>
                <w:szCs w:val="18"/>
              </w:rPr>
            </w:pPr>
            <w:r>
              <w:rPr>
                <w:rFonts w:ascii="Times New Roman"/>
                <w:sz w:val="18"/>
              </w:rPr>
              <w:t>00</w:t>
            </w:r>
          </w:p>
        </w:tc>
        <w:tc>
          <w:tcPr>
            <w:tcW w:w="604"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42"/>
              <w:ind w:left="62" w:right="0"/>
              <w:jc w:val="left"/>
              <w:rPr>
                <w:rFonts w:ascii="Times New Roman" w:hAnsi="Times New Roman" w:cs="Times New Roman" w:eastAsia="Times New Roman" w:hint="default"/>
                <w:sz w:val="18"/>
                <w:szCs w:val="18"/>
              </w:rPr>
            </w:pPr>
            <w:r>
              <w:rPr>
                <w:rFonts w:ascii="Times New Roman"/>
                <w:sz w:val="18"/>
              </w:rPr>
              <w:t>2,304,53</w:t>
            </w:r>
          </w:p>
          <w:p>
            <w:pPr>
              <w:pStyle w:val="TableParagraph"/>
              <w:spacing w:line="207" w:lineRule="exact"/>
              <w:ind w:left="62" w:right="0"/>
              <w:jc w:val="left"/>
              <w:rPr>
                <w:rFonts w:ascii="Times New Roman" w:hAnsi="Times New Roman" w:cs="Times New Roman" w:eastAsia="Times New Roman" w:hint="default"/>
                <w:sz w:val="18"/>
                <w:szCs w:val="18"/>
              </w:rPr>
            </w:pPr>
            <w:r>
              <w:rPr>
                <w:rFonts w:ascii="Times New Roman"/>
                <w:sz w:val="18"/>
              </w:rPr>
              <w:t>3,814.30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42"/>
              <w:ind w:left="40" w:right="0"/>
              <w:jc w:val="center"/>
              <w:rPr>
                <w:rFonts w:ascii="Times New Roman" w:hAnsi="Times New Roman" w:cs="Times New Roman" w:eastAsia="Times New Roman" w:hint="default"/>
                <w:sz w:val="18"/>
                <w:szCs w:val="18"/>
              </w:rPr>
            </w:pPr>
            <w:r>
              <w:rPr>
                <w:rFonts w:ascii="Times New Roman"/>
                <w:sz w:val="18"/>
              </w:rPr>
              <w:t>113,006,</w:t>
            </w:r>
          </w:p>
          <w:p>
            <w:pPr>
              <w:pStyle w:val="TableParagraph"/>
              <w:spacing w:line="207" w:lineRule="exact"/>
              <w:ind w:left="174" w:right="0"/>
              <w:jc w:val="center"/>
              <w:rPr>
                <w:rFonts w:ascii="Times New Roman" w:hAnsi="Times New Roman" w:cs="Times New Roman" w:eastAsia="Times New Roman" w:hint="default"/>
                <w:sz w:val="18"/>
                <w:szCs w:val="18"/>
              </w:rPr>
            </w:pPr>
            <w:r>
              <w:rPr>
                <w:rFonts w:ascii="Times New Roman"/>
                <w:sz w:val="18"/>
              </w:rPr>
              <w:t>514.72</w:t>
            </w: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42"/>
              <w:ind w:left="29" w:right="0"/>
              <w:jc w:val="center"/>
              <w:rPr>
                <w:rFonts w:ascii="Times New Roman" w:hAnsi="Times New Roman" w:cs="Times New Roman" w:eastAsia="Times New Roman" w:hint="default"/>
                <w:sz w:val="18"/>
                <w:szCs w:val="18"/>
              </w:rPr>
            </w:pPr>
            <w:r>
              <w:rPr>
                <w:rFonts w:ascii="Times New Roman"/>
                <w:sz w:val="18"/>
              </w:rPr>
              <w:t>-365,400</w:t>
            </w:r>
          </w:p>
          <w:p>
            <w:pPr>
              <w:pStyle w:val="TableParagraph"/>
              <w:spacing w:line="207" w:lineRule="exact"/>
              <w:ind w:left="129" w:right="0"/>
              <w:jc w:val="center"/>
              <w:rPr>
                <w:rFonts w:ascii="Times New Roman" w:hAnsi="Times New Roman" w:cs="Times New Roman" w:eastAsia="Times New Roman" w:hint="default"/>
                <w:sz w:val="18"/>
                <w:szCs w:val="18"/>
              </w:rPr>
            </w:pPr>
            <w:r>
              <w:rPr>
                <w:rFonts w:ascii="Times New Roman"/>
                <w:sz w:val="18"/>
              </w:rPr>
              <w:t>,438.36</w:t>
            </w: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42"/>
              <w:ind w:left="39" w:right="0"/>
              <w:jc w:val="center"/>
              <w:rPr>
                <w:rFonts w:ascii="Times New Roman" w:hAnsi="Times New Roman" w:cs="Times New Roman" w:eastAsia="Times New Roman" w:hint="default"/>
                <w:sz w:val="18"/>
                <w:szCs w:val="18"/>
              </w:rPr>
            </w:pPr>
            <w:r>
              <w:rPr>
                <w:rFonts w:ascii="Times New Roman"/>
                <w:sz w:val="18"/>
              </w:rPr>
              <w:t>628,593,</w:t>
            </w:r>
          </w:p>
          <w:p>
            <w:pPr>
              <w:pStyle w:val="TableParagraph"/>
              <w:spacing w:line="207" w:lineRule="exact"/>
              <w:ind w:left="173" w:right="0"/>
              <w:jc w:val="center"/>
              <w:rPr>
                <w:rFonts w:ascii="Times New Roman" w:hAnsi="Times New Roman" w:cs="Times New Roman" w:eastAsia="Times New Roman" w:hint="default"/>
                <w:sz w:val="18"/>
                <w:szCs w:val="18"/>
              </w:rPr>
            </w:pPr>
            <w:r>
              <w:rPr>
                <w:rFonts w:ascii="Times New Roman"/>
                <w:sz w:val="18"/>
              </w:rPr>
              <w:t>583.41</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9"/>
              <w:ind w:left="42" w:right="0"/>
              <w:jc w:val="left"/>
              <w:rPr>
                <w:rFonts w:ascii="Times New Roman" w:hAnsi="Times New Roman" w:cs="Times New Roman" w:eastAsia="Times New Roman" w:hint="default"/>
                <w:sz w:val="18"/>
                <w:szCs w:val="18"/>
              </w:rPr>
            </w:pPr>
            <w:r>
              <w:rPr>
                <w:rFonts w:ascii="Times New Roman"/>
                <w:sz w:val="18"/>
              </w:rPr>
              <w:t>2,616,5</w:t>
            </w:r>
          </w:p>
          <w:p>
            <w:pPr>
              <w:pStyle w:val="TableParagraph"/>
              <w:spacing w:line="206" w:lineRule="exact"/>
              <w:ind w:left="42" w:right="0"/>
              <w:jc w:val="left"/>
              <w:rPr>
                <w:rFonts w:ascii="Times New Roman" w:hAnsi="Times New Roman" w:cs="Times New Roman" w:eastAsia="Times New Roman" w:hint="default"/>
                <w:sz w:val="18"/>
                <w:szCs w:val="18"/>
              </w:rPr>
            </w:pPr>
            <w:r>
              <w:rPr>
                <w:rFonts w:ascii="Times New Roman"/>
                <w:sz w:val="18"/>
              </w:rPr>
              <w:t>52,383.</w:t>
            </w:r>
          </w:p>
          <w:p>
            <w:pPr>
              <w:pStyle w:val="TableParagraph"/>
              <w:spacing w:line="207" w:lineRule="exact"/>
              <w:ind w:left="402" w:right="0"/>
              <w:jc w:val="left"/>
              <w:rPr>
                <w:rFonts w:ascii="Times New Roman" w:hAnsi="Times New Roman" w:cs="Times New Roman" w:eastAsia="Times New Roman" w:hint="default"/>
                <w:sz w:val="18"/>
                <w:szCs w:val="18"/>
              </w:rPr>
            </w:pPr>
            <w:r>
              <w:rPr>
                <w:rFonts w:ascii="Times New Roman"/>
                <w:sz w:val="18"/>
              </w:rPr>
              <w:t>07</w:t>
            </w:r>
          </w:p>
        </w:tc>
        <w:tc>
          <w:tcPr>
            <w:tcW w:w="710"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42"/>
              <w:ind w:left="66" w:right="0"/>
              <w:jc w:val="left"/>
              <w:rPr>
                <w:rFonts w:ascii="Times New Roman" w:hAnsi="Times New Roman" w:cs="Times New Roman" w:eastAsia="Times New Roman" w:hint="default"/>
                <w:sz w:val="18"/>
                <w:szCs w:val="18"/>
              </w:rPr>
            </w:pPr>
            <w:r>
              <w:rPr>
                <w:rFonts w:ascii="Times New Roman"/>
                <w:sz w:val="18"/>
              </w:rPr>
              <w:t>7,500,158,</w:t>
            </w:r>
          </w:p>
          <w:p>
            <w:pPr>
              <w:pStyle w:val="TableParagraph"/>
              <w:spacing w:line="207" w:lineRule="exact"/>
              <w:ind w:left="335" w:right="0"/>
              <w:jc w:val="left"/>
              <w:rPr>
                <w:rFonts w:ascii="Times New Roman" w:hAnsi="Times New Roman" w:cs="Times New Roman" w:eastAsia="Times New Roman" w:hint="default"/>
                <w:sz w:val="18"/>
                <w:szCs w:val="18"/>
              </w:rPr>
            </w:pPr>
            <w:r>
              <w:rPr>
                <w:rFonts w:ascii="Times New Roman"/>
                <w:sz w:val="18"/>
              </w:rPr>
              <w:t>552.70</w:t>
            </w:r>
          </w:p>
        </w:tc>
      </w:tr>
      <w:tr>
        <w:trPr>
          <w:trHeight w:val="556"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5"/>
              <w:ind w:left="22" w:right="21" w:firstLine="360"/>
              <w:jc w:val="left"/>
              <w:rPr>
                <w:rFonts w:ascii="宋体" w:hAnsi="宋体" w:cs="宋体" w:eastAsia="宋体" w:hint="default"/>
                <w:sz w:val="18"/>
                <w:szCs w:val="18"/>
              </w:rPr>
            </w:pPr>
            <w:r>
              <w:rPr>
                <w:rFonts w:ascii="宋体" w:hAnsi="宋体" w:cs="宋体" w:eastAsia="宋体" w:hint="default"/>
                <w:spacing w:val="-2"/>
                <w:sz w:val="18"/>
                <w:szCs w:val="18"/>
              </w:rPr>
              <w:t>加：会计政</w:t>
            </w:r>
            <w:r>
              <w:rPr>
                <w:rFonts w:ascii="宋体" w:hAnsi="宋体" w:cs="宋体" w:eastAsia="宋体" w:hint="default"/>
                <w:sz w:val="18"/>
                <w:szCs w:val="18"/>
              </w:rPr>
              <w:t> 策变更</w:t>
            </w:r>
          </w:p>
        </w:tc>
        <w:tc>
          <w:tcPr>
            <w:tcW w:w="628"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6"/>
              <w:ind w:left="22" w:right="192" w:firstLine="720"/>
              <w:jc w:val="left"/>
              <w:rPr>
                <w:rFonts w:ascii="宋体" w:hAnsi="宋体" w:cs="宋体" w:eastAsia="宋体" w:hint="default"/>
                <w:sz w:val="18"/>
                <w:szCs w:val="18"/>
              </w:rPr>
            </w:pPr>
            <w:r>
              <w:rPr>
                <w:rFonts w:ascii="宋体" w:hAnsi="宋体" w:cs="宋体" w:eastAsia="宋体" w:hint="default"/>
                <w:sz w:val="18"/>
                <w:szCs w:val="18"/>
              </w:rPr>
              <w:t>前期 差错更正</w:t>
            </w:r>
          </w:p>
        </w:tc>
        <w:tc>
          <w:tcPr>
            <w:tcW w:w="628"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7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28"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111"/>
              <w:ind w:left="22" w:right="21"/>
              <w:jc w:val="left"/>
              <w:rPr>
                <w:rFonts w:ascii="宋体" w:hAnsi="宋体" w:cs="宋体" w:eastAsia="宋体" w:hint="default"/>
                <w:sz w:val="18"/>
                <w:szCs w:val="18"/>
              </w:rPr>
            </w:pPr>
            <w:r>
              <w:rPr>
                <w:rFonts w:ascii="宋体" w:hAnsi="宋体" w:cs="宋体" w:eastAsia="宋体" w:hint="default"/>
                <w:spacing w:val="-2"/>
                <w:sz w:val="18"/>
                <w:szCs w:val="18"/>
              </w:rPr>
              <w:t>二、本年期初余</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62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9"/>
              <w:ind w:right="19"/>
              <w:jc w:val="right"/>
              <w:rPr>
                <w:rFonts w:ascii="Times New Roman" w:hAnsi="Times New Roman" w:cs="Times New Roman" w:eastAsia="Times New Roman" w:hint="default"/>
                <w:sz w:val="18"/>
                <w:szCs w:val="18"/>
              </w:rPr>
            </w:pPr>
            <w:r>
              <w:rPr>
                <w:rFonts w:ascii="Times New Roman"/>
                <w:spacing w:val="-1"/>
                <w:sz w:val="18"/>
              </w:rPr>
              <w:t>2,428,8</w:t>
            </w:r>
          </w:p>
          <w:p>
            <w:pPr>
              <w:pStyle w:val="TableParagraph"/>
              <w:spacing w:line="206" w:lineRule="exact"/>
              <w:ind w:right="19"/>
              <w:jc w:val="right"/>
              <w:rPr>
                <w:rFonts w:ascii="Times New Roman" w:hAnsi="Times New Roman" w:cs="Times New Roman" w:eastAsia="Times New Roman" w:hint="default"/>
                <w:sz w:val="18"/>
                <w:szCs w:val="18"/>
              </w:rPr>
            </w:pPr>
            <w:r>
              <w:rPr>
                <w:rFonts w:ascii="Times New Roman"/>
                <w:spacing w:val="-1"/>
                <w:sz w:val="18"/>
              </w:rPr>
              <w:t>85,725.</w:t>
            </w:r>
          </w:p>
          <w:p>
            <w:pPr>
              <w:pStyle w:val="TableParagraph"/>
              <w:spacing w:line="207" w:lineRule="exact"/>
              <w:ind w:right="19"/>
              <w:jc w:val="right"/>
              <w:rPr>
                <w:rFonts w:ascii="Times New Roman" w:hAnsi="Times New Roman" w:cs="Times New Roman" w:eastAsia="Times New Roman" w:hint="default"/>
                <w:sz w:val="18"/>
                <w:szCs w:val="18"/>
              </w:rPr>
            </w:pPr>
            <w:r>
              <w:rPr>
                <w:rFonts w:ascii="Times New Roman"/>
                <w:sz w:val="18"/>
              </w:rPr>
              <w:t>00</w:t>
            </w:r>
          </w:p>
        </w:tc>
        <w:tc>
          <w:tcPr>
            <w:tcW w:w="604"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42"/>
              <w:ind w:left="62" w:right="0"/>
              <w:jc w:val="left"/>
              <w:rPr>
                <w:rFonts w:ascii="Times New Roman" w:hAnsi="Times New Roman" w:cs="Times New Roman" w:eastAsia="Times New Roman" w:hint="default"/>
                <w:sz w:val="18"/>
                <w:szCs w:val="18"/>
              </w:rPr>
            </w:pPr>
            <w:r>
              <w:rPr>
                <w:rFonts w:ascii="Times New Roman"/>
                <w:sz w:val="18"/>
              </w:rPr>
              <w:t>2,304,53</w:t>
            </w:r>
          </w:p>
          <w:p>
            <w:pPr>
              <w:pStyle w:val="TableParagraph"/>
              <w:spacing w:line="207" w:lineRule="exact"/>
              <w:ind w:left="62" w:right="0"/>
              <w:jc w:val="left"/>
              <w:rPr>
                <w:rFonts w:ascii="Times New Roman" w:hAnsi="Times New Roman" w:cs="Times New Roman" w:eastAsia="Times New Roman" w:hint="default"/>
                <w:sz w:val="18"/>
                <w:szCs w:val="18"/>
              </w:rPr>
            </w:pPr>
            <w:r>
              <w:rPr>
                <w:rFonts w:ascii="Times New Roman"/>
                <w:sz w:val="18"/>
              </w:rPr>
              <w:t>3,814.30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42"/>
              <w:ind w:left="40" w:right="0"/>
              <w:jc w:val="center"/>
              <w:rPr>
                <w:rFonts w:ascii="Times New Roman" w:hAnsi="Times New Roman" w:cs="Times New Roman" w:eastAsia="Times New Roman" w:hint="default"/>
                <w:sz w:val="18"/>
                <w:szCs w:val="18"/>
              </w:rPr>
            </w:pPr>
            <w:r>
              <w:rPr>
                <w:rFonts w:ascii="Times New Roman"/>
                <w:sz w:val="18"/>
              </w:rPr>
              <w:t>113,006,</w:t>
            </w:r>
          </w:p>
          <w:p>
            <w:pPr>
              <w:pStyle w:val="TableParagraph"/>
              <w:spacing w:line="207" w:lineRule="exact"/>
              <w:ind w:left="174" w:right="0"/>
              <w:jc w:val="center"/>
              <w:rPr>
                <w:rFonts w:ascii="Times New Roman" w:hAnsi="Times New Roman" w:cs="Times New Roman" w:eastAsia="Times New Roman" w:hint="default"/>
                <w:sz w:val="18"/>
                <w:szCs w:val="18"/>
              </w:rPr>
            </w:pPr>
            <w:r>
              <w:rPr>
                <w:rFonts w:ascii="Times New Roman"/>
                <w:sz w:val="18"/>
              </w:rPr>
              <w:t>514.72</w:t>
            </w: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42"/>
              <w:ind w:left="29" w:right="0"/>
              <w:jc w:val="center"/>
              <w:rPr>
                <w:rFonts w:ascii="Times New Roman" w:hAnsi="Times New Roman" w:cs="Times New Roman" w:eastAsia="Times New Roman" w:hint="default"/>
                <w:sz w:val="18"/>
                <w:szCs w:val="18"/>
              </w:rPr>
            </w:pPr>
            <w:r>
              <w:rPr>
                <w:rFonts w:ascii="Times New Roman"/>
                <w:sz w:val="18"/>
              </w:rPr>
              <w:t>-365,400</w:t>
            </w:r>
          </w:p>
          <w:p>
            <w:pPr>
              <w:pStyle w:val="TableParagraph"/>
              <w:spacing w:line="207" w:lineRule="exact"/>
              <w:ind w:left="129" w:right="0"/>
              <w:jc w:val="center"/>
              <w:rPr>
                <w:rFonts w:ascii="Times New Roman" w:hAnsi="Times New Roman" w:cs="Times New Roman" w:eastAsia="Times New Roman" w:hint="default"/>
                <w:sz w:val="18"/>
                <w:szCs w:val="18"/>
              </w:rPr>
            </w:pPr>
            <w:r>
              <w:rPr>
                <w:rFonts w:ascii="Times New Roman"/>
                <w:sz w:val="18"/>
              </w:rPr>
              <w:t>,438.36</w:t>
            </w: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42"/>
              <w:ind w:left="39" w:right="0"/>
              <w:jc w:val="center"/>
              <w:rPr>
                <w:rFonts w:ascii="Times New Roman" w:hAnsi="Times New Roman" w:cs="Times New Roman" w:eastAsia="Times New Roman" w:hint="default"/>
                <w:sz w:val="18"/>
                <w:szCs w:val="18"/>
              </w:rPr>
            </w:pPr>
            <w:r>
              <w:rPr>
                <w:rFonts w:ascii="Times New Roman"/>
                <w:sz w:val="18"/>
              </w:rPr>
              <w:t>628,593,</w:t>
            </w:r>
          </w:p>
          <w:p>
            <w:pPr>
              <w:pStyle w:val="TableParagraph"/>
              <w:spacing w:line="207" w:lineRule="exact"/>
              <w:ind w:left="173" w:right="0"/>
              <w:jc w:val="center"/>
              <w:rPr>
                <w:rFonts w:ascii="Times New Roman" w:hAnsi="Times New Roman" w:cs="Times New Roman" w:eastAsia="Times New Roman" w:hint="default"/>
                <w:sz w:val="18"/>
                <w:szCs w:val="18"/>
              </w:rPr>
            </w:pPr>
            <w:r>
              <w:rPr>
                <w:rFonts w:ascii="Times New Roman"/>
                <w:sz w:val="18"/>
              </w:rPr>
              <w:t>583.41</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9"/>
              <w:ind w:left="42" w:right="0"/>
              <w:jc w:val="left"/>
              <w:rPr>
                <w:rFonts w:ascii="Times New Roman" w:hAnsi="Times New Roman" w:cs="Times New Roman" w:eastAsia="Times New Roman" w:hint="default"/>
                <w:sz w:val="18"/>
                <w:szCs w:val="18"/>
              </w:rPr>
            </w:pPr>
            <w:r>
              <w:rPr>
                <w:rFonts w:ascii="Times New Roman"/>
                <w:sz w:val="18"/>
              </w:rPr>
              <w:t>2,616,5</w:t>
            </w:r>
          </w:p>
          <w:p>
            <w:pPr>
              <w:pStyle w:val="TableParagraph"/>
              <w:spacing w:line="206" w:lineRule="exact"/>
              <w:ind w:left="42" w:right="0"/>
              <w:jc w:val="left"/>
              <w:rPr>
                <w:rFonts w:ascii="Times New Roman" w:hAnsi="Times New Roman" w:cs="Times New Roman" w:eastAsia="Times New Roman" w:hint="default"/>
                <w:sz w:val="18"/>
                <w:szCs w:val="18"/>
              </w:rPr>
            </w:pPr>
            <w:r>
              <w:rPr>
                <w:rFonts w:ascii="Times New Roman"/>
                <w:sz w:val="18"/>
              </w:rPr>
              <w:t>52,383.</w:t>
            </w:r>
          </w:p>
          <w:p>
            <w:pPr>
              <w:pStyle w:val="TableParagraph"/>
              <w:spacing w:line="207" w:lineRule="exact"/>
              <w:ind w:left="402" w:right="0"/>
              <w:jc w:val="left"/>
              <w:rPr>
                <w:rFonts w:ascii="Times New Roman" w:hAnsi="Times New Roman" w:cs="Times New Roman" w:eastAsia="Times New Roman" w:hint="default"/>
                <w:sz w:val="18"/>
                <w:szCs w:val="18"/>
              </w:rPr>
            </w:pPr>
            <w:r>
              <w:rPr>
                <w:rFonts w:ascii="Times New Roman"/>
                <w:sz w:val="18"/>
              </w:rPr>
              <w:t>07</w:t>
            </w:r>
          </w:p>
        </w:tc>
        <w:tc>
          <w:tcPr>
            <w:tcW w:w="710"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42"/>
              <w:ind w:left="66" w:right="0"/>
              <w:jc w:val="left"/>
              <w:rPr>
                <w:rFonts w:ascii="Times New Roman" w:hAnsi="Times New Roman" w:cs="Times New Roman" w:eastAsia="Times New Roman" w:hint="default"/>
                <w:sz w:val="18"/>
                <w:szCs w:val="18"/>
              </w:rPr>
            </w:pPr>
            <w:r>
              <w:rPr>
                <w:rFonts w:ascii="Times New Roman"/>
                <w:sz w:val="18"/>
              </w:rPr>
              <w:t>7,500,158,</w:t>
            </w:r>
          </w:p>
          <w:p>
            <w:pPr>
              <w:pStyle w:val="TableParagraph"/>
              <w:spacing w:line="207" w:lineRule="exact"/>
              <w:ind w:left="335" w:right="0"/>
              <w:jc w:val="left"/>
              <w:rPr>
                <w:rFonts w:ascii="Times New Roman" w:hAnsi="Times New Roman" w:cs="Times New Roman" w:eastAsia="Times New Roman" w:hint="default"/>
                <w:sz w:val="18"/>
                <w:szCs w:val="18"/>
              </w:rPr>
            </w:pPr>
            <w:r>
              <w:rPr>
                <w:rFonts w:ascii="Times New Roman"/>
                <w:sz w:val="18"/>
              </w:rPr>
              <w:t>552.70</w:t>
            </w:r>
          </w:p>
        </w:tc>
      </w:tr>
      <w:tr>
        <w:trPr>
          <w:trHeight w:val="790"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6"/>
              <w:ind w:left="22" w:right="21"/>
              <w:jc w:val="both"/>
              <w:rPr>
                <w:rFonts w:ascii="宋体" w:hAnsi="宋体" w:cs="宋体" w:eastAsia="宋体" w:hint="default"/>
                <w:sz w:val="18"/>
                <w:szCs w:val="18"/>
              </w:rPr>
            </w:pPr>
            <w:r>
              <w:rPr>
                <w:rFonts w:ascii="宋体" w:hAnsi="宋体" w:cs="宋体" w:eastAsia="宋体" w:hint="default"/>
                <w:spacing w:val="-2"/>
                <w:sz w:val="18"/>
                <w:szCs w:val="18"/>
              </w:rPr>
              <w:t>三、本期增减变</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动金额（减少以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07" w:lineRule="exact"/>
              <w:ind w:left="40" w:right="0"/>
              <w:jc w:val="left"/>
              <w:rPr>
                <w:rFonts w:ascii="Times New Roman" w:hAnsi="Times New Roman" w:cs="Times New Roman" w:eastAsia="Times New Roman" w:hint="default"/>
                <w:sz w:val="18"/>
                <w:szCs w:val="18"/>
              </w:rPr>
            </w:pPr>
            <w:r>
              <w:rPr>
                <w:rFonts w:ascii="Times New Roman"/>
                <w:sz w:val="18"/>
              </w:rPr>
              <w:t>-19,891</w:t>
            </w:r>
          </w:p>
          <w:p>
            <w:pPr>
              <w:pStyle w:val="TableParagraph"/>
              <w:spacing w:line="207" w:lineRule="exact"/>
              <w:ind w:left="55" w:right="0"/>
              <w:jc w:val="left"/>
              <w:rPr>
                <w:rFonts w:ascii="Times New Roman" w:hAnsi="Times New Roman" w:cs="Times New Roman" w:eastAsia="Times New Roman" w:hint="default"/>
                <w:sz w:val="18"/>
                <w:szCs w:val="18"/>
              </w:rPr>
            </w:pPr>
            <w:r>
              <w:rPr>
                <w:rFonts w:ascii="Times New Roman"/>
                <w:sz w:val="18"/>
              </w:rPr>
              <w:t>,774.00</w:t>
            </w:r>
          </w:p>
        </w:tc>
        <w:tc>
          <w:tcPr>
            <w:tcW w:w="604"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07" w:lineRule="exact"/>
              <w:ind w:left="26" w:right="0"/>
              <w:jc w:val="center"/>
              <w:rPr>
                <w:rFonts w:ascii="Times New Roman" w:hAnsi="Times New Roman" w:cs="Times New Roman" w:eastAsia="Times New Roman" w:hint="default"/>
                <w:sz w:val="18"/>
                <w:szCs w:val="18"/>
              </w:rPr>
            </w:pPr>
            <w:r>
              <w:rPr>
                <w:rFonts w:ascii="Times New Roman"/>
                <w:sz w:val="18"/>
              </w:rPr>
              <w:t>-174,506</w:t>
            </w:r>
          </w:p>
          <w:p>
            <w:pPr>
              <w:pStyle w:val="TableParagraph"/>
              <w:spacing w:line="207" w:lineRule="exact"/>
              <w:ind w:left="131" w:right="0"/>
              <w:jc w:val="center"/>
              <w:rPr>
                <w:rFonts w:ascii="Times New Roman" w:hAnsi="Times New Roman" w:cs="Times New Roman" w:eastAsia="Times New Roman" w:hint="default"/>
                <w:sz w:val="18"/>
                <w:szCs w:val="18"/>
              </w:rPr>
            </w:pPr>
            <w:r>
              <w:rPr>
                <w:rFonts w:ascii="Times New Roman"/>
                <w:sz w:val="18"/>
              </w:rPr>
              <w:t>,315.34</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07" w:lineRule="exact"/>
              <w:ind w:left="27" w:right="0"/>
              <w:jc w:val="center"/>
              <w:rPr>
                <w:rFonts w:ascii="Times New Roman" w:hAnsi="Times New Roman" w:cs="Times New Roman" w:eastAsia="Times New Roman" w:hint="default"/>
                <w:sz w:val="18"/>
                <w:szCs w:val="18"/>
              </w:rPr>
            </w:pPr>
            <w:r>
              <w:rPr>
                <w:rFonts w:ascii="Times New Roman"/>
                <w:sz w:val="18"/>
              </w:rPr>
              <w:t>-113,006</w:t>
            </w:r>
          </w:p>
          <w:p>
            <w:pPr>
              <w:pStyle w:val="TableParagraph"/>
              <w:spacing w:line="207" w:lineRule="exact"/>
              <w:ind w:left="133" w:right="0"/>
              <w:jc w:val="center"/>
              <w:rPr>
                <w:rFonts w:ascii="Times New Roman" w:hAnsi="Times New Roman" w:cs="Times New Roman" w:eastAsia="Times New Roman" w:hint="default"/>
                <w:sz w:val="18"/>
                <w:szCs w:val="18"/>
              </w:rPr>
            </w:pPr>
            <w:r>
              <w:rPr>
                <w:rFonts w:ascii="Times New Roman"/>
                <w:sz w:val="18"/>
              </w:rPr>
              <w:t>,514.72</w:t>
            </w: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07" w:lineRule="exact"/>
              <w:ind w:left="63" w:right="0"/>
              <w:jc w:val="left"/>
              <w:rPr>
                <w:rFonts w:ascii="Times New Roman" w:hAnsi="Times New Roman" w:cs="Times New Roman" w:eastAsia="Times New Roman" w:hint="default"/>
                <w:sz w:val="18"/>
                <w:szCs w:val="18"/>
              </w:rPr>
            </w:pPr>
            <w:r>
              <w:rPr>
                <w:rFonts w:ascii="Times New Roman"/>
                <w:sz w:val="18"/>
              </w:rPr>
              <w:t>92,324,9</w:t>
            </w:r>
          </w:p>
          <w:p>
            <w:pPr>
              <w:pStyle w:val="TableParagraph"/>
              <w:spacing w:line="207" w:lineRule="exact"/>
              <w:ind w:left="286" w:right="0"/>
              <w:jc w:val="left"/>
              <w:rPr>
                <w:rFonts w:ascii="Times New Roman" w:hAnsi="Times New Roman" w:cs="Times New Roman" w:eastAsia="Times New Roman" w:hint="default"/>
                <w:sz w:val="18"/>
                <w:szCs w:val="18"/>
              </w:rPr>
            </w:pPr>
            <w:r>
              <w:rPr>
                <w:rFonts w:ascii="Times New Roman"/>
                <w:sz w:val="18"/>
              </w:rPr>
              <w:t>82.86</w:t>
            </w: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07" w:lineRule="exact"/>
              <w:ind w:left="62" w:right="0"/>
              <w:jc w:val="left"/>
              <w:rPr>
                <w:rFonts w:ascii="Times New Roman" w:hAnsi="Times New Roman" w:cs="Times New Roman" w:eastAsia="Times New Roman" w:hint="default"/>
                <w:sz w:val="18"/>
                <w:szCs w:val="18"/>
              </w:rPr>
            </w:pPr>
            <w:r>
              <w:rPr>
                <w:rFonts w:ascii="Times New Roman"/>
                <w:sz w:val="18"/>
              </w:rPr>
              <w:t>53,665,9</w:t>
            </w:r>
          </w:p>
          <w:p>
            <w:pPr>
              <w:pStyle w:val="TableParagraph"/>
              <w:spacing w:line="207" w:lineRule="exact"/>
              <w:ind w:left="288" w:right="0"/>
              <w:jc w:val="left"/>
              <w:rPr>
                <w:rFonts w:ascii="Times New Roman" w:hAnsi="Times New Roman" w:cs="Times New Roman" w:eastAsia="Times New Roman" w:hint="default"/>
                <w:sz w:val="18"/>
                <w:szCs w:val="18"/>
              </w:rPr>
            </w:pPr>
            <w:r>
              <w:rPr>
                <w:rFonts w:ascii="Times New Roman"/>
                <w:sz w:val="18"/>
              </w:rPr>
              <w:t>18.93</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77"/>
              <w:ind w:right="19"/>
              <w:jc w:val="right"/>
              <w:rPr>
                <w:rFonts w:ascii="Times New Roman" w:hAnsi="Times New Roman" w:cs="Times New Roman" w:eastAsia="Times New Roman" w:hint="default"/>
                <w:sz w:val="18"/>
                <w:szCs w:val="18"/>
              </w:rPr>
            </w:pPr>
            <w:r>
              <w:rPr>
                <w:rFonts w:ascii="Times New Roman"/>
                <w:spacing w:val="-1"/>
                <w:sz w:val="18"/>
              </w:rPr>
              <w:t>193,91</w:t>
            </w:r>
          </w:p>
          <w:p>
            <w:pPr>
              <w:pStyle w:val="TableParagraph"/>
              <w:spacing w:line="206" w:lineRule="exact"/>
              <w:ind w:right="19"/>
              <w:jc w:val="right"/>
              <w:rPr>
                <w:rFonts w:ascii="Times New Roman" w:hAnsi="Times New Roman" w:cs="Times New Roman" w:eastAsia="Times New Roman" w:hint="default"/>
                <w:sz w:val="18"/>
                <w:szCs w:val="18"/>
              </w:rPr>
            </w:pPr>
            <w:r>
              <w:rPr>
                <w:rFonts w:ascii="Times New Roman"/>
                <w:spacing w:val="-1"/>
                <w:sz w:val="18"/>
              </w:rPr>
              <w:t>3,996.2</w:t>
            </w:r>
          </w:p>
          <w:p>
            <w:pPr>
              <w:pStyle w:val="TableParagraph"/>
              <w:spacing w:line="207" w:lineRule="exact"/>
              <w:ind w:right="22"/>
              <w:jc w:val="right"/>
              <w:rPr>
                <w:rFonts w:ascii="Times New Roman" w:hAnsi="Times New Roman" w:cs="Times New Roman" w:eastAsia="Times New Roman" w:hint="default"/>
                <w:sz w:val="18"/>
                <w:szCs w:val="18"/>
              </w:rPr>
            </w:pPr>
            <w:r>
              <w:rPr>
                <w:rFonts w:ascii="Times New Roman"/>
                <w:sz w:val="18"/>
              </w:rPr>
              <w:t>4</w:t>
            </w:r>
          </w:p>
        </w:tc>
        <w:tc>
          <w:tcPr>
            <w:tcW w:w="710"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07" w:lineRule="exact"/>
              <w:ind w:left="109" w:right="0"/>
              <w:jc w:val="left"/>
              <w:rPr>
                <w:rFonts w:ascii="Times New Roman" w:hAnsi="Times New Roman" w:cs="Times New Roman" w:eastAsia="Times New Roman" w:hint="default"/>
                <w:sz w:val="18"/>
                <w:szCs w:val="18"/>
              </w:rPr>
            </w:pPr>
            <w:r>
              <w:rPr>
                <w:rFonts w:ascii="Times New Roman"/>
                <w:sz w:val="18"/>
              </w:rPr>
              <w:t>258,513,3</w:t>
            </w:r>
          </w:p>
          <w:p>
            <w:pPr>
              <w:pStyle w:val="TableParagraph"/>
              <w:spacing w:line="207" w:lineRule="exact"/>
              <w:ind w:left="426" w:right="0"/>
              <w:jc w:val="left"/>
              <w:rPr>
                <w:rFonts w:ascii="Times New Roman" w:hAnsi="Times New Roman" w:cs="Times New Roman" w:eastAsia="Times New Roman" w:hint="default"/>
                <w:sz w:val="18"/>
                <w:szCs w:val="18"/>
              </w:rPr>
            </w:pPr>
            <w:r>
              <w:rPr>
                <w:rFonts w:ascii="Times New Roman"/>
                <w:sz w:val="18"/>
              </w:rPr>
              <w:t>23.41</w:t>
            </w:r>
          </w:p>
        </w:tc>
      </w:tr>
      <w:tr>
        <w:trPr>
          <w:trHeight w:val="711"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112"/>
              <w:ind w:left="22" w:right="21"/>
              <w:jc w:val="left"/>
              <w:rPr>
                <w:rFonts w:ascii="宋体" w:hAnsi="宋体" w:cs="宋体" w:eastAsia="宋体" w:hint="default"/>
                <w:sz w:val="18"/>
                <w:szCs w:val="18"/>
              </w:rPr>
            </w:pPr>
            <w:r>
              <w:rPr>
                <w:rFonts w:ascii="宋体" w:hAnsi="宋体" w:cs="宋体" w:eastAsia="宋体" w:hint="default"/>
                <w:spacing w:val="-2"/>
                <w:sz w:val="18"/>
                <w:szCs w:val="18"/>
              </w:rPr>
              <w:t>（一）综合收益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总额</w:t>
            </w:r>
          </w:p>
        </w:tc>
        <w:tc>
          <w:tcPr>
            <w:tcW w:w="628"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41"/>
              <w:ind w:left="63" w:right="0"/>
              <w:jc w:val="left"/>
              <w:rPr>
                <w:rFonts w:ascii="Times New Roman" w:hAnsi="Times New Roman" w:cs="Times New Roman" w:eastAsia="Times New Roman" w:hint="default"/>
                <w:sz w:val="18"/>
                <w:szCs w:val="18"/>
              </w:rPr>
            </w:pPr>
            <w:r>
              <w:rPr>
                <w:rFonts w:ascii="Times New Roman"/>
                <w:sz w:val="18"/>
              </w:rPr>
              <w:t>92,324,9</w:t>
            </w:r>
          </w:p>
          <w:p>
            <w:pPr>
              <w:pStyle w:val="TableParagraph"/>
              <w:spacing w:line="207" w:lineRule="exact"/>
              <w:ind w:left="286" w:right="0"/>
              <w:jc w:val="left"/>
              <w:rPr>
                <w:rFonts w:ascii="Times New Roman" w:hAnsi="Times New Roman" w:cs="Times New Roman" w:eastAsia="Times New Roman" w:hint="default"/>
                <w:sz w:val="18"/>
                <w:szCs w:val="18"/>
              </w:rPr>
            </w:pPr>
            <w:r>
              <w:rPr>
                <w:rFonts w:ascii="Times New Roman"/>
                <w:sz w:val="18"/>
              </w:rPr>
              <w:t>82.86</w:t>
            </w: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8"/>
              <w:ind w:right="19"/>
              <w:jc w:val="right"/>
              <w:rPr>
                <w:rFonts w:ascii="Times New Roman" w:hAnsi="Times New Roman" w:cs="Times New Roman" w:eastAsia="Times New Roman" w:hint="default"/>
                <w:sz w:val="18"/>
                <w:szCs w:val="18"/>
              </w:rPr>
            </w:pPr>
            <w:r>
              <w:rPr>
                <w:rFonts w:ascii="Times New Roman"/>
                <w:spacing w:val="-1"/>
                <w:sz w:val="18"/>
              </w:rPr>
              <w:t>536,65</w:t>
            </w:r>
          </w:p>
          <w:p>
            <w:pPr>
              <w:pStyle w:val="TableParagraph"/>
              <w:spacing w:line="206" w:lineRule="exact"/>
              <w:ind w:right="19"/>
              <w:jc w:val="right"/>
              <w:rPr>
                <w:rFonts w:ascii="Times New Roman" w:hAnsi="Times New Roman" w:cs="Times New Roman" w:eastAsia="Times New Roman" w:hint="default"/>
                <w:sz w:val="18"/>
                <w:szCs w:val="18"/>
              </w:rPr>
            </w:pPr>
            <w:r>
              <w:rPr>
                <w:rFonts w:ascii="Times New Roman"/>
                <w:spacing w:val="-1"/>
                <w:sz w:val="18"/>
              </w:rPr>
              <w:t>9,189.2</w:t>
            </w:r>
          </w:p>
          <w:p>
            <w:pPr>
              <w:pStyle w:val="TableParagraph"/>
              <w:spacing w:line="207" w:lineRule="exact"/>
              <w:ind w:right="22"/>
              <w:jc w:val="right"/>
              <w:rPr>
                <w:rFonts w:ascii="Times New Roman" w:hAnsi="Times New Roman" w:cs="Times New Roman" w:eastAsia="Times New Roman" w:hint="default"/>
                <w:sz w:val="18"/>
                <w:szCs w:val="18"/>
              </w:rPr>
            </w:pPr>
            <w:r>
              <w:rPr>
                <w:rFonts w:ascii="Times New Roman"/>
                <w:sz w:val="18"/>
              </w:rPr>
              <w:t>9</w:t>
            </w:r>
          </w:p>
        </w:tc>
        <w:tc>
          <w:tcPr>
            <w:tcW w:w="710"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41"/>
              <w:ind w:left="109" w:right="0"/>
              <w:jc w:val="left"/>
              <w:rPr>
                <w:rFonts w:ascii="Times New Roman" w:hAnsi="Times New Roman" w:cs="Times New Roman" w:eastAsia="Times New Roman" w:hint="default"/>
                <w:sz w:val="18"/>
                <w:szCs w:val="18"/>
              </w:rPr>
            </w:pPr>
            <w:r>
              <w:rPr>
                <w:rFonts w:ascii="Times New Roman"/>
                <w:sz w:val="18"/>
              </w:rPr>
              <w:t>628,984,1</w:t>
            </w:r>
          </w:p>
          <w:p>
            <w:pPr>
              <w:pStyle w:val="TableParagraph"/>
              <w:spacing w:line="207" w:lineRule="exact"/>
              <w:ind w:left="426" w:right="0"/>
              <w:jc w:val="left"/>
              <w:rPr>
                <w:rFonts w:ascii="Times New Roman" w:hAnsi="Times New Roman" w:cs="Times New Roman" w:eastAsia="Times New Roman" w:hint="default"/>
                <w:sz w:val="18"/>
                <w:szCs w:val="18"/>
              </w:rPr>
            </w:pPr>
            <w:r>
              <w:rPr>
                <w:rFonts w:ascii="Times New Roman"/>
                <w:sz w:val="18"/>
              </w:rPr>
              <w:t>72.15</w:t>
            </w:r>
          </w:p>
        </w:tc>
      </w:tr>
      <w:tr>
        <w:trPr>
          <w:trHeight w:val="286" w:hRule="exact"/>
        </w:trPr>
        <w:tc>
          <w:tcPr>
            <w:tcW w:w="1306"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（二）所有者投</w:t>
            </w:r>
          </w:p>
        </w:tc>
        <w:tc>
          <w:tcPr>
            <w:tcW w:w="62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4"/>
              <w:ind w:left="40" w:right="0"/>
              <w:jc w:val="left"/>
              <w:rPr>
                <w:rFonts w:ascii="Times New Roman" w:hAnsi="Times New Roman" w:cs="Times New Roman" w:eastAsia="Times New Roman" w:hint="default"/>
                <w:sz w:val="18"/>
                <w:szCs w:val="18"/>
              </w:rPr>
            </w:pPr>
            <w:r>
              <w:rPr>
                <w:rFonts w:ascii="Times New Roman"/>
                <w:sz w:val="18"/>
              </w:rPr>
              <w:t>-19,891</w:t>
            </w:r>
          </w:p>
        </w:tc>
        <w:tc>
          <w:tcPr>
            <w:tcW w:w="604" w:type="dxa"/>
            <w:vMerge w:val="restart"/>
            <w:tcBorders>
              <w:top w:val="single" w:sz="4" w:space="0" w:color="000000"/>
              <w:left w:val="single" w:sz="4" w:space="0" w:color="000000"/>
              <w:right w:val="single" w:sz="4" w:space="0" w:color="000000"/>
            </w:tcBorders>
          </w:tcPr>
          <w:p>
            <w:pPr/>
          </w:p>
        </w:tc>
        <w:tc>
          <w:tcPr>
            <w:tcW w:w="604" w:type="dxa"/>
            <w:vMerge w:val="restart"/>
            <w:tcBorders>
              <w:top w:val="single" w:sz="4" w:space="0" w:color="000000"/>
              <w:left w:val="single" w:sz="4" w:space="0" w:color="000000"/>
              <w:right w:val="single" w:sz="4" w:space="0" w:color="000000"/>
            </w:tcBorders>
          </w:tcPr>
          <w:p>
            <w:pPr/>
          </w:p>
        </w:tc>
        <w:tc>
          <w:tcPr>
            <w:tcW w:w="605" w:type="dxa"/>
            <w:vMerge w:val="restart"/>
            <w:tcBorders>
              <w:top w:val="single" w:sz="4" w:space="0" w:color="000000"/>
              <w:left w:val="single" w:sz="4" w:space="0" w:color="000000"/>
              <w:right w:val="single" w:sz="4" w:space="0" w:color="000000"/>
            </w:tcBorders>
          </w:tcPr>
          <w:p>
            <w:pPr/>
          </w:p>
        </w:tc>
        <w:tc>
          <w:tcPr>
            <w:tcW w:w="7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4"/>
              <w:ind w:right="19"/>
              <w:jc w:val="right"/>
              <w:rPr>
                <w:rFonts w:ascii="Times New Roman" w:hAnsi="Times New Roman" w:cs="Times New Roman" w:eastAsia="Times New Roman" w:hint="default"/>
                <w:sz w:val="18"/>
                <w:szCs w:val="18"/>
              </w:rPr>
            </w:pPr>
            <w:r>
              <w:rPr>
                <w:rFonts w:ascii="Times New Roman"/>
                <w:spacing w:val="-1"/>
                <w:sz w:val="18"/>
              </w:rPr>
              <w:t>-100,357</w:t>
            </w:r>
          </w:p>
        </w:tc>
        <w:tc>
          <w:tcPr>
            <w:tcW w:w="7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4"/>
              <w:ind w:right="19"/>
              <w:jc w:val="right"/>
              <w:rPr>
                <w:rFonts w:ascii="Times New Roman" w:hAnsi="Times New Roman" w:cs="Times New Roman" w:eastAsia="Times New Roman" w:hint="default"/>
                <w:sz w:val="18"/>
                <w:szCs w:val="18"/>
              </w:rPr>
            </w:pPr>
            <w:r>
              <w:rPr>
                <w:rFonts w:ascii="Times New Roman"/>
                <w:spacing w:val="-1"/>
                <w:sz w:val="18"/>
              </w:rPr>
              <w:t>-113,006</w:t>
            </w:r>
          </w:p>
        </w:tc>
        <w:tc>
          <w:tcPr>
            <w:tcW w:w="726"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
        </w:tc>
        <w:tc>
          <w:tcPr>
            <w:tcW w:w="726" w:type="dxa"/>
            <w:vMerge w:val="restart"/>
            <w:tcBorders>
              <w:top w:val="single" w:sz="4" w:space="0" w:color="000000"/>
              <w:left w:val="single" w:sz="4" w:space="0" w:color="000000"/>
              <w:right w:val="single" w:sz="4" w:space="0" w:color="000000"/>
            </w:tcBorders>
          </w:tcPr>
          <w:p>
            <w:pPr/>
          </w:p>
        </w:tc>
        <w:tc>
          <w:tcPr>
            <w:tcW w:w="615" w:type="dxa"/>
            <w:vMerge w:val="restart"/>
            <w:tcBorders>
              <w:top w:val="single" w:sz="4" w:space="0" w:color="000000"/>
              <w:left w:val="single" w:sz="4" w:space="0" w:color="000000"/>
              <w:right w:val="single" w:sz="4" w:space="0" w:color="000000"/>
            </w:tcBorders>
          </w:tcPr>
          <w:p>
            <w:pPr/>
          </w:p>
        </w:tc>
        <w:tc>
          <w:tcPr>
            <w:tcW w:w="710" w:type="dxa"/>
            <w:vMerge w:val="restart"/>
            <w:tcBorders>
              <w:top w:val="single" w:sz="4" w:space="0" w:color="000000"/>
              <w:left w:val="single" w:sz="4" w:space="0" w:color="000000"/>
              <w:right w:val="single" w:sz="4" w:space="0" w:color="000000"/>
            </w:tcBorders>
          </w:tcPr>
          <w:p>
            <w:pPr/>
          </w:p>
        </w:tc>
        <w:tc>
          <w:tcPr>
            <w:tcW w:w="8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4"/>
              <w:ind w:right="18"/>
              <w:jc w:val="right"/>
              <w:rPr>
                <w:rFonts w:ascii="Times New Roman" w:hAnsi="Times New Roman" w:cs="Times New Roman" w:eastAsia="Times New Roman" w:hint="default"/>
                <w:sz w:val="18"/>
                <w:szCs w:val="18"/>
              </w:rPr>
            </w:pPr>
            <w:r>
              <w:rPr>
                <w:rFonts w:ascii="Times New Roman"/>
                <w:spacing w:val="-1"/>
                <w:sz w:val="18"/>
              </w:rPr>
              <w:t>-7,242,468</w:t>
            </w:r>
          </w:p>
        </w:tc>
      </w:tr>
      <w:tr>
        <w:trPr>
          <w:trHeight w:val="271" w:hRule="exact"/>
        </w:trPr>
        <w:tc>
          <w:tcPr>
            <w:tcW w:w="1306"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198" w:lineRule="exact"/>
              <w:ind w:left="22" w:right="0"/>
              <w:jc w:val="left"/>
              <w:rPr>
                <w:rFonts w:ascii="宋体" w:hAnsi="宋体" w:cs="宋体" w:eastAsia="宋体" w:hint="default"/>
                <w:sz w:val="18"/>
                <w:szCs w:val="18"/>
              </w:rPr>
            </w:pPr>
            <w:r>
              <w:rPr>
                <w:rFonts w:ascii="宋体" w:hAnsi="宋体" w:cs="宋体" w:eastAsia="宋体" w:hint="default"/>
                <w:sz w:val="18"/>
                <w:szCs w:val="18"/>
              </w:rPr>
              <w:t>入和减少资本</w:t>
            </w:r>
          </w:p>
        </w:tc>
        <w:tc>
          <w:tcPr>
            <w:tcW w:w="628" w:type="dxa"/>
            <w:tcBorders>
              <w:top w:val="nil" w:sz="6" w:space="0" w:color="auto"/>
              <w:left w:val="single" w:sz="4" w:space="0" w:color="000000"/>
              <w:bottom w:val="single" w:sz="4" w:space="0" w:color="000000"/>
              <w:right w:val="single" w:sz="4" w:space="0" w:color="000000"/>
            </w:tcBorders>
          </w:tcPr>
          <w:p>
            <w:pPr>
              <w:pStyle w:val="TableParagraph"/>
              <w:spacing w:line="197" w:lineRule="exact"/>
              <w:ind w:left="55" w:right="0"/>
              <w:jc w:val="left"/>
              <w:rPr>
                <w:rFonts w:ascii="Times New Roman" w:hAnsi="Times New Roman" w:cs="Times New Roman" w:eastAsia="Times New Roman" w:hint="default"/>
                <w:sz w:val="18"/>
                <w:szCs w:val="18"/>
              </w:rPr>
            </w:pPr>
            <w:r>
              <w:rPr>
                <w:rFonts w:ascii="Times New Roman"/>
                <w:sz w:val="18"/>
              </w:rPr>
              <w:t>,774.00</w:t>
            </w:r>
          </w:p>
        </w:tc>
        <w:tc>
          <w:tcPr>
            <w:tcW w:w="604" w:type="dxa"/>
            <w:vMerge/>
            <w:tcBorders>
              <w:left w:val="single" w:sz="4" w:space="0" w:color="000000"/>
              <w:bottom w:val="single" w:sz="4" w:space="0" w:color="000000"/>
              <w:right w:val="single" w:sz="4" w:space="0" w:color="000000"/>
            </w:tcBorders>
          </w:tcPr>
          <w:p>
            <w:pPr/>
          </w:p>
        </w:tc>
        <w:tc>
          <w:tcPr>
            <w:tcW w:w="604" w:type="dxa"/>
            <w:vMerge/>
            <w:tcBorders>
              <w:left w:val="single" w:sz="4" w:space="0" w:color="000000"/>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726" w:type="dxa"/>
            <w:tcBorders>
              <w:top w:val="nil" w:sz="6" w:space="0" w:color="auto"/>
              <w:left w:val="single" w:sz="4" w:space="0" w:color="000000"/>
              <w:bottom w:val="single" w:sz="4" w:space="0" w:color="000000"/>
              <w:right w:val="single" w:sz="4" w:space="0" w:color="000000"/>
            </w:tcBorders>
          </w:tcPr>
          <w:p>
            <w:pPr>
              <w:pStyle w:val="TableParagraph"/>
              <w:spacing w:line="197" w:lineRule="exact"/>
              <w:ind w:right="19"/>
              <w:jc w:val="right"/>
              <w:rPr>
                <w:rFonts w:ascii="Times New Roman" w:hAnsi="Times New Roman" w:cs="Times New Roman" w:eastAsia="Times New Roman" w:hint="default"/>
                <w:sz w:val="18"/>
                <w:szCs w:val="18"/>
              </w:rPr>
            </w:pPr>
            <w:r>
              <w:rPr>
                <w:rFonts w:ascii="Times New Roman"/>
                <w:spacing w:val="-1"/>
                <w:sz w:val="18"/>
              </w:rPr>
              <w:t>,209.44</w:t>
            </w:r>
          </w:p>
        </w:tc>
        <w:tc>
          <w:tcPr>
            <w:tcW w:w="727" w:type="dxa"/>
            <w:tcBorders>
              <w:top w:val="nil" w:sz="6" w:space="0" w:color="auto"/>
              <w:left w:val="single" w:sz="4" w:space="0" w:color="000000"/>
              <w:bottom w:val="single" w:sz="4" w:space="0" w:color="000000"/>
              <w:right w:val="single" w:sz="4" w:space="0" w:color="000000"/>
            </w:tcBorders>
          </w:tcPr>
          <w:p>
            <w:pPr>
              <w:pStyle w:val="TableParagraph"/>
              <w:spacing w:line="197" w:lineRule="exact"/>
              <w:ind w:right="19"/>
              <w:jc w:val="right"/>
              <w:rPr>
                <w:rFonts w:ascii="Times New Roman" w:hAnsi="Times New Roman" w:cs="Times New Roman" w:eastAsia="Times New Roman" w:hint="default"/>
                <w:sz w:val="18"/>
                <w:szCs w:val="18"/>
              </w:rPr>
            </w:pPr>
            <w:r>
              <w:rPr>
                <w:rFonts w:ascii="Times New Roman"/>
                <w:spacing w:val="-1"/>
                <w:sz w:val="18"/>
              </w:rPr>
              <w:t>,514.72</w:t>
            </w:r>
          </w:p>
        </w:tc>
        <w:tc>
          <w:tcPr>
            <w:tcW w:w="726"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726" w:type="dxa"/>
            <w:vMerge/>
            <w:tcBorders>
              <w:left w:val="single" w:sz="4" w:space="0" w:color="000000"/>
              <w:bottom w:val="single" w:sz="4" w:space="0" w:color="000000"/>
              <w:right w:val="single" w:sz="4" w:space="0" w:color="000000"/>
            </w:tcBorders>
          </w:tcPr>
          <w:p>
            <w:pPr/>
          </w:p>
        </w:tc>
        <w:tc>
          <w:tcPr>
            <w:tcW w:w="615" w:type="dxa"/>
            <w:vMerge/>
            <w:tcBorders>
              <w:left w:val="single" w:sz="4" w:space="0" w:color="000000"/>
              <w:bottom w:val="single" w:sz="4" w:space="0" w:color="000000"/>
              <w:right w:val="single" w:sz="4" w:space="0" w:color="000000"/>
            </w:tcBorders>
          </w:tcPr>
          <w:p>
            <w:pPr/>
          </w:p>
        </w:tc>
        <w:tc>
          <w:tcPr>
            <w:tcW w:w="710" w:type="dxa"/>
            <w:vMerge/>
            <w:tcBorders>
              <w:left w:val="single" w:sz="4" w:space="0" w:color="000000"/>
              <w:bottom w:val="single" w:sz="4" w:space="0" w:color="000000"/>
              <w:right w:val="single" w:sz="4" w:space="0" w:color="000000"/>
            </w:tcBorders>
          </w:tcPr>
          <w:p>
            <w:pPr/>
          </w:p>
        </w:tc>
        <w:tc>
          <w:tcPr>
            <w:tcW w:w="863" w:type="dxa"/>
            <w:tcBorders>
              <w:top w:val="nil" w:sz="6" w:space="0" w:color="auto"/>
              <w:left w:val="single" w:sz="4" w:space="0" w:color="000000"/>
              <w:bottom w:val="single" w:sz="4" w:space="0" w:color="000000"/>
              <w:right w:val="single" w:sz="4" w:space="0" w:color="000000"/>
            </w:tcBorders>
          </w:tcPr>
          <w:p>
            <w:pPr>
              <w:pStyle w:val="TableParagraph"/>
              <w:spacing w:line="197" w:lineRule="exact"/>
              <w:ind w:right="20"/>
              <w:jc w:val="right"/>
              <w:rPr>
                <w:rFonts w:ascii="Times New Roman" w:hAnsi="Times New Roman" w:cs="Times New Roman" w:eastAsia="Times New Roman" w:hint="default"/>
                <w:sz w:val="18"/>
                <w:szCs w:val="18"/>
              </w:rPr>
            </w:pPr>
            <w:r>
              <w:rPr>
                <w:rFonts w:ascii="Times New Roman"/>
                <w:spacing w:val="-1"/>
                <w:sz w:val="18"/>
              </w:rPr>
              <w:t>.72</w:t>
            </w:r>
          </w:p>
        </w:tc>
      </w:tr>
      <w:tr>
        <w:trPr>
          <w:trHeight w:val="557"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6" w:lineRule="exact" w:before="31"/>
              <w:ind w:left="22" w:right="10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628"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06"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1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w:t>
            </w:r>
          </w:p>
        </w:tc>
        <w:tc>
          <w:tcPr>
            <w:tcW w:w="628" w:type="dxa"/>
            <w:vMerge w:val="restart"/>
            <w:tcBorders>
              <w:top w:val="single" w:sz="4" w:space="0" w:color="000000"/>
              <w:left w:val="single" w:sz="4" w:space="0" w:color="000000"/>
              <w:right w:val="single" w:sz="4" w:space="0" w:color="000000"/>
            </w:tcBorders>
          </w:tcPr>
          <w:p>
            <w:pPr/>
          </w:p>
        </w:tc>
        <w:tc>
          <w:tcPr>
            <w:tcW w:w="604" w:type="dxa"/>
            <w:vMerge w:val="restart"/>
            <w:tcBorders>
              <w:top w:val="single" w:sz="4" w:space="0" w:color="000000"/>
              <w:left w:val="single" w:sz="4" w:space="0" w:color="000000"/>
              <w:right w:val="single" w:sz="4" w:space="0" w:color="000000"/>
            </w:tcBorders>
          </w:tcPr>
          <w:p>
            <w:pPr/>
          </w:p>
        </w:tc>
        <w:tc>
          <w:tcPr>
            <w:tcW w:w="604" w:type="dxa"/>
            <w:vMerge w:val="restart"/>
            <w:tcBorders>
              <w:top w:val="single" w:sz="4" w:space="0" w:color="000000"/>
              <w:left w:val="single" w:sz="4" w:space="0" w:color="000000"/>
              <w:right w:val="single" w:sz="4" w:space="0" w:color="000000"/>
            </w:tcBorders>
          </w:tcPr>
          <w:p>
            <w:pPr/>
          </w:p>
        </w:tc>
        <w:tc>
          <w:tcPr>
            <w:tcW w:w="605" w:type="dxa"/>
            <w:vMerge w:val="restart"/>
            <w:tcBorders>
              <w:top w:val="single" w:sz="4" w:space="0" w:color="000000"/>
              <w:left w:val="single" w:sz="4" w:space="0" w:color="000000"/>
              <w:right w:val="single" w:sz="4" w:space="0" w:color="000000"/>
            </w:tcBorders>
          </w:tcPr>
          <w:p>
            <w:pPr/>
          </w:p>
        </w:tc>
        <w:tc>
          <w:tcPr>
            <w:tcW w:w="726"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
        </w:tc>
        <w:tc>
          <w:tcPr>
            <w:tcW w:w="726"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
        </w:tc>
        <w:tc>
          <w:tcPr>
            <w:tcW w:w="726" w:type="dxa"/>
            <w:vMerge w:val="restart"/>
            <w:tcBorders>
              <w:top w:val="single" w:sz="4" w:space="0" w:color="000000"/>
              <w:left w:val="single" w:sz="4" w:space="0" w:color="000000"/>
              <w:right w:val="single" w:sz="4" w:space="0" w:color="000000"/>
            </w:tcBorders>
          </w:tcPr>
          <w:p>
            <w:pPr/>
          </w:p>
        </w:tc>
        <w:tc>
          <w:tcPr>
            <w:tcW w:w="615" w:type="dxa"/>
            <w:vMerge w:val="restart"/>
            <w:tcBorders>
              <w:top w:val="single" w:sz="4" w:space="0" w:color="000000"/>
              <w:left w:val="single" w:sz="4" w:space="0" w:color="000000"/>
              <w:right w:val="single" w:sz="4" w:space="0" w:color="000000"/>
            </w:tcBorders>
          </w:tcPr>
          <w:p>
            <w:pPr/>
          </w:p>
        </w:tc>
        <w:tc>
          <w:tcPr>
            <w:tcW w:w="710" w:type="dxa"/>
            <w:vMerge w:val="restart"/>
            <w:tcBorders>
              <w:top w:val="single" w:sz="4" w:space="0" w:color="000000"/>
              <w:left w:val="single" w:sz="4" w:space="0" w:color="000000"/>
              <w:right w:val="single" w:sz="4" w:space="0" w:color="000000"/>
            </w:tcBorders>
          </w:tcPr>
          <w:p>
            <w:pPr/>
          </w:p>
        </w:tc>
        <w:tc>
          <w:tcPr>
            <w:tcW w:w="863" w:type="dxa"/>
            <w:vMerge w:val="restart"/>
            <w:tcBorders>
              <w:top w:val="single" w:sz="4" w:space="0" w:color="000000"/>
              <w:left w:val="single" w:sz="4" w:space="0" w:color="000000"/>
              <w:right w:val="single" w:sz="4" w:space="0" w:color="000000"/>
            </w:tcBorders>
          </w:tcPr>
          <w:p>
            <w:pPr/>
          </w:p>
        </w:tc>
      </w:tr>
      <w:tr>
        <w:trPr>
          <w:trHeight w:val="229" w:hRule="exact"/>
        </w:trPr>
        <w:tc>
          <w:tcPr>
            <w:tcW w:w="130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03" w:lineRule="exact"/>
              <w:ind w:left="22" w:right="0"/>
              <w:jc w:val="left"/>
              <w:rPr>
                <w:rFonts w:ascii="宋体" w:hAnsi="宋体" w:cs="宋体" w:eastAsia="宋体" w:hint="default"/>
                <w:sz w:val="18"/>
                <w:szCs w:val="18"/>
              </w:rPr>
            </w:pPr>
            <w:r>
              <w:rPr>
                <w:rFonts w:ascii="宋体" w:hAnsi="宋体" w:cs="宋体" w:eastAsia="宋体" w:hint="default"/>
                <w:sz w:val="18"/>
                <w:szCs w:val="18"/>
              </w:rPr>
              <w:t>具持有者投入</w:t>
            </w:r>
          </w:p>
        </w:tc>
        <w:tc>
          <w:tcPr>
            <w:tcW w:w="628" w:type="dxa"/>
            <w:vMerge/>
            <w:tcBorders>
              <w:left w:val="single" w:sz="4" w:space="0" w:color="000000"/>
              <w:right w:val="single" w:sz="4" w:space="0" w:color="000000"/>
            </w:tcBorders>
          </w:tcPr>
          <w:p>
            <w:pPr/>
          </w:p>
        </w:tc>
        <w:tc>
          <w:tcPr>
            <w:tcW w:w="604" w:type="dxa"/>
            <w:vMerge/>
            <w:tcBorders>
              <w:left w:val="single" w:sz="4" w:space="0" w:color="000000"/>
              <w:right w:val="single" w:sz="4" w:space="0" w:color="000000"/>
            </w:tcBorders>
          </w:tcPr>
          <w:p>
            <w:pPr/>
          </w:p>
        </w:tc>
        <w:tc>
          <w:tcPr>
            <w:tcW w:w="604" w:type="dxa"/>
            <w:vMerge/>
            <w:tcBorders>
              <w:left w:val="single" w:sz="4" w:space="0" w:color="000000"/>
              <w:right w:val="single" w:sz="4" w:space="0" w:color="000000"/>
            </w:tcBorders>
          </w:tcPr>
          <w:p>
            <w:pPr/>
          </w:p>
        </w:tc>
        <w:tc>
          <w:tcPr>
            <w:tcW w:w="605" w:type="dxa"/>
            <w:vMerge/>
            <w:tcBorders>
              <w:left w:val="single" w:sz="4" w:space="0" w:color="000000"/>
              <w:right w:val="single" w:sz="4" w:space="0" w:color="000000"/>
            </w:tcBorders>
          </w:tcPr>
          <w:p>
            <w:pPr/>
          </w:p>
        </w:tc>
        <w:tc>
          <w:tcPr>
            <w:tcW w:w="726"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726"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726" w:type="dxa"/>
            <w:vMerge/>
            <w:tcBorders>
              <w:left w:val="single" w:sz="4" w:space="0" w:color="000000"/>
              <w:right w:val="single" w:sz="4" w:space="0" w:color="000000"/>
            </w:tcBorders>
          </w:tcPr>
          <w:p>
            <w:pPr/>
          </w:p>
        </w:tc>
        <w:tc>
          <w:tcPr>
            <w:tcW w:w="615"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863" w:type="dxa"/>
            <w:vMerge/>
            <w:tcBorders>
              <w:left w:val="single" w:sz="4" w:space="0" w:color="000000"/>
              <w:right w:val="single" w:sz="4" w:space="0" w:color="000000"/>
            </w:tcBorders>
          </w:tcPr>
          <w:p>
            <w:pPr/>
          </w:p>
        </w:tc>
      </w:tr>
      <w:tr>
        <w:trPr>
          <w:trHeight w:val="278" w:hRule="exact"/>
        </w:trPr>
        <w:tc>
          <w:tcPr>
            <w:tcW w:w="1306"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06" w:lineRule="exact"/>
              <w:ind w:left="22" w:right="0"/>
              <w:jc w:val="left"/>
              <w:rPr>
                <w:rFonts w:ascii="宋体" w:hAnsi="宋体" w:cs="宋体" w:eastAsia="宋体" w:hint="default"/>
                <w:sz w:val="18"/>
                <w:szCs w:val="18"/>
              </w:rPr>
            </w:pPr>
            <w:r>
              <w:rPr>
                <w:rFonts w:ascii="宋体" w:hAnsi="宋体" w:cs="宋体" w:eastAsia="宋体" w:hint="default"/>
                <w:sz w:val="18"/>
                <w:szCs w:val="18"/>
              </w:rPr>
              <w:t>资本</w:t>
            </w:r>
          </w:p>
        </w:tc>
        <w:tc>
          <w:tcPr>
            <w:tcW w:w="628" w:type="dxa"/>
            <w:vMerge/>
            <w:tcBorders>
              <w:left w:val="single" w:sz="4" w:space="0" w:color="000000"/>
              <w:bottom w:val="single" w:sz="4" w:space="0" w:color="000000"/>
              <w:right w:val="single" w:sz="4" w:space="0" w:color="000000"/>
            </w:tcBorders>
          </w:tcPr>
          <w:p>
            <w:pPr/>
          </w:p>
        </w:tc>
        <w:tc>
          <w:tcPr>
            <w:tcW w:w="604" w:type="dxa"/>
            <w:vMerge/>
            <w:tcBorders>
              <w:left w:val="single" w:sz="4" w:space="0" w:color="000000"/>
              <w:bottom w:val="single" w:sz="4" w:space="0" w:color="000000"/>
              <w:right w:val="single" w:sz="4" w:space="0" w:color="000000"/>
            </w:tcBorders>
          </w:tcPr>
          <w:p>
            <w:pPr/>
          </w:p>
        </w:tc>
        <w:tc>
          <w:tcPr>
            <w:tcW w:w="604" w:type="dxa"/>
            <w:vMerge/>
            <w:tcBorders>
              <w:left w:val="single" w:sz="4" w:space="0" w:color="000000"/>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726"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726"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726" w:type="dxa"/>
            <w:vMerge/>
            <w:tcBorders>
              <w:left w:val="single" w:sz="4" w:space="0" w:color="000000"/>
              <w:bottom w:val="single" w:sz="4" w:space="0" w:color="000000"/>
              <w:right w:val="single" w:sz="4" w:space="0" w:color="000000"/>
            </w:tcBorders>
          </w:tcPr>
          <w:p>
            <w:pPr/>
          </w:p>
        </w:tc>
        <w:tc>
          <w:tcPr>
            <w:tcW w:w="615" w:type="dxa"/>
            <w:vMerge/>
            <w:tcBorders>
              <w:left w:val="single" w:sz="4" w:space="0" w:color="000000"/>
              <w:bottom w:val="single" w:sz="4" w:space="0" w:color="000000"/>
              <w:right w:val="single" w:sz="4" w:space="0" w:color="000000"/>
            </w:tcBorders>
          </w:tcPr>
          <w:p>
            <w:pPr/>
          </w:p>
        </w:tc>
        <w:tc>
          <w:tcPr>
            <w:tcW w:w="710" w:type="dxa"/>
            <w:vMerge/>
            <w:tcBorders>
              <w:left w:val="single" w:sz="4" w:space="0" w:color="000000"/>
              <w:bottom w:val="single" w:sz="4" w:space="0" w:color="000000"/>
              <w:right w:val="single" w:sz="4" w:space="0" w:color="000000"/>
            </w:tcBorders>
          </w:tcPr>
          <w:p>
            <w:pPr/>
          </w:p>
        </w:tc>
        <w:tc>
          <w:tcPr>
            <w:tcW w:w="863" w:type="dxa"/>
            <w:vMerge/>
            <w:tcBorders>
              <w:left w:val="single" w:sz="4" w:space="0" w:color="000000"/>
              <w:bottom w:val="single" w:sz="4" w:space="0" w:color="000000"/>
              <w:right w:val="single" w:sz="4" w:space="0" w:color="000000"/>
            </w:tcBorders>
          </w:tcPr>
          <w:p>
            <w:pPr/>
          </w:p>
        </w:tc>
      </w:tr>
      <w:tr>
        <w:trPr>
          <w:trHeight w:val="283" w:hRule="exact"/>
        </w:trPr>
        <w:tc>
          <w:tcPr>
            <w:tcW w:w="1306"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w:t>
            </w:r>
          </w:p>
        </w:tc>
        <w:tc>
          <w:tcPr>
            <w:tcW w:w="628" w:type="dxa"/>
            <w:vMerge w:val="restart"/>
            <w:tcBorders>
              <w:top w:val="single" w:sz="4" w:space="0" w:color="000000"/>
              <w:left w:val="single" w:sz="4" w:space="0" w:color="000000"/>
              <w:right w:val="single" w:sz="4" w:space="0" w:color="000000"/>
            </w:tcBorders>
          </w:tcPr>
          <w:p>
            <w:pPr/>
          </w:p>
        </w:tc>
        <w:tc>
          <w:tcPr>
            <w:tcW w:w="604" w:type="dxa"/>
            <w:vMerge w:val="restart"/>
            <w:tcBorders>
              <w:top w:val="single" w:sz="4" w:space="0" w:color="000000"/>
              <w:left w:val="single" w:sz="4" w:space="0" w:color="000000"/>
              <w:right w:val="single" w:sz="4" w:space="0" w:color="000000"/>
            </w:tcBorders>
          </w:tcPr>
          <w:p>
            <w:pPr/>
          </w:p>
        </w:tc>
        <w:tc>
          <w:tcPr>
            <w:tcW w:w="604" w:type="dxa"/>
            <w:vMerge w:val="restart"/>
            <w:tcBorders>
              <w:top w:val="single" w:sz="4" w:space="0" w:color="000000"/>
              <w:left w:val="single" w:sz="4" w:space="0" w:color="000000"/>
              <w:right w:val="single" w:sz="4" w:space="0" w:color="000000"/>
            </w:tcBorders>
          </w:tcPr>
          <w:p>
            <w:pPr/>
          </w:p>
        </w:tc>
        <w:tc>
          <w:tcPr>
            <w:tcW w:w="605" w:type="dxa"/>
            <w:vMerge w:val="restart"/>
            <w:tcBorders>
              <w:top w:val="single" w:sz="4" w:space="0" w:color="000000"/>
              <w:left w:val="single" w:sz="4" w:space="0" w:color="000000"/>
              <w:right w:val="single" w:sz="4" w:space="0" w:color="000000"/>
            </w:tcBorders>
          </w:tcPr>
          <w:p>
            <w:pPr/>
          </w:p>
        </w:tc>
        <w:tc>
          <w:tcPr>
            <w:tcW w:w="726"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
        </w:tc>
        <w:tc>
          <w:tcPr>
            <w:tcW w:w="726"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
        </w:tc>
        <w:tc>
          <w:tcPr>
            <w:tcW w:w="726" w:type="dxa"/>
            <w:vMerge w:val="restart"/>
            <w:tcBorders>
              <w:top w:val="single" w:sz="4" w:space="0" w:color="000000"/>
              <w:left w:val="single" w:sz="4" w:space="0" w:color="000000"/>
              <w:right w:val="single" w:sz="4" w:space="0" w:color="000000"/>
            </w:tcBorders>
          </w:tcPr>
          <w:p>
            <w:pPr/>
          </w:p>
        </w:tc>
        <w:tc>
          <w:tcPr>
            <w:tcW w:w="615" w:type="dxa"/>
            <w:vMerge w:val="restart"/>
            <w:tcBorders>
              <w:top w:val="single" w:sz="4" w:space="0" w:color="000000"/>
              <w:left w:val="single" w:sz="4" w:space="0" w:color="000000"/>
              <w:right w:val="single" w:sz="4" w:space="0" w:color="000000"/>
            </w:tcBorders>
          </w:tcPr>
          <w:p>
            <w:pPr/>
          </w:p>
        </w:tc>
        <w:tc>
          <w:tcPr>
            <w:tcW w:w="710" w:type="dxa"/>
            <w:vMerge w:val="restart"/>
            <w:tcBorders>
              <w:top w:val="single" w:sz="4" w:space="0" w:color="000000"/>
              <w:left w:val="single" w:sz="4" w:space="0" w:color="000000"/>
              <w:right w:val="single" w:sz="4" w:space="0" w:color="000000"/>
            </w:tcBorders>
          </w:tcPr>
          <w:p>
            <w:pPr/>
          </w:p>
        </w:tc>
        <w:tc>
          <w:tcPr>
            <w:tcW w:w="863" w:type="dxa"/>
            <w:vMerge w:val="restart"/>
            <w:tcBorders>
              <w:top w:val="single" w:sz="4" w:space="0" w:color="000000"/>
              <w:left w:val="single" w:sz="4" w:space="0" w:color="000000"/>
              <w:right w:val="single" w:sz="4" w:space="0" w:color="000000"/>
            </w:tcBorders>
          </w:tcPr>
          <w:p>
            <w:pPr/>
          </w:p>
        </w:tc>
      </w:tr>
      <w:tr>
        <w:trPr>
          <w:trHeight w:val="228" w:hRule="exact"/>
        </w:trPr>
        <w:tc>
          <w:tcPr>
            <w:tcW w:w="130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01" w:lineRule="exact"/>
              <w:ind w:left="22" w:right="0"/>
              <w:jc w:val="left"/>
              <w:rPr>
                <w:rFonts w:ascii="宋体" w:hAnsi="宋体" w:cs="宋体" w:eastAsia="宋体" w:hint="default"/>
                <w:sz w:val="18"/>
                <w:szCs w:val="18"/>
              </w:rPr>
            </w:pPr>
            <w:r>
              <w:rPr>
                <w:rFonts w:ascii="宋体" w:hAnsi="宋体" w:cs="宋体" w:eastAsia="宋体" w:hint="default"/>
                <w:sz w:val="18"/>
                <w:szCs w:val="18"/>
              </w:rPr>
              <w:t>入所有者权益</w:t>
            </w:r>
          </w:p>
        </w:tc>
        <w:tc>
          <w:tcPr>
            <w:tcW w:w="628" w:type="dxa"/>
            <w:vMerge/>
            <w:tcBorders>
              <w:left w:val="single" w:sz="4" w:space="0" w:color="000000"/>
              <w:right w:val="single" w:sz="4" w:space="0" w:color="000000"/>
            </w:tcBorders>
          </w:tcPr>
          <w:p>
            <w:pPr/>
          </w:p>
        </w:tc>
        <w:tc>
          <w:tcPr>
            <w:tcW w:w="604" w:type="dxa"/>
            <w:vMerge/>
            <w:tcBorders>
              <w:left w:val="single" w:sz="4" w:space="0" w:color="000000"/>
              <w:right w:val="single" w:sz="4" w:space="0" w:color="000000"/>
            </w:tcBorders>
          </w:tcPr>
          <w:p>
            <w:pPr/>
          </w:p>
        </w:tc>
        <w:tc>
          <w:tcPr>
            <w:tcW w:w="604" w:type="dxa"/>
            <w:vMerge/>
            <w:tcBorders>
              <w:left w:val="single" w:sz="4" w:space="0" w:color="000000"/>
              <w:right w:val="single" w:sz="4" w:space="0" w:color="000000"/>
            </w:tcBorders>
          </w:tcPr>
          <w:p>
            <w:pPr/>
          </w:p>
        </w:tc>
        <w:tc>
          <w:tcPr>
            <w:tcW w:w="605" w:type="dxa"/>
            <w:vMerge/>
            <w:tcBorders>
              <w:left w:val="single" w:sz="4" w:space="0" w:color="000000"/>
              <w:right w:val="single" w:sz="4" w:space="0" w:color="000000"/>
            </w:tcBorders>
          </w:tcPr>
          <w:p>
            <w:pPr/>
          </w:p>
        </w:tc>
        <w:tc>
          <w:tcPr>
            <w:tcW w:w="726"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726"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726" w:type="dxa"/>
            <w:vMerge/>
            <w:tcBorders>
              <w:left w:val="single" w:sz="4" w:space="0" w:color="000000"/>
              <w:right w:val="single" w:sz="4" w:space="0" w:color="000000"/>
            </w:tcBorders>
          </w:tcPr>
          <w:p>
            <w:pPr/>
          </w:p>
        </w:tc>
        <w:tc>
          <w:tcPr>
            <w:tcW w:w="615"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863" w:type="dxa"/>
            <w:vMerge/>
            <w:tcBorders>
              <w:left w:val="single" w:sz="4" w:space="0" w:color="000000"/>
              <w:right w:val="single" w:sz="4" w:space="0" w:color="000000"/>
            </w:tcBorders>
          </w:tcPr>
          <w:p>
            <w:pPr/>
          </w:p>
        </w:tc>
      </w:tr>
      <w:tr>
        <w:trPr>
          <w:trHeight w:val="279" w:hRule="exact"/>
        </w:trPr>
        <w:tc>
          <w:tcPr>
            <w:tcW w:w="1306"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06" w:lineRule="exact"/>
              <w:ind w:left="22" w:right="0"/>
              <w:jc w:val="left"/>
              <w:rPr>
                <w:rFonts w:ascii="宋体" w:hAnsi="宋体" w:cs="宋体" w:eastAsia="宋体" w:hint="default"/>
                <w:sz w:val="18"/>
                <w:szCs w:val="18"/>
              </w:rPr>
            </w:pPr>
            <w:r>
              <w:rPr>
                <w:rFonts w:ascii="宋体" w:hAnsi="宋体" w:cs="宋体" w:eastAsia="宋体" w:hint="default"/>
                <w:sz w:val="18"/>
                <w:szCs w:val="18"/>
              </w:rPr>
              <w:t>的金额</w:t>
            </w:r>
          </w:p>
        </w:tc>
        <w:tc>
          <w:tcPr>
            <w:tcW w:w="628" w:type="dxa"/>
            <w:vMerge/>
            <w:tcBorders>
              <w:left w:val="single" w:sz="4" w:space="0" w:color="000000"/>
              <w:bottom w:val="single" w:sz="4" w:space="0" w:color="000000"/>
              <w:right w:val="single" w:sz="4" w:space="0" w:color="000000"/>
            </w:tcBorders>
          </w:tcPr>
          <w:p>
            <w:pPr/>
          </w:p>
        </w:tc>
        <w:tc>
          <w:tcPr>
            <w:tcW w:w="604" w:type="dxa"/>
            <w:vMerge/>
            <w:tcBorders>
              <w:left w:val="single" w:sz="4" w:space="0" w:color="000000"/>
              <w:bottom w:val="single" w:sz="4" w:space="0" w:color="000000"/>
              <w:right w:val="single" w:sz="4" w:space="0" w:color="000000"/>
            </w:tcBorders>
          </w:tcPr>
          <w:p>
            <w:pPr/>
          </w:p>
        </w:tc>
        <w:tc>
          <w:tcPr>
            <w:tcW w:w="604" w:type="dxa"/>
            <w:vMerge/>
            <w:tcBorders>
              <w:left w:val="single" w:sz="4" w:space="0" w:color="000000"/>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726"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726"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726" w:type="dxa"/>
            <w:vMerge/>
            <w:tcBorders>
              <w:left w:val="single" w:sz="4" w:space="0" w:color="000000"/>
              <w:bottom w:val="single" w:sz="4" w:space="0" w:color="000000"/>
              <w:right w:val="single" w:sz="4" w:space="0" w:color="000000"/>
            </w:tcBorders>
          </w:tcPr>
          <w:p>
            <w:pPr/>
          </w:p>
        </w:tc>
        <w:tc>
          <w:tcPr>
            <w:tcW w:w="615" w:type="dxa"/>
            <w:vMerge/>
            <w:tcBorders>
              <w:left w:val="single" w:sz="4" w:space="0" w:color="000000"/>
              <w:bottom w:val="single" w:sz="4" w:space="0" w:color="000000"/>
              <w:right w:val="single" w:sz="4" w:space="0" w:color="000000"/>
            </w:tcBorders>
          </w:tcPr>
          <w:p>
            <w:pPr/>
          </w:p>
        </w:tc>
        <w:tc>
          <w:tcPr>
            <w:tcW w:w="710" w:type="dxa"/>
            <w:vMerge/>
            <w:tcBorders>
              <w:left w:val="single" w:sz="4" w:space="0" w:color="000000"/>
              <w:bottom w:val="single" w:sz="4" w:space="0" w:color="000000"/>
              <w:right w:val="single" w:sz="4" w:space="0" w:color="000000"/>
            </w:tcBorders>
          </w:tcPr>
          <w:p>
            <w:pPr/>
          </w:p>
        </w:tc>
        <w:tc>
          <w:tcPr>
            <w:tcW w:w="863" w:type="dxa"/>
            <w:vMerge/>
            <w:tcBorders>
              <w:left w:val="single" w:sz="4" w:space="0" w:color="000000"/>
              <w:bottom w:val="single" w:sz="4" w:space="0" w:color="000000"/>
              <w:right w:val="single" w:sz="4" w:space="0" w:color="000000"/>
            </w:tcBorders>
          </w:tcPr>
          <w:p>
            <w:pPr/>
          </w:p>
        </w:tc>
      </w:tr>
      <w:tr>
        <w:trPr>
          <w:trHeight w:val="504"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2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9"/>
              <w:ind w:left="40" w:right="0"/>
              <w:jc w:val="left"/>
              <w:rPr>
                <w:rFonts w:ascii="Times New Roman" w:hAnsi="Times New Roman" w:cs="Times New Roman" w:eastAsia="Times New Roman" w:hint="default"/>
                <w:sz w:val="18"/>
                <w:szCs w:val="18"/>
              </w:rPr>
            </w:pPr>
            <w:r>
              <w:rPr>
                <w:rFonts w:ascii="Times New Roman"/>
                <w:sz w:val="18"/>
              </w:rPr>
              <w:t>-19,891</w:t>
            </w:r>
          </w:p>
          <w:p>
            <w:pPr>
              <w:pStyle w:val="TableParagraph"/>
              <w:spacing w:line="207" w:lineRule="exact"/>
              <w:ind w:left="55" w:right="0"/>
              <w:jc w:val="left"/>
              <w:rPr>
                <w:rFonts w:ascii="Times New Roman" w:hAnsi="Times New Roman" w:cs="Times New Roman" w:eastAsia="Times New Roman" w:hint="default"/>
                <w:sz w:val="18"/>
                <w:szCs w:val="18"/>
              </w:rPr>
            </w:pPr>
            <w:r>
              <w:rPr>
                <w:rFonts w:ascii="Times New Roman"/>
                <w:sz w:val="18"/>
              </w:rPr>
              <w:t>,774.00</w:t>
            </w:r>
          </w:p>
        </w:tc>
        <w:tc>
          <w:tcPr>
            <w:tcW w:w="604"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9"/>
              <w:ind w:left="26" w:right="0"/>
              <w:jc w:val="center"/>
              <w:rPr>
                <w:rFonts w:ascii="Times New Roman" w:hAnsi="Times New Roman" w:cs="Times New Roman" w:eastAsia="Times New Roman" w:hint="default"/>
                <w:sz w:val="18"/>
                <w:szCs w:val="18"/>
              </w:rPr>
            </w:pPr>
            <w:r>
              <w:rPr>
                <w:rFonts w:ascii="Times New Roman"/>
                <w:sz w:val="18"/>
              </w:rPr>
              <w:t>-100,357</w:t>
            </w:r>
          </w:p>
          <w:p>
            <w:pPr>
              <w:pStyle w:val="TableParagraph"/>
              <w:spacing w:line="207" w:lineRule="exact"/>
              <w:ind w:left="131" w:right="0"/>
              <w:jc w:val="center"/>
              <w:rPr>
                <w:rFonts w:ascii="Times New Roman" w:hAnsi="Times New Roman" w:cs="Times New Roman" w:eastAsia="Times New Roman" w:hint="default"/>
                <w:sz w:val="18"/>
                <w:szCs w:val="18"/>
              </w:rPr>
            </w:pPr>
            <w:r>
              <w:rPr>
                <w:rFonts w:ascii="Times New Roman"/>
                <w:sz w:val="18"/>
              </w:rPr>
              <w:t>,209.44</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9"/>
              <w:ind w:left="27" w:right="0"/>
              <w:jc w:val="center"/>
              <w:rPr>
                <w:rFonts w:ascii="Times New Roman" w:hAnsi="Times New Roman" w:cs="Times New Roman" w:eastAsia="Times New Roman" w:hint="default"/>
                <w:sz w:val="18"/>
                <w:szCs w:val="18"/>
              </w:rPr>
            </w:pPr>
            <w:r>
              <w:rPr>
                <w:rFonts w:ascii="Times New Roman"/>
                <w:sz w:val="18"/>
              </w:rPr>
              <w:t>-113,006</w:t>
            </w:r>
          </w:p>
          <w:p>
            <w:pPr>
              <w:pStyle w:val="TableParagraph"/>
              <w:spacing w:line="207" w:lineRule="exact"/>
              <w:ind w:left="133" w:right="0"/>
              <w:jc w:val="center"/>
              <w:rPr>
                <w:rFonts w:ascii="Times New Roman" w:hAnsi="Times New Roman" w:cs="Times New Roman" w:eastAsia="Times New Roman" w:hint="default"/>
                <w:sz w:val="18"/>
                <w:szCs w:val="18"/>
              </w:rPr>
            </w:pPr>
            <w:r>
              <w:rPr>
                <w:rFonts w:ascii="Times New Roman"/>
                <w:sz w:val="18"/>
              </w:rPr>
              <w:t>,514.72</w:t>
            </w: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9"/>
              <w:ind w:right="18"/>
              <w:jc w:val="right"/>
              <w:rPr>
                <w:rFonts w:ascii="Times New Roman" w:hAnsi="Times New Roman" w:cs="Times New Roman" w:eastAsia="Times New Roman" w:hint="default"/>
                <w:sz w:val="18"/>
                <w:szCs w:val="18"/>
              </w:rPr>
            </w:pPr>
            <w:r>
              <w:rPr>
                <w:rFonts w:ascii="Times New Roman"/>
                <w:spacing w:val="-1"/>
                <w:sz w:val="18"/>
              </w:rPr>
              <w:t>-7,242,468</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pacing w:val="-1"/>
                <w:sz w:val="18"/>
              </w:rPr>
              <w:t>.72</w:t>
            </w:r>
          </w:p>
        </w:tc>
      </w:tr>
      <w:tr>
        <w:trPr>
          <w:trHeight w:val="711"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28"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42"/>
              <w:ind w:left="62" w:right="0"/>
              <w:jc w:val="left"/>
              <w:rPr>
                <w:rFonts w:ascii="Times New Roman" w:hAnsi="Times New Roman" w:cs="Times New Roman" w:eastAsia="Times New Roman" w:hint="default"/>
                <w:sz w:val="18"/>
                <w:szCs w:val="18"/>
              </w:rPr>
            </w:pPr>
            <w:r>
              <w:rPr>
                <w:rFonts w:ascii="Times New Roman"/>
                <w:sz w:val="18"/>
              </w:rPr>
              <w:t>53,665,9</w:t>
            </w:r>
          </w:p>
          <w:p>
            <w:pPr>
              <w:pStyle w:val="TableParagraph"/>
              <w:spacing w:line="207" w:lineRule="exact"/>
              <w:ind w:left="288" w:right="0"/>
              <w:jc w:val="left"/>
              <w:rPr>
                <w:rFonts w:ascii="Times New Roman" w:hAnsi="Times New Roman" w:cs="Times New Roman" w:eastAsia="Times New Roman" w:hint="default"/>
                <w:sz w:val="18"/>
                <w:szCs w:val="18"/>
              </w:rPr>
            </w:pPr>
            <w:r>
              <w:rPr>
                <w:rFonts w:ascii="Times New Roman"/>
                <w:sz w:val="18"/>
              </w:rPr>
              <w:t>18.93</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9"/>
              <w:ind w:right="19"/>
              <w:jc w:val="right"/>
              <w:rPr>
                <w:rFonts w:ascii="Times New Roman" w:hAnsi="Times New Roman" w:cs="Times New Roman" w:eastAsia="Times New Roman" w:hint="default"/>
                <w:sz w:val="18"/>
                <w:szCs w:val="18"/>
              </w:rPr>
            </w:pPr>
            <w:r>
              <w:rPr>
                <w:rFonts w:ascii="Times New Roman"/>
                <w:spacing w:val="-1"/>
                <w:sz w:val="18"/>
              </w:rPr>
              <w:t>-342,74</w:t>
            </w:r>
          </w:p>
          <w:p>
            <w:pPr>
              <w:pStyle w:val="TableParagraph"/>
              <w:spacing w:line="207" w:lineRule="exact"/>
              <w:ind w:right="19"/>
              <w:jc w:val="right"/>
              <w:rPr>
                <w:rFonts w:ascii="Times New Roman" w:hAnsi="Times New Roman" w:cs="Times New Roman" w:eastAsia="Times New Roman" w:hint="default"/>
                <w:sz w:val="18"/>
                <w:szCs w:val="18"/>
              </w:rPr>
            </w:pPr>
            <w:r>
              <w:rPr>
                <w:rFonts w:ascii="Times New Roman"/>
                <w:spacing w:val="-1"/>
                <w:sz w:val="18"/>
              </w:rPr>
              <w:t>5,193.0</w:t>
            </w:r>
          </w:p>
          <w:p>
            <w:pPr>
              <w:pStyle w:val="TableParagraph"/>
              <w:spacing w:line="240" w:lineRule="auto" w:before="2"/>
              <w:ind w:right="22"/>
              <w:jc w:val="right"/>
              <w:rPr>
                <w:rFonts w:ascii="Times New Roman" w:hAnsi="Times New Roman" w:cs="Times New Roman" w:eastAsia="Times New Roman" w:hint="default"/>
                <w:sz w:val="18"/>
                <w:szCs w:val="18"/>
              </w:rPr>
            </w:pPr>
            <w:r>
              <w:rPr>
                <w:rFonts w:ascii="Times New Roman"/>
                <w:sz w:val="18"/>
              </w:rPr>
              <w:t>5</w:t>
            </w:r>
          </w:p>
        </w:tc>
        <w:tc>
          <w:tcPr>
            <w:tcW w:w="710"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42"/>
              <w:ind w:left="51" w:right="0"/>
              <w:jc w:val="left"/>
              <w:rPr>
                <w:rFonts w:ascii="Times New Roman" w:hAnsi="Times New Roman" w:cs="Times New Roman" w:eastAsia="Times New Roman" w:hint="default"/>
                <w:sz w:val="18"/>
                <w:szCs w:val="18"/>
              </w:rPr>
            </w:pPr>
            <w:r>
              <w:rPr>
                <w:rFonts w:ascii="Times New Roman"/>
                <w:sz w:val="18"/>
              </w:rPr>
              <w:t>-289,079,2</w:t>
            </w:r>
          </w:p>
          <w:p>
            <w:pPr>
              <w:pStyle w:val="TableParagraph"/>
              <w:spacing w:line="207" w:lineRule="exact"/>
              <w:ind w:left="426" w:right="0"/>
              <w:jc w:val="left"/>
              <w:rPr>
                <w:rFonts w:ascii="Times New Roman" w:hAnsi="Times New Roman" w:cs="Times New Roman" w:eastAsia="Times New Roman" w:hint="default"/>
                <w:sz w:val="18"/>
                <w:szCs w:val="18"/>
              </w:rPr>
            </w:pPr>
            <w:r>
              <w:rPr>
                <w:rFonts w:ascii="Times New Roman"/>
                <w:sz w:val="18"/>
              </w:rPr>
              <w:t>74.12</w:t>
            </w:r>
          </w:p>
        </w:tc>
      </w:tr>
      <w:tr>
        <w:trPr>
          <w:trHeight w:val="287" w:hRule="exact"/>
        </w:trPr>
        <w:tc>
          <w:tcPr>
            <w:tcW w:w="1306"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1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w:t>
            </w:r>
          </w:p>
        </w:tc>
        <w:tc>
          <w:tcPr>
            <w:tcW w:w="628" w:type="dxa"/>
            <w:vMerge w:val="restart"/>
            <w:tcBorders>
              <w:top w:val="single" w:sz="4" w:space="0" w:color="000000"/>
              <w:left w:val="single" w:sz="4" w:space="0" w:color="000000"/>
              <w:right w:val="single" w:sz="4" w:space="0" w:color="000000"/>
            </w:tcBorders>
          </w:tcPr>
          <w:p>
            <w:pPr/>
          </w:p>
        </w:tc>
        <w:tc>
          <w:tcPr>
            <w:tcW w:w="604" w:type="dxa"/>
            <w:vMerge w:val="restart"/>
            <w:tcBorders>
              <w:top w:val="single" w:sz="4" w:space="0" w:color="000000"/>
              <w:left w:val="single" w:sz="4" w:space="0" w:color="000000"/>
              <w:right w:val="single" w:sz="4" w:space="0" w:color="000000"/>
            </w:tcBorders>
          </w:tcPr>
          <w:p>
            <w:pPr/>
          </w:p>
        </w:tc>
        <w:tc>
          <w:tcPr>
            <w:tcW w:w="604" w:type="dxa"/>
            <w:vMerge w:val="restart"/>
            <w:tcBorders>
              <w:top w:val="single" w:sz="4" w:space="0" w:color="000000"/>
              <w:left w:val="single" w:sz="4" w:space="0" w:color="000000"/>
              <w:right w:val="single" w:sz="4" w:space="0" w:color="000000"/>
            </w:tcBorders>
          </w:tcPr>
          <w:p>
            <w:pPr/>
          </w:p>
        </w:tc>
        <w:tc>
          <w:tcPr>
            <w:tcW w:w="605" w:type="dxa"/>
            <w:vMerge w:val="restart"/>
            <w:tcBorders>
              <w:top w:val="single" w:sz="4" w:space="0" w:color="000000"/>
              <w:left w:val="single" w:sz="4" w:space="0" w:color="000000"/>
              <w:right w:val="single" w:sz="4" w:space="0" w:color="000000"/>
            </w:tcBorders>
          </w:tcPr>
          <w:p>
            <w:pPr/>
          </w:p>
        </w:tc>
        <w:tc>
          <w:tcPr>
            <w:tcW w:w="726"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
        </w:tc>
        <w:tc>
          <w:tcPr>
            <w:tcW w:w="726"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
        </w:tc>
        <w:tc>
          <w:tcPr>
            <w:tcW w:w="7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7"/>
              <w:ind w:right="21"/>
              <w:jc w:val="right"/>
              <w:rPr>
                <w:rFonts w:ascii="Times New Roman" w:hAnsi="Times New Roman" w:cs="Times New Roman" w:eastAsia="Times New Roman" w:hint="default"/>
                <w:sz w:val="18"/>
                <w:szCs w:val="18"/>
              </w:rPr>
            </w:pPr>
            <w:r>
              <w:rPr>
                <w:rFonts w:ascii="Times New Roman"/>
                <w:spacing w:val="-1"/>
                <w:sz w:val="18"/>
              </w:rPr>
              <w:t>53,665,9</w:t>
            </w:r>
          </w:p>
        </w:tc>
        <w:tc>
          <w:tcPr>
            <w:tcW w:w="61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7"/>
              <w:ind w:left="6" w:right="0"/>
              <w:jc w:val="center"/>
              <w:rPr>
                <w:rFonts w:ascii="Times New Roman" w:hAnsi="Times New Roman" w:cs="Times New Roman" w:eastAsia="Times New Roman" w:hint="default"/>
                <w:sz w:val="18"/>
                <w:szCs w:val="18"/>
              </w:rPr>
            </w:pPr>
            <w:r>
              <w:rPr>
                <w:rFonts w:ascii="Times New Roman"/>
                <w:sz w:val="18"/>
              </w:rPr>
              <w:t>-53,665</w:t>
            </w:r>
          </w:p>
        </w:tc>
        <w:tc>
          <w:tcPr>
            <w:tcW w:w="710" w:type="dxa"/>
            <w:vMerge w:val="restart"/>
            <w:tcBorders>
              <w:top w:val="single" w:sz="4" w:space="0" w:color="000000"/>
              <w:left w:val="single" w:sz="4" w:space="0" w:color="000000"/>
              <w:right w:val="single" w:sz="4" w:space="0" w:color="000000"/>
            </w:tcBorders>
          </w:tcPr>
          <w:p>
            <w:pPr/>
          </w:p>
        </w:tc>
        <w:tc>
          <w:tcPr>
            <w:tcW w:w="863" w:type="dxa"/>
            <w:vMerge w:val="restart"/>
            <w:tcBorders>
              <w:top w:val="single" w:sz="4" w:space="0" w:color="000000"/>
              <w:left w:val="single" w:sz="4" w:space="0" w:color="000000"/>
              <w:right w:val="single" w:sz="4" w:space="0" w:color="000000"/>
            </w:tcBorders>
          </w:tcPr>
          <w:p>
            <w:pPr/>
          </w:p>
        </w:tc>
      </w:tr>
      <w:tr>
        <w:trPr>
          <w:trHeight w:val="270" w:hRule="exact"/>
        </w:trPr>
        <w:tc>
          <w:tcPr>
            <w:tcW w:w="1306"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199" w:lineRule="exact"/>
              <w:ind w:left="22" w:right="0"/>
              <w:jc w:val="left"/>
              <w:rPr>
                <w:rFonts w:ascii="宋体" w:hAnsi="宋体" w:cs="宋体" w:eastAsia="宋体" w:hint="default"/>
                <w:sz w:val="18"/>
                <w:szCs w:val="18"/>
              </w:rPr>
            </w:pPr>
            <w:r>
              <w:rPr>
                <w:rFonts w:ascii="宋体" w:hAnsi="宋体" w:cs="宋体" w:eastAsia="宋体" w:hint="default"/>
                <w:sz w:val="18"/>
                <w:szCs w:val="18"/>
              </w:rPr>
              <w:t>积</w:t>
            </w:r>
          </w:p>
        </w:tc>
        <w:tc>
          <w:tcPr>
            <w:tcW w:w="628" w:type="dxa"/>
            <w:vMerge/>
            <w:tcBorders>
              <w:left w:val="single" w:sz="4" w:space="0" w:color="000000"/>
              <w:bottom w:val="single" w:sz="4" w:space="0" w:color="000000"/>
              <w:right w:val="single" w:sz="4" w:space="0" w:color="000000"/>
            </w:tcBorders>
          </w:tcPr>
          <w:p>
            <w:pPr/>
          </w:p>
        </w:tc>
        <w:tc>
          <w:tcPr>
            <w:tcW w:w="604" w:type="dxa"/>
            <w:vMerge/>
            <w:tcBorders>
              <w:left w:val="single" w:sz="4" w:space="0" w:color="000000"/>
              <w:bottom w:val="single" w:sz="4" w:space="0" w:color="000000"/>
              <w:right w:val="single" w:sz="4" w:space="0" w:color="000000"/>
            </w:tcBorders>
          </w:tcPr>
          <w:p>
            <w:pPr/>
          </w:p>
        </w:tc>
        <w:tc>
          <w:tcPr>
            <w:tcW w:w="604" w:type="dxa"/>
            <w:vMerge/>
            <w:tcBorders>
              <w:left w:val="single" w:sz="4" w:space="0" w:color="000000"/>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726"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726"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726" w:type="dxa"/>
            <w:tcBorders>
              <w:top w:val="nil" w:sz="6" w:space="0" w:color="auto"/>
              <w:left w:val="single" w:sz="4" w:space="0" w:color="000000"/>
              <w:bottom w:val="single" w:sz="4" w:space="0" w:color="000000"/>
              <w:right w:val="single" w:sz="4" w:space="0" w:color="000000"/>
            </w:tcBorders>
          </w:tcPr>
          <w:p>
            <w:pPr>
              <w:pStyle w:val="TableParagraph"/>
              <w:spacing w:line="196" w:lineRule="exact"/>
              <w:ind w:right="19"/>
              <w:jc w:val="right"/>
              <w:rPr>
                <w:rFonts w:ascii="Times New Roman" w:hAnsi="Times New Roman" w:cs="Times New Roman" w:eastAsia="Times New Roman" w:hint="default"/>
                <w:sz w:val="18"/>
                <w:szCs w:val="18"/>
              </w:rPr>
            </w:pPr>
            <w:r>
              <w:rPr>
                <w:rFonts w:ascii="Times New Roman"/>
                <w:sz w:val="18"/>
              </w:rPr>
              <w:t>18.93</w:t>
            </w:r>
          </w:p>
        </w:tc>
        <w:tc>
          <w:tcPr>
            <w:tcW w:w="615" w:type="dxa"/>
            <w:tcBorders>
              <w:top w:val="nil" w:sz="6" w:space="0" w:color="auto"/>
              <w:left w:val="single" w:sz="4" w:space="0" w:color="000000"/>
              <w:bottom w:val="single" w:sz="4" w:space="0" w:color="000000"/>
              <w:right w:val="single" w:sz="4" w:space="0" w:color="000000"/>
            </w:tcBorders>
          </w:tcPr>
          <w:p>
            <w:pPr>
              <w:pStyle w:val="TableParagraph"/>
              <w:spacing w:line="196" w:lineRule="exact"/>
              <w:ind w:left="20" w:right="0"/>
              <w:jc w:val="center"/>
              <w:rPr>
                <w:rFonts w:ascii="Times New Roman" w:hAnsi="Times New Roman" w:cs="Times New Roman" w:eastAsia="Times New Roman" w:hint="default"/>
                <w:sz w:val="18"/>
                <w:szCs w:val="18"/>
              </w:rPr>
            </w:pPr>
            <w:r>
              <w:rPr>
                <w:rFonts w:ascii="Times New Roman"/>
                <w:sz w:val="18"/>
              </w:rPr>
              <w:t>,918.93</w:t>
            </w:r>
          </w:p>
        </w:tc>
        <w:tc>
          <w:tcPr>
            <w:tcW w:w="710" w:type="dxa"/>
            <w:vMerge/>
            <w:tcBorders>
              <w:left w:val="single" w:sz="4" w:space="0" w:color="000000"/>
              <w:bottom w:val="single" w:sz="4" w:space="0" w:color="000000"/>
              <w:right w:val="single" w:sz="4" w:space="0" w:color="000000"/>
            </w:tcBorders>
          </w:tcPr>
          <w:p>
            <w:pPr/>
          </w:p>
        </w:tc>
        <w:tc>
          <w:tcPr>
            <w:tcW w:w="863" w:type="dxa"/>
            <w:vMerge/>
            <w:tcBorders>
              <w:left w:val="single" w:sz="4" w:space="0" w:color="000000"/>
              <w:bottom w:val="single" w:sz="4" w:space="0" w:color="000000"/>
              <w:right w:val="single" w:sz="4" w:space="0" w:color="000000"/>
            </w:tcBorders>
          </w:tcPr>
          <w:p>
            <w:pPr/>
          </w:p>
        </w:tc>
      </w:tr>
      <w:tr>
        <w:trPr>
          <w:trHeight w:val="711"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112"/>
              <w:ind w:left="22" w:right="21"/>
              <w:jc w:val="left"/>
              <w:rPr>
                <w:rFonts w:ascii="宋体" w:hAnsi="宋体" w:cs="宋体" w:eastAsia="宋体" w:hint="default"/>
                <w:sz w:val="18"/>
                <w:szCs w:val="18"/>
              </w:rPr>
            </w:pPr>
            <w:r>
              <w:rPr>
                <w:rFonts w:ascii="Times New Roman" w:hAnsi="Times New Roman" w:cs="Times New Roman" w:eastAsia="Times New Roman" w:hint="default"/>
                <w:spacing w:val="-13"/>
                <w:sz w:val="18"/>
                <w:szCs w:val="18"/>
              </w:rPr>
              <w:t>2</w:t>
            </w:r>
            <w:r>
              <w:rPr>
                <w:rFonts w:ascii="宋体" w:hAnsi="宋体" w:cs="宋体" w:eastAsia="宋体" w:hint="default"/>
                <w:spacing w:val="-13"/>
                <w:sz w:val="18"/>
                <w:szCs w:val="18"/>
              </w:rPr>
              <w:t>．对所有者（或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股东）的分配</w:t>
            </w:r>
          </w:p>
        </w:tc>
        <w:tc>
          <w:tcPr>
            <w:tcW w:w="628"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40"/>
              <w:ind w:right="19"/>
              <w:jc w:val="right"/>
              <w:rPr>
                <w:rFonts w:ascii="Times New Roman" w:hAnsi="Times New Roman" w:cs="Times New Roman" w:eastAsia="Times New Roman" w:hint="default"/>
                <w:sz w:val="18"/>
                <w:szCs w:val="18"/>
              </w:rPr>
            </w:pPr>
            <w:r>
              <w:rPr>
                <w:rFonts w:ascii="Times New Roman"/>
                <w:spacing w:val="-1"/>
                <w:sz w:val="18"/>
              </w:rPr>
              <w:t>-289,07</w:t>
            </w:r>
          </w:p>
          <w:p>
            <w:pPr>
              <w:pStyle w:val="TableParagraph"/>
              <w:spacing w:line="206" w:lineRule="exact"/>
              <w:ind w:right="19"/>
              <w:jc w:val="right"/>
              <w:rPr>
                <w:rFonts w:ascii="Times New Roman" w:hAnsi="Times New Roman" w:cs="Times New Roman" w:eastAsia="Times New Roman" w:hint="default"/>
                <w:sz w:val="18"/>
                <w:szCs w:val="18"/>
              </w:rPr>
            </w:pPr>
            <w:r>
              <w:rPr>
                <w:rFonts w:ascii="Times New Roman"/>
                <w:spacing w:val="-1"/>
                <w:sz w:val="18"/>
              </w:rPr>
              <w:t>9,274.1</w:t>
            </w:r>
          </w:p>
          <w:p>
            <w:pPr>
              <w:pStyle w:val="TableParagraph"/>
              <w:spacing w:line="207" w:lineRule="exact"/>
              <w:ind w:right="22"/>
              <w:jc w:val="right"/>
              <w:rPr>
                <w:rFonts w:ascii="Times New Roman" w:hAnsi="Times New Roman" w:cs="Times New Roman" w:eastAsia="Times New Roman" w:hint="default"/>
                <w:sz w:val="18"/>
                <w:szCs w:val="18"/>
              </w:rPr>
            </w:pPr>
            <w:r>
              <w:rPr>
                <w:rFonts w:ascii="Times New Roman"/>
                <w:sz w:val="18"/>
              </w:rPr>
              <w:t>2</w:t>
            </w:r>
          </w:p>
        </w:tc>
        <w:tc>
          <w:tcPr>
            <w:tcW w:w="710"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44"/>
              <w:ind w:left="51" w:right="0"/>
              <w:jc w:val="left"/>
              <w:rPr>
                <w:rFonts w:ascii="Times New Roman" w:hAnsi="Times New Roman" w:cs="Times New Roman" w:eastAsia="Times New Roman" w:hint="default"/>
                <w:sz w:val="18"/>
                <w:szCs w:val="18"/>
              </w:rPr>
            </w:pPr>
            <w:r>
              <w:rPr>
                <w:rFonts w:ascii="Times New Roman"/>
                <w:sz w:val="18"/>
              </w:rPr>
              <w:t>-289,079,2</w:t>
            </w:r>
          </w:p>
          <w:p>
            <w:pPr>
              <w:pStyle w:val="TableParagraph"/>
              <w:spacing w:line="207" w:lineRule="exact"/>
              <w:ind w:left="426" w:right="0"/>
              <w:jc w:val="left"/>
              <w:rPr>
                <w:rFonts w:ascii="Times New Roman" w:hAnsi="Times New Roman" w:cs="Times New Roman" w:eastAsia="Times New Roman" w:hint="default"/>
                <w:sz w:val="18"/>
                <w:szCs w:val="18"/>
              </w:rPr>
            </w:pPr>
            <w:r>
              <w:rPr>
                <w:rFonts w:ascii="Times New Roman"/>
                <w:sz w:val="18"/>
              </w:rPr>
              <w:t>74.12</w:t>
            </w:r>
          </w:p>
        </w:tc>
      </w:tr>
      <w:tr>
        <w:trPr>
          <w:trHeight w:val="323"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28"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21"/>
              <w:jc w:val="left"/>
              <w:rPr>
                <w:rFonts w:ascii="宋体" w:hAnsi="宋体" w:cs="宋体" w:eastAsia="宋体" w:hint="default"/>
                <w:sz w:val="18"/>
                <w:szCs w:val="18"/>
              </w:rPr>
            </w:pPr>
            <w:r>
              <w:rPr>
                <w:rFonts w:ascii="宋体" w:hAnsi="宋体" w:cs="宋体" w:eastAsia="宋体" w:hint="default"/>
                <w:spacing w:val="-2"/>
                <w:sz w:val="18"/>
                <w:szCs w:val="18"/>
              </w:rPr>
              <w:t>（四）所有者权</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益内部结转</w:t>
            </w:r>
          </w:p>
        </w:tc>
        <w:tc>
          <w:tcPr>
            <w:tcW w:w="628"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12" w:footer="1264" w:top="980" w:bottom="1460" w:left="16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tbl>
      <w:tblPr>
        <w:tblW w:w="0" w:type="auto"/>
        <w:jc w:val="left"/>
        <w:tblInd w:w="112" w:type="dxa"/>
        <w:tblLayout w:type="fixed"/>
        <w:tblCellMar>
          <w:top w:w="0" w:type="dxa"/>
          <w:left w:w="0" w:type="dxa"/>
          <w:bottom w:w="0" w:type="dxa"/>
          <w:right w:w="0" w:type="dxa"/>
        </w:tblCellMar>
        <w:tblLook w:val="01E0"/>
      </w:tblPr>
      <w:tblGrid>
        <w:gridCol w:w="1306"/>
        <w:gridCol w:w="628"/>
        <w:gridCol w:w="604"/>
        <w:gridCol w:w="604"/>
        <w:gridCol w:w="605"/>
        <w:gridCol w:w="726"/>
        <w:gridCol w:w="727"/>
        <w:gridCol w:w="726"/>
        <w:gridCol w:w="727"/>
        <w:gridCol w:w="726"/>
        <w:gridCol w:w="615"/>
        <w:gridCol w:w="710"/>
        <w:gridCol w:w="863"/>
      </w:tblGrid>
      <w:tr>
        <w:trPr>
          <w:trHeight w:val="790"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6"/>
              <w:ind w:left="22" w:right="10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628"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
        </w:tc>
      </w:tr>
      <w:tr>
        <w:trPr>
          <w:trHeight w:val="791"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auto" w:before="17"/>
              <w:ind w:left="22" w:right="10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628"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7"/>
              <w:ind w:left="22" w:right="10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628"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
        </w:tc>
      </w:tr>
      <w:tr>
        <w:trPr>
          <w:trHeight w:val="790"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6"/>
              <w:ind w:left="22" w:right="101"/>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628"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
        </w:tc>
      </w:tr>
      <w:tr>
        <w:trPr>
          <w:trHeight w:val="790"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6"/>
              <w:ind w:left="22" w:right="101"/>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 益结转留存收 益</w:t>
            </w:r>
          </w:p>
        </w:tc>
        <w:tc>
          <w:tcPr>
            <w:tcW w:w="628"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628"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28"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28"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28"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
        </w:tc>
      </w:tr>
      <w:tr>
        <w:trPr>
          <w:trHeight w:val="504"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28"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8"/>
              <w:ind w:left="72" w:right="0"/>
              <w:jc w:val="center"/>
              <w:rPr>
                <w:rFonts w:ascii="Times New Roman" w:hAnsi="Times New Roman" w:cs="Times New Roman" w:eastAsia="Times New Roman" w:hint="default"/>
                <w:sz w:val="18"/>
                <w:szCs w:val="18"/>
              </w:rPr>
            </w:pPr>
            <w:r>
              <w:rPr>
                <w:rFonts w:ascii="Times New Roman"/>
                <w:sz w:val="18"/>
              </w:rPr>
              <w:t>-74,149,</w:t>
            </w:r>
          </w:p>
          <w:p>
            <w:pPr>
              <w:pStyle w:val="TableParagraph"/>
              <w:spacing w:line="207" w:lineRule="exact"/>
              <w:ind w:left="177" w:right="0"/>
              <w:jc w:val="center"/>
              <w:rPr>
                <w:rFonts w:ascii="Times New Roman" w:hAnsi="Times New Roman" w:cs="Times New Roman" w:eastAsia="Times New Roman" w:hint="default"/>
                <w:sz w:val="18"/>
                <w:szCs w:val="18"/>
              </w:rPr>
            </w:pPr>
            <w:r>
              <w:rPr>
                <w:rFonts w:ascii="Times New Roman"/>
                <w:sz w:val="18"/>
              </w:rPr>
              <w:t>105.90</w:t>
            </w: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8"/>
              <w:ind w:left="51" w:right="0"/>
              <w:jc w:val="left"/>
              <w:rPr>
                <w:rFonts w:ascii="Times New Roman" w:hAnsi="Times New Roman" w:cs="Times New Roman" w:eastAsia="Times New Roman" w:hint="default"/>
                <w:sz w:val="18"/>
                <w:szCs w:val="18"/>
              </w:rPr>
            </w:pPr>
            <w:r>
              <w:rPr>
                <w:rFonts w:ascii="Times New Roman"/>
                <w:sz w:val="18"/>
              </w:rPr>
              <w:t>-74,149,10</w:t>
            </w:r>
          </w:p>
          <w:p>
            <w:pPr>
              <w:pStyle w:val="TableParagraph"/>
              <w:spacing w:line="207" w:lineRule="exact"/>
              <w:ind w:left="515" w:right="0"/>
              <w:jc w:val="left"/>
              <w:rPr>
                <w:rFonts w:ascii="Times New Roman" w:hAnsi="Times New Roman" w:cs="Times New Roman" w:eastAsia="Times New Roman" w:hint="default"/>
                <w:sz w:val="18"/>
                <w:szCs w:val="18"/>
              </w:rPr>
            </w:pPr>
            <w:r>
              <w:rPr>
                <w:rFonts w:ascii="Times New Roman"/>
                <w:sz w:val="18"/>
              </w:rPr>
              <w:t>5.90</w:t>
            </w:r>
          </w:p>
        </w:tc>
      </w:tr>
      <w:tr>
        <w:trPr>
          <w:trHeight w:val="711"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112"/>
              <w:ind w:left="22" w:right="21"/>
              <w:jc w:val="left"/>
              <w:rPr>
                <w:rFonts w:ascii="宋体" w:hAnsi="宋体" w:cs="宋体" w:eastAsia="宋体" w:hint="default"/>
                <w:sz w:val="18"/>
                <w:szCs w:val="18"/>
              </w:rPr>
            </w:pPr>
            <w:r>
              <w:rPr>
                <w:rFonts w:ascii="宋体" w:hAnsi="宋体" w:cs="宋体" w:eastAsia="宋体" w:hint="default"/>
                <w:spacing w:val="-2"/>
                <w:sz w:val="18"/>
                <w:szCs w:val="18"/>
              </w:rPr>
              <w:t>四、本期期末余</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62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8"/>
              <w:ind w:right="19"/>
              <w:jc w:val="right"/>
              <w:rPr>
                <w:rFonts w:ascii="Times New Roman" w:hAnsi="Times New Roman" w:cs="Times New Roman" w:eastAsia="Times New Roman" w:hint="default"/>
                <w:sz w:val="18"/>
                <w:szCs w:val="18"/>
              </w:rPr>
            </w:pPr>
            <w:r>
              <w:rPr>
                <w:rFonts w:ascii="Times New Roman"/>
                <w:spacing w:val="-1"/>
                <w:sz w:val="18"/>
              </w:rPr>
              <w:t>2,408,9</w:t>
            </w:r>
          </w:p>
          <w:p>
            <w:pPr>
              <w:pStyle w:val="TableParagraph"/>
              <w:spacing w:line="206" w:lineRule="exact"/>
              <w:ind w:right="19"/>
              <w:jc w:val="right"/>
              <w:rPr>
                <w:rFonts w:ascii="Times New Roman" w:hAnsi="Times New Roman" w:cs="Times New Roman" w:eastAsia="Times New Roman" w:hint="default"/>
                <w:sz w:val="18"/>
                <w:szCs w:val="18"/>
              </w:rPr>
            </w:pPr>
            <w:r>
              <w:rPr>
                <w:rFonts w:ascii="Times New Roman"/>
                <w:spacing w:val="-1"/>
                <w:sz w:val="18"/>
              </w:rPr>
              <w:t>93,951.</w:t>
            </w:r>
          </w:p>
          <w:p>
            <w:pPr>
              <w:pStyle w:val="TableParagraph"/>
              <w:spacing w:line="207" w:lineRule="exact"/>
              <w:ind w:right="19"/>
              <w:jc w:val="right"/>
              <w:rPr>
                <w:rFonts w:ascii="Times New Roman" w:hAnsi="Times New Roman" w:cs="Times New Roman" w:eastAsia="Times New Roman" w:hint="default"/>
                <w:sz w:val="18"/>
                <w:szCs w:val="18"/>
              </w:rPr>
            </w:pPr>
            <w:r>
              <w:rPr>
                <w:rFonts w:ascii="Times New Roman"/>
                <w:sz w:val="18"/>
              </w:rPr>
              <w:t>00</w:t>
            </w:r>
          </w:p>
        </w:tc>
        <w:tc>
          <w:tcPr>
            <w:tcW w:w="604"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41"/>
              <w:ind w:left="62" w:right="0"/>
              <w:jc w:val="left"/>
              <w:rPr>
                <w:rFonts w:ascii="Times New Roman" w:hAnsi="Times New Roman" w:cs="Times New Roman" w:eastAsia="Times New Roman" w:hint="default"/>
                <w:sz w:val="18"/>
                <w:szCs w:val="18"/>
              </w:rPr>
            </w:pPr>
            <w:r>
              <w:rPr>
                <w:rFonts w:ascii="Times New Roman"/>
                <w:sz w:val="18"/>
              </w:rPr>
              <w:t>2,130,02</w:t>
            </w:r>
          </w:p>
          <w:p>
            <w:pPr>
              <w:pStyle w:val="TableParagraph"/>
              <w:spacing w:line="207" w:lineRule="exact"/>
              <w:ind w:left="62" w:right="0"/>
              <w:jc w:val="left"/>
              <w:rPr>
                <w:rFonts w:ascii="Times New Roman" w:hAnsi="Times New Roman" w:cs="Times New Roman" w:eastAsia="Times New Roman" w:hint="default"/>
                <w:sz w:val="18"/>
                <w:szCs w:val="18"/>
              </w:rPr>
            </w:pPr>
            <w:r>
              <w:rPr>
                <w:rFonts w:ascii="Times New Roman"/>
                <w:sz w:val="18"/>
              </w:rPr>
              <w:t>7,498.96</w:t>
            </w: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41"/>
              <w:ind w:left="29" w:right="0"/>
              <w:jc w:val="center"/>
              <w:rPr>
                <w:rFonts w:ascii="Times New Roman" w:hAnsi="Times New Roman" w:cs="Times New Roman" w:eastAsia="Times New Roman" w:hint="default"/>
                <w:sz w:val="18"/>
                <w:szCs w:val="18"/>
              </w:rPr>
            </w:pPr>
            <w:r>
              <w:rPr>
                <w:rFonts w:ascii="Times New Roman"/>
                <w:sz w:val="18"/>
              </w:rPr>
              <w:t>-273,075</w:t>
            </w:r>
          </w:p>
          <w:p>
            <w:pPr>
              <w:pStyle w:val="TableParagraph"/>
              <w:spacing w:line="207" w:lineRule="exact"/>
              <w:ind w:left="129" w:right="0"/>
              <w:jc w:val="center"/>
              <w:rPr>
                <w:rFonts w:ascii="Times New Roman" w:hAnsi="Times New Roman" w:cs="Times New Roman" w:eastAsia="Times New Roman" w:hint="default"/>
                <w:sz w:val="18"/>
                <w:szCs w:val="18"/>
              </w:rPr>
            </w:pPr>
            <w:r>
              <w:rPr>
                <w:rFonts w:ascii="Times New Roman"/>
                <w:sz w:val="18"/>
              </w:rPr>
              <w:t>,455.50</w:t>
            </w: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41"/>
              <w:ind w:left="39" w:right="0"/>
              <w:jc w:val="center"/>
              <w:rPr>
                <w:rFonts w:ascii="Times New Roman" w:hAnsi="Times New Roman" w:cs="Times New Roman" w:eastAsia="Times New Roman" w:hint="default"/>
                <w:sz w:val="18"/>
                <w:szCs w:val="18"/>
              </w:rPr>
            </w:pPr>
            <w:r>
              <w:rPr>
                <w:rFonts w:ascii="Times New Roman"/>
                <w:sz w:val="18"/>
              </w:rPr>
              <w:t>682,259,</w:t>
            </w:r>
          </w:p>
          <w:p>
            <w:pPr>
              <w:pStyle w:val="TableParagraph"/>
              <w:spacing w:line="207" w:lineRule="exact"/>
              <w:ind w:left="173" w:right="0"/>
              <w:jc w:val="center"/>
              <w:rPr>
                <w:rFonts w:ascii="Times New Roman" w:hAnsi="Times New Roman" w:cs="Times New Roman" w:eastAsia="Times New Roman" w:hint="default"/>
                <w:sz w:val="18"/>
                <w:szCs w:val="18"/>
              </w:rPr>
            </w:pPr>
            <w:r>
              <w:rPr>
                <w:rFonts w:ascii="Times New Roman"/>
                <w:sz w:val="18"/>
              </w:rPr>
              <w:t>502.34</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8"/>
              <w:ind w:left="42" w:right="0"/>
              <w:jc w:val="left"/>
              <w:rPr>
                <w:rFonts w:ascii="Times New Roman" w:hAnsi="Times New Roman" w:cs="Times New Roman" w:eastAsia="Times New Roman" w:hint="default"/>
                <w:sz w:val="18"/>
                <w:szCs w:val="18"/>
              </w:rPr>
            </w:pPr>
            <w:r>
              <w:rPr>
                <w:rFonts w:ascii="Times New Roman"/>
                <w:sz w:val="18"/>
              </w:rPr>
              <w:t>2,810,4</w:t>
            </w:r>
          </w:p>
          <w:p>
            <w:pPr>
              <w:pStyle w:val="TableParagraph"/>
              <w:spacing w:line="206" w:lineRule="exact"/>
              <w:ind w:left="42" w:right="0"/>
              <w:jc w:val="left"/>
              <w:rPr>
                <w:rFonts w:ascii="Times New Roman" w:hAnsi="Times New Roman" w:cs="Times New Roman" w:eastAsia="Times New Roman" w:hint="default"/>
                <w:sz w:val="18"/>
                <w:szCs w:val="18"/>
              </w:rPr>
            </w:pPr>
            <w:r>
              <w:rPr>
                <w:rFonts w:ascii="Times New Roman"/>
                <w:sz w:val="18"/>
              </w:rPr>
              <w:t>66,379.</w:t>
            </w:r>
          </w:p>
          <w:p>
            <w:pPr>
              <w:pStyle w:val="TableParagraph"/>
              <w:spacing w:line="207" w:lineRule="exact"/>
              <w:ind w:left="402" w:right="0"/>
              <w:jc w:val="left"/>
              <w:rPr>
                <w:rFonts w:ascii="Times New Roman" w:hAnsi="Times New Roman" w:cs="Times New Roman" w:eastAsia="Times New Roman" w:hint="default"/>
                <w:sz w:val="18"/>
                <w:szCs w:val="18"/>
              </w:rPr>
            </w:pPr>
            <w:r>
              <w:rPr>
                <w:rFonts w:ascii="Times New Roman"/>
                <w:sz w:val="18"/>
              </w:rPr>
              <w:t>31</w:t>
            </w:r>
          </w:p>
        </w:tc>
        <w:tc>
          <w:tcPr>
            <w:tcW w:w="710"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41"/>
              <w:ind w:left="66" w:right="0"/>
              <w:jc w:val="left"/>
              <w:rPr>
                <w:rFonts w:ascii="Times New Roman" w:hAnsi="Times New Roman" w:cs="Times New Roman" w:eastAsia="Times New Roman" w:hint="default"/>
                <w:sz w:val="18"/>
                <w:szCs w:val="18"/>
              </w:rPr>
            </w:pPr>
            <w:r>
              <w:rPr>
                <w:rFonts w:ascii="Times New Roman"/>
                <w:sz w:val="18"/>
              </w:rPr>
              <w:t>7,758,671,</w:t>
            </w:r>
          </w:p>
          <w:p>
            <w:pPr>
              <w:pStyle w:val="TableParagraph"/>
              <w:spacing w:line="207" w:lineRule="exact"/>
              <w:ind w:left="335" w:right="0"/>
              <w:jc w:val="left"/>
              <w:rPr>
                <w:rFonts w:ascii="Times New Roman" w:hAnsi="Times New Roman" w:cs="Times New Roman" w:eastAsia="Times New Roman" w:hint="default"/>
                <w:sz w:val="18"/>
                <w:szCs w:val="18"/>
              </w:rPr>
            </w:pPr>
            <w:r>
              <w:rPr>
                <w:rFonts w:ascii="Times New Roman"/>
                <w:sz w:val="18"/>
              </w:rPr>
              <w:t>876.11</w:t>
            </w:r>
          </w:p>
        </w:tc>
      </w:tr>
    </w:tbl>
    <w:p>
      <w:pPr>
        <w:pStyle w:val="BodyText"/>
        <w:spacing w:line="240" w:lineRule="auto" w:before="10"/>
        <w:ind w:left="117" w:right="1603"/>
        <w:jc w:val="left"/>
      </w:pPr>
      <w:r>
        <w:rPr/>
        <w:t>上期金额</w:t>
      </w:r>
    </w:p>
    <w:p>
      <w:pPr>
        <w:pStyle w:val="BodyText"/>
        <w:spacing w:line="240" w:lineRule="auto" w:before="40"/>
        <w:ind w:left="0" w:right="1796"/>
        <w:jc w:val="right"/>
      </w:pPr>
      <w:r>
        <w:rPr/>
        <w:t>单位：元</w:t>
      </w:r>
    </w:p>
    <w:p>
      <w:pPr>
        <w:spacing w:line="240" w:lineRule="auto" w:before="0"/>
        <w:rPr>
          <w:rFonts w:ascii="宋体" w:hAnsi="宋体" w:cs="宋体" w:eastAsia="宋体" w:hint="default"/>
          <w:sz w:val="5"/>
          <w:szCs w:val="5"/>
        </w:rPr>
      </w:pPr>
    </w:p>
    <w:tbl>
      <w:tblPr>
        <w:tblW w:w="0" w:type="auto"/>
        <w:jc w:val="left"/>
        <w:tblInd w:w="112" w:type="dxa"/>
        <w:tblLayout w:type="fixed"/>
        <w:tblCellMar>
          <w:top w:w="0" w:type="dxa"/>
          <w:left w:w="0" w:type="dxa"/>
          <w:bottom w:w="0" w:type="dxa"/>
          <w:right w:w="0" w:type="dxa"/>
        </w:tblCellMar>
        <w:tblLook w:val="01E0"/>
      </w:tblPr>
      <w:tblGrid>
        <w:gridCol w:w="1231"/>
        <w:gridCol w:w="594"/>
        <w:gridCol w:w="572"/>
        <w:gridCol w:w="572"/>
        <w:gridCol w:w="572"/>
        <w:gridCol w:w="685"/>
        <w:gridCol w:w="686"/>
        <w:gridCol w:w="685"/>
        <w:gridCol w:w="781"/>
        <w:gridCol w:w="665"/>
        <w:gridCol w:w="798"/>
        <w:gridCol w:w="797"/>
        <w:gridCol w:w="930"/>
      </w:tblGrid>
      <w:tr>
        <w:trPr>
          <w:trHeight w:val="323" w:hRule="exact"/>
        </w:trPr>
        <w:tc>
          <w:tcPr>
            <w:tcW w:w="12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337"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年年度</w:t>
            </w:r>
          </w:p>
        </w:tc>
      </w:tr>
      <w:tr>
        <w:trPr>
          <w:trHeight w:val="324" w:hRule="exact"/>
        </w:trPr>
        <w:tc>
          <w:tcPr>
            <w:tcW w:w="1231" w:type="dxa"/>
            <w:vMerge/>
            <w:tcBorders>
              <w:left w:val="single" w:sz="4" w:space="0" w:color="000000"/>
              <w:right w:val="single" w:sz="4" w:space="0" w:color="000000"/>
            </w:tcBorders>
            <w:shd w:val="clear" w:color="auto" w:fill="D2D2D2"/>
          </w:tcPr>
          <w:p>
            <w:pPr/>
          </w:p>
        </w:tc>
        <w:tc>
          <w:tcPr>
            <w:tcW w:w="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11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71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1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5"/>
                <w:szCs w:val="15"/>
              </w:rPr>
            </w:pPr>
          </w:p>
          <w:p>
            <w:pPr>
              <w:pStyle w:val="TableParagraph"/>
              <w:spacing w:line="232" w:lineRule="exact"/>
              <w:ind w:left="246" w:right="66"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5"/>
                <w:szCs w:val="15"/>
              </w:rPr>
            </w:pPr>
          </w:p>
          <w:p>
            <w:pPr>
              <w:pStyle w:val="TableParagraph"/>
              <w:spacing w:line="232" w:lineRule="exact"/>
              <w:ind w:left="248" w:right="20" w:hanging="226"/>
              <w:jc w:val="left"/>
              <w:rPr>
                <w:rFonts w:ascii="宋体" w:hAnsi="宋体" w:cs="宋体" w:eastAsia="宋体" w:hint="default"/>
                <w:sz w:val="18"/>
                <w:szCs w:val="18"/>
              </w:rPr>
            </w:pPr>
            <w:r>
              <w:rPr>
                <w:rFonts w:ascii="宋体" w:hAnsi="宋体" w:cs="宋体" w:eastAsia="宋体" w:hint="default"/>
                <w:spacing w:val="-23"/>
                <w:sz w:val="18"/>
                <w:szCs w:val="18"/>
              </w:rPr>
              <w:t>减：库存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w:t>
            </w:r>
          </w:p>
        </w:tc>
        <w:tc>
          <w:tcPr>
            <w:tcW w:w="6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5"/>
                <w:szCs w:val="15"/>
              </w:rPr>
            </w:pPr>
          </w:p>
          <w:p>
            <w:pPr>
              <w:pStyle w:val="TableParagraph"/>
              <w:spacing w:line="232" w:lineRule="exact"/>
              <w:ind w:left="66" w:right="67"/>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5"/>
                <w:szCs w:val="15"/>
              </w:rPr>
            </w:pPr>
          </w:p>
          <w:p>
            <w:pPr>
              <w:pStyle w:val="TableParagraph"/>
              <w:spacing w:line="232" w:lineRule="exact"/>
              <w:ind w:left="236" w:right="5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5"/>
                <w:szCs w:val="15"/>
              </w:rPr>
            </w:pPr>
          </w:p>
          <w:p>
            <w:pPr>
              <w:pStyle w:val="TableParagraph"/>
              <w:spacing w:line="232" w:lineRule="exact"/>
              <w:ind w:left="303" w:right="31" w:hanging="269"/>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5"/>
                <w:szCs w:val="15"/>
              </w:rPr>
            </w:pPr>
          </w:p>
          <w:p>
            <w:pPr>
              <w:pStyle w:val="TableParagraph"/>
              <w:spacing w:line="232" w:lineRule="exact"/>
              <w:ind w:left="189" w:right="97"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556" w:hRule="exact"/>
        </w:trPr>
        <w:tc>
          <w:tcPr>
            <w:tcW w:w="1231" w:type="dxa"/>
            <w:vMerge/>
            <w:tcBorders>
              <w:left w:val="single" w:sz="4" w:space="0" w:color="000000"/>
              <w:bottom w:val="single" w:sz="4" w:space="0" w:color="000000"/>
              <w:right w:val="single" w:sz="4" w:space="0" w:color="000000"/>
            </w:tcBorders>
            <w:shd w:val="clear" w:color="auto" w:fill="D2D2D2"/>
          </w:tcPr>
          <w:p>
            <w:pPr/>
          </w:p>
        </w:tc>
        <w:tc>
          <w:tcPr>
            <w:tcW w:w="594" w:type="dxa"/>
            <w:vMerge/>
            <w:tcBorders>
              <w:left w:val="single" w:sz="4" w:space="0" w:color="000000"/>
              <w:bottom w:val="single" w:sz="4" w:space="0" w:color="000000"/>
              <w:right w:val="single" w:sz="4" w:space="0" w:color="000000"/>
            </w:tcBorders>
            <w:shd w:val="clear" w:color="auto" w:fill="D2D2D2"/>
          </w:tcPr>
          <w:p>
            <w:pPr/>
          </w:p>
        </w:tc>
        <w:tc>
          <w:tcPr>
            <w:tcW w:w="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6"/>
              <w:ind w:left="191" w:right="100" w:hanging="92"/>
              <w:jc w:val="left"/>
              <w:rPr>
                <w:rFonts w:ascii="宋体" w:hAnsi="宋体" w:cs="宋体" w:eastAsia="宋体" w:hint="default"/>
                <w:sz w:val="18"/>
                <w:szCs w:val="18"/>
              </w:rPr>
            </w:pPr>
            <w:r>
              <w:rPr>
                <w:rFonts w:ascii="宋体" w:hAnsi="宋体" w:cs="宋体" w:eastAsia="宋体" w:hint="default"/>
                <w:sz w:val="18"/>
                <w:szCs w:val="18"/>
              </w:rPr>
              <w:t>优先 股</w:t>
            </w:r>
          </w:p>
        </w:tc>
        <w:tc>
          <w:tcPr>
            <w:tcW w:w="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6"/>
              <w:ind w:left="190" w:right="98"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10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85" w:type="dxa"/>
            <w:vMerge/>
            <w:tcBorders>
              <w:left w:val="single" w:sz="4" w:space="0" w:color="000000"/>
              <w:bottom w:val="single" w:sz="4" w:space="0" w:color="000000"/>
              <w:right w:val="single" w:sz="4" w:space="0" w:color="000000"/>
            </w:tcBorders>
            <w:shd w:val="clear" w:color="auto" w:fill="D2D2D2"/>
          </w:tcPr>
          <w:p>
            <w:pPr/>
          </w:p>
        </w:tc>
        <w:tc>
          <w:tcPr>
            <w:tcW w:w="686" w:type="dxa"/>
            <w:vMerge/>
            <w:tcBorders>
              <w:left w:val="single" w:sz="4" w:space="0" w:color="000000"/>
              <w:bottom w:val="single" w:sz="4" w:space="0" w:color="000000"/>
              <w:right w:val="single" w:sz="4" w:space="0" w:color="000000"/>
            </w:tcBorders>
            <w:shd w:val="clear" w:color="auto" w:fill="D2D2D2"/>
          </w:tcPr>
          <w:p>
            <w:pPr/>
          </w:p>
        </w:tc>
        <w:tc>
          <w:tcPr>
            <w:tcW w:w="685"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930" w:type="dxa"/>
            <w:vMerge/>
            <w:tcBorders>
              <w:left w:val="single" w:sz="4" w:space="0" w:color="000000"/>
              <w:bottom w:val="single" w:sz="4" w:space="0" w:color="000000"/>
              <w:right w:val="single" w:sz="4" w:space="0" w:color="000000"/>
            </w:tcBorders>
            <w:shd w:val="clear" w:color="auto" w:fill="D2D2D2"/>
          </w:tcPr>
          <w:p>
            <w:pPr/>
          </w:p>
        </w:tc>
      </w:tr>
      <w:tr>
        <w:trPr>
          <w:trHeight w:val="711" w:hRule="exact"/>
        </w:trPr>
        <w:tc>
          <w:tcPr>
            <w:tcW w:w="1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22" w:right="21"/>
              <w:jc w:val="left"/>
              <w:rPr>
                <w:rFonts w:ascii="宋体" w:hAnsi="宋体" w:cs="宋体" w:eastAsia="宋体" w:hint="default"/>
                <w:sz w:val="18"/>
                <w:szCs w:val="18"/>
              </w:rPr>
            </w:pPr>
            <w:r>
              <w:rPr>
                <w:rFonts w:ascii="宋体" w:hAnsi="宋体" w:cs="宋体" w:eastAsia="宋体" w:hint="default"/>
                <w:spacing w:val="-12"/>
                <w:sz w:val="18"/>
                <w:szCs w:val="18"/>
              </w:rPr>
              <w:t>一、上年期末余</w:t>
            </w:r>
            <w:r>
              <w:rPr>
                <w:rFonts w:ascii="宋体" w:hAnsi="宋体" w:cs="宋体" w:eastAsia="宋体" w:hint="default"/>
                <w:sz w:val="18"/>
                <w:szCs w:val="18"/>
              </w:rPr>
              <w:t> 额</w:t>
            </w:r>
          </w:p>
        </w:tc>
        <w:tc>
          <w:tcPr>
            <w:tcW w:w="59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40"/>
              <w:ind w:left="88" w:right="0"/>
              <w:jc w:val="center"/>
              <w:rPr>
                <w:rFonts w:ascii="Times New Roman" w:hAnsi="Times New Roman" w:cs="Times New Roman" w:eastAsia="Times New Roman" w:hint="default"/>
                <w:sz w:val="18"/>
                <w:szCs w:val="18"/>
              </w:rPr>
            </w:pPr>
            <w:r>
              <w:rPr>
                <w:rFonts w:ascii="Times New Roman"/>
                <w:sz w:val="18"/>
              </w:rPr>
              <w:t>2,428,</w:t>
            </w:r>
          </w:p>
          <w:p>
            <w:pPr>
              <w:pStyle w:val="TableParagraph"/>
              <w:spacing w:line="206" w:lineRule="exact"/>
              <w:ind w:left="42" w:right="0"/>
              <w:jc w:val="center"/>
              <w:rPr>
                <w:rFonts w:ascii="Times New Roman" w:hAnsi="Times New Roman" w:cs="Times New Roman" w:eastAsia="Times New Roman" w:hint="default"/>
                <w:sz w:val="18"/>
                <w:szCs w:val="18"/>
              </w:rPr>
            </w:pPr>
            <w:r>
              <w:rPr>
                <w:rFonts w:ascii="Times New Roman"/>
                <w:sz w:val="18"/>
              </w:rPr>
              <w:t>885,72</w:t>
            </w:r>
          </w:p>
          <w:p>
            <w:pPr>
              <w:pStyle w:val="TableParagraph"/>
              <w:spacing w:line="207" w:lineRule="exact"/>
              <w:ind w:left="222" w:right="0"/>
              <w:jc w:val="center"/>
              <w:rPr>
                <w:rFonts w:ascii="Times New Roman" w:hAnsi="Times New Roman" w:cs="Times New Roman" w:eastAsia="Times New Roman" w:hint="default"/>
                <w:sz w:val="18"/>
                <w:szCs w:val="18"/>
              </w:rPr>
            </w:pPr>
            <w:r>
              <w:rPr>
                <w:rFonts w:ascii="Times New Roman"/>
                <w:sz w:val="18"/>
              </w:rPr>
              <w:t>5.00</w:t>
            </w: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40"/>
              <w:ind w:right="19"/>
              <w:jc w:val="right"/>
              <w:rPr>
                <w:rFonts w:ascii="Times New Roman" w:hAnsi="Times New Roman" w:cs="Times New Roman" w:eastAsia="Times New Roman" w:hint="default"/>
                <w:sz w:val="18"/>
                <w:szCs w:val="18"/>
              </w:rPr>
            </w:pPr>
            <w:r>
              <w:rPr>
                <w:rFonts w:ascii="Times New Roman"/>
                <w:spacing w:val="-1"/>
                <w:sz w:val="18"/>
              </w:rPr>
              <w:t>2,304,5</w:t>
            </w:r>
          </w:p>
          <w:p>
            <w:pPr>
              <w:pStyle w:val="TableParagraph"/>
              <w:spacing w:line="206" w:lineRule="exact"/>
              <w:ind w:right="19"/>
              <w:jc w:val="right"/>
              <w:rPr>
                <w:rFonts w:ascii="Times New Roman" w:hAnsi="Times New Roman" w:cs="Times New Roman" w:eastAsia="Times New Roman" w:hint="default"/>
                <w:sz w:val="18"/>
                <w:szCs w:val="18"/>
              </w:rPr>
            </w:pPr>
            <w:r>
              <w:rPr>
                <w:rFonts w:ascii="Times New Roman"/>
                <w:spacing w:val="-1"/>
                <w:sz w:val="18"/>
              </w:rPr>
              <w:t>33,814.</w:t>
            </w:r>
          </w:p>
          <w:p>
            <w:pPr>
              <w:pStyle w:val="TableParagraph"/>
              <w:spacing w:line="207" w:lineRule="exact"/>
              <w:ind w:right="19"/>
              <w:jc w:val="right"/>
              <w:rPr>
                <w:rFonts w:ascii="Times New Roman" w:hAnsi="Times New Roman" w:cs="Times New Roman" w:eastAsia="Times New Roman" w:hint="default"/>
                <w:sz w:val="18"/>
                <w:szCs w:val="18"/>
              </w:rPr>
            </w:pPr>
            <w:r>
              <w:rPr>
                <w:rFonts w:ascii="Times New Roman"/>
                <w:sz w:val="18"/>
              </w:rPr>
              <w:t>30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43"/>
              <w:ind w:left="32" w:right="0"/>
              <w:jc w:val="center"/>
              <w:rPr>
                <w:rFonts w:ascii="Times New Roman" w:hAnsi="Times New Roman" w:cs="Times New Roman" w:eastAsia="Times New Roman" w:hint="default"/>
                <w:sz w:val="18"/>
                <w:szCs w:val="18"/>
              </w:rPr>
            </w:pPr>
            <w:r>
              <w:rPr>
                <w:rFonts w:ascii="Times New Roman"/>
                <w:sz w:val="18"/>
              </w:rPr>
              <w:t>-90,003,</w:t>
            </w:r>
          </w:p>
          <w:p>
            <w:pPr>
              <w:pStyle w:val="TableParagraph"/>
              <w:spacing w:line="207" w:lineRule="exact"/>
              <w:ind w:left="134" w:right="0"/>
              <w:jc w:val="center"/>
              <w:rPr>
                <w:rFonts w:ascii="Times New Roman" w:hAnsi="Times New Roman" w:cs="Times New Roman" w:eastAsia="Times New Roman" w:hint="default"/>
                <w:sz w:val="18"/>
                <w:szCs w:val="18"/>
              </w:rPr>
            </w:pPr>
            <w:r>
              <w:rPr>
                <w:rFonts w:ascii="Times New Roman"/>
                <w:sz w:val="18"/>
              </w:rPr>
              <w:t>752.37</w:t>
            </w:r>
          </w:p>
        </w:tc>
        <w:tc>
          <w:tcPr>
            <w:tcW w:w="7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43"/>
              <w:ind w:left="47" w:right="0"/>
              <w:jc w:val="left"/>
              <w:rPr>
                <w:rFonts w:ascii="Times New Roman" w:hAnsi="Times New Roman" w:cs="Times New Roman" w:eastAsia="Times New Roman" w:hint="default"/>
                <w:sz w:val="18"/>
                <w:szCs w:val="18"/>
              </w:rPr>
            </w:pPr>
            <w:r>
              <w:rPr>
                <w:rFonts w:ascii="Times New Roman"/>
                <w:sz w:val="18"/>
              </w:rPr>
              <w:t>615,079</w:t>
            </w:r>
          </w:p>
          <w:p>
            <w:pPr>
              <w:pStyle w:val="TableParagraph"/>
              <w:spacing w:line="207" w:lineRule="exact"/>
              <w:ind w:left="92" w:right="0"/>
              <w:jc w:val="left"/>
              <w:rPr>
                <w:rFonts w:ascii="Times New Roman" w:hAnsi="Times New Roman" w:cs="Times New Roman" w:eastAsia="Times New Roman" w:hint="default"/>
                <w:sz w:val="18"/>
                <w:szCs w:val="18"/>
              </w:rPr>
            </w:pPr>
            <w:r>
              <w:rPr>
                <w:rFonts w:ascii="Times New Roman"/>
                <w:sz w:val="18"/>
              </w:rPr>
              <w:t>,483.51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43"/>
              <w:ind w:left="22" w:right="0"/>
              <w:jc w:val="center"/>
              <w:rPr>
                <w:rFonts w:ascii="Times New Roman" w:hAnsi="Times New Roman" w:cs="Times New Roman" w:eastAsia="Times New Roman" w:hint="default"/>
                <w:sz w:val="18"/>
                <w:szCs w:val="18"/>
              </w:rPr>
            </w:pPr>
            <w:r>
              <w:rPr>
                <w:rFonts w:ascii="Times New Roman"/>
                <w:sz w:val="18"/>
              </w:rPr>
              <w:t>2,980,702</w:t>
            </w:r>
          </w:p>
          <w:p>
            <w:pPr>
              <w:pStyle w:val="TableParagraph"/>
              <w:spacing w:line="207" w:lineRule="exact"/>
              <w:ind w:left="202" w:right="0"/>
              <w:jc w:val="center"/>
              <w:rPr>
                <w:rFonts w:ascii="Times New Roman" w:hAnsi="Times New Roman" w:cs="Times New Roman" w:eastAsia="Times New Roman" w:hint="default"/>
                <w:sz w:val="18"/>
                <w:szCs w:val="18"/>
              </w:rPr>
            </w:pPr>
            <w:r>
              <w:rPr>
                <w:rFonts w:ascii="Times New Roman"/>
                <w:sz w:val="18"/>
              </w:rPr>
              <w:t>,629.01</w:t>
            </w: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43"/>
              <w:ind w:left="40" w:right="0"/>
              <w:jc w:val="left"/>
              <w:rPr>
                <w:rFonts w:ascii="Times New Roman" w:hAnsi="Times New Roman" w:cs="Times New Roman" w:eastAsia="Times New Roman" w:hint="default"/>
                <w:sz w:val="18"/>
                <w:szCs w:val="18"/>
              </w:rPr>
            </w:pPr>
            <w:r>
              <w:rPr>
                <w:rFonts w:ascii="Times New Roman"/>
                <w:sz w:val="18"/>
              </w:rPr>
              <w:t>8,239,197,8</w:t>
            </w:r>
          </w:p>
          <w:p>
            <w:pPr>
              <w:pStyle w:val="TableParagraph"/>
              <w:spacing w:line="207" w:lineRule="exact"/>
              <w:ind w:left="492" w:right="0"/>
              <w:jc w:val="left"/>
              <w:rPr>
                <w:rFonts w:ascii="Times New Roman" w:hAnsi="Times New Roman" w:cs="Times New Roman" w:eastAsia="Times New Roman" w:hint="default"/>
                <w:sz w:val="18"/>
                <w:szCs w:val="18"/>
              </w:rPr>
            </w:pPr>
            <w:r>
              <w:rPr>
                <w:rFonts w:ascii="Times New Roman"/>
                <w:sz w:val="18"/>
              </w:rPr>
              <w:t>99.45</w:t>
            </w:r>
          </w:p>
        </w:tc>
      </w:tr>
      <w:tr>
        <w:trPr>
          <w:trHeight w:val="557" w:hRule="exact"/>
        </w:trPr>
        <w:tc>
          <w:tcPr>
            <w:tcW w:w="1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6"/>
              <w:ind w:left="22" w:right="21" w:firstLine="360"/>
              <w:jc w:val="left"/>
              <w:rPr>
                <w:rFonts w:ascii="宋体" w:hAnsi="宋体" w:cs="宋体" w:eastAsia="宋体" w:hint="default"/>
                <w:sz w:val="18"/>
                <w:szCs w:val="18"/>
              </w:rPr>
            </w:pPr>
            <w:r>
              <w:rPr>
                <w:rFonts w:ascii="宋体" w:hAnsi="宋体" w:cs="宋体" w:eastAsia="宋体" w:hint="default"/>
                <w:spacing w:val="-17"/>
                <w:sz w:val="18"/>
                <w:szCs w:val="18"/>
              </w:rPr>
              <w:t>加：会计政</w:t>
            </w:r>
            <w:r>
              <w:rPr>
                <w:rFonts w:ascii="宋体" w:hAnsi="宋体" w:cs="宋体" w:eastAsia="宋体" w:hint="default"/>
                <w:sz w:val="18"/>
                <w:szCs w:val="18"/>
              </w:rPr>
              <w:t> 策变更</w:t>
            </w:r>
          </w:p>
        </w:tc>
        <w:tc>
          <w:tcPr>
            <w:tcW w:w="59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6"/>
              <w:ind w:left="22" w:right="117" w:firstLine="720"/>
              <w:jc w:val="left"/>
              <w:rPr>
                <w:rFonts w:ascii="宋体" w:hAnsi="宋体" w:cs="宋体" w:eastAsia="宋体" w:hint="default"/>
                <w:sz w:val="18"/>
                <w:szCs w:val="18"/>
              </w:rPr>
            </w:pPr>
            <w:r>
              <w:rPr>
                <w:rFonts w:ascii="宋体" w:hAnsi="宋体" w:cs="宋体" w:eastAsia="宋体" w:hint="default"/>
                <w:sz w:val="18"/>
                <w:szCs w:val="18"/>
              </w:rPr>
              <w:t>前期 差错更正</w:t>
            </w:r>
          </w:p>
        </w:tc>
        <w:tc>
          <w:tcPr>
            <w:tcW w:w="59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7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9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left="22" w:right="21"/>
              <w:jc w:val="left"/>
              <w:rPr>
                <w:rFonts w:ascii="宋体" w:hAnsi="宋体" w:cs="宋体" w:eastAsia="宋体" w:hint="default"/>
                <w:sz w:val="18"/>
                <w:szCs w:val="18"/>
              </w:rPr>
            </w:pPr>
            <w:r>
              <w:rPr>
                <w:rFonts w:ascii="宋体" w:hAnsi="宋体" w:cs="宋体" w:eastAsia="宋体" w:hint="default"/>
                <w:spacing w:val="-12"/>
                <w:sz w:val="18"/>
                <w:szCs w:val="18"/>
              </w:rPr>
              <w:t>二、本年期初余</w:t>
            </w:r>
            <w:r>
              <w:rPr>
                <w:rFonts w:ascii="宋体" w:hAnsi="宋体" w:cs="宋体" w:eastAsia="宋体" w:hint="default"/>
                <w:sz w:val="18"/>
                <w:szCs w:val="18"/>
              </w:rPr>
              <w:t> 额</w:t>
            </w:r>
          </w:p>
        </w:tc>
        <w:tc>
          <w:tcPr>
            <w:tcW w:w="59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9"/>
              <w:ind w:left="88" w:right="0"/>
              <w:jc w:val="center"/>
              <w:rPr>
                <w:rFonts w:ascii="Times New Roman" w:hAnsi="Times New Roman" w:cs="Times New Roman" w:eastAsia="Times New Roman" w:hint="default"/>
                <w:sz w:val="18"/>
                <w:szCs w:val="18"/>
              </w:rPr>
            </w:pPr>
            <w:r>
              <w:rPr>
                <w:rFonts w:ascii="Times New Roman"/>
                <w:sz w:val="18"/>
              </w:rPr>
              <w:t>2,428,</w:t>
            </w:r>
          </w:p>
          <w:p>
            <w:pPr>
              <w:pStyle w:val="TableParagraph"/>
              <w:spacing w:line="206" w:lineRule="exact"/>
              <w:ind w:left="42" w:right="0"/>
              <w:jc w:val="center"/>
              <w:rPr>
                <w:rFonts w:ascii="Times New Roman" w:hAnsi="Times New Roman" w:cs="Times New Roman" w:eastAsia="Times New Roman" w:hint="default"/>
                <w:sz w:val="18"/>
                <w:szCs w:val="18"/>
              </w:rPr>
            </w:pPr>
            <w:r>
              <w:rPr>
                <w:rFonts w:ascii="Times New Roman"/>
                <w:sz w:val="18"/>
              </w:rPr>
              <w:t>885,72</w:t>
            </w:r>
          </w:p>
          <w:p>
            <w:pPr>
              <w:pStyle w:val="TableParagraph"/>
              <w:spacing w:line="207" w:lineRule="exact"/>
              <w:ind w:left="222" w:right="0"/>
              <w:jc w:val="center"/>
              <w:rPr>
                <w:rFonts w:ascii="Times New Roman" w:hAnsi="Times New Roman" w:cs="Times New Roman" w:eastAsia="Times New Roman" w:hint="default"/>
                <w:sz w:val="18"/>
                <w:szCs w:val="18"/>
              </w:rPr>
            </w:pPr>
            <w:r>
              <w:rPr>
                <w:rFonts w:ascii="Times New Roman"/>
                <w:sz w:val="18"/>
              </w:rPr>
              <w:t>5.00</w:t>
            </w: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9"/>
              <w:ind w:right="19"/>
              <w:jc w:val="right"/>
              <w:rPr>
                <w:rFonts w:ascii="Times New Roman" w:hAnsi="Times New Roman" w:cs="Times New Roman" w:eastAsia="Times New Roman" w:hint="default"/>
                <w:sz w:val="18"/>
                <w:szCs w:val="18"/>
              </w:rPr>
            </w:pPr>
            <w:r>
              <w:rPr>
                <w:rFonts w:ascii="Times New Roman"/>
                <w:spacing w:val="-1"/>
                <w:sz w:val="18"/>
              </w:rPr>
              <w:t>2,304,5</w:t>
            </w:r>
          </w:p>
          <w:p>
            <w:pPr>
              <w:pStyle w:val="TableParagraph"/>
              <w:spacing w:line="206" w:lineRule="exact"/>
              <w:ind w:right="19"/>
              <w:jc w:val="right"/>
              <w:rPr>
                <w:rFonts w:ascii="Times New Roman" w:hAnsi="Times New Roman" w:cs="Times New Roman" w:eastAsia="Times New Roman" w:hint="default"/>
                <w:sz w:val="18"/>
                <w:szCs w:val="18"/>
              </w:rPr>
            </w:pPr>
            <w:r>
              <w:rPr>
                <w:rFonts w:ascii="Times New Roman"/>
                <w:spacing w:val="-1"/>
                <w:sz w:val="18"/>
              </w:rPr>
              <w:t>33,814.</w:t>
            </w:r>
          </w:p>
          <w:p>
            <w:pPr>
              <w:pStyle w:val="TableParagraph"/>
              <w:spacing w:line="207" w:lineRule="exact"/>
              <w:ind w:right="19"/>
              <w:jc w:val="right"/>
              <w:rPr>
                <w:rFonts w:ascii="Times New Roman" w:hAnsi="Times New Roman" w:cs="Times New Roman" w:eastAsia="Times New Roman" w:hint="default"/>
                <w:sz w:val="18"/>
                <w:szCs w:val="18"/>
              </w:rPr>
            </w:pPr>
            <w:r>
              <w:rPr>
                <w:rFonts w:ascii="Times New Roman"/>
                <w:sz w:val="18"/>
              </w:rPr>
              <w:t>30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42"/>
              <w:ind w:left="32" w:right="0"/>
              <w:jc w:val="center"/>
              <w:rPr>
                <w:rFonts w:ascii="Times New Roman" w:hAnsi="Times New Roman" w:cs="Times New Roman" w:eastAsia="Times New Roman" w:hint="default"/>
                <w:sz w:val="18"/>
                <w:szCs w:val="18"/>
              </w:rPr>
            </w:pPr>
            <w:r>
              <w:rPr>
                <w:rFonts w:ascii="Times New Roman"/>
                <w:sz w:val="18"/>
              </w:rPr>
              <w:t>-90,003,</w:t>
            </w:r>
          </w:p>
          <w:p>
            <w:pPr>
              <w:pStyle w:val="TableParagraph"/>
              <w:spacing w:line="207" w:lineRule="exact"/>
              <w:ind w:left="134" w:right="0"/>
              <w:jc w:val="center"/>
              <w:rPr>
                <w:rFonts w:ascii="Times New Roman" w:hAnsi="Times New Roman" w:cs="Times New Roman" w:eastAsia="Times New Roman" w:hint="default"/>
                <w:sz w:val="18"/>
                <w:szCs w:val="18"/>
              </w:rPr>
            </w:pPr>
            <w:r>
              <w:rPr>
                <w:rFonts w:ascii="Times New Roman"/>
                <w:sz w:val="18"/>
              </w:rPr>
              <w:t>752.37</w:t>
            </w:r>
          </w:p>
        </w:tc>
        <w:tc>
          <w:tcPr>
            <w:tcW w:w="7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42"/>
              <w:ind w:left="47" w:right="0"/>
              <w:jc w:val="left"/>
              <w:rPr>
                <w:rFonts w:ascii="Times New Roman" w:hAnsi="Times New Roman" w:cs="Times New Roman" w:eastAsia="Times New Roman" w:hint="default"/>
                <w:sz w:val="18"/>
                <w:szCs w:val="18"/>
              </w:rPr>
            </w:pPr>
            <w:r>
              <w:rPr>
                <w:rFonts w:ascii="Times New Roman"/>
                <w:sz w:val="18"/>
              </w:rPr>
              <w:t>615,079</w:t>
            </w:r>
          </w:p>
          <w:p>
            <w:pPr>
              <w:pStyle w:val="TableParagraph"/>
              <w:spacing w:line="207" w:lineRule="exact"/>
              <w:ind w:left="92" w:right="0"/>
              <w:jc w:val="left"/>
              <w:rPr>
                <w:rFonts w:ascii="Times New Roman" w:hAnsi="Times New Roman" w:cs="Times New Roman" w:eastAsia="Times New Roman" w:hint="default"/>
                <w:sz w:val="18"/>
                <w:szCs w:val="18"/>
              </w:rPr>
            </w:pPr>
            <w:r>
              <w:rPr>
                <w:rFonts w:ascii="Times New Roman"/>
                <w:sz w:val="18"/>
              </w:rPr>
              <w:t>,483.51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42"/>
              <w:ind w:left="22" w:right="0"/>
              <w:jc w:val="center"/>
              <w:rPr>
                <w:rFonts w:ascii="Times New Roman" w:hAnsi="Times New Roman" w:cs="Times New Roman" w:eastAsia="Times New Roman" w:hint="default"/>
                <w:sz w:val="18"/>
                <w:szCs w:val="18"/>
              </w:rPr>
            </w:pPr>
            <w:r>
              <w:rPr>
                <w:rFonts w:ascii="Times New Roman"/>
                <w:sz w:val="18"/>
              </w:rPr>
              <w:t>2,980,702</w:t>
            </w:r>
          </w:p>
          <w:p>
            <w:pPr>
              <w:pStyle w:val="TableParagraph"/>
              <w:spacing w:line="207" w:lineRule="exact"/>
              <w:ind w:left="202" w:right="0"/>
              <w:jc w:val="center"/>
              <w:rPr>
                <w:rFonts w:ascii="Times New Roman" w:hAnsi="Times New Roman" w:cs="Times New Roman" w:eastAsia="Times New Roman" w:hint="default"/>
                <w:sz w:val="18"/>
                <w:szCs w:val="18"/>
              </w:rPr>
            </w:pPr>
            <w:r>
              <w:rPr>
                <w:rFonts w:ascii="Times New Roman"/>
                <w:sz w:val="18"/>
              </w:rPr>
              <w:t>,629.01</w:t>
            </w: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42"/>
              <w:ind w:left="40" w:right="0"/>
              <w:jc w:val="left"/>
              <w:rPr>
                <w:rFonts w:ascii="Times New Roman" w:hAnsi="Times New Roman" w:cs="Times New Roman" w:eastAsia="Times New Roman" w:hint="default"/>
                <w:sz w:val="18"/>
                <w:szCs w:val="18"/>
              </w:rPr>
            </w:pPr>
            <w:r>
              <w:rPr>
                <w:rFonts w:ascii="Times New Roman"/>
                <w:sz w:val="18"/>
              </w:rPr>
              <w:t>8,239,197,8</w:t>
            </w:r>
          </w:p>
          <w:p>
            <w:pPr>
              <w:pStyle w:val="TableParagraph"/>
              <w:spacing w:line="207" w:lineRule="exact"/>
              <w:ind w:left="492" w:right="0"/>
              <w:jc w:val="left"/>
              <w:rPr>
                <w:rFonts w:ascii="Times New Roman" w:hAnsi="Times New Roman" w:cs="Times New Roman" w:eastAsia="Times New Roman" w:hint="default"/>
                <w:sz w:val="18"/>
                <w:szCs w:val="18"/>
              </w:rPr>
            </w:pPr>
            <w:r>
              <w:rPr>
                <w:rFonts w:ascii="Times New Roman"/>
                <w:sz w:val="18"/>
              </w:rPr>
              <w:t>99.45</w:t>
            </w:r>
          </w:p>
        </w:tc>
      </w:tr>
      <w:tr>
        <w:trPr>
          <w:trHeight w:val="791" w:hRule="exact"/>
        </w:trPr>
        <w:tc>
          <w:tcPr>
            <w:tcW w:w="1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6"/>
              <w:ind w:left="22" w:right="21"/>
              <w:jc w:val="both"/>
              <w:rPr>
                <w:rFonts w:ascii="宋体" w:hAnsi="宋体" w:cs="宋体" w:eastAsia="宋体" w:hint="default"/>
                <w:sz w:val="18"/>
                <w:szCs w:val="18"/>
              </w:rPr>
            </w:pPr>
            <w:r>
              <w:rPr>
                <w:rFonts w:ascii="宋体" w:hAnsi="宋体" w:cs="宋体" w:eastAsia="宋体" w:hint="default"/>
                <w:spacing w:val="-12"/>
                <w:sz w:val="18"/>
                <w:szCs w:val="18"/>
              </w:rPr>
              <w:t>三、本期增减变</w:t>
            </w:r>
            <w:r>
              <w:rPr>
                <w:rFonts w:ascii="宋体" w:hAnsi="宋体" w:cs="宋体" w:eastAsia="宋体" w:hint="default"/>
                <w:sz w:val="18"/>
                <w:szCs w:val="18"/>
              </w:rPr>
              <w:t> </w:t>
            </w:r>
            <w:r>
              <w:rPr>
                <w:rFonts w:ascii="宋体" w:hAnsi="宋体" w:cs="宋体" w:eastAsia="宋体" w:hint="default"/>
                <w:spacing w:val="-12"/>
                <w:sz w:val="18"/>
                <w:szCs w:val="18"/>
              </w:rPr>
              <w:t>动金额（减少以</w:t>
            </w:r>
            <w:r>
              <w:rPr>
                <w:rFonts w:ascii="宋体" w:hAnsi="宋体" w:cs="宋体" w:eastAsia="宋体" w:hint="default"/>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59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07" w:lineRule="exact"/>
              <w:ind w:right="0"/>
              <w:jc w:val="center"/>
              <w:rPr>
                <w:rFonts w:ascii="Times New Roman" w:hAnsi="Times New Roman" w:cs="Times New Roman" w:eastAsia="Times New Roman" w:hint="default"/>
                <w:sz w:val="18"/>
                <w:szCs w:val="18"/>
              </w:rPr>
            </w:pPr>
            <w:r>
              <w:rPr>
                <w:rFonts w:ascii="Times New Roman"/>
                <w:sz w:val="18"/>
              </w:rPr>
              <w:t>113,006,</w:t>
            </w:r>
          </w:p>
          <w:p>
            <w:pPr>
              <w:pStyle w:val="TableParagraph"/>
              <w:spacing w:line="207" w:lineRule="exact"/>
              <w:ind w:left="133" w:right="0"/>
              <w:jc w:val="center"/>
              <w:rPr>
                <w:rFonts w:ascii="Times New Roman" w:hAnsi="Times New Roman" w:cs="Times New Roman" w:eastAsia="Times New Roman" w:hint="default"/>
                <w:sz w:val="18"/>
                <w:szCs w:val="18"/>
              </w:rPr>
            </w:pPr>
            <w:r>
              <w:rPr>
                <w:rFonts w:ascii="Times New Roman"/>
                <w:sz w:val="18"/>
              </w:rPr>
              <w:t>514.72</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78"/>
              <w:ind w:right="20"/>
              <w:jc w:val="right"/>
              <w:rPr>
                <w:rFonts w:ascii="Times New Roman" w:hAnsi="Times New Roman" w:cs="Times New Roman" w:eastAsia="Times New Roman" w:hint="default"/>
                <w:sz w:val="18"/>
                <w:szCs w:val="18"/>
              </w:rPr>
            </w:pPr>
            <w:r>
              <w:rPr>
                <w:rFonts w:ascii="Times New Roman"/>
                <w:spacing w:val="-1"/>
                <w:sz w:val="18"/>
              </w:rPr>
              <w:t>-275,39</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pacing w:val="-1"/>
                <w:sz w:val="18"/>
              </w:rPr>
              <w:t>6,685.9</w:t>
            </w:r>
          </w:p>
          <w:p>
            <w:pPr>
              <w:pStyle w:val="TableParagraph"/>
              <w:spacing w:line="240" w:lineRule="auto" w:before="2"/>
              <w:ind w:right="20"/>
              <w:jc w:val="right"/>
              <w:rPr>
                <w:rFonts w:ascii="Times New Roman" w:hAnsi="Times New Roman" w:cs="Times New Roman" w:eastAsia="Times New Roman" w:hint="default"/>
                <w:sz w:val="18"/>
                <w:szCs w:val="18"/>
              </w:rPr>
            </w:pPr>
            <w:r>
              <w:rPr>
                <w:rFonts w:ascii="Times New Roman"/>
                <w:sz w:val="18"/>
              </w:rPr>
              <w:t>9</w:t>
            </w:r>
          </w:p>
        </w:tc>
        <w:tc>
          <w:tcPr>
            <w:tcW w:w="7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07" w:lineRule="exact"/>
              <w:ind w:left="92" w:right="0"/>
              <w:jc w:val="left"/>
              <w:rPr>
                <w:rFonts w:ascii="Times New Roman" w:hAnsi="Times New Roman" w:cs="Times New Roman" w:eastAsia="Times New Roman" w:hint="default"/>
                <w:sz w:val="18"/>
                <w:szCs w:val="18"/>
              </w:rPr>
            </w:pPr>
            <w:r>
              <w:rPr>
                <w:rFonts w:ascii="Times New Roman"/>
                <w:sz w:val="18"/>
              </w:rPr>
              <w:t>13,514,</w:t>
            </w:r>
          </w:p>
          <w:p>
            <w:pPr>
              <w:pStyle w:val="TableParagraph"/>
              <w:spacing w:line="207" w:lineRule="exact"/>
              <w:ind w:left="136" w:right="0"/>
              <w:jc w:val="left"/>
              <w:rPr>
                <w:rFonts w:ascii="Times New Roman" w:hAnsi="Times New Roman" w:cs="Times New Roman" w:eastAsia="Times New Roman" w:hint="default"/>
                <w:sz w:val="18"/>
                <w:szCs w:val="18"/>
              </w:rPr>
            </w:pPr>
            <w:r>
              <w:rPr>
                <w:rFonts w:ascii="Times New Roman"/>
                <w:sz w:val="18"/>
              </w:rPr>
              <w:t>099.90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07" w:lineRule="exact"/>
              <w:ind w:left="54" w:right="0"/>
              <w:jc w:val="center"/>
              <w:rPr>
                <w:rFonts w:ascii="Times New Roman" w:hAnsi="Times New Roman" w:cs="Times New Roman" w:eastAsia="Times New Roman" w:hint="default"/>
                <w:sz w:val="18"/>
                <w:szCs w:val="18"/>
              </w:rPr>
            </w:pPr>
            <w:r>
              <w:rPr>
                <w:rFonts w:ascii="Times New Roman"/>
                <w:sz w:val="18"/>
              </w:rPr>
              <w:t>-364,150,</w:t>
            </w:r>
          </w:p>
          <w:p>
            <w:pPr>
              <w:pStyle w:val="TableParagraph"/>
              <w:spacing w:line="207" w:lineRule="exact"/>
              <w:ind w:left="247" w:right="0"/>
              <w:jc w:val="center"/>
              <w:rPr>
                <w:rFonts w:ascii="Times New Roman" w:hAnsi="Times New Roman" w:cs="Times New Roman" w:eastAsia="Times New Roman" w:hint="default"/>
                <w:sz w:val="18"/>
                <w:szCs w:val="18"/>
              </w:rPr>
            </w:pPr>
            <w:r>
              <w:rPr>
                <w:rFonts w:ascii="Times New Roman"/>
                <w:sz w:val="18"/>
              </w:rPr>
              <w:t>245.94</w:t>
            </w: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07" w:lineRule="exact"/>
              <w:ind w:left="29" w:right="0"/>
              <w:jc w:val="left"/>
              <w:rPr>
                <w:rFonts w:ascii="Times New Roman" w:hAnsi="Times New Roman" w:cs="Times New Roman" w:eastAsia="Times New Roman" w:hint="default"/>
                <w:sz w:val="18"/>
                <w:szCs w:val="18"/>
              </w:rPr>
            </w:pPr>
            <w:r>
              <w:rPr>
                <w:rFonts w:ascii="Times New Roman"/>
                <w:sz w:val="18"/>
              </w:rPr>
              <w:t>-739,039,34</w:t>
            </w:r>
          </w:p>
          <w:p>
            <w:pPr>
              <w:pStyle w:val="TableParagraph"/>
              <w:spacing w:line="207" w:lineRule="exact"/>
              <w:ind w:left="580" w:right="0"/>
              <w:jc w:val="left"/>
              <w:rPr>
                <w:rFonts w:ascii="Times New Roman" w:hAnsi="Times New Roman" w:cs="Times New Roman" w:eastAsia="Times New Roman" w:hint="default"/>
                <w:sz w:val="18"/>
                <w:szCs w:val="18"/>
              </w:rPr>
            </w:pPr>
            <w:r>
              <w:rPr>
                <w:rFonts w:ascii="Times New Roman"/>
                <w:sz w:val="18"/>
              </w:rPr>
              <w:t>6.75</w:t>
            </w:r>
          </w:p>
        </w:tc>
      </w:tr>
      <w:tr>
        <w:trPr>
          <w:trHeight w:val="711" w:hRule="exact"/>
        </w:trPr>
        <w:tc>
          <w:tcPr>
            <w:tcW w:w="1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112"/>
              <w:ind w:left="22" w:right="21"/>
              <w:jc w:val="left"/>
              <w:rPr>
                <w:rFonts w:ascii="宋体" w:hAnsi="宋体" w:cs="宋体" w:eastAsia="宋体" w:hint="default"/>
                <w:sz w:val="18"/>
                <w:szCs w:val="18"/>
              </w:rPr>
            </w:pPr>
            <w:r>
              <w:rPr>
                <w:rFonts w:ascii="宋体" w:hAnsi="宋体" w:cs="宋体" w:eastAsia="宋体" w:hint="default"/>
                <w:spacing w:val="-12"/>
                <w:sz w:val="18"/>
                <w:szCs w:val="18"/>
              </w:rPr>
              <w:t>（一）综合收益</w:t>
            </w:r>
            <w:r>
              <w:rPr>
                <w:rFonts w:ascii="宋体" w:hAnsi="宋体" w:cs="宋体" w:eastAsia="宋体" w:hint="default"/>
                <w:sz w:val="18"/>
                <w:szCs w:val="18"/>
              </w:rPr>
              <w:t> 总额</w:t>
            </w:r>
          </w:p>
        </w:tc>
        <w:tc>
          <w:tcPr>
            <w:tcW w:w="59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8"/>
              <w:ind w:right="20"/>
              <w:jc w:val="right"/>
              <w:rPr>
                <w:rFonts w:ascii="Times New Roman" w:hAnsi="Times New Roman" w:cs="Times New Roman" w:eastAsia="Times New Roman" w:hint="default"/>
                <w:sz w:val="18"/>
                <w:szCs w:val="18"/>
              </w:rPr>
            </w:pPr>
            <w:r>
              <w:rPr>
                <w:rFonts w:ascii="Times New Roman"/>
                <w:spacing w:val="-1"/>
                <w:sz w:val="18"/>
              </w:rPr>
              <w:t>-275,39</w:t>
            </w:r>
          </w:p>
          <w:p>
            <w:pPr>
              <w:pStyle w:val="TableParagraph"/>
              <w:spacing w:line="206" w:lineRule="exact"/>
              <w:ind w:right="20"/>
              <w:jc w:val="right"/>
              <w:rPr>
                <w:rFonts w:ascii="Times New Roman" w:hAnsi="Times New Roman" w:cs="Times New Roman" w:eastAsia="Times New Roman" w:hint="default"/>
                <w:sz w:val="18"/>
                <w:szCs w:val="18"/>
              </w:rPr>
            </w:pPr>
            <w:r>
              <w:rPr>
                <w:rFonts w:ascii="Times New Roman"/>
                <w:spacing w:val="-1"/>
                <w:sz w:val="18"/>
              </w:rPr>
              <w:t>6,685.9</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9</w:t>
            </w:r>
          </w:p>
        </w:tc>
        <w:tc>
          <w:tcPr>
            <w:tcW w:w="7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41"/>
              <w:ind w:left="44" w:right="0"/>
              <w:jc w:val="left"/>
              <w:rPr>
                <w:rFonts w:ascii="Times New Roman" w:hAnsi="Times New Roman" w:cs="Times New Roman" w:eastAsia="Times New Roman" w:hint="default"/>
                <w:sz w:val="18"/>
                <w:szCs w:val="18"/>
              </w:rPr>
            </w:pPr>
            <w:r>
              <w:rPr>
                <w:rFonts w:ascii="Times New Roman"/>
                <w:sz w:val="18"/>
              </w:rPr>
              <w:t>135,140,9</w:t>
            </w:r>
          </w:p>
          <w:p>
            <w:pPr>
              <w:pStyle w:val="TableParagraph"/>
              <w:spacing w:line="207" w:lineRule="exact"/>
              <w:ind w:left="359" w:right="0"/>
              <w:jc w:val="left"/>
              <w:rPr>
                <w:rFonts w:ascii="Times New Roman" w:hAnsi="Times New Roman" w:cs="Times New Roman" w:eastAsia="Times New Roman" w:hint="default"/>
                <w:sz w:val="18"/>
                <w:szCs w:val="18"/>
              </w:rPr>
            </w:pPr>
            <w:r>
              <w:rPr>
                <w:rFonts w:ascii="Times New Roman"/>
                <w:sz w:val="18"/>
              </w:rPr>
              <w:t>98.96</w:t>
            </w: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41"/>
              <w:ind w:left="29" w:right="0"/>
              <w:jc w:val="left"/>
              <w:rPr>
                <w:rFonts w:ascii="Times New Roman" w:hAnsi="Times New Roman" w:cs="Times New Roman" w:eastAsia="Times New Roman" w:hint="default"/>
                <w:sz w:val="18"/>
                <w:szCs w:val="18"/>
              </w:rPr>
            </w:pPr>
            <w:r>
              <w:rPr>
                <w:rFonts w:ascii="Times New Roman"/>
                <w:sz w:val="18"/>
              </w:rPr>
              <w:t>-140,255,68</w:t>
            </w:r>
          </w:p>
          <w:p>
            <w:pPr>
              <w:pStyle w:val="TableParagraph"/>
              <w:spacing w:line="207" w:lineRule="exact"/>
              <w:ind w:left="580" w:right="0"/>
              <w:jc w:val="left"/>
              <w:rPr>
                <w:rFonts w:ascii="Times New Roman" w:hAnsi="Times New Roman" w:cs="Times New Roman" w:eastAsia="Times New Roman" w:hint="default"/>
                <w:sz w:val="18"/>
                <w:szCs w:val="18"/>
              </w:rPr>
            </w:pPr>
            <w:r>
              <w:rPr>
                <w:rFonts w:ascii="Times New Roman"/>
                <w:sz w:val="18"/>
              </w:rPr>
              <w:t>7.03</w:t>
            </w:r>
          </w:p>
        </w:tc>
      </w:tr>
      <w:tr>
        <w:trPr>
          <w:trHeight w:val="557" w:hRule="exact"/>
        </w:trPr>
        <w:tc>
          <w:tcPr>
            <w:tcW w:w="1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21"/>
              <w:jc w:val="left"/>
              <w:rPr>
                <w:rFonts w:ascii="宋体" w:hAnsi="宋体" w:cs="宋体" w:eastAsia="宋体" w:hint="default"/>
                <w:sz w:val="18"/>
                <w:szCs w:val="18"/>
              </w:rPr>
            </w:pPr>
            <w:r>
              <w:rPr>
                <w:rFonts w:ascii="宋体" w:hAnsi="宋体" w:cs="宋体" w:eastAsia="宋体" w:hint="default"/>
                <w:spacing w:val="-12"/>
                <w:sz w:val="18"/>
                <w:szCs w:val="18"/>
              </w:rPr>
              <w:t>（二）所有者投</w:t>
            </w:r>
            <w:r>
              <w:rPr>
                <w:rFonts w:ascii="宋体" w:hAnsi="宋体" w:cs="宋体" w:eastAsia="宋体" w:hint="default"/>
                <w:sz w:val="18"/>
                <w:szCs w:val="18"/>
              </w:rPr>
              <w:t> 入和减少资本</w:t>
            </w:r>
          </w:p>
        </w:tc>
        <w:tc>
          <w:tcPr>
            <w:tcW w:w="59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4"/>
              <w:ind w:right="0"/>
              <w:jc w:val="center"/>
              <w:rPr>
                <w:rFonts w:ascii="Times New Roman" w:hAnsi="Times New Roman" w:cs="Times New Roman" w:eastAsia="Times New Roman" w:hint="default"/>
                <w:sz w:val="18"/>
                <w:szCs w:val="18"/>
              </w:rPr>
            </w:pPr>
            <w:r>
              <w:rPr>
                <w:rFonts w:ascii="Times New Roman"/>
                <w:sz w:val="18"/>
              </w:rPr>
              <w:t>113,006,</w:t>
            </w:r>
          </w:p>
          <w:p>
            <w:pPr>
              <w:pStyle w:val="TableParagraph"/>
              <w:spacing w:line="207" w:lineRule="exact"/>
              <w:ind w:left="133" w:right="0"/>
              <w:jc w:val="center"/>
              <w:rPr>
                <w:rFonts w:ascii="Times New Roman" w:hAnsi="Times New Roman" w:cs="Times New Roman" w:eastAsia="Times New Roman" w:hint="default"/>
                <w:sz w:val="18"/>
                <w:szCs w:val="18"/>
              </w:rPr>
            </w:pPr>
            <w:r>
              <w:rPr>
                <w:rFonts w:ascii="Times New Roman"/>
                <w:sz w:val="18"/>
              </w:rPr>
              <w:t>514.72</w:t>
            </w:r>
          </w:p>
        </w:tc>
        <w:tc>
          <w:tcPr>
            <w:tcW w:w="68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4"/>
              <w:ind w:left="29" w:right="0"/>
              <w:jc w:val="left"/>
              <w:rPr>
                <w:rFonts w:ascii="Times New Roman" w:hAnsi="Times New Roman" w:cs="Times New Roman" w:eastAsia="Times New Roman" w:hint="default"/>
                <w:sz w:val="18"/>
                <w:szCs w:val="18"/>
              </w:rPr>
            </w:pPr>
            <w:r>
              <w:rPr>
                <w:rFonts w:ascii="Times New Roman"/>
                <w:sz w:val="18"/>
              </w:rPr>
              <w:t>-113,006,51</w:t>
            </w:r>
          </w:p>
          <w:p>
            <w:pPr>
              <w:pStyle w:val="TableParagraph"/>
              <w:spacing w:line="207" w:lineRule="exact"/>
              <w:ind w:left="580" w:right="0"/>
              <w:jc w:val="left"/>
              <w:rPr>
                <w:rFonts w:ascii="Times New Roman" w:hAnsi="Times New Roman" w:cs="Times New Roman" w:eastAsia="Times New Roman" w:hint="default"/>
                <w:sz w:val="18"/>
                <w:szCs w:val="18"/>
              </w:rPr>
            </w:pPr>
            <w:r>
              <w:rPr>
                <w:rFonts w:ascii="Times New Roman"/>
                <w:sz w:val="18"/>
              </w:rPr>
              <w:t>4.72</w:t>
            </w:r>
          </w:p>
        </w:tc>
      </w:tr>
      <w:tr>
        <w:trPr>
          <w:trHeight w:val="555" w:hRule="exact"/>
        </w:trPr>
        <w:tc>
          <w:tcPr>
            <w:tcW w:w="1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7"/>
              <w:ind w:left="22" w:right="2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59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12" w:footer="1264" w:top="980" w:bottom="1460" w:left="16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tbl>
      <w:tblPr>
        <w:tblW w:w="0" w:type="auto"/>
        <w:jc w:val="left"/>
        <w:tblInd w:w="112" w:type="dxa"/>
        <w:tblLayout w:type="fixed"/>
        <w:tblCellMar>
          <w:top w:w="0" w:type="dxa"/>
          <w:left w:w="0" w:type="dxa"/>
          <w:bottom w:w="0" w:type="dxa"/>
          <w:right w:w="0" w:type="dxa"/>
        </w:tblCellMar>
        <w:tblLook w:val="01E0"/>
      </w:tblPr>
      <w:tblGrid>
        <w:gridCol w:w="1231"/>
        <w:gridCol w:w="594"/>
        <w:gridCol w:w="572"/>
        <w:gridCol w:w="572"/>
        <w:gridCol w:w="572"/>
        <w:gridCol w:w="685"/>
        <w:gridCol w:w="686"/>
        <w:gridCol w:w="685"/>
        <w:gridCol w:w="781"/>
        <w:gridCol w:w="665"/>
        <w:gridCol w:w="798"/>
        <w:gridCol w:w="797"/>
        <w:gridCol w:w="930"/>
      </w:tblGrid>
      <w:tr>
        <w:trPr>
          <w:trHeight w:val="790" w:hRule="exact"/>
        </w:trPr>
        <w:tc>
          <w:tcPr>
            <w:tcW w:w="1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6"/>
              <w:ind w:left="22" w:right="2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59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231"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w:t>
            </w:r>
          </w:p>
        </w:tc>
        <w:tc>
          <w:tcPr>
            <w:tcW w:w="594" w:type="dxa"/>
            <w:vMerge w:val="restart"/>
            <w:tcBorders>
              <w:top w:val="single" w:sz="4" w:space="0" w:color="000000"/>
              <w:left w:val="single" w:sz="4" w:space="0" w:color="000000"/>
              <w:right w:val="single" w:sz="4" w:space="0" w:color="000000"/>
            </w:tcBorders>
          </w:tcPr>
          <w:p>
            <w:pPr/>
          </w:p>
        </w:tc>
        <w:tc>
          <w:tcPr>
            <w:tcW w:w="572" w:type="dxa"/>
            <w:vMerge w:val="restart"/>
            <w:tcBorders>
              <w:top w:val="single" w:sz="4" w:space="0" w:color="000000"/>
              <w:left w:val="single" w:sz="4" w:space="0" w:color="000000"/>
              <w:right w:val="single" w:sz="4" w:space="0" w:color="000000"/>
            </w:tcBorders>
          </w:tcPr>
          <w:p>
            <w:pPr/>
          </w:p>
        </w:tc>
        <w:tc>
          <w:tcPr>
            <w:tcW w:w="572" w:type="dxa"/>
            <w:vMerge w:val="restart"/>
            <w:tcBorders>
              <w:top w:val="single" w:sz="4" w:space="0" w:color="000000"/>
              <w:left w:val="single" w:sz="4" w:space="0" w:color="000000"/>
              <w:right w:val="single" w:sz="4" w:space="0" w:color="000000"/>
            </w:tcBorders>
          </w:tcPr>
          <w:p>
            <w:pPr/>
          </w:p>
        </w:tc>
        <w:tc>
          <w:tcPr>
            <w:tcW w:w="572"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781"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930" w:type="dxa"/>
            <w:vMerge w:val="restart"/>
            <w:tcBorders>
              <w:top w:val="single" w:sz="4" w:space="0" w:color="000000"/>
              <w:left w:val="single" w:sz="4" w:space="0" w:color="000000"/>
              <w:right w:val="single" w:sz="4" w:space="0" w:color="000000"/>
            </w:tcBorders>
          </w:tcPr>
          <w:p>
            <w:pPr/>
          </w:p>
        </w:tc>
      </w:tr>
      <w:tr>
        <w:trPr>
          <w:trHeight w:val="229" w:hRule="exact"/>
        </w:trPr>
        <w:tc>
          <w:tcPr>
            <w:tcW w:w="123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01" w:lineRule="exact"/>
              <w:ind w:left="22" w:right="0"/>
              <w:jc w:val="left"/>
              <w:rPr>
                <w:rFonts w:ascii="宋体" w:hAnsi="宋体" w:cs="宋体" w:eastAsia="宋体" w:hint="default"/>
                <w:sz w:val="18"/>
                <w:szCs w:val="18"/>
              </w:rPr>
            </w:pPr>
            <w:r>
              <w:rPr>
                <w:rFonts w:ascii="宋体" w:hAnsi="宋体" w:cs="宋体" w:eastAsia="宋体" w:hint="default"/>
                <w:sz w:val="18"/>
                <w:szCs w:val="18"/>
              </w:rPr>
              <w:t>入所有者权益</w:t>
            </w:r>
          </w:p>
        </w:tc>
        <w:tc>
          <w:tcPr>
            <w:tcW w:w="594" w:type="dxa"/>
            <w:vMerge/>
            <w:tcBorders>
              <w:left w:val="single" w:sz="4" w:space="0" w:color="000000"/>
              <w:right w:val="single" w:sz="4" w:space="0" w:color="000000"/>
            </w:tcBorders>
          </w:tcPr>
          <w:p>
            <w:pPr/>
          </w:p>
        </w:tc>
        <w:tc>
          <w:tcPr>
            <w:tcW w:w="572" w:type="dxa"/>
            <w:vMerge/>
            <w:tcBorders>
              <w:left w:val="single" w:sz="4" w:space="0" w:color="000000"/>
              <w:right w:val="single" w:sz="4" w:space="0" w:color="000000"/>
            </w:tcBorders>
          </w:tcPr>
          <w:p>
            <w:pPr/>
          </w:p>
        </w:tc>
        <w:tc>
          <w:tcPr>
            <w:tcW w:w="572" w:type="dxa"/>
            <w:vMerge/>
            <w:tcBorders>
              <w:left w:val="single" w:sz="4" w:space="0" w:color="000000"/>
              <w:right w:val="single" w:sz="4" w:space="0" w:color="000000"/>
            </w:tcBorders>
          </w:tcPr>
          <w:p>
            <w:pPr/>
          </w:p>
        </w:tc>
        <w:tc>
          <w:tcPr>
            <w:tcW w:w="572"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930" w:type="dxa"/>
            <w:vMerge/>
            <w:tcBorders>
              <w:left w:val="single" w:sz="4" w:space="0" w:color="000000"/>
              <w:right w:val="single" w:sz="4" w:space="0" w:color="000000"/>
            </w:tcBorders>
          </w:tcPr>
          <w:p>
            <w:pPr/>
          </w:p>
        </w:tc>
      </w:tr>
      <w:tr>
        <w:trPr>
          <w:trHeight w:val="279" w:hRule="exact"/>
        </w:trPr>
        <w:tc>
          <w:tcPr>
            <w:tcW w:w="1231"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08" w:lineRule="exact"/>
              <w:ind w:left="22" w:right="0"/>
              <w:jc w:val="left"/>
              <w:rPr>
                <w:rFonts w:ascii="宋体" w:hAnsi="宋体" w:cs="宋体" w:eastAsia="宋体" w:hint="default"/>
                <w:sz w:val="18"/>
                <w:szCs w:val="18"/>
              </w:rPr>
            </w:pPr>
            <w:r>
              <w:rPr>
                <w:rFonts w:ascii="宋体" w:hAnsi="宋体" w:cs="宋体" w:eastAsia="宋体" w:hint="default"/>
                <w:sz w:val="18"/>
                <w:szCs w:val="18"/>
              </w:rPr>
              <w:t>的金额</w:t>
            </w:r>
          </w:p>
        </w:tc>
        <w:tc>
          <w:tcPr>
            <w:tcW w:w="594" w:type="dxa"/>
            <w:vMerge/>
            <w:tcBorders>
              <w:left w:val="single" w:sz="4" w:space="0" w:color="000000"/>
              <w:bottom w:val="single" w:sz="4" w:space="0" w:color="000000"/>
              <w:right w:val="single" w:sz="4" w:space="0" w:color="000000"/>
            </w:tcBorders>
          </w:tcPr>
          <w:p>
            <w:pPr/>
          </w:p>
        </w:tc>
        <w:tc>
          <w:tcPr>
            <w:tcW w:w="572" w:type="dxa"/>
            <w:vMerge/>
            <w:tcBorders>
              <w:left w:val="single" w:sz="4" w:space="0" w:color="000000"/>
              <w:bottom w:val="single" w:sz="4" w:space="0" w:color="000000"/>
              <w:right w:val="single" w:sz="4" w:space="0" w:color="000000"/>
            </w:tcBorders>
          </w:tcPr>
          <w:p>
            <w:pPr/>
          </w:p>
        </w:tc>
        <w:tc>
          <w:tcPr>
            <w:tcW w:w="572" w:type="dxa"/>
            <w:vMerge/>
            <w:tcBorders>
              <w:left w:val="single" w:sz="4" w:space="0" w:color="000000"/>
              <w:bottom w:val="single" w:sz="4" w:space="0" w:color="000000"/>
              <w:right w:val="single" w:sz="4" w:space="0" w:color="000000"/>
            </w:tcBorders>
          </w:tcPr>
          <w:p>
            <w:pPr/>
          </w:p>
        </w:tc>
        <w:tc>
          <w:tcPr>
            <w:tcW w:w="572"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930" w:type="dxa"/>
            <w:vMerge/>
            <w:tcBorders>
              <w:left w:val="single" w:sz="4" w:space="0" w:color="000000"/>
              <w:bottom w:val="single" w:sz="4" w:space="0" w:color="000000"/>
              <w:right w:val="single" w:sz="4" w:space="0" w:color="000000"/>
            </w:tcBorders>
          </w:tcPr>
          <w:p>
            <w:pPr/>
          </w:p>
        </w:tc>
      </w:tr>
      <w:tr>
        <w:trPr>
          <w:trHeight w:val="504" w:hRule="exact"/>
        </w:trPr>
        <w:tc>
          <w:tcPr>
            <w:tcW w:w="1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9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40"/>
              <w:ind w:right="0"/>
              <w:jc w:val="center"/>
              <w:rPr>
                <w:rFonts w:ascii="Times New Roman" w:hAnsi="Times New Roman" w:cs="Times New Roman" w:eastAsia="Times New Roman" w:hint="default"/>
                <w:sz w:val="18"/>
                <w:szCs w:val="18"/>
              </w:rPr>
            </w:pPr>
            <w:r>
              <w:rPr>
                <w:rFonts w:ascii="Times New Roman"/>
                <w:sz w:val="18"/>
              </w:rPr>
              <w:t>113,006,</w:t>
            </w:r>
          </w:p>
          <w:p>
            <w:pPr>
              <w:pStyle w:val="TableParagraph"/>
              <w:spacing w:line="207" w:lineRule="exact"/>
              <w:ind w:left="133" w:right="0"/>
              <w:jc w:val="center"/>
              <w:rPr>
                <w:rFonts w:ascii="Times New Roman" w:hAnsi="Times New Roman" w:cs="Times New Roman" w:eastAsia="Times New Roman" w:hint="default"/>
                <w:sz w:val="18"/>
                <w:szCs w:val="18"/>
              </w:rPr>
            </w:pPr>
            <w:r>
              <w:rPr>
                <w:rFonts w:ascii="Times New Roman"/>
                <w:sz w:val="18"/>
              </w:rPr>
              <w:t>514.72</w:t>
            </w:r>
          </w:p>
        </w:tc>
        <w:tc>
          <w:tcPr>
            <w:tcW w:w="68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40"/>
              <w:ind w:left="29" w:right="0"/>
              <w:jc w:val="left"/>
              <w:rPr>
                <w:rFonts w:ascii="Times New Roman" w:hAnsi="Times New Roman" w:cs="Times New Roman" w:eastAsia="Times New Roman" w:hint="default"/>
                <w:sz w:val="18"/>
                <w:szCs w:val="18"/>
              </w:rPr>
            </w:pPr>
            <w:r>
              <w:rPr>
                <w:rFonts w:ascii="Times New Roman"/>
                <w:sz w:val="18"/>
              </w:rPr>
              <w:t>-113,006,51</w:t>
            </w:r>
          </w:p>
          <w:p>
            <w:pPr>
              <w:pStyle w:val="TableParagraph"/>
              <w:spacing w:line="207" w:lineRule="exact"/>
              <w:ind w:left="580" w:right="0"/>
              <w:jc w:val="left"/>
              <w:rPr>
                <w:rFonts w:ascii="Times New Roman" w:hAnsi="Times New Roman" w:cs="Times New Roman" w:eastAsia="Times New Roman" w:hint="default"/>
                <w:sz w:val="18"/>
                <w:szCs w:val="18"/>
              </w:rPr>
            </w:pPr>
            <w:r>
              <w:rPr>
                <w:rFonts w:ascii="Times New Roman"/>
                <w:sz w:val="18"/>
              </w:rPr>
              <w:t>4.72</w:t>
            </w:r>
          </w:p>
        </w:tc>
      </w:tr>
      <w:tr>
        <w:trPr>
          <w:trHeight w:val="504" w:hRule="exact"/>
        </w:trPr>
        <w:tc>
          <w:tcPr>
            <w:tcW w:w="1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2" w:right="0"/>
              <w:jc w:val="lef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pacing w:val="-84"/>
                <w:sz w:val="18"/>
                <w:szCs w:val="18"/>
              </w:rPr>
              <w:t>）</w:t>
            </w:r>
            <w:r>
              <w:rPr>
                <w:rFonts w:ascii="宋体" w:hAnsi="宋体" w:cs="宋体" w:eastAsia="宋体" w:hint="default"/>
                <w:sz w:val="18"/>
                <w:szCs w:val="18"/>
              </w:rPr>
              <w:t>利润分配</w:t>
            </w:r>
          </w:p>
        </w:tc>
        <w:tc>
          <w:tcPr>
            <w:tcW w:w="59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40"/>
              <w:ind w:left="92" w:right="0"/>
              <w:jc w:val="left"/>
              <w:rPr>
                <w:rFonts w:ascii="Times New Roman" w:hAnsi="Times New Roman" w:cs="Times New Roman" w:eastAsia="Times New Roman" w:hint="default"/>
                <w:sz w:val="18"/>
                <w:szCs w:val="18"/>
              </w:rPr>
            </w:pPr>
            <w:r>
              <w:rPr>
                <w:rFonts w:ascii="Times New Roman"/>
                <w:sz w:val="18"/>
              </w:rPr>
              <w:t>13,514,</w:t>
            </w:r>
          </w:p>
          <w:p>
            <w:pPr>
              <w:pStyle w:val="TableParagraph"/>
              <w:spacing w:line="207" w:lineRule="exact"/>
              <w:ind w:left="136" w:right="0"/>
              <w:jc w:val="left"/>
              <w:rPr>
                <w:rFonts w:ascii="Times New Roman" w:hAnsi="Times New Roman" w:cs="Times New Roman" w:eastAsia="Times New Roman" w:hint="default"/>
                <w:sz w:val="18"/>
                <w:szCs w:val="18"/>
              </w:rPr>
            </w:pPr>
            <w:r>
              <w:rPr>
                <w:rFonts w:ascii="Times New Roman"/>
                <w:sz w:val="18"/>
              </w:rPr>
              <w:t>099.90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40"/>
              <w:ind w:left="54" w:right="0"/>
              <w:jc w:val="center"/>
              <w:rPr>
                <w:rFonts w:ascii="Times New Roman" w:hAnsi="Times New Roman" w:cs="Times New Roman" w:eastAsia="Times New Roman" w:hint="default"/>
                <w:sz w:val="18"/>
                <w:szCs w:val="18"/>
              </w:rPr>
            </w:pPr>
            <w:r>
              <w:rPr>
                <w:rFonts w:ascii="Times New Roman"/>
                <w:sz w:val="18"/>
              </w:rPr>
              <w:t>-499,291,</w:t>
            </w:r>
          </w:p>
          <w:p>
            <w:pPr>
              <w:pStyle w:val="TableParagraph"/>
              <w:spacing w:line="207" w:lineRule="exact"/>
              <w:ind w:left="247" w:right="0"/>
              <w:jc w:val="center"/>
              <w:rPr>
                <w:rFonts w:ascii="Times New Roman" w:hAnsi="Times New Roman" w:cs="Times New Roman" w:eastAsia="Times New Roman" w:hint="default"/>
                <w:sz w:val="18"/>
                <w:szCs w:val="18"/>
              </w:rPr>
            </w:pPr>
            <w:r>
              <w:rPr>
                <w:rFonts w:ascii="Times New Roman"/>
                <w:sz w:val="18"/>
              </w:rPr>
              <w:t>244.90</w:t>
            </w: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40"/>
              <w:ind w:left="29" w:right="0"/>
              <w:jc w:val="left"/>
              <w:rPr>
                <w:rFonts w:ascii="Times New Roman" w:hAnsi="Times New Roman" w:cs="Times New Roman" w:eastAsia="Times New Roman" w:hint="default"/>
                <w:sz w:val="18"/>
                <w:szCs w:val="18"/>
              </w:rPr>
            </w:pPr>
            <w:r>
              <w:rPr>
                <w:rFonts w:ascii="Times New Roman"/>
                <w:sz w:val="18"/>
              </w:rPr>
              <w:t>-485,777,14</w:t>
            </w:r>
          </w:p>
          <w:p>
            <w:pPr>
              <w:pStyle w:val="TableParagraph"/>
              <w:spacing w:line="207" w:lineRule="exact"/>
              <w:ind w:left="580" w:right="0"/>
              <w:jc w:val="left"/>
              <w:rPr>
                <w:rFonts w:ascii="Times New Roman" w:hAnsi="Times New Roman" w:cs="Times New Roman" w:eastAsia="Times New Roman" w:hint="default"/>
                <w:sz w:val="18"/>
                <w:szCs w:val="18"/>
              </w:rPr>
            </w:pPr>
            <w:r>
              <w:rPr>
                <w:rFonts w:ascii="Times New Roman"/>
                <w:sz w:val="18"/>
              </w:rPr>
              <w:t>5.00</w:t>
            </w:r>
          </w:p>
        </w:tc>
      </w:tr>
      <w:tr>
        <w:trPr>
          <w:trHeight w:val="286" w:hRule="exact"/>
        </w:trPr>
        <w:tc>
          <w:tcPr>
            <w:tcW w:w="1231"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1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w:t>
            </w:r>
          </w:p>
        </w:tc>
        <w:tc>
          <w:tcPr>
            <w:tcW w:w="594" w:type="dxa"/>
            <w:vMerge w:val="restart"/>
            <w:tcBorders>
              <w:top w:val="single" w:sz="4" w:space="0" w:color="000000"/>
              <w:left w:val="single" w:sz="4" w:space="0" w:color="000000"/>
              <w:right w:val="single" w:sz="4" w:space="0" w:color="000000"/>
            </w:tcBorders>
          </w:tcPr>
          <w:p>
            <w:pPr/>
          </w:p>
        </w:tc>
        <w:tc>
          <w:tcPr>
            <w:tcW w:w="572" w:type="dxa"/>
            <w:vMerge w:val="restart"/>
            <w:tcBorders>
              <w:top w:val="single" w:sz="4" w:space="0" w:color="000000"/>
              <w:left w:val="single" w:sz="4" w:space="0" w:color="000000"/>
              <w:right w:val="single" w:sz="4" w:space="0" w:color="000000"/>
            </w:tcBorders>
          </w:tcPr>
          <w:p>
            <w:pPr/>
          </w:p>
        </w:tc>
        <w:tc>
          <w:tcPr>
            <w:tcW w:w="572" w:type="dxa"/>
            <w:vMerge w:val="restart"/>
            <w:tcBorders>
              <w:top w:val="single" w:sz="4" w:space="0" w:color="000000"/>
              <w:left w:val="single" w:sz="4" w:space="0" w:color="000000"/>
              <w:right w:val="single" w:sz="4" w:space="0" w:color="000000"/>
            </w:tcBorders>
          </w:tcPr>
          <w:p>
            <w:pPr/>
          </w:p>
        </w:tc>
        <w:tc>
          <w:tcPr>
            <w:tcW w:w="572"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781" w:type="dxa"/>
            <w:vMerge w:val="restart"/>
            <w:tcBorders>
              <w:top w:val="single" w:sz="4" w:space="0" w:color="000000"/>
              <w:left w:val="single" w:sz="4" w:space="0" w:color="000000"/>
              <w:right w:val="single" w:sz="4" w:space="0" w:color="000000"/>
            </w:tcBorders>
          </w:tcPr>
          <w:p>
            <w:pPr/>
          </w:p>
        </w:tc>
        <w:tc>
          <w:tcPr>
            <w:tcW w:w="66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6"/>
              <w:ind w:left="69" w:right="0"/>
              <w:jc w:val="center"/>
              <w:rPr>
                <w:rFonts w:ascii="Times New Roman" w:hAnsi="Times New Roman" w:cs="Times New Roman" w:eastAsia="Times New Roman" w:hint="default"/>
                <w:sz w:val="18"/>
                <w:szCs w:val="18"/>
              </w:rPr>
            </w:pPr>
            <w:r>
              <w:rPr>
                <w:rFonts w:ascii="Times New Roman"/>
                <w:sz w:val="18"/>
              </w:rPr>
              <w:t>13,514,</w:t>
            </w:r>
          </w:p>
        </w:tc>
        <w:tc>
          <w:tcPr>
            <w:tcW w:w="7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6"/>
              <w:ind w:right="20"/>
              <w:jc w:val="right"/>
              <w:rPr>
                <w:rFonts w:ascii="Times New Roman" w:hAnsi="Times New Roman" w:cs="Times New Roman" w:eastAsia="Times New Roman" w:hint="default"/>
                <w:sz w:val="18"/>
                <w:szCs w:val="18"/>
              </w:rPr>
            </w:pPr>
            <w:r>
              <w:rPr>
                <w:rFonts w:ascii="Times New Roman"/>
                <w:spacing w:val="-1"/>
                <w:sz w:val="18"/>
              </w:rPr>
              <w:t>-13,514,0</w:t>
            </w:r>
          </w:p>
        </w:tc>
        <w:tc>
          <w:tcPr>
            <w:tcW w:w="797" w:type="dxa"/>
            <w:vMerge w:val="restart"/>
            <w:tcBorders>
              <w:top w:val="single" w:sz="4" w:space="0" w:color="000000"/>
              <w:left w:val="single" w:sz="4" w:space="0" w:color="000000"/>
              <w:right w:val="single" w:sz="4" w:space="0" w:color="000000"/>
            </w:tcBorders>
          </w:tcPr>
          <w:p>
            <w:pPr/>
          </w:p>
        </w:tc>
        <w:tc>
          <w:tcPr>
            <w:tcW w:w="930" w:type="dxa"/>
            <w:vMerge w:val="restart"/>
            <w:tcBorders>
              <w:top w:val="single" w:sz="4" w:space="0" w:color="000000"/>
              <w:left w:val="single" w:sz="4" w:space="0" w:color="000000"/>
              <w:right w:val="single" w:sz="4" w:space="0" w:color="000000"/>
            </w:tcBorders>
          </w:tcPr>
          <w:p>
            <w:pPr/>
          </w:p>
        </w:tc>
      </w:tr>
      <w:tr>
        <w:trPr>
          <w:trHeight w:val="270" w:hRule="exact"/>
        </w:trPr>
        <w:tc>
          <w:tcPr>
            <w:tcW w:w="1231"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199" w:lineRule="exact"/>
              <w:ind w:left="22" w:right="0"/>
              <w:jc w:val="left"/>
              <w:rPr>
                <w:rFonts w:ascii="宋体" w:hAnsi="宋体" w:cs="宋体" w:eastAsia="宋体" w:hint="default"/>
                <w:sz w:val="18"/>
                <w:szCs w:val="18"/>
              </w:rPr>
            </w:pPr>
            <w:r>
              <w:rPr>
                <w:rFonts w:ascii="宋体" w:hAnsi="宋体" w:cs="宋体" w:eastAsia="宋体" w:hint="default"/>
                <w:sz w:val="18"/>
                <w:szCs w:val="18"/>
              </w:rPr>
              <w:t>积</w:t>
            </w:r>
          </w:p>
        </w:tc>
        <w:tc>
          <w:tcPr>
            <w:tcW w:w="594" w:type="dxa"/>
            <w:vMerge/>
            <w:tcBorders>
              <w:left w:val="single" w:sz="4" w:space="0" w:color="000000"/>
              <w:bottom w:val="single" w:sz="4" w:space="0" w:color="000000"/>
              <w:right w:val="single" w:sz="4" w:space="0" w:color="000000"/>
            </w:tcBorders>
          </w:tcPr>
          <w:p>
            <w:pPr/>
          </w:p>
        </w:tc>
        <w:tc>
          <w:tcPr>
            <w:tcW w:w="572" w:type="dxa"/>
            <w:vMerge/>
            <w:tcBorders>
              <w:left w:val="single" w:sz="4" w:space="0" w:color="000000"/>
              <w:bottom w:val="single" w:sz="4" w:space="0" w:color="000000"/>
              <w:right w:val="single" w:sz="4" w:space="0" w:color="000000"/>
            </w:tcBorders>
          </w:tcPr>
          <w:p>
            <w:pPr/>
          </w:p>
        </w:tc>
        <w:tc>
          <w:tcPr>
            <w:tcW w:w="572" w:type="dxa"/>
            <w:vMerge/>
            <w:tcBorders>
              <w:left w:val="single" w:sz="4" w:space="0" w:color="000000"/>
              <w:bottom w:val="single" w:sz="4" w:space="0" w:color="000000"/>
              <w:right w:val="single" w:sz="4" w:space="0" w:color="000000"/>
            </w:tcBorders>
          </w:tcPr>
          <w:p>
            <w:pPr/>
          </w:p>
        </w:tc>
        <w:tc>
          <w:tcPr>
            <w:tcW w:w="572"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c>
          <w:tcPr>
            <w:tcW w:w="665" w:type="dxa"/>
            <w:tcBorders>
              <w:top w:val="nil" w:sz="6" w:space="0" w:color="auto"/>
              <w:left w:val="single" w:sz="4" w:space="0" w:color="000000"/>
              <w:bottom w:val="single" w:sz="4" w:space="0" w:color="000000"/>
              <w:right w:val="single" w:sz="4" w:space="0" w:color="000000"/>
            </w:tcBorders>
          </w:tcPr>
          <w:p>
            <w:pPr>
              <w:pStyle w:val="TableParagraph"/>
              <w:spacing w:line="196" w:lineRule="exact"/>
              <w:ind w:left="112" w:right="0"/>
              <w:jc w:val="center"/>
              <w:rPr>
                <w:rFonts w:ascii="Times New Roman" w:hAnsi="Times New Roman" w:cs="Times New Roman" w:eastAsia="Times New Roman" w:hint="default"/>
                <w:sz w:val="18"/>
                <w:szCs w:val="18"/>
              </w:rPr>
            </w:pPr>
            <w:r>
              <w:rPr>
                <w:rFonts w:ascii="Times New Roman"/>
                <w:sz w:val="18"/>
              </w:rPr>
              <w:t>099.90</w:t>
            </w:r>
          </w:p>
        </w:tc>
        <w:tc>
          <w:tcPr>
            <w:tcW w:w="798" w:type="dxa"/>
            <w:tcBorders>
              <w:top w:val="nil" w:sz="6" w:space="0" w:color="auto"/>
              <w:left w:val="single" w:sz="4" w:space="0" w:color="000000"/>
              <w:bottom w:val="single" w:sz="4" w:space="0" w:color="000000"/>
              <w:right w:val="single" w:sz="4" w:space="0" w:color="000000"/>
            </w:tcBorders>
          </w:tcPr>
          <w:p>
            <w:pPr>
              <w:pStyle w:val="TableParagraph"/>
              <w:spacing w:line="196" w:lineRule="exact"/>
              <w:ind w:right="20"/>
              <w:jc w:val="right"/>
              <w:rPr>
                <w:rFonts w:ascii="Times New Roman" w:hAnsi="Times New Roman" w:cs="Times New Roman" w:eastAsia="Times New Roman" w:hint="default"/>
                <w:sz w:val="18"/>
                <w:szCs w:val="18"/>
              </w:rPr>
            </w:pPr>
            <w:r>
              <w:rPr>
                <w:rFonts w:ascii="Times New Roman"/>
                <w:sz w:val="18"/>
              </w:rPr>
              <w:t>99.90</w:t>
            </w:r>
          </w:p>
        </w:tc>
        <w:tc>
          <w:tcPr>
            <w:tcW w:w="797" w:type="dxa"/>
            <w:vMerge/>
            <w:tcBorders>
              <w:left w:val="single" w:sz="4" w:space="0" w:color="000000"/>
              <w:bottom w:val="single" w:sz="4" w:space="0" w:color="000000"/>
              <w:right w:val="single" w:sz="4" w:space="0" w:color="000000"/>
            </w:tcBorders>
          </w:tcPr>
          <w:p>
            <w:pPr/>
          </w:p>
        </w:tc>
        <w:tc>
          <w:tcPr>
            <w:tcW w:w="930" w:type="dxa"/>
            <w:vMerge/>
            <w:tcBorders>
              <w:left w:val="single" w:sz="4" w:space="0" w:color="000000"/>
              <w:bottom w:val="single" w:sz="4" w:space="0" w:color="000000"/>
              <w:right w:val="single" w:sz="4" w:space="0" w:color="000000"/>
            </w:tcBorders>
          </w:tcPr>
          <w:p>
            <w:pPr/>
          </w:p>
        </w:tc>
      </w:tr>
      <w:tr>
        <w:trPr>
          <w:trHeight w:val="287" w:hRule="exact"/>
        </w:trPr>
        <w:tc>
          <w:tcPr>
            <w:tcW w:w="1231"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13"/>
              <w:ind w:left="22"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89"/>
                <w:sz w:val="18"/>
                <w:szCs w:val="18"/>
              </w:rPr>
              <w:t>．</w:t>
            </w:r>
            <w:r>
              <w:rPr>
                <w:rFonts w:ascii="宋体" w:hAnsi="宋体" w:cs="宋体" w:eastAsia="宋体" w:hint="default"/>
                <w:sz w:val="18"/>
                <w:szCs w:val="18"/>
              </w:rPr>
              <w:t>对所有</w:t>
            </w:r>
            <w:r>
              <w:rPr>
                <w:rFonts w:ascii="宋体" w:hAnsi="宋体" w:cs="宋体" w:eastAsia="宋体" w:hint="default"/>
                <w:spacing w:val="-87"/>
                <w:sz w:val="18"/>
                <w:szCs w:val="18"/>
              </w:rPr>
              <w:t>者</w:t>
            </w:r>
            <w:r>
              <w:rPr>
                <w:rFonts w:ascii="宋体" w:hAnsi="宋体" w:cs="宋体" w:eastAsia="宋体" w:hint="default"/>
                <w:sz w:val="18"/>
                <w:szCs w:val="18"/>
              </w:rPr>
              <w:t>（或</w:t>
            </w:r>
          </w:p>
        </w:tc>
        <w:tc>
          <w:tcPr>
            <w:tcW w:w="594" w:type="dxa"/>
            <w:vMerge w:val="restart"/>
            <w:tcBorders>
              <w:top w:val="single" w:sz="4" w:space="0" w:color="000000"/>
              <w:left w:val="single" w:sz="4" w:space="0" w:color="000000"/>
              <w:right w:val="single" w:sz="4" w:space="0" w:color="000000"/>
            </w:tcBorders>
          </w:tcPr>
          <w:p>
            <w:pPr/>
          </w:p>
        </w:tc>
        <w:tc>
          <w:tcPr>
            <w:tcW w:w="572" w:type="dxa"/>
            <w:vMerge w:val="restart"/>
            <w:tcBorders>
              <w:top w:val="single" w:sz="4" w:space="0" w:color="000000"/>
              <w:left w:val="single" w:sz="4" w:space="0" w:color="000000"/>
              <w:right w:val="single" w:sz="4" w:space="0" w:color="000000"/>
            </w:tcBorders>
          </w:tcPr>
          <w:p>
            <w:pPr/>
          </w:p>
        </w:tc>
        <w:tc>
          <w:tcPr>
            <w:tcW w:w="572" w:type="dxa"/>
            <w:vMerge w:val="restart"/>
            <w:tcBorders>
              <w:top w:val="single" w:sz="4" w:space="0" w:color="000000"/>
              <w:left w:val="single" w:sz="4" w:space="0" w:color="000000"/>
              <w:right w:val="single" w:sz="4" w:space="0" w:color="000000"/>
            </w:tcBorders>
          </w:tcPr>
          <w:p>
            <w:pPr/>
          </w:p>
        </w:tc>
        <w:tc>
          <w:tcPr>
            <w:tcW w:w="572"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781"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7"/>
              <w:ind w:right="19"/>
              <w:jc w:val="right"/>
              <w:rPr>
                <w:rFonts w:ascii="Times New Roman" w:hAnsi="Times New Roman" w:cs="Times New Roman" w:eastAsia="Times New Roman" w:hint="default"/>
                <w:sz w:val="18"/>
                <w:szCs w:val="18"/>
              </w:rPr>
            </w:pPr>
            <w:r>
              <w:rPr>
                <w:rFonts w:ascii="Times New Roman"/>
                <w:spacing w:val="-1"/>
                <w:sz w:val="18"/>
              </w:rPr>
              <w:t>-485,777,</w:t>
            </w:r>
          </w:p>
        </w:tc>
        <w:tc>
          <w:tcPr>
            <w:tcW w:w="797" w:type="dxa"/>
            <w:vMerge w:val="restart"/>
            <w:tcBorders>
              <w:top w:val="single" w:sz="4" w:space="0" w:color="000000"/>
              <w:left w:val="single" w:sz="4" w:space="0" w:color="000000"/>
              <w:right w:val="single" w:sz="4" w:space="0" w:color="000000"/>
            </w:tcBorders>
          </w:tcPr>
          <w:p>
            <w:pPr/>
          </w:p>
        </w:tc>
        <w:tc>
          <w:tcPr>
            <w:tcW w:w="93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7"/>
              <w:ind w:right="19"/>
              <w:jc w:val="right"/>
              <w:rPr>
                <w:rFonts w:ascii="Times New Roman" w:hAnsi="Times New Roman" w:cs="Times New Roman" w:eastAsia="Times New Roman" w:hint="default"/>
                <w:sz w:val="18"/>
                <w:szCs w:val="18"/>
              </w:rPr>
            </w:pPr>
            <w:r>
              <w:rPr>
                <w:rFonts w:ascii="Times New Roman"/>
                <w:spacing w:val="-1"/>
                <w:sz w:val="18"/>
              </w:rPr>
              <w:t>-485,777,14</w:t>
            </w:r>
          </w:p>
        </w:tc>
      </w:tr>
      <w:tr>
        <w:trPr>
          <w:trHeight w:val="270" w:hRule="exact"/>
        </w:trPr>
        <w:tc>
          <w:tcPr>
            <w:tcW w:w="1231"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199" w:lineRule="exact"/>
              <w:ind w:left="22" w:right="0"/>
              <w:jc w:val="left"/>
              <w:rPr>
                <w:rFonts w:ascii="宋体" w:hAnsi="宋体" w:cs="宋体" w:eastAsia="宋体" w:hint="default"/>
                <w:sz w:val="18"/>
                <w:szCs w:val="18"/>
              </w:rPr>
            </w:pPr>
            <w:r>
              <w:rPr>
                <w:rFonts w:ascii="宋体" w:hAnsi="宋体" w:cs="宋体" w:eastAsia="宋体" w:hint="default"/>
                <w:sz w:val="18"/>
                <w:szCs w:val="18"/>
              </w:rPr>
              <w:t>股东）的分配</w:t>
            </w:r>
          </w:p>
        </w:tc>
        <w:tc>
          <w:tcPr>
            <w:tcW w:w="594" w:type="dxa"/>
            <w:vMerge/>
            <w:tcBorders>
              <w:left w:val="single" w:sz="4" w:space="0" w:color="000000"/>
              <w:bottom w:val="single" w:sz="4" w:space="0" w:color="000000"/>
              <w:right w:val="single" w:sz="4" w:space="0" w:color="000000"/>
            </w:tcBorders>
          </w:tcPr>
          <w:p>
            <w:pPr/>
          </w:p>
        </w:tc>
        <w:tc>
          <w:tcPr>
            <w:tcW w:w="572" w:type="dxa"/>
            <w:vMerge/>
            <w:tcBorders>
              <w:left w:val="single" w:sz="4" w:space="0" w:color="000000"/>
              <w:bottom w:val="single" w:sz="4" w:space="0" w:color="000000"/>
              <w:right w:val="single" w:sz="4" w:space="0" w:color="000000"/>
            </w:tcBorders>
          </w:tcPr>
          <w:p>
            <w:pPr/>
          </w:p>
        </w:tc>
        <w:tc>
          <w:tcPr>
            <w:tcW w:w="572" w:type="dxa"/>
            <w:vMerge/>
            <w:tcBorders>
              <w:left w:val="single" w:sz="4" w:space="0" w:color="000000"/>
              <w:bottom w:val="single" w:sz="4" w:space="0" w:color="000000"/>
              <w:right w:val="single" w:sz="4" w:space="0" w:color="000000"/>
            </w:tcBorders>
          </w:tcPr>
          <w:p>
            <w:pPr/>
          </w:p>
        </w:tc>
        <w:tc>
          <w:tcPr>
            <w:tcW w:w="572"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Style w:val="TableParagraph"/>
              <w:spacing w:line="196" w:lineRule="exact"/>
              <w:ind w:right="20"/>
              <w:jc w:val="right"/>
              <w:rPr>
                <w:rFonts w:ascii="Times New Roman" w:hAnsi="Times New Roman" w:cs="Times New Roman" w:eastAsia="Times New Roman" w:hint="default"/>
                <w:sz w:val="18"/>
                <w:szCs w:val="18"/>
              </w:rPr>
            </w:pPr>
            <w:r>
              <w:rPr>
                <w:rFonts w:ascii="Times New Roman"/>
                <w:spacing w:val="-1"/>
                <w:sz w:val="18"/>
              </w:rPr>
              <w:t>145.00</w:t>
            </w:r>
          </w:p>
        </w:tc>
        <w:tc>
          <w:tcPr>
            <w:tcW w:w="797" w:type="dxa"/>
            <w:vMerge/>
            <w:tcBorders>
              <w:left w:val="single" w:sz="4" w:space="0" w:color="000000"/>
              <w:bottom w:val="single" w:sz="4" w:space="0" w:color="000000"/>
              <w:right w:val="single" w:sz="4" w:space="0" w:color="000000"/>
            </w:tcBorders>
          </w:tcPr>
          <w:p>
            <w:pPr/>
          </w:p>
        </w:tc>
        <w:tc>
          <w:tcPr>
            <w:tcW w:w="930" w:type="dxa"/>
            <w:tcBorders>
              <w:top w:val="nil" w:sz="6" w:space="0" w:color="auto"/>
              <w:left w:val="single" w:sz="4" w:space="0" w:color="000000"/>
              <w:bottom w:val="single" w:sz="4" w:space="0" w:color="000000"/>
              <w:right w:val="single" w:sz="4" w:space="0" w:color="000000"/>
            </w:tcBorders>
          </w:tcPr>
          <w:p>
            <w:pPr>
              <w:pStyle w:val="TableParagraph"/>
              <w:spacing w:line="196" w:lineRule="exact"/>
              <w:ind w:right="21"/>
              <w:jc w:val="right"/>
              <w:rPr>
                <w:rFonts w:ascii="Times New Roman" w:hAnsi="Times New Roman" w:cs="Times New Roman" w:eastAsia="Times New Roman" w:hint="default"/>
                <w:sz w:val="18"/>
                <w:szCs w:val="18"/>
              </w:rPr>
            </w:pPr>
            <w:r>
              <w:rPr>
                <w:rFonts w:ascii="Times New Roman"/>
                <w:spacing w:val="-1"/>
                <w:sz w:val="18"/>
              </w:rPr>
              <w:t>5.00</w:t>
            </w:r>
          </w:p>
        </w:tc>
      </w:tr>
      <w:tr>
        <w:trPr>
          <w:trHeight w:val="324" w:hRule="exact"/>
        </w:trPr>
        <w:tc>
          <w:tcPr>
            <w:tcW w:w="1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59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5"/>
              <w:ind w:left="22" w:right="21"/>
              <w:jc w:val="left"/>
              <w:rPr>
                <w:rFonts w:ascii="宋体" w:hAnsi="宋体" w:cs="宋体" w:eastAsia="宋体" w:hint="default"/>
                <w:sz w:val="18"/>
                <w:szCs w:val="18"/>
              </w:rPr>
            </w:pPr>
            <w:r>
              <w:rPr>
                <w:rFonts w:ascii="宋体" w:hAnsi="宋体" w:cs="宋体" w:eastAsia="宋体" w:hint="default"/>
                <w:spacing w:val="-12"/>
                <w:sz w:val="18"/>
                <w:szCs w:val="18"/>
              </w:rPr>
              <w:t>（四）所有者权</w:t>
            </w:r>
            <w:r>
              <w:rPr>
                <w:rFonts w:ascii="宋体" w:hAnsi="宋体" w:cs="宋体" w:eastAsia="宋体" w:hint="default"/>
                <w:sz w:val="18"/>
                <w:szCs w:val="18"/>
              </w:rPr>
              <w:t> 益内部结转</w:t>
            </w:r>
          </w:p>
        </w:tc>
        <w:tc>
          <w:tcPr>
            <w:tcW w:w="59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231"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w:t>
            </w:r>
          </w:p>
        </w:tc>
        <w:tc>
          <w:tcPr>
            <w:tcW w:w="594" w:type="dxa"/>
            <w:vMerge w:val="restart"/>
            <w:tcBorders>
              <w:top w:val="single" w:sz="4" w:space="0" w:color="000000"/>
              <w:left w:val="single" w:sz="4" w:space="0" w:color="000000"/>
              <w:right w:val="single" w:sz="4" w:space="0" w:color="000000"/>
            </w:tcBorders>
          </w:tcPr>
          <w:p>
            <w:pPr/>
          </w:p>
        </w:tc>
        <w:tc>
          <w:tcPr>
            <w:tcW w:w="572" w:type="dxa"/>
            <w:vMerge w:val="restart"/>
            <w:tcBorders>
              <w:top w:val="single" w:sz="4" w:space="0" w:color="000000"/>
              <w:left w:val="single" w:sz="4" w:space="0" w:color="000000"/>
              <w:right w:val="single" w:sz="4" w:space="0" w:color="000000"/>
            </w:tcBorders>
          </w:tcPr>
          <w:p>
            <w:pPr/>
          </w:p>
        </w:tc>
        <w:tc>
          <w:tcPr>
            <w:tcW w:w="572" w:type="dxa"/>
            <w:vMerge w:val="restart"/>
            <w:tcBorders>
              <w:top w:val="single" w:sz="4" w:space="0" w:color="000000"/>
              <w:left w:val="single" w:sz="4" w:space="0" w:color="000000"/>
              <w:right w:val="single" w:sz="4" w:space="0" w:color="000000"/>
            </w:tcBorders>
          </w:tcPr>
          <w:p>
            <w:pPr/>
          </w:p>
        </w:tc>
        <w:tc>
          <w:tcPr>
            <w:tcW w:w="572"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781"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930" w:type="dxa"/>
            <w:vMerge w:val="restart"/>
            <w:tcBorders>
              <w:top w:val="single" w:sz="4" w:space="0" w:color="000000"/>
              <w:left w:val="single" w:sz="4" w:space="0" w:color="000000"/>
              <w:right w:val="single" w:sz="4" w:space="0" w:color="000000"/>
            </w:tcBorders>
          </w:tcPr>
          <w:p>
            <w:pPr/>
          </w:p>
        </w:tc>
      </w:tr>
      <w:tr>
        <w:trPr>
          <w:trHeight w:val="229" w:hRule="exact"/>
        </w:trPr>
        <w:tc>
          <w:tcPr>
            <w:tcW w:w="123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01" w:lineRule="exact"/>
              <w:ind w:left="22" w:right="0"/>
              <w:jc w:val="left"/>
              <w:rPr>
                <w:rFonts w:ascii="宋体" w:hAnsi="宋体" w:cs="宋体" w:eastAsia="宋体" w:hint="default"/>
                <w:sz w:val="18"/>
                <w:szCs w:val="18"/>
              </w:rPr>
            </w:pPr>
            <w:r>
              <w:rPr>
                <w:rFonts w:ascii="宋体" w:hAnsi="宋体" w:cs="宋体" w:eastAsia="宋体" w:hint="default"/>
                <w:sz w:val="18"/>
                <w:szCs w:val="18"/>
              </w:rPr>
              <w:t>增资本（或股</w:t>
            </w:r>
          </w:p>
        </w:tc>
        <w:tc>
          <w:tcPr>
            <w:tcW w:w="594" w:type="dxa"/>
            <w:vMerge/>
            <w:tcBorders>
              <w:left w:val="single" w:sz="4" w:space="0" w:color="000000"/>
              <w:right w:val="single" w:sz="4" w:space="0" w:color="000000"/>
            </w:tcBorders>
          </w:tcPr>
          <w:p>
            <w:pPr/>
          </w:p>
        </w:tc>
        <w:tc>
          <w:tcPr>
            <w:tcW w:w="572" w:type="dxa"/>
            <w:vMerge/>
            <w:tcBorders>
              <w:left w:val="single" w:sz="4" w:space="0" w:color="000000"/>
              <w:right w:val="single" w:sz="4" w:space="0" w:color="000000"/>
            </w:tcBorders>
          </w:tcPr>
          <w:p>
            <w:pPr/>
          </w:p>
        </w:tc>
        <w:tc>
          <w:tcPr>
            <w:tcW w:w="572" w:type="dxa"/>
            <w:vMerge/>
            <w:tcBorders>
              <w:left w:val="single" w:sz="4" w:space="0" w:color="000000"/>
              <w:right w:val="single" w:sz="4" w:space="0" w:color="000000"/>
            </w:tcBorders>
          </w:tcPr>
          <w:p>
            <w:pPr/>
          </w:p>
        </w:tc>
        <w:tc>
          <w:tcPr>
            <w:tcW w:w="572"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930" w:type="dxa"/>
            <w:vMerge/>
            <w:tcBorders>
              <w:left w:val="single" w:sz="4" w:space="0" w:color="000000"/>
              <w:right w:val="single" w:sz="4" w:space="0" w:color="000000"/>
            </w:tcBorders>
          </w:tcPr>
          <w:p>
            <w:pPr/>
          </w:p>
        </w:tc>
      </w:tr>
      <w:tr>
        <w:trPr>
          <w:trHeight w:val="279" w:hRule="exact"/>
        </w:trPr>
        <w:tc>
          <w:tcPr>
            <w:tcW w:w="1231"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08" w:lineRule="exact"/>
              <w:ind w:left="22" w:right="0"/>
              <w:jc w:val="left"/>
              <w:rPr>
                <w:rFonts w:ascii="宋体" w:hAnsi="宋体" w:cs="宋体" w:eastAsia="宋体" w:hint="default"/>
                <w:sz w:val="18"/>
                <w:szCs w:val="18"/>
              </w:rPr>
            </w:pPr>
            <w:r>
              <w:rPr>
                <w:rFonts w:ascii="宋体" w:hAnsi="宋体" w:cs="宋体" w:eastAsia="宋体" w:hint="default"/>
                <w:sz w:val="18"/>
                <w:szCs w:val="18"/>
              </w:rPr>
              <w:t>本）</w:t>
            </w:r>
          </w:p>
        </w:tc>
        <w:tc>
          <w:tcPr>
            <w:tcW w:w="594" w:type="dxa"/>
            <w:vMerge/>
            <w:tcBorders>
              <w:left w:val="single" w:sz="4" w:space="0" w:color="000000"/>
              <w:bottom w:val="single" w:sz="4" w:space="0" w:color="000000"/>
              <w:right w:val="single" w:sz="4" w:space="0" w:color="000000"/>
            </w:tcBorders>
          </w:tcPr>
          <w:p>
            <w:pPr/>
          </w:p>
        </w:tc>
        <w:tc>
          <w:tcPr>
            <w:tcW w:w="572" w:type="dxa"/>
            <w:vMerge/>
            <w:tcBorders>
              <w:left w:val="single" w:sz="4" w:space="0" w:color="000000"/>
              <w:bottom w:val="single" w:sz="4" w:space="0" w:color="000000"/>
              <w:right w:val="single" w:sz="4" w:space="0" w:color="000000"/>
            </w:tcBorders>
          </w:tcPr>
          <w:p>
            <w:pPr/>
          </w:p>
        </w:tc>
        <w:tc>
          <w:tcPr>
            <w:tcW w:w="572" w:type="dxa"/>
            <w:vMerge/>
            <w:tcBorders>
              <w:left w:val="single" w:sz="4" w:space="0" w:color="000000"/>
              <w:bottom w:val="single" w:sz="4" w:space="0" w:color="000000"/>
              <w:right w:val="single" w:sz="4" w:space="0" w:color="000000"/>
            </w:tcBorders>
          </w:tcPr>
          <w:p>
            <w:pPr/>
          </w:p>
        </w:tc>
        <w:tc>
          <w:tcPr>
            <w:tcW w:w="572"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930" w:type="dxa"/>
            <w:vMerge/>
            <w:tcBorders>
              <w:left w:val="single" w:sz="4" w:space="0" w:color="000000"/>
              <w:bottom w:val="single" w:sz="4" w:space="0" w:color="000000"/>
              <w:right w:val="single" w:sz="4" w:space="0" w:color="000000"/>
            </w:tcBorders>
          </w:tcPr>
          <w:p>
            <w:pPr/>
          </w:p>
        </w:tc>
      </w:tr>
      <w:tr>
        <w:trPr>
          <w:trHeight w:val="283" w:hRule="exact"/>
        </w:trPr>
        <w:tc>
          <w:tcPr>
            <w:tcW w:w="1231"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1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w:t>
            </w:r>
          </w:p>
        </w:tc>
        <w:tc>
          <w:tcPr>
            <w:tcW w:w="594" w:type="dxa"/>
            <w:vMerge w:val="restart"/>
            <w:tcBorders>
              <w:top w:val="single" w:sz="4" w:space="0" w:color="000000"/>
              <w:left w:val="single" w:sz="4" w:space="0" w:color="000000"/>
              <w:right w:val="single" w:sz="4" w:space="0" w:color="000000"/>
            </w:tcBorders>
          </w:tcPr>
          <w:p>
            <w:pPr/>
          </w:p>
        </w:tc>
        <w:tc>
          <w:tcPr>
            <w:tcW w:w="572" w:type="dxa"/>
            <w:vMerge w:val="restart"/>
            <w:tcBorders>
              <w:top w:val="single" w:sz="4" w:space="0" w:color="000000"/>
              <w:left w:val="single" w:sz="4" w:space="0" w:color="000000"/>
              <w:right w:val="single" w:sz="4" w:space="0" w:color="000000"/>
            </w:tcBorders>
          </w:tcPr>
          <w:p>
            <w:pPr/>
          </w:p>
        </w:tc>
        <w:tc>
          <w:tcPr>
            <w:tcW w:w="572" w:type="dxa"/>
            <w:vMerge w:val="restart"/>
            <w:tcBorders>
              <w:top w:val="single" w:sz="4" w:space="0" w:color="000000"/>
              <w:left w:val="single" w:sz="4" w:space="0" w:color="000000"/>
              <w:right w:val="single" w:sz="4" w:space="0" w:color="000000"/>
            </w:tcBorders>
          </w:tcPr>
          <w:p>
            <w:pPr/>
          </w:p>
        </w:tc>
        <w:tc>
          <w:tcPr>
            <w:tcW w:w="572"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781"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930" w:type="dxa"/>
            <w:vMerge w:val="restart"/>
            <w:tcBorders>
              <w:top w:val="single" w:sz="4" w:space="0" w:color="000000"/>
              <w:left w:val="single" w:sz="4" w:space="0" w:color="000000"/>
              <w:right w:val="single" w:sz="4" w:space="0" w:color="000000"/>
            </w:tcBorders>
          </w:tcPr>
          <w:p>
            <w:pPr/>
          </w:p>
        </w:tc>
      </w:tr>
      <w:tr>
        <w:trPr>
          <w:trHeight w:val="229" w:hRule="exact"/>
        </w:trPr>
        <w:tc>
          <w:tcPr>
            <w:tcW w:w="123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03" w:lineRule="exact"/>
              <w:ind w:left="22" w:right="0"/>
              <w:jc w:val="left"/>
              <w:rPr>
                <w:rFonts w:ascii="宋体" w:hAnsi="宋体" w:cs="宋体" w:eastAsia="宋体" w:hint="default"/>
                <w:sz w:val="18"/>
                <w:szCs w:val="18"/>
              </w:rPr>
            </w:pPr>
            <w:r>
              <w:rPr>
                <w:rFonts w:ascii="宋体" w:hAnsi="宋体" w:cs="宋体" w:eastAsia="宋体" w:hint="default"/>
                <w:sz w:val="18"/>
                <w:szCs w:val="18"/>
              </w:rPr>
              <w:t>增资本（或股</w:t>
            </w:r>
          </w:p>
        </w:tc>
        <w:tc>
          <w:tcPr>
            <w:tcW w:w="594" w:type="dxa"/>
            <w:vMerge/>
            <w:tcBorders>
              <w:left w:val="single" w:sz="4" w:space="0" w:color="000000"/>
              <w:right w:val="single" w:sz="4" w:space="0" w:color="000000"/>
            </w:tcBorders>
          </w:tcPr>
          <w:p>
            <w:pPr/>
          </w:p>
        </w:tc>
        <w:tc>
          <w:tcPr>
            <w:tcW w:w="572" w:type="dxa"/>
            <w:vMerge/>
            <w:tcBorders>
              <w:left w:val="single" w:sz="4" w:space="0" w:color="000000"/>
              <w:right w:val="single" w:sz="4" w:space="0" w:color="000000"/>
            </w:tcBorders>
          </w:tcPr>
          <w:p>
            <w:pPr/>
          </w:p>
        </w:tc>
        <w:tc>
          <w:tcPr>
            <w:tcW w:w="572" w:type="dxa"/>
            <w:vMerge/>
            <w:tcBorders>
              <w:left w:val="single" w:sz="4" w:space="0" w:color="000000"/>
              <w:right w:val="single" w:sz="4" w:space="0" w:color="000000"/>
            </w:tcBorders>
          </w:tcPr>
          <w:p>
            <w:pPr/>
          </w:p>
        </w:tc>
        <w:tc>
          <w:tcPr>
            <w:tcW w:w="572"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930" w:type="dxa"/>
            <w:vMerge/>
            <w:tcBorders>
              <w:left w:val="single" w:sz="4" w:space="0" w:color="000000"/>
              <w:right w:val="single" w:sz="4" w:space="0" w:color="000000"/>
            </w:tcBorders>
          </w:tcPr>
          <w:p>
            <w:pPr/>
          </w:p>
        </w:tc>
      </w:tr>
      <w:tr>
        <w:trPr>
          <w:trHeight w:val="278" w:hRule="exact"/>
        </w:trPr>
        <w:tc>
          <w:tcPr>
            <w:tcW w:w="1231"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06" w:lineRule="exact"/>
              <w:ind w:left="22" w:right="0"/>
              <w:jc w:val="left"/>
              <w:rPr>
                <w:rFonts w:ascii="宋体" w:hAnsi="宋体" w:cs="宋体" w:eastAsia="宋体" w:hint="default"/>
                <w:sz w:val="18"/>
                <w:szCs w:val="18"/>
              </w:rPr>
            </w:pPr>
            <w:r>
              <w:rPr>
                <w:rFonts w:ascii="宋体" w:hAnsi="宋体" w:cs="宋体" w:eastAsia="宋体" w:hint="default"/>
                <w:sz w:val="18"/>
                <w:szCs w:val="18"/>
              </w:rPr>
              <w:t>本）</w:t>
            </w:r>
          </w:p>
        </w:tc>
        <w:tc>
          <w:tcPr>
            <w:tcW w:w="594" w:type="dxa"/>
            <w:vMerge/>
            <w:tcBorders>
              <w:left w:val="single" w:sz="4" w:space="0" w:color="000000"/>
              <w:bottom w:val="single" w:sz="4" w:space="0" w:color="000000"/>
              <w:right w:val="single" w:sz="4" w:space="0" w:color="000000"/>
            </w:tcBorders>
          </w:tcPr>
          <w:p>
            <w:pPr/>
          </w:p>
        </w:tc>
        <w:tc>
          <w:tcPr>
            <w:tcW w:w="572" w:type="dxa"/>
            <w:vMerge/>
            <w:tcBorders>
              <w:left w:val="single" w:sz="4" w:space="0" w:color="000000"/>
              <w:bottom w:val="single" w:sz="4" w:space="0" w:color="000000"/>
              <w:right w:val="single" w:sz="4" w:space="0" w:color="000000"/>
            </w:tcBorders>
          </w:tcPr>
          <w:p>
            <w:pPr/>
          </w:p>
        </w:tc>
        <w:tc>
          <w:tcPr>
            <w:tcW w:w="572" w:type="dxa"/>
            <w:vMerge/>
            <w:tcBorders>
              <w:left w:val="single" w:sz="4" w:space="0" w:color="000000"/>
              <w:bottom w:val="single" w:sz="4" w:space="0" w:color="000000"/>
              <w:right w:val="single" w:sz="4" w:space="0" w:color="000000"/>
            </w:tcBorders>
          </w:tcPr>
          <w:p>
            <w:pPr/>
          </w:p>
        </w:tc>
        <w:tc>
          <w:tcPr>
            <w:tcW w:w="572"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930" w:type="dxa"/>
            <w:vMerge/>
            <w:tcBorders>
              <w:left w:val="single" w:sz="4" w:space="0" w:color="000000"/>
              <w:bottom w:val="single" w:sz="4" w:space="0" w:color="000000"/>
              <w:right w:val="single" w:sz="4" w:space="0" w:color="000000"/>
            </w:tcBorders>
          </w:tcPr>
          <w:p>
            <w:pPr/>
          </w:p>
        </w:tc>
      </w:tr>
      <w:tr>
        <w:trPr>
          <w:trHeight w:val="557" w:hRule="exact"/>
        </w:trPr>
        <w:tc>
          <w:tcPr>
            <w:tcW w:w="1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6"/>
              <w:ind w:left="22" w:right="2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59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231"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w:t>
            </w:r>
          </w:p>
        </w:tc>
        <w:tc>
          <w:tcPr>
            <w:tcW w:w="594" w:type="dxa"/>
            <w:vMerge w:val="restart"/>
            <w:tcBorders>
              <w:top w:val="single" w:sz="4" w:space="0" w:color="000000"/>
              <w:left w:val="single" w:sz="4" w:space="0" w:color="000000"/>
              <w:right w:val="single" w:sz="4" w:space="0" w:color="000000"/>
            </w:tcBorders>
          </w:tcPr>
          <w:p>
            <w:pPr/>
          </w:p>
        </w:tc>
        <w:tc>
          <w:tcPr>
            <w:tcW w:w="572" w:type="dxa"/>
            <w:vMerge w:val="restart"/>
            <w:tcBorders>
              <w:top w:val="single" w:sz="4" w:space="0" w:color="000000"/>
              <w:left w:val="single" w:sz="4" w:space="0" w:color="000000"/>
              <w:right w:val="single" w:sz="4" w:space="0" w:color="000000"/>
            </w:tcBorders>
          </w:tcPr>
          <w:p>
            <w:pPr/>
          </w:p>
        </w:tc>
        <w:tc>
          <w:tcPr>
            <w:tcW w:w="572" w:type="dxa"/>
            <w:vMerge w:val="restart"/>
            <w:tcBorders>
              <w:top w:val="single" w:sz="4" w:space="0" w:color="000000"/>
              <w:left w:val="single" w:sz="4" w:space="0" w:color="000000"/>
              <w:right w:val="single" w:sz="4" w:space="0" w:color="000000"/>
            </w:tcBorders>
          </w:tcPr>
          <w:p>
            <w:pPr/>
          </w:p>
        </w:tc>
        <w:tc>
          <w:tcPr>
            <w:tcW w:w="572"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781"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930" w:type="dxa"/>
            <w:vMerge w:val="restart"/>
            <w:tcBorders>
              <w:top w:val="single" w:sz="4" w:space="0" w:color="000000"/>
              <w:left w:val="single" w:sz="4" w:space="0" w:color="000000"/>
              <w:right w:val="single" w:sz="4" w:space="0" w:color="000000"/>
            </w:tcBorders>
          </w:tcPr>
          <w:p>
            <w:pPr/>
          </w:p>
        </w:tc>
      </w:tr>
      <w:tr>
        <w:trPr>
          <w:trHeight w:val="228" w:hRule="exact"/>
        </w:trPr>
        <w:tc>
          <w:tcPr>
            <w:tcW w:w="123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01" w:lineRule="exact"/>
              <w:ind w:left="22" w:right="0"/>
              <w:jc w:val="left"/>
              <w:rPr>
                <w:rFonts w:ascii="宋体" w:hAnsi="宋体" w:cs="宋体" w:eastAsia="宋体" w:hint="default"/>
                <w:sz w:val="18"/>
                <w:szCs w:val="18"/>
              </w:rPr>
            </w:pPr>
            <w:r>
              <w:rPr>
                <w:rFonts w:ascii="宋体" w:hAnsi="宋体" w:cs="宋体" w:eastAsia="宋体" w:hint="default"/>
                <w:sz w:val="18"/>
                <w:szCs w:val="18"/>
              </w:rPr>
              <w:t>划变动额结转</w:t>
            </w:r>
          </w:p>
        </w:tc>
        <w:tc>
          <w:tcPr>
            <w:tcW w:w="594" w:type="dxa"/>
            <w:vMerge/>
            <w:tcBorders>
              <w:left w:val="single" w:sz="4" w:space="0" w:color="000000"/>
              <w:right w:val="single" w:sz="4" w:space="0" w:color="000000"/>
            </w:tcBorders>
          </w:tcPr>
          <w:p>
            <w:pPr/>
          </w:p>
        </w:tc>
        <w:tc>
          <w:tcPr>
            <w:tcW w:w="572" w:type="dxa"/>
            <w:vMerge/>
            <w:tcBorders>
              <w:left w:val="single" w:sz="4" w:space="0" w:color="000000"/>
              <w:right w:val="single" w:sz="4" w:space="0" w:color="000000"/>
            </w:tcBorders>
          </w:tcPr>
          <w:p>
            <w:pPr/>
          </w:p>
        </w:tc>
        <w:tc>
          <w:tcPr>
            <w:tcW w:w="572" w:type="dxa"/>
            <w:vMerge/>
            <w:tcBorders>
              <w:left w:val="single" w:sz="4" w:space="0" w:color="000000"/>
              <w:right w:val="single" w:sz="4" w:space="0" w:color="000000"/>
            </w:tcBorders>
          </w:tcPr>
          <w:p>
            <w:pPr/>
          </w:p>
        </w:tc>
        <w:tc>
          <w:tcPr>
            <w:tcW w:w="572"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930" w:type="dxa"/>
            <w:vMerge/>
            <w:tcBorders>
              <w:left w:val="single" w:sz="4" w:space="0" w:color="000000"/>
              <w:right w:val="single" w:sz="4" w:space="0" w:color="000000"/>
            </w:tcBorders>
          </w:tcPr>
          <w:p>
            <w:pPr/>
          </w:p>
        </w:tc>
      </w:tr>
      <w:tr>
        <w:trPr>
          <w:trHeight w:val="279" w:hRule="exact"/>
        </w:trPr>
        <w:tc>
          <w:tcPr>
            <w:tcW w:w="1231"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06" w:lineRule="exact"/>
              <w:ind w:left="22" w:right="0"/>
              <w:jc w:val="left"/>
              <w:rPr>
                <w:rFonts w:ascii="宋体" w:hAnsi="宋体" w:cs="宋体" w:eastAsia="宋体" w:hint="default"/>
                <w:sz w:val="18"/>
                <w:szCs w:val="18"/>
              </w:rPr>
            </w:pPr>
            <w:r>
              <w:rPr>
                <w:rFonts w:ascii="宋体" w:hAnsi="宋体" w:cs="宋体" w:eastAsia="宋体" w:hint="default"/>
                <w:sz w:val="18"/>
                <w:szCs w:val="18"/>
              </w:rPr>
              <w:t>留存收益</w:t>
            </w:r>
          </w:p>
        </w:tc>
        <w:tc>
          <w:tcPr>
            <w:tcW w:w="594" w:type="dxa"/>
            <w:vMerge/>
            <w:tcBorders>
              <w:left w:val="single" w:sz="4" w:space="0" w:color="000000"/>
              <w:bottom w:val="single" w:sz="4" w:space="0" w:color="000000"/>
              <w:right w:val="single" w:sz="4" w:space="0" w:color="000000"/>
            </w:tcBorders>
          </w:tcPr>
          <w:p>
            <w:pPr/>
          </w:p>
        </w:tc>
        <w:tc>
          <w:tcPr>
            <w:tcW w:w="572" w:type="dxa"/>
            <w:vMerge/>
            <w:tcBorders>
              <w:left w:val="single" w:sz="4" w:space="0" w:color="000000"/>
              <w:bottom w:val="single" w:sz="4" w:space="0" w:color="000000"/>
              <w:right w:val="single" w:sz="4" w:space="0" w:color="000000"/>
            </w:tcBorders>
          </w:tcPr>
          <w:p>
            <w:pPr/>
          </w:p>
        </w:tc>
        <w:tc>
          <w:tcPr>
            <w:tcW w:w="572" w:type="dxa"/>
            <w:vMerge/>
            <w:tcBorders>
              <w:left w:val="single" w:sz="4" w:space="0" w:color="000000"/>
              <w:bottom w:val="single" w:sz="4" w:space="0" w:color="000000"/>
              <w:right w:val="single" w:sz="4" w:space="0" w:color="000000"/>
            </w:tcBorders>
          </w:tcPr>
          <w:p>
            <w:pPr/>
          </w:p>
        </w:tc>
        <w:tc>
          <w:tcPr>
            <w:tcW w:w="572"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930" w:type="dxa"/>
            <w:vMerge/>
            <w:tcBorders>
              <w:left w:val="single" w:sz="4" w:space="0" w:color="000000"/>
              <w:bottom w:val="single" w:sz="4" w:space="0" w:color="000000"/>
              <w:right w:val="single" w:sz="4" w:space="0" w:color="000000"/>
            </w:tcBorders>
          </w:tcPr>
          <w:p>
            <w:pPr/>
          </w:p>
        </w:tc>
      </w:tr>
      <w:tr>
        <w:trPr>
          <w:trHeight w:val="283" w:hRule="exact"/>
        </w:trPr>
        <w:tc>
          <w:tcPr>
            <w:tcW w:w="1231"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w:t>
            </w:r>
          </w:p>
        </w:tc>
        <w:tc>
          <w:tcPr>
            <w:tcW w:w="594" w:type="dxa"/>
            <w:vMerge w:val="restart"/>
            <w:tcBorders>
              <w:top w:val="single" w:sz="4" w:space="0" w:color="000000"/>
              <w:left w:val="single" w:sz="4" w:space="0" w:color="000000"/>
              <w:right w:val="single" w:sz="4" w:space="0" w:color="000000"/>
            </w:tcBorders>
          </w:tcPr>
          <w:p>
            <w:pPr/>
          </w:p>
        </w:tc>
        <w:tc>
          <w:tcPr>
            <w:tcW w:w="572" w:type="dxa"/>
            <w:vMerge w:val="restart"/>
            <w:tcBorders>
              <w:top w:val="single" w:sz="4" w:space="0" w:color="000000"/>
              <w:left w:val="single" w:sz="4" w:space="0" w:color="000000"/>
              <w:right w:val="single" w:sz="4" w:space="0" w:color="000000"/>
            </w:tcBorders>
          </w:tcPr>
          <w:p>
            <w:pPr/>
          </w:p>
        </w:tc>
        <w:tc>
          <w:tcPr>
            <w:tcW w:w="572" w:type="dxa"/>
            <w:vMerge w:val="restart"/>
            <w:tcBorders>
              <w:top w:val="single" w:sz="4" w:space="0" w:color="000000"/>
              <w:left w:val="single" w:sz="4" w:space="0" w:color="000000"/>
              <w:right w:val="single" w:sz="4" w:space="0" w:color="000000"/>
            </w:tcBorders>
          </w:tcPr>
          <w:p>
            <w:pPr/>
          </w:p>
        </w:tc>
        <w:tc>
          <w:tcPr>
            <w:tcW w:w="572"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781"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930" w:type="dxa"/>
            <w:vMerge w:val="restart"/>
            <w:tcBorders>
              <w:top w:val="single" w:sz="4" w:space="0" w:color="000000"/>
              <w:left w:val="single" w:sz="4" w:space="0" w:color="000000"/>
              <w:right w:val="single" w:sz="4" w:space="0" w:color="000000"/>
            </w:tcBorders>
          </w:tcPr>
          <w:p>
            <w:pPr/>
          </w:p>
        </w:tc>
      </w:tr>
      <w:tr>
        <w:trPr>
          <w:trHeight w:val="229" w:hRule="exact"/>
        </w:trPr>
        <w:tc>
          <w:tcPr>
            <w:tcW w:w="123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01" w:lineRule="exact"/>
              <w:ind w:left="22" w:right="0"/>
              <w:jc w:val="left"/>
              <w:rPr>
                <w:rFonts w:ascii="宋体" w:hAnsi="宋体" w:cs="宋体" w:eastAsia="宋体" w:hint="default"/>
                <w:sz w:val="18"/>
                <w:szCs w:val="18"/>
              </w:rPr>
            </w:pPr>
            <w:r>
              <w:rPr>
                <w:rFonts w:ascii="宋体" w:hAnsi="宋体" w:cs="宋体" w:eastAsia="宋体" w:hint="default"/>
                <w:sz w:val="18"/>
                <w:szCs w:val="18"/>
              </w:rPr>
              <w:t>益结转留存收</w:t>
            </w:r>
          </w:p>
        </w:tc>
        <w:tc>
          <w:tcPr>
            <w:tcW w:w="594" w:type="dxa"/>
            <w:vMerge/>
            <w:tcBorders>
              <w:left w:val="single" w:sz="4" w:space="0" w:color="000000"/>
              <w:right w:val="single" w:sz="4" w:space="0" w:color="000000"/>
            </w:tcBorders>
          </w:tcPr>
          <w:p>
            <w:pPr/>
          </w:p>
        </w:tc>
        <w:tc>
          <w:tcPr>
            <w:tcW w:w="572" w:type="dxa"/>
            <w:vMerge/>
            <w:tcBorders>
              <w:left w:val="single" w:sz="4" w:space="0" w:color="000000"/>
              <w:right w:val="single" w:sz="4" w:space="0" w:color="000000"/>
            </w:tcBorders>
          </w:tcPr>
          <w:p>
            <w:pPr/>
          </w:p>
        </w:tc>
        <w:tc>
          <w:tcPr>
            <w:tcW w:w="572" w:type="dxa"/>
            <w:vMerge/>
            <w:tcBorders>
              <w:left w:val="single" w:sz="4" w:space="0" w:color="000000"/>
              <w:right w:val="single" w:sz="4" w:space="0" w:color="000000"/>
            </w:tcBorders>
          </w:tcPr>
          <w:p>
            <w:pPr/>
          </w:p>
        </w:tc>
        <w:tc>
          <w:tcPr>
            <w:tcW w:w="572"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930" w:type="dxa"/>
            <w:vMerge/>
            <w:tcBorders>
              <w:left w:val="single" w:sz="4" w:space="0" w:color="000000"/>
              <w:right w:val="single" w:sz="4" w:space="0" w:color="000000"/>
            </w:tcBorders>
          </w:tcPr>
          <w:p>
            <w:pPr/>
          </w:p>
        </w:tc>
      </w:tr>
      <w:tr>
        <w:trPr>
          <w:trHeight w:val="279" w:hRule="exact"/>
        </w:trPr>
        <w:tc>
          <w:tcPr>
            <w:tcW w:w="1231"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08" w:lineRule="exact"/>
              <w:ind w:left="22" w:right="0"/>
              <w:jc w:val="left"/>
              <w:rPr>
                <w:rFonts w:ascii="宋体" w:hAnsi="宋体" w:cs="宋体" w:eastAsia="宋体" w:hint="default"/>
                <w:sz w:val="18"/>
                <w:szCs w:val="18"/>
              </w:rPr>
            </w:pPr>
            <w:r>
              <w:rPr>
                <w:rFonts w:ascii="宋体" w:hAnsi="宋体" w:cs="宋体" w:eastAsia="宋体" w:hint="default"/>
                <w:sz w:val="18"/>
                <w:szCs w:val="18"/>
              </w:rPr>
              <w:t>益</w:t>
            </w:r>
          </w:p>
        </w:tc>
        <w:tc>
          <w:tcPr>
            <w:tcW w:w="594" w:type="dxa"/>
            <w:vMerge/>
            <w:tcBorders>
              <w:left w:val="single" w:sz="4" w:space="0" w:color="000000"/>
              <w:bottom w:val="single" w:sz="4" w:space="0" w:color="000000"/>
              <w:right w:val="single" w:sz="4" w:space="0" w:color="000000"/>
            </w:tcBorders>
          </w:tcPr>
          <w:p>
            <w:pPr/>
          </w:p>
        </w:tc>
        <w:tc>
          <w:tcPr>
            <w:tcW w:w="572" w:type="dxa"/>
            <w:vMerge/>
            <w:tcBorders>
              <w:left w:val="single" w:sz="4" w:space="0" w:color="000000"/>
              <w:bottom w:val="single" w:sz="4" w:space="0" w:color="000000"/>
              <w:right w:val="single" w:sz="4" w:space="0" w:color="000000"/>
            </w:tcBorders>
          </w:tcPr>
          <w:p>
            <w:pPr/>
          </w:p>
        </w:tc>
        <w:tc>
          <w:tcPr>
            <w:tcW w:w="572" w:type="dxa"/>
            <w:vMerge/>
            <w:tcBorders>
              <w:left w:val="single" w:sz="4" w:space="0" w:color="000000"/>
              <w:bottom w:val="single" w:sz="4" w:space="0" w:color="000000"/>
              <w:right w:val="single" w:sz="4" w:space="0" w:color="000000"/>
            </w:tcBorders>
          </w:tcPr>
          <w:p>
            <w:pPr/>
          </w:p>
        </w:tc>
        <w:tc>
          <w:tcPr>
            <w:tcW w:w="572"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930" w:type="dxa"/>
            <w:vMerge/>
            <w:tcBorders>
              <w:left w:val="single" w:sz="4" w:space="0" w:color="000000"/>
              <w:bottom w:val="single" w:sz="4" w:space="0" w:color="000000"/>
              <w:right w:val="single" w:sz="4" w:space="0" w:color="000000"/>
            </w:tcBorders>
          </w:tcPr>
          <w:p>
            <w:pPr/>
          </w:p>
        </w:tc>
      </w:tr>
      <w:tr>
        <w:trPr>
          <w:trHeight w:val="323" w:hRule="exact"/>
        </w:trPr>
        <w:tc>
          <w:tcPr>
            <w:tcW w:w="1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59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22" w:right="0"/>
              <w:jc w:val="lef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pacing w:val="-84"/>
                <w:sz w:val="18"/>
                <w:szCs w:val="18"/>
              </w:rPr>
              <w:t>）</w:t>
            </w:r>
            <w:r>
              <w:rPr>
                <w:rFonts w:ascii="宋体" w:hAnsi="宋体" w:cs="宋体" w:eastAsia="宋体" w:hint="default"/>
                <w:sz w:val="18"/>
                <w:szCs w:val="18"/>
              </w:rPr>
              <w:t>专项储备</w:t>
            </w:r>
          </w:p>
        </w:tc>
        <w:tc>
          <w:tcPr>
            <w:tcW w:w="59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9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9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9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111"/>
              <w:ind w:left="22" w:right="21"/>
              <w:jc w:val="left"/>
              <w:rPr>
                <w:rFonts w:ascii="宋体" w:hAnsi="宋体" w:cs="宋体" w:eastAsia="宋体" w:hint="default"/>
                <w:sz w:val="18"/>
                <w:szCs w:val="18"/>
              </w:rPr>
            </w:pPr>
            <w:r>
              <w:rPr>
                <w:rFonts w:ascii="宋体" w:hAnsi="宋体" w:cs="宋体" w:eastAsia="宋体" w:hint="default"/>
                <w:spacing w:val="-12"/>
                <w:sz w:val="18"/>
                <w:szCs w:val="18"/>
              </w:rPr>
              <w:t>四、本期期末余</w:t>
            </w:r>
            <w:r>
              <w:rPr>
                <w:rFonts w:ascii="宋体" w:hAnsi="宋体" w:cs="宋体" w:eastAsia="宋体" w:hint="default"/>
                <w:sz w:val="18"/>
                <w:szCs w:val="18"/>
              </w:rPr>
              <w:t> 额</w:t>
            </w:r>
          </w:p>
        </w:tc>
        <w:tc>
          <w:tcPr>
            <w:tcW w:w="59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8"/>
              <w:ind w:left="88" w:right="0"/>
              <w:jc w:val="center"/>
              <w:rPr>
                <w:rFonts w:ascii="Times New Roman" w:hAnsi="Times New Roman" w:cs="Times New Roman" w:eastAsia="Times New Roman" w:hint="default"/>
                <w:sz w:val="18"/>
                <w:szCs w:val="18"/>
              </w:rPr>
            </w:pPr>
            <w:r>
              <w:rPr>
                <w:rFonts w:ascii="Times New Roman"/>
                <w:sz w:val="18"/>
              </w:rPr>
              <w:t>2,428,</w:t>
            </w:r>
          </w:p>
          <w:p>
            <w:pPr>
              <w:pStyle w:val="TableParagraph"/>
              <w:spacing w:line="207" w:lineRule="exact"/>
              <w:ind w:left="42" w:right="0"/>
              <w:jc w:val="center"/>
              <w:rPr>
                <w:rFonts w:ascii="Times New Roman" w:hAnsi="Times New Roman" w:cs="Times New Roman" w:eastAsia="Times New Roman" w:hint="default"/>
                <w:sz w:val="18"/>
                <w:szCs w:val="18"/>
              </w:rPr>
            </w:pPr>
            <w:r>
              <w:rPr>
                <w:rFonts w:ascii="Times New Roman"/>
                <w:sz w:val="18"/>
              </w:rPr>
              <w:t>885,72</w:t>
            </w:r>
          </w:p>
          <w:p>
            <w:pPr>
              <w:pStyle w:val="TableParagraph"/>
              <w:spacing w:line="240" w:lineRule="auto" w:before="2"/>
              <w:ind w:left="222" w:right="0"/>
              <w:jc w:val="center"/>
              <w:rPr>
                <w:rFonts w:ascii="Times New Roman" w:hAnsi="Times New Roman" w:cs="Times New Roman" w:eastAsia="Times New Roman" w:hint="default"/>
                <w:sz w:val="18"/>
                <w:szCs w:val="18"/>
              </w:rPr>
            </w:pPr>
            <w:r>
              <w:rPr>
                <w:rFonts w:ascii="Times New Roman"/>
                <w:sz w:val="18"/>
              </w:rPr>
              <w:t>5.00</w:t>
            </w: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8"/>
              <w:ind w:right="19"/>
              <w:jc w:val="right"/>
              <w:rPr>
                <w:rFonts w:ascii="Times New Roman" w:hAnsi="Times New Roman" w:cs="Times New Roman" w:eastAsia="Times New Roman" w:hint="default"/>
                <w:sz w:val="18"/>
                <w:szCs w:val="18"/>
              </w:rPr>
            </w:pPr>
            <w:r>
              <w:rPr>
                <w:rFonts w:ascii="Times New Roman"/>
                <w:spacing w:val="-1"/>
                <w:sz w:val="18"/>
              </w:rPr>
              <w:t>2,304,5</w:t>
            </w:r>
          </w:p>
          <w:p>
            <w:pPr>
              <w:pStyle w:val="TableParagraph"/>
              <w:spacing w:line="207" w:lineRule="exact"/>
              <w:ind w:right="19"/>
              <w:jc w:val="right"/>
              <w:rPr>
                <w:rFonts w:ascii="Times New Roman" w:hAnsi="Times New Roman" w:cs="Times New Roman" w:eastAsia="Times New Roman" w:hint="default"/>
                <w:sz w:val="18"/>
                <w:szCs w:val="18"/>
              </w:rPr>
            </w:pPr>
            <w:r>
              <w:rPr>
                <w:rFonts w:ascii="Times New Roman"/>
                <w:spacing w:val="-1"/>
                <w:sz w:val="18"/>
              </w:rPr>
              <w:t>33,814.</w:t>
            </w:r>
          </w:p>
          <w:p>
            <w:pPr>
              <w:pStyle w:val="TableParagraph"/>
              <w:spacing w:line="240" w:lineRule="auto" w:before="2"/>
              <w:ind w:right="19"/>
              <w:jc w:val="right"/>
              <w:rPr>
                <w:rFonts w:ascii="Times New Roman" w:hAnsi="Times New Roman" w:cs="Times New Roman" w:eastAsia="Times New Roman" w:hint="default"/>
                <w:sz w:val="18"/>
                <w:szCs w:val="18"/>
              </w:rPr>
            </w:pPr>
            <w:r>
              <w:rPr>
                <w:rFonts w:ascii="Times New Roman"/>
                <w:sz w:val="18"/>
              </w:rPr>
              <w:t>30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41"/>
              <w:ind w:right="0"/>
              <w:jc w:val="center"/>
              <w:rPr>
                <w:rFonts w:ascii="Times New Roman" w:hAnsi="Times New Roman" w:cs="Times New Roman" w:eastAsia="Times New Roman" w:hint="default"/>
                <w:sz w:val="18"/>
                <w:szCs w:val="18"/>
              </w:rPr>
            </w:pPr>
            <w:r>
              <w:rPr>
                <w:rFonts w:ascii="Times New Roman"/>
                <w:sz w:val="18"/>
              </w:rPr>
              <w:t>113,006,</w:t>
            </w:r>
          </w:p>
          <w:p>
            <w:pPr>
              <w:pStyle w:val="TableParagraph"/>
              <w:spacing w:line="207" w:lineRule="exact"/>
              <w:ind w:left="133" w:right="0"/>
              <w:jc w:val="center"/>
              <w:rPr>
                <w:rFonts w:ascii="Times New Roman" w:hAnsi="Times New Roman" w:cs="Times New Roman" w:eastAsia="Times New Roman" w:hint="default"/>
                <w:sz w:val="18"/>
                <w:szCs w:val="18"/>
              </w:rPr>
            </w:pPr>
            <w:r>
              <w:rPr>
                <w:rFonts w:ascii="Times New Roman"/>
                <w:sz w:val="18"/>
              </w:rPr>
              <w:t>514.72</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8"/>
              <w:ind w:right="20"/>
              <w:jc w:val="right"/>
              <w:rPr>
                <w:rFonts w:ascii="Times New Roman" w:hAnsi="Times New Roman" w:cs="Times New Roman" w:eastAsia="Times New Roman" w:hint="default"/>
                <w:sz w:val="18"/>
                <w:szCs w:val="18"/>
              </w:rPr>
            </w:pPr>
            <w:r>
              <w:rPr>
                <w:rFonts w:ascii="Times New Roman"/>
                <w:spacing w:val="-1"/>
                <w:sz w:val="18"/>
              </w:rPr>
              <w:t>-365,40</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pacing w:val="-1"/>
                <w:sz w:val="18"/>
              </w:rPr>
              <w:t>0,438.3</w:t>
            </w:r>
          </w:p>
          <w:p>
            <w:pPr>
              <w:pStyle w:val="TableParagraph"/>
              <w:spacing w:line="240" w:lineRule="auto" w:before="2"/>
              <w:ind w:right="20"/>
              <w:jc w:val="right"/>
              <w:rPr>
                <w:rFonts w:ascii="Times New Roman" w:hAnsi="Times New Roman" w:cs="Times New Roman" w:eastAsia="Times New Roman" w:hint="default"/>
                <w:sz w:val="18"/>
                <w:szCs w:val="18"/>
              </w:rPr>
            </w:pPr>
            <w:r>
              <w:rPr>
                <w:rFonts w:ascii="Times New Roman"/>
                <w:sz w:val="18"/>
              </w:rPr>
              <w:t>6</w:t>
            </w:r>
          </w:p>
        </w:tc>
        <w:tc>
          <w:tcPr>
            <w:tcW w:w="7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41"/>
              <w:ind w:left="47" w:right="0"/>
              <w:jc w:val="left"/>
              <w:rPr>
                <w:rFonts w:ascii="Times New Roman" w:hAnsi="Times New Roman" w:cs="Times New Roman" w:eastAsia="Times New Roman" w:hint="default"/>
                <w:sz w:val="18"/>
                <w:szCs w:val="18"/>
              </w:rPr>
            </w:pPr>
            <w:r>
              <w:rPr>
                <w:rFonts w:ascii="Times New Roman"/>
                <w:sz w:val="18"/>
              </w:rPr>
              <w:t>628,593</w:t>
            </w:r>
          </w:p>
          <w:p>
            <w:pPr>
              <w:pStyle w:val="TableParagraph"/>
              <w:spacing w:line="207" w:lineRule="exact"/>
              <w:ind w:left="92" w:right="0"/>
              <w:jc w:val="left"/>
              <w:rPr>
                <w:rFonts w:ascii="Times New Roman" w:hAnsi="Times New Roman" w:cs="Times New Roman" w:eastAsia="Times New Roman" w:hint="default"/>
                <w:sz w:val="18"/>
                <w:szCs w:val="18"/>
              </w:rPr>
            </w:pPr>
            <w:r>
              <w:rPr>
                <w:rFonts w:ascii="Times New Roman"/>
                <w:sz w:val="18"/>
              </w:rPr>
              <w:t>,583.41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41"/>
              <w:ind w:left="22" w:right="0"/>
              <w:jc w:val="center"/>
              <w:rPr>
                <w:rFonts w:ascii="Times New Roman" w:hAnsi="Times New Roman" w:cs="Times New Roman" w:eastAsia="Times New Roman" w:hint="default"/>
                <w:sz w:val="18"/>
                <w:szCs w:val="18"/>
              </w:rPr>
            </w:pPr>
            <w:r>
              <w:rPr>
                <w:rFonts w:ascii="Times New Roman"/>
                <w:sz w:val="18"/>
              </w:rPr>
              <w:t>2,616,552</w:t>
            </w:r>
          </w:p>
          <w:p>
            <w:pPr>
              <w:pStyle w:val="TableParagraph"/>
              <w:spacing w:line="207" w:lineRule="exact"/>
              <w:ind w:left="202" w:right="0"/>
              <w:jc w:val="center"/>
              <w:rPr>
                <w:rFonts w:ascii="Times New Roman" w:hAnsi="Times New Roman" w:cs="Times New Roman" w:eastAsia="Times New Roman" w:hint="default"/>
                <w:sz w:val="18"/>
                <w:szCs w:val="18"/>
              </w:rPr>
            </w:pPr>
            <w:r>
              <w:rPr>
                <w:rFonts w:ascii="Times New Roman"/>
                <w:sz w:val="18"/>
              </w:rPr>
              <w:t>,383.07</w:t>
            </w: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41"/>
              <w:ind w:left="40" w:right="0"/>
              <w:jc w:val="left"/>
              <w:rPr>
                <w:rFonts w:ascii="Times New Roman" w:hAnsi="Times New Roman" w:cs="Times New Roman" w:eastAsia="Times New Roman" w:hint="default"/>
                <w:sz w:val="18"/>
                <w:szCs w:val="18"/>
              </w:rPr>
            </w:pPr>
            <w:r>
              <w:rPr>
                <w:rFonts w:ascii="Times New Roman"/>
                <w:sz w:val="18"/>
              </w:rPr>
              <w:t>7,500,158,5</w:t>
            </w:r>
          </w:p>
          <w:p>
            <w:pPr>
              <w:pStyle w:val="TableParagraph"/>
              <w:spacing w:line="207" w:lineRule="exact"/>
              <w:ind w:left="492" w:right="0"/>
              <w:jc w:val="left"/>
              <w:rPr>
                <w:rFonts w:ascii="Times New Roman" w:hAnsi="Times New Roman" w:cs="Times New Roman" w:eastAsia="Times New Roman" w:hint="default"/>
                <w:sz w:val="18"/>
                <w:szCs w:val="18"/>
              </w:rPr>
            </w:pPr>
            <w:r>
              <w:rPr>
                <w:rFonts w:ascii="Times New Roman"/>
                <w:sz w:val="18"/>
              </w:rPr>
              <w:t>52.70</w:t>
            </w:r>
          </w:p>
        </w:tc>
      </w:tr>
    </w:tbl>
    <w:p>
      <w:pPr>
        <w:spacing w:line="240" w:lineRule="auto" w:before="13"/>
        <w:rPr>
          <w:rFonts w:ascii="宋体" w:hAnsi="宋体" w:cs="宋体" w:eastAsia="宋体" w:hint="default"/>
          <w:sz w:val="17"/>
          <w:szCs w:val="17"/>
        </w:rPr>
      </w:pPr>
    </w:p>
    <w:p>
      <w:pPr>
        <w:pStyle w:val="Heading2"/>
        <w:spacing w:line="240" w:lineRule="auto" w:before="26"/>
        <w:ind w:left="117" w:right="1603"/>
        <w:jc w:val="left"/>
        <w:rPr>
          <w:b w:val="0"/>
          <w:bCs w:val="0"/>
        </w:rPr>
      </w:pPr>
      <w:bookmarkStart w:name="三、公司基本情况" w:id="167"/>
      <w:bookmarkEnd w:id="167"/>
      <w:r>
        <w:rPr>
          <w:b w:val="0"/>
          <w:bCs w:val="0"/>
        </w:rPr>
      </w:r>
      <w:r>
        <w:rPr/>
        <w:t>三、公司基本情况</w:t>
      </w:r>
      <w:r>
        <w:rPr>
          <w:b w:val="0"/>
          <w:bCs w:val="0"/>
        </w:rPr>
      </w:r>
    </w:p>
    <w:p>
      <w:pPr>
        <w:spacing w:line="240" w:lineRule="auto" w:before="10"/>
        <w:rPr>
          <w:rFonts w:ascii="宋体" w:hAnsi="宋体" w:cs="宋体" w:eastAsia="宋体" w:hint="default"/>
          <w:b/>
          <w:bCs/>
          <w:sz w:val="22"/>
          <w:szCs w:val="22"/>
        </w:rPr>
      </w:pPr>
    </w:p>
    <w:p>
      <w:pPr>
        <w:pStyle w:val="Heading2"/>
        <w:spacing w:line="240" w:lineRule="auto"/>
        <w:ind w:left="597" w:right="1603"/>
        <w:jc w:val="left"/>
        <w:rPr>
          <w:b w:val="0"/>
          <w:bCs w:val="0"/>
        </w:rPr>
      </w:pPr>
      <w:bookmarkStart w:name="1、公司概况" w:id="168"/>
      <w:bookmarkEnd w:id="168"/>
      <w:r>
        <w:rPr>
          <w:b w:val="0"/>
          <w:bCs w:val="0"/>
        </w:rPr>
      </w:r>
      <w:r>
        <w:rPr>
          <w:rFonts w:ascii="Times New Roman" w:hAnsi="Times New Roman" w:cs="Times New Roman" w:eastAsia="Times New Roman" w:hint="default"/>
        </w:rPr>
        <w:t>1</w:t>
      </w:r>
      <w:r>
        <w:rPr/>
        <w:t>、公司概况</w:t>
      </w:r>
      <w:r>
        <w:rPr>
          <w:b w:val="0"/>
          <w:bCs w:val="0"/>
        </w:rPr>
      </w:r>
    </w:p>
    <w:p>
      <w:pPr>
        <w:pStyle w:val="BodyText"/>
        <w:spacing w:line="340" w:lineRule="auto" w:before="146"/>
        <w:ind w:left="117" w:right="1780" w:firstLine="420"/>
        <w:jc w:val="left"/>
      </w:pPr>
      <w:r>
        <w:rPr/>
        <w:t>广州广电运通金融电子股份有限公司</w:t>
      </w:r>
      <w:r>
        <w:rPr>
          <w:rFonts w:ascii="Times New Roman" w:hAnsi="Times New Roman" w:cs="Times New Roman" w:eastAsia="Times New Roman" w:hint="default"/>
        </w:rPr>
        <w:t>(</w:t>
      </w:r>
      <w:r>
        <w:rPr/>
        <w:t>以下简称</w:t>
      </w:r>
      <w:r>
        <w:rPr>
          <w:rFonts w:ascii="Times New Roman" w:hAnsi="Times New Roman" w:cs="Times New Roman" w:eastAsia="Times New Roman" w:hint="default"/>
        </w:rPr>
        <w:t>“</w:t>
      </w:r>
      <w:r>
        <w:rPr/>
        <w:t>本公司或公司</w:t>
      </w:r>
      <w:r>
        <w:rPr>
          <w:rFonts w:ascii="Times New Roman" w:hAnsi="Times New Roman" w:cs="Times New Roman" w:eastAsia="Times New Roman" w:hint="default"/>
        </w:rPr>
        <w:t>”</w:t>
      </w:r>
      <w:r>
        <w:rPr/>
        <w:t>公前身系广州广电运通金融电子有限 </w:t>
      </w:r>
      <w:r>
        <w:rPr>
          <w:spacing w:val="-1"/>
        </w:rPr>
        <w:t>公司，成立于</w:t>
      </w:r>
      <w:r>
        <w:rPr>
          <w:rFonts w:ascii="Times New Roman" w:hAnsi="Times New Roman" w:cs="Times New Roman" w:eastAsia="Times New Roman" w:hint="default"/>
          <w:spacing w:val="-1"/>
        </w:rPr>
        <w:t>1999</w:t>
      </w:r>
      <w:r>
        <w:rPr>
          <w:spacing w:val="-1"/>
        </w:rPr>
        <w:t>年</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8</w:t>
      </w:r>
      <w:r>
        <w:rPr>
          <w:spacing w:val="-1"/>
        </w:rPr>
        <w:t>日，</w:t>
      </w:r>
      <w:r>
        <w:rPr>
          <w:rFonts w:ascii="Times New Roman" w:hAnsi="Times New Roman" w:cs="Times New Roman" w:eastAsia="Times New Roman" w:hint="default"/>
          <w:spacing w:val="-1"/>
        </w:rPr>
        <w:t>2005</w:t>
      </w:r>
      <w:r>
        <w:rPr>
          <w:spacing w:val="-1"/>
        </w:rPr>
        <w:t>年</w:t>
      </w:r>
      <w:r>
        <w:rPr>
          <w:rFonts w:ascii="Times New Roman" w:hAnsi="Times New Roman" w:cs="Times New Roman" w:eastAsia="Times New Roman" w:hint="default"/>
          <w:spacing w:val="-1"/>
        </w:rPr>
        <w:t>10</w:t>
      </w:r>
      <w:r>
        <w:rPr>
          <w:spacing w:val="-1"/>
        </w:rPr>
        <w:t>月经广州市人民政府办公厅穗府办函</w:t>
      </w:r>
      <w:r>
        <w:rPr>
          <w:rFonts w:ascii="Times New Roman" w:hAnsi="Times New Roman" w:cs="Times New Roman" w:eastAsia="Times New Roman" w:hint="default"/>
          <w:spacing w:val="-1"/>
        </w:rPr>
        <w:t>[2005]161</w:t>
      </w:r>
      <w:r>
        <w:rPr>
          <w:spacing w:val="-1"/>
        </w:rPr>
        <w:t>号文批准，广州市经</w:t>
      </w:r>
      <w:r>
        <w:rPr>
          <w:spacing w:val="-44"/>
        </w:rPr>
        <w:t> </w:t>
      </w:r>
      <w:r>
        <w:rPr/>
        <w:t>济贸易委员会穗经贸函</w:t>
      </w:r>
      <w:r>
        <w:rPr>
          <w:rFonts w:ascii="Times New Roman" w:hAnsi="Times New Roman" w:cs="Times New Roman" w:eastAsia="Times New Roman" w:hint="default"/>
        </w:rPr>
        <w:t>[2005]492</w:t>
      </w:r>
      <w:r>
        <w:rPr/>
        <w:t>号文批复，由广州无线电集团有限公司、深圳市德通投资有限公司、盈富 泰克创业投资有限公司、梅州敬基金属制品有限公司、广州藤川科技有限公司作为发起人，以发起设立方 式将广州广电运通金融电子有限公司整体变更为广州广电运通金融电子股份有限公司。注册资本为</w:t>
      </w:r>
    </w:p>
    <w:p>
      <w:pPr>
        <w:spacing w:after="0" w:line="340" w:lineRule="auto"/>
        <w:jc w:val="left"/>
        <w:sectPr>
          <w:footerReference w:type="default" r:id="rId41"/>
          <w:pgSz w:w="11910" w:h="16840"/>
          <w:pgMar w:footer="1264" w:header="712" w:top="980" w:bottom="1460" w:left="1680" w:right="0"/>
          <w:pgNumType w:start="110"/>
        </w:sectPr>
      </w:pPr>
    </w:p>
    <w:p>
      <w:pPr>
        <w:spacing w:line="240" w:lineRule="auto" w:before="5"/>
        <w:rPr>
          <w:rFonts w:ascii="宋体" w:hAnsi="宋体" w:cs="宋体" w:eastAsia="宋体" w:hint="default"/>
          <w:sz w:val="29"/>
          <w:szCs w:val="29"/>
        </w:rPr>
      </w:pPr>
    </w:p>
    <w:p>
      <w:pPr>
        <w:pStyle w:val="BodyText"/>
        <w:spacing w:line="338" w:lineRule="auto" w:before="44"/>
        <w:ind w:left="117" w:right="1603"/>
        <w:jc w:val="left"/>
      </w:pPr>
      <w:r>
        <w:rPr>
          <w:rFonts w:ascii="Times New Roman" w:hAnsi="Times New Roman" w:cs="Times New Roman" w:eastAsia="Times New Roman" w:hint="default"/>
          <w:spacing w:val="-1"/>
        </w:rPr>
        <w:t>106,559,010.00</w:t>
      </w:r>
      <w:r>
        <w:rPr>
          <w:spacing w:val="-1"/>
        </w:rPr>
        <w:t>元，于</w:t>
      </w:r>
      <w:r>
        <w:rPr>
          <w:rFonts w:ascii="Times New Roman" w:hAnsi="Times New Roman" w:cs="Times New Roman" w:eastAsia="Times New Roman" w:hint="default"/>
          <w:spacing w:val="-1"/>
        </w:rPr>
        <w:t>2005</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18</w:t>
      </w:r>
      <w:r>
        <w:rPr>
          <w:spacing w:val="-1"/>
        </w:rPr>
        <w:t>日取得广州市工商行政管理局核发的变更后的企业法人营业执照，注册</w:t>
      </w:r>
      <w:r>
        <w:rPr>
          <w:spacing w:val="-58"/>
        </w:rPr>
        <w:t> </w:t>
      </w:r>
      <w:r>
        <w:rPr>
          <w:spacing w:val="-58"/>
        </w:rPr>
      </w:r>
      <w:r>
        <w:rPr/>
        <w:t>号为：</w:t>
      </w:r>
      <w:r>
        <w:rPr>
          <w:rFonts w:ascii="Times New Roman" w:hAnsi="Times New Roman" w:cs="Times New Roman" w:eastAsia="Times New Roman" w:hint="default"/>
        </w:rPr>
        <w:t>4401011103795</w:t>
      </w:r>
      <w:r>
        <w:rPr/>
        <w:t>。</w:t>
      </w:r>
    </w:p>
    <w:p>
      <w:pPr>
        <w:pStyle w:val="BodyText"/>
        <w:spacing w:line="338" w:lineRule="auto" w:before="19"/>
        <w:ind w:left="117" w:right="1844" w:firstLine="420"/>
        <w:jc w:val="both"/>
      </w:pPr>
      <w:r>
        <w:rPr>
          <w:rFonts w:ascii="Times New Roman" w:hAnsi="Times New Roman" w:cs="Times New Roman" w:eastAsia="Times New Roman" w:hint="default"/>
          <w:spacing w:val="-1"/>
        </w:rPr>
        <w:t>2006</w:t>
      </w:r>
      <w:r>
        <w:rPr>
          <w:spacing w:val="-1"/>
        </w:rPr>
        <w:t>年</w:t>
      </w:r>
      <w:r>
        <w:rPr>
          <w:rFonts w:ascii="Times New Roman" w:hAnsi="Times New Roman" w:cs="Times New Roman" w:eastAsia="Times New Roman" w:hint="default"/>
          <w:spacing w:val="-1"/>
        </w:rPr>
        <w:t>12</w:t>
      </w:r>
      <w:r>
        <w:rPr>
          <w:spacing w:val="-1"/>
        </w:rPr>
        <w:t>月，经本公司股东大会审议通过，股东盈富泰克创业投资有限公司将持有本公司</w:t>
      </w:r>
      <w:r>
        <w:rPr>
          <w:rFonts w:ascii="Times New Roman" w:hAnsi="Times New Roman" w:cs="Times New Roman" w:eastAsia="Times New Roman" w:hint="default"/>
          <w:spacing w:val="-1"/>
        </w:rPr>
        <w:t>10.657%</w:t>
      </w:r>
      <w:r>
        <w:rPr>
          <w:spacing w:val="-1"/>
        </w:rPr>
        <w:t>股</w:t>
      </w:r>
      <w:r>
        <w:rPr/>
        <w:t> 权中的</w:t>
      </w:r>
      <w:r>
        <w:rPr>
          <w:rFonts w:ascii="Times New Roman" w:hAnsi="Times New Roman" w:cs="Times New Roman" w:eastAsia="Times New Roman" w:hint="default"/>
        </w:rPr>
        <w:t>5.026%</w:t>
      </w:r>
      <w:r>
        <w:rPr/>
        <w:t>转让给股东广州无线电集团有限公司，股东深圳市德通投资有限公司将持有本公司</w:t>
      </w:r>
      <w:r>
        <w:rPr>
          <w:rFonts w:ascii="Times New Roman" w:hAnsi="Times New Roman" w:cs="Times New Roman" w:eastAsia="Times New Roman" w:hint="default"/>
        </w:rPr>
        <w:t>17.762% </w:t>
      </w:r>
      <w:r>
        <w:rPr/>
        <w:t>的股权全部转让给自然人股东叶子瑜等</w:t>
      </w:r>
      <w:r>
        <w:rPr>
          <w:rFonts w:ascii="Times New Roman" w:hAnsi="Times New Roman" w:cs="Times New Roman" w:eastAsia="Times New Roman" w:hint="default"/>
        </w:rPr>
        <w:t>48</w:t>
      </w:r>
      <w:r>
        <w:rPr/>
        <w:t>人。</w:t>
      </w:r>
    </w:p>
    <w:p>
      <w:pPr>
        <w:pStyle w:val="BodyText"/>
        <w:spacing w:line="336" w:lineRule="auto" w:before="19"/>
        <w:ind w:left="117" w:right="1603" w:firstLine="420"/>
        <w:jc w:val="left"/>
      </w:pPr>
      <w:r>
        <w:rPr>
          <w:spacing w:val="-2"/>
        </w:rPr>
        <w:t>经中国证券监督管理委员会证监发行字</w:t>
      </w:r>
      <w:r>
        <w:rPr>
          <w:rFonts w:ascii="Times New Roman" w:hAnsi="Times New Roman" w:cs="Times New Roman" w:eastAsia="Times New Roman" w:hint="default"/>
          <w:spacing w:val="-2"/>
        </w:rPr>
        <w:t>[2007]188</w:t>
      </w:r>
      <w:r>
        <w:rPr>
          <w:spacing w:val="-2"/>
        </w:rPr>
        <w:t>号《关于核准广州广电运通金融电子股份有限公司首</w:t>
      </w:r>
      <w:r>
        <w:rPr/>
        <w:t> </w:t>
      </w:r>
      <w:r>
        <w:rPr>
          <w:spacing w:val="-1"/>
        </w:rPr>
        <w:t>次公开发行股票的通知》核准，本公司获准向社会公开发行人民币普通股（</w:t>
      </w:r>
      <w:r>
        <w:rPr>
          <w:rFonts w:ascii="Times New Roman" w:hAnsi="Times New Roman" w:cs="Times New Roman" w:eastAsia="Times New Roman" w:hint="default"/>
          <w:spacing w:val="-1"/>
        </w:rPr>
        <w:t>A</w:t>
      </w:r>
      <w:r>
        <w:rPr>
          <w:spacing w:val="-1"/>
        </w:rPr>
        <w:t>股）</w:t>
      </w:r>
      <w:r>
        <w:rPr>
          <w:rFonts w:ascii="Times New Roman" w:hAnsi="Times New Roman" w:cs="Times New Roman" w:eastAsia="Times New Roman" w:hint="default"/>
          <w:spacing w:val="-1"/>
        </w:rPr>
        <w:t>3600</w:t>
      </w:r>
      <w:r>
        <w:rPr>
          <w:spacing w:val="-1"/>
        </w:rPr>
        <w:t>万股。并于</w:t>
      </w:r>
      <w:r>
        <w:rPr>
          <w:rFonts w:ascii="Times New Roman" w:hAnsi="Times New Roman" w:cs="Times New Roman" w:eastAsia="Times New Roman" w:hint="default"/>
          <w:spacing w:val="-1"/>
        </w:rPr>
        <w:t>2007</w:t>
      </w:r>
      <w:r>
        <w:rPr>
          <w:spacing w:val="-1"/>
        </w:rPr>
        <w:t>年</w:t>
      </w:r>
      <w:r>
        <w:rPr>
          <w:rFonts w:ascii="Times New Roman" w:hAnsi="Times New Roman" w:cs="Times New Roman" w:eastAsia="Times New Roman" w:hint="default"/>
          <w:spacing w:val="-1"/>
        </w:rPr>
        <w:t>8</w:t>
      </w:r>
      <w:r>
        <w:rPr>
          <w:rFonts w:ascii="Times New Roman" w:hAnsi="Times New Roman" w:cs="Times New Roman" w:eastAsia="Times New Roman" w:hint="default"/>
          <w:spacing w:val="-8"/>
        </w:rPr>
        <w:t> </w:t>
      </w:r>
      <w:r>
        <w:rPr/>
        <w:t>月</w:t>
      </w:r>
      <w:r>
        <w:rPr>
          <w:rFonts w:ascii="Times New Roman" w:hAnsi="Times New Roman" w:cs="Times New Roman" w:eastAsia="Times New Roman" w:hint="default"/>
        </w:rPr>
        <w:t>13</w:t>
      </w:r>
      <w:r>
        <w:rPr/>
        <w:t>日在深圳证券交易所挂牌交易，发行上市后注册资本由人民币</w:t>
      </w:r>
      <w:r>
        <w:rPr>
          <w:rFonts w:ascii="Times New Roman" w:hAnsi="Times New Roman" w:cs="Times New Roman" w:eastAsia="Times New Roman" w:hint="default"/>
        </w:rPr>
        <w:t>106,559,010.00</w:t>
      </w:r>
      <w:r>
        <w:rPr/>
        <w:t>元增加至</w:t>
      </w:r>
      <w:r>
        <w:rPr>
          <w:rFonts w:ascii="Times New Roman" w:hAnsi="Times New Roman" w:cs="Times New Roman" w:eastAsia="Times New Roman" w:hint="default"/>
        </w:rPr>
        <w:t>142,559,010.00 </w:t>
      </w:r>
      <w:r>
        <w:rPr/>
        <w:t>元。证券简称为</w:t>
      </w:r>
      <w:r>
        <w:rPr>
          <w:rFonts w:ascii="Times New Roman" w:hAnsi="Times New Roman" w:cs="Times New Roman" w:eastAsia="Times New Roman" w:hint="default"/>
        </w:rPr>
        <w:t>“</w:t>
      </w:r>
      <w:r>
        <w:rPr/>
        <w:t>广电运通</w:t>
      </w:r>
      <w:r>
        <w:rPr>
          <w:rFonts w:ascii="Times New Roman" w:hAnsi="Times New Roman" w:cs="Times New Roman" w:eastAsia="Times New Roman" w:hint="default"/>
        </w:rPr>
        <w:t>”</w:t>
      </w:r>
      <w:r>
        <w:rPr/>
        <w:t>，证券代码为</w:t>
      </w:r>
      <w:r>
        <w:rPr>
          <w:rFonts w:ascii="Times New Roman" w:hAnsi="Times New Roman" w:cs="Times New Roman" w:eastAsia="Times New Roman" w:hint="default"/>
        </w:rPr>
        <w:t>“002152”</w:t>
      </w:r>
      <w:r>
        <w:rPr/>
        <w:t>，所属行业为通用设备制造业。</w:t>
      </w:r>
    </w:p>
    <w:p>
      <w:pPr>
        <w:pStyle w:val="BodyText"/>
        <w:spacing w:line="338" w:lineRule="auto" w:before="21"/>
        <w:ind w:left="117" w:right="1840" w:firstLine="420"/>
        <w:jc w:val="left"/>
      </w:pPr>
      <w:r>
        <w:rPr/>
        <w:t>经本公司第一届董事会第十五次会议、</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18</w:t>
      </w:r>
      <w:r>
        <w:rPr/>
        <w:t>日股东大会决议通过，本公司以</w:t>
      </w:r>
      <w:r>
        <w:rPr>
          <w:rFonts w:ascii="Times New Roman" w:hAnsi="Times New Roman" w:cs="Times New Roman" w:eastAsia="Times New Roman" w:hint="default"/>
        </w:rPr>
        <w:t>2007</w:t>
      </w:r>
      <w:r>
        <w:rPr/>
        <w:t>年末总股本 为基数，以资本公积向全体股东每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10</w:t>
      </w:r>
      <w:r>
        <w:rPr/>
        <w:t>股股本。</w:t>
      </w:r>
    </w:p>
    <w:p>
      <w:pPr>
        <w:pStyle w:val="BodyText"/>
        <w:spacing w:line="338" w:lineRule="auto" w:before="19"/>
        <w:ind w:left="117" w:right="1840" w:firstLine="420"/>
        <w:jc w:val="left"/>
      </w:pPr>
      <w:r>
        <w:rPr/>
        <w:t>经本公司第二届董事会第二次会议、</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28</w:t>
      </w:r>
      <w:r>
        <w:rPr/>
        <w:t>日股东大会决议通过，本公司以</w:t>
      </w:r>
      <w:r>
        <w:rPr>
          <w:rFonts w:ascii="Times New Roman" w:hAnsi="Times New Roman" w:cs="Times New Roman" w:eastAsia="Times New Roman" w:hint="default"/>
        </w:rPr>
        <w:t>2008</w:t>
      </w:r>
      <w:r>
        <w:rPr/>
        <w:t>年末总股本为 基数，以资本公积向全体股东每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2</w:t>
      </w:r>
      <w:r>
        <w:rPr/>
        <w:t>股股本。</w:t>
      </w:r>
    </w:p>
    <w:p>
      <w:pPr>
        <w:pStyle w:val="BodyText"/>
        <w:spacing w:line="338" w:lineRule="auto" w:before="19"/>
        <w:ind w:left="117" w:right="1840" w:firstLine="420"/>
        <w:jc w:val="left"/>
      </w:pPr>
      <w:r>
        <w:rPr/>
        <w:t>经本公司第二届董事会第十二次会议、</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15</w:t>
      </w:r>
      <w:r>
        <w:rPr/>
        <w:t>日股东大会决议通过，本公司以</w:t>
      </w:r>
      <w:r>
        <w:rPr>
          <w:rFonts w:ascii="Times New Roman" w:hAnsi="Times New Roman" w:cs="Times New Roman" w:eastAsia="Times New Roman" w:hint="default"/>
        </w:rPr>
        <w:t>2010</w:t>
      </w:r>
      <w:r>
        <w:rPr/>
        <w:t>年末总股本 为基数，以未分配利润向全体股东每</w:t>
      </w:r>
      <w:r>
        <w:rPr>
          <w:rFonts w:ascii="Times New Roman" w:hAnsi="Times New Roman" w:cs="Times New Roman" w:eastAsia="Times New Roman" w:hint="default"/>
        </w:rPr>
        <w:t>10</w:t>
      </w:r>
      <w:r>
        <w:rPr/>
        <w:t>股送</w:t>
      </w:r>
      <w:r>
        <w:rPr>
          <w:rFonts w:ascii="Times New Roman" w:hAnsi="Times New Roman" w:cs="Times New Roman" w:eastAsia="Times New Roman" w:hint="default"/>
        </w:rPr>
        <w:t>3</w:t>
      </w:r>
      <w:r>
        <w:rPr/>
        <w:t>股红股。</w:t>
      </w:r>
    </w:p>
    <w:p>
      <w:pPr>
        <w:pStyle w:val="BodyText"/>
        <w:spacing w:line="338" w:lineRule="auto" w:before="19"/>
        <w:ind w:left="117" w:right="1840" w:firstLine="420"/>
        <w:jc w:val="left"/>
      </w:pPr>
      <w:r>
        <w:rPr/>
        <w:t>经本公司第三届董事会第二次会议、</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19</w:t>
      </w:r>
      <w:r>
        <w:rPr/>
        <w:t>日股东大会决议通过，本公司以</w:t>
      </w:r>
      <w:r>
        <w:rPr>
          <w:rFonts w:ascii="Times New Roman" w:hAnsi="Times New Roman" w:cs="Times New Roman" w:eastAsia="Times New Roman" w:hint="default"/>
        </w:rPr>
        <w:t>2011</w:t>
      </w:r>
      <w:r>
        <w:rPr/>
        <w:t>年末总股本为 基数，以资本公积向全体股东每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4</w:t>
      </w:r>
      <w:r>
        <w:rPr/>
        <w:t>股股本。</w:t>
      </w:r>
    </w:p>
    <w:p>
      <w:pPr>
        <w:pStyle w:val="BodyText"/>
        <w:spacing w:line="338" w:lineRule="auto" w:before="17"/>
        <w:ind w:left="117" w:right="1840" w:firstLine="420"/>
        <w:jc w:val="left"/>
      </w:pPr>
      <w:r>
        <w:rPr/>
        <w:t>经本公司第三届董事会第十次会议、</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23</w:t>
      </w:r>
      <w:r>
        <w:rPr/>
        <w:t>日股东大会决议通过，本公司以</w:t>
      </w:r>
      <w:r>
        <w:rPr>
          <w:rFonts w:ascii="Times New Roman" w:hAnsi="Times New Roman" w:cs="Times New Roman" w:eastAsia="Times New Roman" w:hint="default"/>
        </w:rPr>
        <w:t>2012</w:t>
      </w:r>
      <w:r>
        <w:rPr/>
        <w:t>年末总股本为 基数，以未分配利润向全体股东每</w:t>
      </w:r>
      <w:r>
        <w:rPr>
          <w:rFonts w:ascii="Times New Roman" w:hAnsi="Times New Roman" w:cs="Times New Roman" w:eastAsia="Times New Roman" w:hint="default"/>
        </w:rPr>
        <w:t>10</w:t>
      </w:r>
      <w:r>
        <w:rPr/>
        <w:t>股送</w:t>
      </w:r>
      <w:r>
        <w:rPr>
          <w:rFonts w:ascii="Times New Roman" w:hAnsi="Times New Roman" w:cs="Times New Roman" w:eastAsia="Times New Roman" w:hint="default"/>
        </w:rPr>
        <w:t>2</w:t>
      </w:r>
      <w:r>
        <w:rPr/>
        <w:t>股红股。</w:t>
      </w:r>
    </w:p>
    <w:p>
      <w:pPr>
        <w:pStyle w:val="BodyText"/>
        <w:spacing w:line="338" w:lineRule="auto" w:before="19"/>
        <w:ind w:left="117" w:right="1840" w:firstLine="420"/>
        <w:jc w:val="left"/>
      </w:pPr>
      <w:r>
        <w:rPr/>
        <w:t>经本公司第三届董事会第十八次会议、</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22</w:t>
      </w:r>
      <w:r>
        <w:rPr/>
        <w:t>日股东大会决议通过，本公司以</w:t>
      </w:r>
      <w:r>
        <w:rPr>
          <w:rFonts w:ascii="Times New Roman" w:hAnsi="Times New Roman" w:cs="Times New Roman" w:eastAsia="Times New Roman" w:hint="default"/>
        </w:rPr>
        <w:t>2013</w:t>
      </w:r>
      <w:r>
        <w:rPr/>
        <w:t>年末总股本 为基数，以未分配利润向全体股东每</w:t>
      </w:r>
      <w:r>
        <w:rPr>
          <w:rFonts w:ascii="Times New Roman" w:hAnsi="Times New Roman" w:cs="Times New Roman" w:eastAsia="Times New Roman" w:hint="default"/>
        </w:rPr>
        <w:t>10</w:t>
      </w:r>
      <w:r>
        <w:rPr/>
        <w:t>股送</w:t>
      </w:r>
      <w:r>
        <w:rPr>
          <w:rFonts w:ascii="Times New Roman" w:hAnsi="Times New Roman" w:cs="Times New Roman" w:eastAsia="Times New Roman" w:hint="default"/>
        </w:rPr>
        <w:t>2</w:t>
      </w:r>
      <w:r>
        <w:rPr/>
        <w:t>股红股。</w:t>
      </w:r>
    </w:p>
    <w:p>
      <w:pPr>
        <w:pStyle w:val="BodyText"/>
        <w:spacing w:line="240" w:lineRule="auto" w:before="19"/>
        <w:ind w:left="537" w:right="1603"/>
        <w:jc w:val="left"/>
      </w:pPr>
      <w:r>
        <w:rPr/>
        <w:t>经中国证券监督管理委员会《关于核准广州广电运通金融电子股份有限公司非公开发行股票的批复》</w:t>
      </w:r>
    </w:p>
    <w:p>
      <w:pPr>
        <w:pStyle w:val="BodyText"/>
        <w:spacing w:line="336" w:lineRule="auto" w:before="115"/>
        <w:ind w:left="117" w:right="1820"/>
        <w:jc w:val="left"/>
      </w:pPr>
      <w:r>
        <w:rPr/>
        <w:t>（证监许可【</w:t>
      </w:r>
      <w:r>
        <w:rPr>
          <w:rFonts w:ascii="Times New Roman" w:hAnsi="Times New Roman" w:cs="Times New Roman" w:eastAsia="Times New Roman" w:hint="default"/>
        </w:rPr>
        <w:t>2015</w:t>
      </w:r>
      <w:r>
        <w:rPr/>
        <w:t>】</w:t>
      </w:r>
      <w:r>
        <w:rPr>
          <w:rFonts w:ascii="Times New Roman" w:hAnsi="Times New Roman" w:cs="Times New Roman" w:eastAsia="Times New Roman" w:hint="default"/>
        </w:rPr>
        <w:t>3135</w:t>
      </w:r>
      <w:r>
        <w:rPr/>
        <w:t>号）核准，公司非公开发行</w:t>
      </w:r>
      <w:r>
        <w:rPr>
          <w:rFonts w:ascii="Times New Roman" w:hAnsi="Times New Roman" w:cs="Times New Roman" w:eastAsia="Times New Roman" w:hint="default"/>
        </w:rPr>
        <w:t>182,820,000</w:t>
      </w:r>
      <w:r>
        <w:rPr/>
        <w:t>股人民币普通股（</w:t>
      </w:r>
      <w:r>
        <w:rPr>
          <w:rFonts w:ascii="Times New Roman" w:hAnsi="Times New Roman" w:cs="Times New Roman" w:eastAsia="Times New Roman" w:hint="default"/>
        </w:rPr>
        <w:t>A</w:t>
      </w:r>
      <w:r>
        <w:rPr/>
        <w:t>股）股票，发行价格 为</w:t>
      </w:r>
      <w:r>
        <w:rPr>
          <w:rFonts w:ascii="Times New Roman" w:hAnsi="Times New Roman" w:cs="Times New Roman" w:eastAsia="Times New Roman" w:hint="default"/>
        </w:rPr>
        <w:t>17.16</w:t>
      </w:r>
      <w:r>
        <w:rPr/>
        <w:t>元</w:t>
      </w:r>
      <w:r>
        <w:rPr>
          <w:rFonts w:ascii="Times New Roman" w:hAnsi="Times New Roman" w:cs="Times New Roman" w:eastAsia="Times New Roman" w:hint="default"/>
        </w:rPr>
        <w:t>/</w:t>
      </w:r>
      <w:r>
        <w:rPr/>
        <w:t>股，募集资金总额为人民币</w:t>
      </w:r>
      <w:r>
        <w:rPr>
          <w:rFonts w:ascii="Times New Roman" w:hAnsi="Times New Roman" w:cs="Times New Roman" w:eastAsia="Times New Roman" w:hint="default"/>
        </w:rPr>
        <w:t>3,137,191,200</w:t>
      </w:r>
      <w:r>
        <w:rPr/>
        <w:t>元，扣除发行费用后，实际募集资金净额为 </w:t>
      </w:r>
      <w:r>
        <w:rPr>
          <w:rFonts w:ascii="Times New Roman" w:hAnsi="Times New Roman" w:cs="Times New Roman" w:eastAsia="Times New Roman" w:hint="default"/>
        </w:rPr>
        <w:t>3,115,529,764.90</w:t>
      </w:r>
      <w:r>
        <w:rPr/>
        <w:t>元。</w:t>
      </w:r>
      <w:r>
        <w:rPr>
          <w:rFonts w:ascii="Times New Roman" w:hAnsi="Times New Roman" w:cs="Times New Roman" w:eastAsia="Times New Roman" w:hint="default"/>
        </w:rPr>
        <w:t>2016</w:t>
      </w:r>
      <w:r>
        <w:rPr>
          <w:rFonts w:ascii="Times New Roman" w:hAnsi="Times New Roman" w:cs="Times New Roman" w:eastAsia="Times New Roman" w:hint="default"/>
          <w:spacing w:val="35"/>
        </w:rPr>
        <w:t> </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29</w:t>
      </w:r>
      <w:r>
        <w:rPr/>
        <w:t>日，立信会计师事务所（特殊普通合伙）对本次发行募集资金到账情况 进行了审验，并出具了</w:t>
      </w:r>
      <w:r>
        <w:rPr>
          <w:rFonts w:ascii="Times New Roman" w:hAnsi="Times New Roman" w:cs="Times New Roman" w:eastAsia="Times New Roman" w:hint="default"/>
        </w:rPr>
        <w:t>“</w:t>
      </w:r>
      <w:r>
        <w:rPr/>
        <w:t>信会师报字</w:t>
      </w:r>
      <w:r>
        <w:rPr>
          <w:rFonts w:ascii="Times New Roman" w:hAnsi="Times New Roman" w:cs="Times New Roman" w:eastAsia="Times New Roman" w:hint="default"/>
        </w:rPr>
        <w:t>[2016]</w:t>
      </w:r>
      <w:r>
        <w:rPr/>
        <w:t>第</w:t>
      </w:r>
      <w:r>
        <w:rPr>
          <w:rFonts w:ascii="Times New Roman" w:hAnsi="Times New Roman" w:cs="Times New Roman" w:eastAsia="Times New Roman" w:hint="default"/>
        </w:rPr>
        <w:t>410100</w:t>
      </w:r>
      <w:r>
        <w:rPr/>
        <w:t>号</w:t>
      </w:r>
      <w:r>
        <w:rPr>
          <w:rFonts w:ascii="Times New Roman" w:hAnsi="Times New Roman" w:cs="Times New Roman" w:eastAsia="Times New Roman" w:hint="default"/>
        </w:rPr>
        <w:t>”</w:t>
      </w:r>
      <w:r>
        <w:rPr/>
        <w:t>《验资报告》。</w:t>
      </w:r>
    </w:p>
    <w:p>
      <w:pPr>
        <w:pStyle w:val="BodyText"/>
        <w:spacing w:line="338" w:lineRule="auto" w:before="24"/>
        <w:ind w:left="537" w:right="2560"/>
        <w:jc w:val="left"/>
      </w:pPr>
      <w:r>
        <w:rPr/>
        <w:t>本次发行股票募集资金后，本公司的总股本增至</w:t>
      </w:r>
      <w:r>
        <w:rPr>
          <w:rFonts w:ascii="Times New Roman" w:hAnsi="Times New Roman" w:cs="Times New Roman" w:eastAsia="Times New Roman" w:hint="default"/>
        </w:rPr>
        <w:t>1,079,504,767.00</w:t>
      </w:r>
      <w:r>
        <w:rPr/>
        <w:t>股。 经本公司第四届董事会第十八次会议、</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18</w:t>
      </w:r>
      <w:r>
        <w:rPr/>
        <w:t>日股东大会决议通过，本公司以总股本</w:t>
      </w:r>
    </w:p>
    <w:p>
      <w:pPr>
        <w:pStyle w:val="BodyText"/>
        <w:spacing w:line="240" w:lineRule="auto" w:before="17"/>
        <w:ind w:left="117" w:right="1603"/>
        <w:jc w:val="left"/>
      </w:pPr>
      <w:r>
        <w:rPr>
          <w:rFonts w:ascii="Times New Roman" w:hAnsi="Times New Roman" w:cs="Times New Roman" w:eastAsia="Times New Roman" w:hint="default"/>
        </w:rPr>
        <w:t>1,079,504,767</w:t>
      </w:r>
      <w:r>
        <w:rPr/>
        <w:t>股为基数，以未分配利润向全体股东每</w:t>
      </w:r>
      <w:r>
        <w:rPr>
          <w:rFonts w:ascii="Times New Roman" w:hAnsi="Times New Roman" w:cs="Times New Roman" w:eastAsia="Times New Roman" w:hint="default"/>
        </w:rPr>
        <w:t>10</w:t>
      </w:r>
      <w:r>
        <w:rPr/>
        <w:t>股送</w:t>
      </w:r>
      <w:r>
        <w:rPr>
          <w:rFonts w:ascii="Times New Roman" w:hAnsi="Times New Roman" w:cs="Times New Roman" w:eastAsia="Times New Roman" w:hint="default"/>
        </w:rPr>
        <w:t>5</w:t>
      </w:r>
      <w:r>
        <w:rPr/>
        <w:t>股红股。</w:t>
      </w:r>
    </w:p>
    <w:p>
      <w:pPr>
        <w:pStyle w:val="BodyText"/>
        <w:spacing w:line="338" w:lineRule="auto" w:before="101"/>
        <w:ind w:left="117" w:right="1603" w:firstLine="420"/>
        <w:jc w:val="left"/>
      </w:pP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29</w:t>
      </w:r>
      <w:r>
        <w:rPr>
          <w:spacing w:val="-1"/>
        </w:rPr>
        <w:t>日，本公司取得变更后的营业执照，统一社会信用代码为：</w:t>
      </w:r>
      <w:r>
        <w:rPr>
          <w:rFonts w:ascii="Times New Roman" w:hAnsi="Times New Roman" w:cs="Times New Roman" w:eastAsia="Times New Roman" w:hint="default"/>
          <w:spacing w:val="-1"/>
        </w:rPr>
        <w:t>914401017163404737</w:t>
      </w:r>
      <w:r>
        <w:rPr>
          <w:spacing w:val="-1"/>
        </w:rPr>
        <w:t>。住所</w:t>
      </w:r>
      <w:r>
        <w:rPr/>
        <w:t> 为广州市高新技术产业开发区科学城科林路</w:t>
      </w:r>
      <w:r>
        <w:rPr>
          <w:rFonts w:ascii="Times New Roman" w:hAnsi="Times New Roman" w:cs="Times New Roman" w:eastAsia="Times New Roman" w:hint="default"/>
        </w:rPr>
        <w:t>9</w:t>
      </w:r>
      <w:r>
        <w:rPr/>
        <w:t>、</w:t>
      </w:r>
      <w:r>
        <w:rPr>
          <w:rFonts w:ascii="Times New Roman" w:hAnsi="Times New Roman" w:cs="Times New Roman" w:eastAsia="Times New Roman" w:hint="default"/>
        </w:rPr>
        <w:t>11</w:t>
      </w:r>
      <w:r>
        <w:rPr/>
        <w:t>号。</w:t>
      </w:r>
    </w:p>
    <w:p>
      <w:pPr>
        <w:pStyle w:val="BodyText"/>
        <w:spacing w:line="338" w:lineRule="auto" w:before="19"/>
        <w:ind w:left="117" w:right="1603" w:firstLine="420"/>
        <w:jc w:val="left"/>
      </w:pPr>
      <w:r>
        <w:rPr>
          <w:spacing w:val="-4"/>
        </w:rPr>
        <w:t>经本公司第四届董事会第三十次会议、</w:t>
      </w:r>
      <w:r>
        <w:rPr>
          <w:rFonts w:ascii="Times New Roman" w:hAnsi="Times New Roman" w:cs="Times New Roman" w:eastAsia="Times New Roman" w:hint="default"/>
          <w:spacing w:val="-4"/>
        </w:rPr>
        <w:t>2017</w:t>
      </w:r>
      <w:r>
        <w:rPr>
          <w:spacing w:val="-4"/>
        </w:rPr>
        <w:t>年</w:t>
      </w:r>
      <w:r>
        <w:rPr>
          <w:rFonts w:ascii="Times New Roman" w:hAnsi="Times New Roman" w:cs="Times New Roman" w:eastAsia="Times New Roman" w:hint="default"/>
          <w:spacing w:val="-4"/>
        </w:rPr>
        <w:t>5</w:t>
      </w:r>
      <w:r>
        <w:rPr>
          <w:spacing w:val="-4"/>
        </w:rPr>
        <w:t>月</w:t>
      </w:r>
      <w:r>
        <w:rPr>
          <w:rFonts w:ascii="Times New Roman" w:hAnsi="Times New Roman" w:cs="Times New Roman" w:eastAsia="Times New Roman" w:hint="default"/>
          <w:spacing w:val="-4"/>
        </w:rPr>
        <w:t>5</w:t>
      </w:r>
      <w:r>
        <w:rPr>
          <w:spacing w:val="-4"/>
        </w:rPr>
        <w:t>日股东大会决议通过，本公司以总股本</w:t>
      </w:r>
      <w:r>
        <w:rPr>
          <w:rFonts w:ascii="Times New Roman" w:hAnsi="Times New Roman" w:cs="Times New Roman" w:eastAsia="Times New Roman" w:hint="default"/>
          <w:spacing w:val="-4"/>
        </w:rPr>
        <w:t>1,619,257,150</w:t>
      </w:r>
      <w:r>
        <w:rPr>
          <w:rFonts w:ascii="Times New Roman" w:hAnsi="Times New Roman" w:cs="Times New Roman" w:eastAsia="Times New Roman" w:hint="default"/>
        </w:rPr>
        <w:t> </w:t>
      </w:r>
      <w:r>
        <w:rPr/>
        <w:t>股为基数，以资本公积转增股本，向全体股东每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5</w:t>
      </w:r>
      <w:r>
        <w:rPr/>
        <w:t>股，合计转增</w:t>
      </w:r>
      <w:r>
        <w:rPr>
          <w:rFonts w:ascii="Times New Roman" w:hAnsi="Times New Roman" w:cs="Times New Roman" w:eastAsia="Times New Roman" w:hint="default"/>
        </w:rPr>
        <w:t>809,628,575</w:t>
      </w:r>
      <w:r>
        <w:rPr/>
        <w:t>股。</w:t>
      </w:r>
    </w:p>
    <w:p>
      <w:pPr>
        <w:pStyle w:val="BodyText"/>
        <w:spacing w:line="338" w:lineRule="auto" w:before="19"/>
        <w:ind w:left="117" w:right="1603" w:firstLine="420"/>
        <w:jc w:val="left"/>
      </w:pP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12</w:t>
      </w:r>
      <w:r>
        <w:rPr>
          <w:spacing w:val="-1"/>
        </w:rPr>
        <w:t>日，本公司取得变更后的营业执照，统一社会信用代码为：</w:t>
      </w:r>
      <w:r>
        <w:rPr>
          <w:rFonts w:ascii="Times New Roman" w:hAnsi="Times New Roman" w:cs="Times New Roman" w:eastAsia="Times New Roman" w:hint="default"/>
          <w:spacing w:val="-1"/>
        </w:rPr>
        <w:t>914401017163404737</w:t>
      </w:r>
      <w:r>
        <w:rPr>
          <w:spacing w:val="-1"/>
        </w:rPr>
        <w:t>。住所</w:t>
      </w:r>
      <w:r>
        <w:rPr/>
        <w:t> 为广州市高新技术产业开发区科学城科林路</w:t>
      </w:r>
      <w:r>
        <w:rPr>
          <w:rFonts w:ascii="Times New Roman" w:hAnsi="Times New Roman" w:cs="Times New Roman" w:eastAsia="Times New Roman" w:hint="default"/>
        </w:rPr>
        <w:t>9</w:t>
      </w:r>
      <w:r>
        <w:rPr/>
        <w:t>、</w:t>
      </w:r>
      <w:r>
        <w:rPr>
          <w:rFonts w:ascii="Times New Roman" w:hAnsi="Times New Roman" w:cs="Times New Roman" w:eastAsia="Times New Roman" w:hint="default"/>
        </w:rPr>
        <w:t>11</w:t>
      </w:r>
      <w:r>
        <w:rPr/>
        <w:t>号。</w:t>
      </w:r>
    </w:p>
    <w:p>
      <w:pPr>
        <w:pStyle w:val="BodyText"/>
        <w:spacing w:line="336" w:lineRule="auto" w:before="19"/>
        <w:ind w:left="117" w:right="1603" w:firstLine="420"/>
        <w:jc w:val="left"/>
      </w:pP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17</w:t>
      </w:r>
      <w:r>
        <w:rPr>
          <w:spacing w:val="-1"/>
        </w:rPr>
        <w:t>日，本公司取得变更后的营业执照，统一社会信用代码为：</w:t>
      </w:r>
      <w:r>
        <w:rPr>
          <w:rFonts w:ascii="Times New Roman" w:hAnsi="Times New Roman" w:cs="Times New Roman" w:eastAsia="Times New Roman" w:hint="default"/>
          <w:spacing w:val="-1"/>
        </w:rPr>
        <w:t>914401017163404737</w:t>
      </w:r>
      <w:r>
        <w:rPr>
          <w:spacing w:val="-1"/>
        </w:rPr>
        <w:t>，注册</w:t>
      </w:r>
      <w:r>
        <w:rPr/>
        <w:t> 资本为人民币</w:t>
      </w:r>
      <w:r>
        <w:rPr>
          <w:rFonts w:ascii="Times New Roman" w:hAnsi="Times New Roman" w:cs="Times New Roman" w:eastAsia="Times New Roman" w:hint="default"/>
        </w:rPr>
        <w:t>2,408,993,951</w:t>
      </w:r>
      <w:r>
        <w:rPr/>
        <w:t>元，法定代表人为黄跃珍。</w:t>
      </w:r>
    </w:p>
    <w:p>
      <w:pPr>
        <w:pStyle w:val="BodyText"/>
        <w:spacing w:line="338" w:lineRule="auto" w:before="21"/>
        <w:ind w:left="537" w:right="1794"/>
        <w:jc w:val="left"/>
      </w:pPr>
      <w:r>
        <w:rPr/>
        <w:t>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日，本公司注册资本为人民币</w:t>
      </w:r>
      <w:r>
        <w:rPr>
          <w:rFonts w:ascii="Times New Roman" w:hAnsi="Times New Roman" w:cs="Times New Roman" w:eastAsia="Times New Roman" w:hint="default"/>
        </w:rPr>
        <w:t>2,408,993,951</w:t>
      </w:r>
      <w:r>
        <w:rPr/>
        <w:t>元，总股本为</w:t>
      </w:r>
      <w:r>
        <w:rPr>
          <w:rFonts w:ascii="Times New Roman" w:hAnsi="Times New Roman" w:cs="Times New Roman" w:eastAsia="Times New Roman" w:hint="default"/>
        </w:rPr>
        <w:t>2,408,993,951</w:t>
      </w:r>
      <w:r>
        <w:rPr/>
        <w:t>股。 </w:t>
      </w:r>
      <w:r>
        <w:rPr>
          <w:spacing w:val="-1"/>
        </w:rPr>
        <w:t>本公司经营范围：技术进出口；自动售货机、售票机、柜员机及零配件的批发；计算机应用电子设备</w:t>
      </w:r>
    </w:p>
    <w:p>
      <w:pPr>
        <w:spacing w:after="0" w:line="338" w:lineRule="auto"/>
        <w:jc w:val="left"/>
        <w:sectPr>
          <w:pgSz w:w="11910" w:h="16840"/>
          <w:pgMar w:header="712" w:footer="1264" w:top="980" w:bottom="1460" w:left="1680" w:right="0"/>
        </w:sectPr>
      </w:pPr>
    </w:p>
    <w:p>
      <w:pPr>
        <w:spacing w:line="240" w:lineRule="auto" w:before="5"/>
        <w:rPr>
          <w:rFonts w:ascii="宋体" w:hAnsi="宋体" w:cs="宋体" w:eastAsia="宋体" w:hint="default"/>
          <w:sz w:val="29"/>
          <w:szCs w:val="29"/>
        </w:rPr>
      </w:pPr>
    </w:p>
    <w:p>
      <w:pPr>
        <w:pStyle w:val="BodyText"/>
        <w:spacing w:line="357" w:lineRule="auto" w:before="44"/>
        <w:ind w:left="117" w:right="1810"/>
        <w:jc w:val="left"/>
      </w:pPr>
      <w:r>
        <w:rPr/>
        <w:t>制造；货物进出口（专营专控商品除外）；计算器及货币专用设备制造；软件开发；计算机技术开发、技 术服务；计算机和辅助设备修理；信息系统集成服务；信息技术咨询服务；智能化安装工程服务；安全技 术防范系统设计、施工、维修；工程勘察设计；室内装饰、装修；室内装饰设计服务。 本公司的母公司为广州无线电集团有限公司，本公司的实际控制人为广州市国资委。</w:t>
      </w:r>
    </w:p>
    <w:p>
      <w:pPr>
        <w:pStyle w:val="BodyText"/>
        <w:spacing w:line="240" w:lineRule="auto" w:before="26"/>
        <w:ind w:left="537" w:right="1603"/>
        <w:jc w:val="left"/>
      </w:pPr>
      <w:r>
        <w:rPr/>
        <w:t>本财务报表业经公司董事会于</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27</w:t>
      </w:r>
      <w:r>
        <w:rPr/>
        <w:t>日批准报出。</w:t>
      </w:r>
    </w:p>
    <w:p>
      <w:pPr>
        <w:spacing w:line="336" w:lineRule="auto" w:before="95"/>
        <w:ind w:left="537" w:right="1603"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、合并财务报表范围</w:t>
      </w:r>
      <w:r>
        <w:rPr>
          <w:rFonts w:ascii="宋体" w:hAnsi="宋体" w:cs="宋体" w:eastAsia="宋体" w:hint="default"/>
          <w:b/>
          <w:bCs/>
          <w:w w:val="99"/>
          <w:sz w:val="21"/>
          <w:szCs w:val="21"/>
        </w:rPr>
        <w:t> </w:t>
      </w:r>
      <w:r>
        <w:rPr>
          <w:rFonts w:ascii="宋体" w:hAnsi="宋体" w:cs="宋体" w:eastAsia="宋体" w:hint="default"/>
          <w:spacing w:val="-2"/>
          <w:w w:val="95"/>
          <w:sz w:val="21"/>
          <w:szCs w:val="21"/>
        </w:rPr>
        <w:t>截至</w:t>
      </w:r>
      <w:r>
        <w:rPr>
          <w:rFonts w:ascii="Times New Roman" w:hAnsi="Times New Roman" w:cs="Times New Roman" w:eastAsia="Times New Roman" w:hint="default"/>
          <w:spacing w:val="-2"/>
          <w:w w:val="95"/>
          <w:sz w:val="21"/>
          <w:szCs w:val="21"/>
        </w:rPr>
        <w:t>2019</w:t>
      </w:r>
      <w:r>
        <w:rPr>
          <w:rFonts w:ascii="宋体" w:hAnsi="宋体" w:cs="宋体" w:eastAsia="宋体" w:hint="default"/>
          <w:spacing w:val="-2"/>
          <w:w w:val="95"/>
          <w:sz w:val="21"/>
          <w:szCs w:val="21"/>
        </w:rPr>
        <w:t>年</w:t>
      </w:r>
      <w:r>
        <w:rPr>
          <w:rFonts w:ascii="Times New Roman" w:hAnsi="Times New Roman" w:cs="Times New Roman" w:eastAsia="Times New Roman" w:hint="default"/>
          <w:spacing w:val="-2"/>
          <w:w w:val="95"/>
          <w:sz w:val="21"/>
          <w:szCs w:val="21"/>
        </w:rPr>
        <w:t>12</w:t>
      </w:r>
      <w:r>
        <w:rPr>
          <w:rFonts w:ascii="宋体" w:hAnsi="宋体" w:cs="宋体" w:eastAsia="宋体" w:hint="default"/>
          <w:spacing w:val="-2"/>
          <w:w w:val="95"/>
          <w:sz w:val="21"/>
          <w:szCs w:val="21"/>
        </w:rPr>
        <w:t>月</w:t>
      </w:r>
      <w:r>
        <w:rPr>
          <w:rFonts w:ascii="Times New Roman" w:hAnsi="Times New Roman" w:cs="Times New Roman" w:eastAsia="Times New Roman" w:hint="default"/>
          <w:spacing w:val="-2"/>
          <w:w w:val="95"/>
          <w:sz w:val="21"/>
          <w:szCs w:val="21"/>
        </w:rPr>
        <w:t>31</w:t>
      </w:r>
      <w:r>
        <w:rPr>
          <w:rFonts w:ascii="宋体" w:hAnsi="宋体" w:cs="宋体" w:eastAsia="宋体" w:hint="default"/>
          <w:spacing w:val="-2"/>
          <w:w w:val="95"/>
          <w:sz w:val="21"/>
          <w:szCs w:val="21"/>
        </w:rPr>
        <w:t>日止，本公司合并财务报表范围内子公司共有</w:t>
      </w:r>
      <w:r>
        <w:rPr>
          <w:rFonts w:ascii="Times New Roman" w:hAnsi="Times New Roman" w:cs="Times New Roman" w:eastAsia="Times New Roman" w:hint="default"/>
          <w:spacing w:val="-2"/>
          <w:w w:val="95"/>
          <w:sz w:val="21"/>
          <w:szCs w:val="21"/>
        </w:rPr>
        <w:t>82</w:t>
      </w:r>
      <w:r>
        <w:rPr>
          <w:rFonts w:ascii="宋体" w:hAnsi="宋体" w:cs="宋体" w:eastAsia="宋体" w:hint="default"/>
          <w:spacing w:val="-2"/>
          <w:w w:val="95"/>
          <w:sz w:val="21"/>
          <w:szCs w:val="21"/>
        </w:rPr>
        <w:t>家（广州支点创业投</w:t>
      </w:r>
      <w:r>
        <w:rPr>
          <w:rFonts w:ascii="宋体" w:hAnsi="宋体" w:cs="宋体" w:eastAsia="宋体" w:hint="default"/>
          <w:spacing w:val="-2"/>
          <w:sz w:val="21"/>
          <w:szCs w:val="21"/>
        </w:rPr>
      </w:r>
    </w:p>
    <w:p>
      <w:pPr>
        <w:pStyle w:val="Heading4"/>
        <w:spacing w:line="352" w:lineRule="auto" w:before="24"/>
        <w:ind w:right="1603"/>
        <w:jc w:val="left"/>
      </w:pPr>
      <w:r>
        <w:rPr/>
        <w:t>资有限公司、广州广电汇通金融服务有限公司、</w:t>
      </w:r>
      <w:r>
        <w:rPr>
          <w:rFonts w:ascii="Times New Roman" w:hAnsi="Times New Roman" w:cs="Times New Roman" w:eastAsia="Times New Roman" w:hint="default"/>
        </w:rPr>
        <w:t>GRG HT (HK)</w:t>
      </w:r>
      <w:r>
        <w:rPr>
          <w:rFonts w:ascii="Times New Roman" w:hAnsi="Times New Roman" w:cs="Times New Roman" w:eastAsia="Times New Roman" w:hint="default"/>
          <w:spacing w:val="-10"/>
        </w:rPr>
        <w:t> </w:t>
      </w:r>
      <w:r>
        <w:rPr>
          <w:rFonts w:ascii="Times New Roman" w:hAnsi="Times New Roman" w:cs="Times New Roman" w:eastAsia="Times New Roman" w:hint="default"/>
        </w:rPr>
        <w:t>Co.,Limited</w:t>
      </w:r>
      <w:r>
        <w:rPr/>
        <w:t>、广州广电运通</w:t>
      </w:r>
      <w:r>
        <w:rPr>
          <w:w w:val="99"/>
        </w:rPr>
        <w:t> </w:t>
      </w:r>
      <w:r>
        <w:rPr>
          <w:w w:val="95"/>
        </w:rPr>
        <w:t>信息科技有限公司、广州广电卓识智能科技有限公司、广州中智融通金融科技有限公司、广</w:t>
      </w:r>
      <w:r>
        <w:rPr>
          <w:spacing w:val="13"/>
          <w:w w:val="95"/>
        </w:rPr>
        <w:t> </w:t>
      </w:r>
      <w:r>
        <w:rPr>
          <w:spacing w:val="13"/>
          <w:w w:val="95"/>
        </w:rPr>
      </w:r>
      <w:r>
        <w:rPr>
          <w:w w:val="95"/>
        </w:rPr>
        <w:t>州市龙源环保科技有限公司、赣州中联环保科技开发有限公司、赣州中联电镀原料配送经营</w:t>
      </w:r>
      <w:r>
        <w:rPr>
          <w:spacing w:val="9"/>
          <w:w w:val="95"/>
        </w:rPr>
        <w:t> </w:t>
      </w:r>
      <w:r>
        <w:rPr>
          <w:spacing w:val="9"/>
          <w:w w:val="95"/>
        </w:rPr>
      </w:r>
      <w:r>
        <w:rPr>
          <w:w w:val="95"/>
        </w:rPr>
        <w:t>服务有限公司、赣州龙源环保产业经营管理有限公司、广州穗通金融服务有限公司、广州广</w:t>
      </w:r>
      <w:r>
        <w:rPr>
          <w:spacing w:val="13"/>
          <w:w w:val="95"/>
        </w:rPr>
        <w:t> </w:t>
      </w:r>
      <w:r>
        <w:rPr>
          <w:spacing w:val="13"/>
          <w:w w:val="95"/>
        </w:rPr>
      </w:r>
      <w:r>
        <w:rPr>
          <w:w w:val="95"/>
        </w:rPr>
        <w:t>电银通金融电子科技有限公司、深圳广电银通金融电子科技有限公司、深圳鹏通金融服务有</w:t>
      </w:r>
      <w:r>
        <w:rPr>
          <w:spacing w:val="12"/>
          <w:w w:val="95"/>
        </w:rPr>
        <w:t> </w:t>
      </w:r>
      <w:r>
        <w:rPr>
          <w:spacing w:val="12"/>
          <w:w w:val="95"/>
        </w:rPr>
      </w:r>
      <w:r>
        <w:rPr>
          <w:w w:val="95"/>
        </w:rPr>
        <w:t>限公司、石家庄市银通金融服务有限公司、上海欣辰通金融电子科技有限公司、宜昌宜通金</w:t>
      </w:r>
      <w:r>
        <w:rPr>
          <w:spacing w:val="13"/>
          <w:w w:val="95"/>
        </w:rPr>
        <w:t> </w:t>
      </w:r>
      <w:r>
        <w:rPr>
          <w:spacing w:val="13"/>
          <w:w w:val="95"/>
        </w:rPr>
      </w:r>
      <w:r>
        <w:rPr>
          <w:w w:val="95"/>
        </w:rPr>
        <w:t>融服务有限公司、南宁盈通金融电子科技有限公司、辽宁辽通金融电子科技有限公司、河南</w:t>
      </w:r>
      <w:r>
        <w:rPr>
          <w:spacing w:val="10"/>
          <w:w w:val="95"/>
        </w:rPr>
        <w:t> </w:t>
      </w:r>
      <w:r>
        <w:rPr>
          <w:spacing w:val="10"/>
          <w:w w:val="95"/>
        </w:rPr>
      </w:r>
      <w:r>
        <w:rPr>
          <w:w w:val="95"/>
        </w:rPr>
        <w:t>商通金融服务外包有限公司、河北晨通金融电子科技有限公司、南阳宛通金融电子科技有限</w:t>
      </w:r>
      <w:r>
        <w:rPr>
          <w:spacing w:val="9"/>
          <w:w w:val="95"/>
        </w:rPr>
        <w:t> </w:t>
      </w:r>
      <w:r>
        <w:rPr>
          <w:spacing w:val="9"/>
          <w:w w:val="95"/>
        </w:rPr>
      </w:r>
      <w:r>
        <w:rPr>
          <w:w w:val="95"/>
        </w:rPr>
        <w:t>公司、山西尚通金融外包服务有限公司、广州广电银通安保投资有限公司、内蒙古广电银通</w:t>
      </w:r>
      <w:r>
        <w:rPr>
          <w:spacing w:val="13"/>
          <w:w w:val="95"/>
        </w:rPr>
        <w:t> </w:t>
      </w:r>
      <w:r>
        <w:rPr>
          <w:spacing w:val="13"/>
          <w:w w:val="95"/>
        </w:rPr>
      </w:r>
      <w:r>
        <w:rPr>
          <w:w w:val="95"/>
        </w:rPr>
        <w:t>安保投资有限公司、宜昌市金牛押运护卫保安服务有限责任公司、宜昌金牛智慧职业技能培</w:t>
      </w:r>
      <w:r>
        <w:rPr>
          <w:spacing w:val="12"/>
          <w:w w:val="95"/>
        </w:rPr>
        <w:t> </w:t>
      </w:r>
      <w:r>
        <w:rPr>
          <w:spacing w:val="12"/>
          <w:w w:val="95"/>
        </w:rPr>
      </w:r>
      <w:r>
        <w:rPr>
          <w:w w:val="95"/>
        </w:rPr>
        <w:t>训学校有限责任公司、商洛市金盾押运有限责任公司、武威市神威保安守押有限责任公司、</w:t>
      </w:r>
      <w:r>
        <w:rPr>
          <w:spacing w:val="99"/>
          <w:w w:val="95"/>
        </w:rPr>
        <w:t> </w:t>
      </w:r>
      <w:r>
        <w:rPr>
          <w:spacing w:val="99"/>
          <w:w w:val="95"/>
        </w:rPr>
      </w:r>
      <w:r>
        <w:rPr>
          <w:w w:val="95"/>
        </w:rPr>
        <w:t>邵阳市保安服务有限责任公司、兴安盟威信保安守押服务有限责任公司、巴彦淖尔天力保押</w:t>
      </w:r>
      <w:r>
        <w:rPr>
          <w:spacing w:val="9"/>
          <w:w w:val="95"/>
        </w:rPr>
        <w:t> </w:t>
      </w:r>
      <w:r>
        <w:rPr>
          <w:spacing w:val="9"/>
          <w:w w:val="95"/>
        </w:rPr>
      </w:r>
      <w:r>
        <w:rPr>
          <w:spacing w:val="-8"/>
        </w:rPr>
        <w:t>有限责任公司、</w:t>
      </w:r>
      <w:r>
        <w:rPr>
          <w:rFonts w:ascii="Times New Roman" w:hAnsi="Times New Roman" w:cs="Times New Roman" w:eastAsia="Times New Roman" w:hint="default"/>
          <w:spacing w:val="-8"/>
        </w:rPr>
        <w:t>GRG </w:t>
      </w:r>
      <w:r>
        <w:rPr>
          <w:rFonts w:ascii="Times New Roman" w:hAnsi="Times New Roman" w:cs="Times New Roman" w:eastAsia="Times New Roman" w:hint="default"/>
        </w:rPr>
        <w:t>Banking </w:t>
      </w:r>
      <w:r>
        <w:rPr>
          <w:rFonts w:ascii="Times New Roman" w:hAnsi="Times New Roman" w:cs="Times New Roman" w:eastAsia="Times New Roman" w:hint="default"/>
          <w:spacing w:val="-3"/>
        </w:rPr>
        <w:t>Equipment(HK)Co.Limited</w:t>
      </w:r>
      <w:r>
        <w:rPr>
          <w:spacing w:val="-3"/>
        </w:rPr>
        <w:t>、</w:t>
      </w:r>
      <w:r>
        <w:rPr>
          <w:rFonts w:ascii="Times New Roman" w:hAnsi="Times New Roman" w:cs="Times New Roman" w:eastAsia="Times New Roman" w:hint="default"/>
          <w:spacing w:val="-3"/>
        </w:rPr>
        <w:t>Global </w:t>
      </w:r>
      <w:r>
        <w:rPr>
          <w:rFonts w:ascii="Times New Roman" w:hAnsi="Times New Roman" w:cs="Times New Roman" w:eastAsia="Times New Roman" w:hint="default"/>
        </w:rPr>
        <w:t>ATM Parts</w:t>
      </w:r>
      <w:r>
        <w:rPr>
          <w:rFonts w:ascii="Times New Roman" w:hAnsi="Times New Roman" w:cs="Times New Roman" w:eastAsia="Times New Roman" w:hint="default"/>
          <w:spacing w:val="9"/>
        </w:rPr>
        <w:t> </w:t>
      </w:r>
      <w:r>
        <w:rPr>
          <w:rFonts w:ascii="Times New Roman" w:hAnsi="Times New Roman" w:cs="Times New Roman" w:eastAsia="Times New Roman" w:hint="default"/>
          <w:spacing w:val="-6"/>
        </w:rPr>
        <w:t>Co.,Limited</w:t>
      </w:r>
      <w:r>
        <w:rPr>
          <w:spacing w:val="-6"/>
        </w:rPr>
        <w:t>、</w:t>
      </w:r>
      <w:r>
        <w:rPr>
          <w:rFonts w:ascii="Times New Roman" w:hAnsi="Times New Roman" w:cs="Times New Roman" w:eastAsia="Times New Roman" w:hint="default"/>
          <w:spacing w:val="-6"/>
        </w:rPr>
        <w:t>GRG</w:t>
      </w:r>
      <w:r>
        <w:rPr>
          <w:rFonts w:ascii="Times New Roman" w:hAnsi="Times New Roman" w:cs="Times New Roman" w:eastAsia="Times New Roman" w:hint="default"/>
          <w:w w:val="99"/>
        </w:rPr>
        <w:t> </w:t>
      </w:r>
      <w:r>
        <w:rPr>
          <w:rFonts w:ascii="Times New Roman" w:hAnsi="Times New Roman" w:cs="Times New Roman" w:eastAsia="Times New Roman" w:hint="default"/>
        </w:rPr>
        <w:t>Hongkong Mexico,S.A.DE</w:t>
      </w:r>
      <w:r>
        <w:rPr/>
        <w:t>、</w:t>
      </w:r>
      <w:r>
        <w:rPr>
          <w:rFonts w:ascii="Times New Roman" w:hAnsi="Times New Roman" w:cs="Times New Roman" w:eastAsia="Times New Roman" w:hint="default"/>
        </w:rPr>
        <w:t>GRG Turkiye Bankacilik Ekipmanlari Ltd.</w:t>
      </w:r>
      <w:r>
        <w:rPr/>
        <w:t>、</w:t>
      </w:r>
      <w:r>
        <w:rPr>
          <w:rFonts w:ascii="Times New Roman" w:hAnsi="Times New Roman" w:cs="Times New Roman" w:eastAsia="Times New Roman" w:hint="default"/>
        </w:rPr>
        <w:t>GRG</w:t>
      </w:r>
      <w:r>
        <w:rPr>
          <w:rFonts w:ascii="Times New Roman" w:hAnsi="Times New Roman" w:cs="Times New Roman" w:eastAsia="Times New Roman" w:hint="default"/>
          <w:spacing w:val="-2"/>
        </w:rPr>
        <w:t> </w:t>
      </w:r>
      <w:r>
        <w:rPr>
          <w:rFonts w:ascii="Times New Roman" w:hAnsi="Times New Roman" w:cs="Times New Roman" w:eastAsia="Times New Roman" w:hint="default"/>
        </w:rPr>
        <w:t>Deutschland</w:t>
      </w:r>
      <w:r>
        <w:rPr>
          <w:rFonts w:ascii="Times New Roman" w:hAnsi="Times New Roman" w:cs="Times New Roman" w:eastAsia="Times New Roman" w:hint="default"/>
          <w:w w:val="99"/>
        </w:rPr>
        <w:t> </w:t>
      </w:r>
      <w:r>
        <w:rPr>
          <w:rFonts w:ascii="Times New Roman" w:hAnsi="Times New Roman" w:cs="Times New Roman" w:eastAsia="Times New Roman" w:hint="default"/>
        </w:rPr>
        <w:t>GmbH</w:t>
      </w:r>
      <w:r>
        <w:rPr/>
        <w:t>、</w:t>
      </w:r>
      <w:r>
        <w:rPr>
          <w:rFonts w:ascii="Times New Roman" w:hAnsi="Times New Roman" w:cs="Times New Roman" w:eastAsia="Times New Roman" w:hint="default"/>
        </w:rPr>
        <w:t>GRG Equipment (Singapore) Pte. Ltd.</w:t>
      </w:r>
      <w:r>
        <w:rPr/>
        <w:t>、</w:t>
      </w:r>
      <w:r>
        <w:rPr>
          <w:rFonts w:ascii="Times New Roman" w:hAnsi="Times New Roman" w:cs="Times New Roman" w:eastAsia="Times New Roman" w:hint="default"/>
        </w:rPr>
        <w:t>GRG AMERICA INC.</w:t>
      </w:r>
      <w:r>
        <w:rPr/>
        <w:t>、</w:t>
      </w:r>
      <w:r>
        <w:rPr>
          <w:rFonts w:ascii="Times New Roman" w:hAnsi="Times New Roman" w:cs="Times New Roman" w:eastAsia="Times New Roman" w:hint="default"/>
        </w:rPr>
        <w:t>GRGBanking</w:t>
      </w:r>
      <w:r>
        <w:rPr>
          <w:rFonts w:ascii="Times New Roman" w:hAnsi="Times New Roman" w:cs="Times New Roman" w:eastAsia="Times New Roman" w:hint="default"/>
          <w:spacing w:val="-11"/>
        </w:rPr>
        <w:t> </w:t>
      </w:r>
      <w:r>
        <w:rPr>
          <w:rFonts w:ascii="Times New Roman" w:hAnsi="Times New Roman" w:cs="Times New Roman" w:eastAsia="Times New Roman" w:hint="default"/>
        </w:rPr>
        <w:t>LLC.</w:t>
      </w:r>
      <w:r>
        <w:rPr/>
        <w:t>、</w:t>
      </w:r>
      <w:r>
        <w:rPr>
          <w:w w:val="99"/>
        </w:rPr>
        <w:t> </w:t>
      </w:r>
      <w:r>
        <w:rPr>
          <w:rFonts w:ascii="Times New Roman" w:hAnsi="Times New Roman" w:cs="Times New Roman" w:eastAsia="Times New Roman" w:hint="default"/>
        </w:rPr>
        <w:t>Denali System CO.,Ltd.</w:t>
      </w:r>
      <w:r>
        <w:rPr/>
        <w:t>、</w:t>
      </w:r>
      <w:r>
        <w:rPr>
          <w:rFonts w:ascii="Times New Roman" w:hAnsi="Times New Roman" w:cs="Times New Roman" w:eastAsia="Times New Roman" w:hint="default"/>
        </w:rPr>
        <w:t>Denali System</w:t>
      </w:r>
      <w:r>
        <w:rPr>
          <w:rFonts w:ascii="Times New Roman" w:hAnsi="Times New Roman" w:cs="Times New Roman" w:eastAsia="Times New Roman" w:hint="default"/>
          <w:spacing w:val="-12"/>
        </w:rPr>
        <w:t> </w:t>
      </w:r>
      <w:r>
        <w:rPr>
          <w:rFonts w:ascii="Times New Roman" w:hAnsi="Times New Roman" w:cs="Times New Roman" w:eastAsia="Times New Roman" w:hint="default"/>
        </w:rPr>
        <w:t>Inc.</w:t>
      </w:r>
      <w:r>
        <w:rPr/>
        <w:t>、德纳里（广州）技术有限公司、广电运通国际</w:t>
      </w:r>
      <w:r>
        <w:rPr>
          <w:w w:val="99"/>
        </w:rPr>
        <w:t> </w:t>
      </w:r>
      <w:r>
        <w:rPr>
          <w:w w:val="95"/>
        </w:rPr>
        <w:t>商贸（广州）有限公司、深圳市创自技术有限公司、深圳市创自软件有限公司、广州广电运</w:t>
      </w:r>
      <w:r>
        <w:rPr>
          <w:spacing w:val="14"/>
          <w:w w:val="95"/>
        </w:rPr>
        <w:t> </w:t>
      </w:r>
      <w:r>
        <w:rPr>
          <w:spacing w:val="14"/>
          <w:w w:val="95"/>
        </w:rPr>
      </w:r>
      <w:r>
        <w:rPr>
          <w:w w:val="95"/>
        </w:rPr>
        <w:t>通智能科技有限公司、通辽市威远护卫有限责任公司、商洛市慧金清分服务有限公司、西安</w:t>
      </w:r>
      <w:r>
        <w:rPr>
          <w:spacing w:val="9"/>
          <w:w w:val="95"/>
        </w:rPr>
        <w:t> </w:t>
      </w:r>
      <w:r>
        <w:rPr>
          <w:spacing w:val="9"/>
          <w:w w:val="95"/>
        </w:rPr>
      </w:r>
      <w:r>
        <w:rPr>
          <w:w w:val="95"/>
        </w:rPr>
        <w:t>金盾押运有限公司、海南警锐押运护卫有限公司、榆林市神鹰护卫有限责任公司、新余市保</w:t>
      </w:r>
      <w:r>
        <w:rPr>
          <w:spacing w:val="10"/>
          <w:w w:val="95"/>
        </w:rPr>
        <w:t> </w:t>
      </w:r>
      <w:r>
        <w:rPr>
          <w:spacing w:val="10"/>
          <w:w w:val="95"/>
        </w:rPr>
      </w:r>
      <w:r>
        <w:rPr>
          <w:w w:val="95"/>
        </w:rPr>
        <w:t>安服务有限公司、文山州金盾保安守护押运有限责任公司、巴州阿帕奇保安有限责任公司、</w:t>
      </w:r>
      <w:r>
        <w:rPr>
          <w:spacing w:val="99"/>
          <w:w w:val="95"/>
        </w:rPr>
        <w:t> </w:t>
      </w:r>
      <w:r>
        <w:rPr>
          <w:spacing w:val="99"/>
          <w:w w:val="95"/>
        </w:rPr>
      </w:r>
      <w:r>
        <w:rPr>
          <w:w w:val="95"/>
        </w:rPr>
        <w:t>新疆阿帕奇武装守护押运有限公司、黔南州蓝盾武装护运有限责任公司、资阳保安有限责任</w:t>
      </w:r>
      <w:r>
        <w:rPr>
          <w:spacing w:val="9"/>
          <w:w w:val="95"/>
        </w:rPr>
        <w:t> </w:t>
      </w:r>
      <w:r>
        <w:rPr>
          <w:spacing w:val="9"/>
          <w:w w:val="95"/>
        </w:rPr>
      </w:r>
      <w:r>
        <w:rPr>
          <w:w w:val="95"/>
        </w:rPr>
        <w:t>公司、资阳市卓越人力资源服务有限公司、平顶山鹰翔保安押运有限公司、平顶山市鹰晟保</w:t>
      </w:r>
      <w:r>
        <w:rPr>
          <w:spacing w:val="14"/>
          <w:w w:val="95"/>
        </w:rPr>
        <w:t> </w:t>
      </w:r>
      <w:r>
        <w:rPr>
          <w:spacing w:val="14"/>
          <w:w w:val="95"/>
        </w:rPr>
      </w:r>
      <w:r>
        <w:rPr>
          <w:w w:val="95"/>
        </w:rPr>
        <w:t>安职业技能培训学校有限责任公司、江苏汇通金融数据股份有限公司、安徽汇通金融数据服</w:t>
      </w:r>
      <w:r>
        <w:rPr>
          <w:spacing w:val="12"/>
          <w:w w:val="95"/>
        </w:rPr>
        <w:t> </w:t>
      </w:r>
      <w:r>
        <w:rPr>
          <w:spacing w:val="12"/>
          <w:w w:val="95"/>
        </w:rPr>
      </w:r>
      <w:r>
        <w:rPr>
          <w:w w:val="95"/>
        </w:rPr>
        <w:t>务有限公司、江苏汇锦利通信息科技有限公司、黄石金通智慧金融外包服务有限公司、广州</w:t>
      </w:r>
      <w:r>
        <w:rPr>
          <w:spacing w:val="10"/>
          <w:w w:val="95"/>
        </w:rPr>
        <w:t> </w:t>
      </w:r>
      <w:r>
        <w:rPr>
          <w:spacing w:val="10"/>
          <w:w w:val="95"/>
        </w:rPr>
      </w:r>
      <w:r>
        <w:rPr>
          <w:w w:val="95"/>
        </w:rPr>
        <w:t>平云小匠科技有限公司、成都平云小匠网络有限公司、湖北银通卓越科技服务有限公司、保</w:t>
      </w:r>
      <w:r>
        <w:rPr>
          <w:spacing w:val="13"/>
          <w:w w:val="95"/>
        </w:rPr>
        <w:t> </w:t>
      </w:r>
      <w:r>
        <w:rPr>
          <w:spacing w:val="13"/>
          <w:w w:val="95"/>
        </w:rPr>
      </w:r>
      <w:r>
        <w:rPr>
          <w:w w:val="95"/>
        </w:rPr>
        <w:t>山安邦武装守护押运有限责任公司、鹤壁市鹏翔保安服务有限公司、黄石市金安押运护卫保</w:t>
      </w:r>
      <w:r>
        <w:rPr>
          <w:spacing w:val="9"/>
          <w:w w:val="95"/>
        </w:rPr>
        <w:t> </w:t>
      </w:r>
      <w:r>
        <w:rPr>
          <w:spacing w:val="9"/>
          <w:w w:val="95"/>
        </w:rPr>
      </w:r>
      <w:r>
        <w:rPr>
          <w:w w:val="95"/>
        </w:rPr>
        <w:t>安服务有限公司、益阳市保安服务有限责任公司、新余市景运科技有限公司、南县保安服务</w:t>
      </w:r>
      <w:r>
        <w:rPr/>
      </w:r>
    </w:p>
    <w:p>
      <w:pPr>
        <w:pStyle w:val="Heading4"/>
        <w:spacing w:line="240" w:lineRule="auto" w:before="34"/>
        <w:ind w:right="1603"/>
        <w:jc w:val="left"/>
      </w:pPr>
      <w:r>
        <w:rPr/>
        <w:t>有限责任公司、广州运通购快科技有限公司、湖北融信押运保安服务有限公司、锡林郭勒盟</w:t>
      </w:r>
    </w:p>
    <w:p>
      <w:pPr>
        <w:spacing w:after="0" w:line="240" w:lineRule="auto"/>
        <w:jc w:val="left"/>
        <w:sectPr>
          <w:pgSz w:w="11910" w:h="16840"/>
          <w:pgMar w:header="712" w:footer="1264" w:top="980" w:bottom="1460" w:left="1680" w:right="0"/>
        </w:sectPr>
      </w:pPr>
    </w:p>
    <w:p>
      <w:pPr>
        <w:spacing w:line="240" w:lineRule="auto" w:before="9"/>
        <w:rPr>
          <w:rFonts w:ascii="宋体" w:hAnsi="宋体" w:cs="宋体" w:eastAsia="宋体" w:hint="default"/>
          <w:sz w:val="29"/>
          <w:szCs w:val="29"/>
        </w:rPr>
      </w:pPr>
    </w:p>
    <w:p>
      <w:pPr>
        <w:pStyle w:val="Heading4"/>
        <w:spacing w:line="357" w:lineRule="auto" w:before="34"/>
        <w:ind w:right="1797"/>
        <w:jc w:val="both"/>
        <w:rPr>
          <w:rFonts w:ascii="Times New Roman" w:hAnsi="Times New Roman" w:cs="Times New Roman" w:eastAsia="Times New Roman" w:hint="default"/>
        </w:rPr>
      </w:pPr>
      <w:r>
        <w:rPr>
          <w:spacing w:val="-2"/>
          <w:w w:val="95"/>
        </w:rPr>
        <w:t>金盾保安服务有限公司、锡林郭勒盟金盾押运服务有限公司、深圳市信义科技有限公司、深</w:t>
      </w:r>
      <w:r>
        <w:rPr>
          <w:spacing w:val="94"/>
          <w:w w:val="95"/>
        </w:rPr>
        <w:t> </w:t>
      </w:r>
      <w:r>
        <w:rPr>
          <w:spacing w:val="94"/>
          <w:w w:val="95"/>
        </w:rPr>
      </w:r>
      <w:r>
        <w:rPr>
          <w:spacing w:val="-2"/>
          <w:w w:val="95"/>
        </w:rPr>
        <w:t>圳市深安信信息技术有限公司、北京中科江南信息技术股份有限公司、云南云财科技技术有</w:t>
      </w:r>
      <w:r>
        <w:rPr>
          <w:spacing w:val="92"/>
          <w:w w:val="95"/>
        </w:rPr>
        <w:t> </w:t>
      </w:r>
      <w:r>
        <w:rPr>
          <w:spacing w:val="92"/>
          <w:w w:val="95"/>
        </w:rPr>
      </w:r>
      <w:r>
        <w:rPr/>
        <w:t>限公司</w:t>
      </w:r>
      <w:r>
        <w:rPr>
          <w:rFonts w:ascii="Times New Roman" w:hAnsi="Times New Roman" w:cs="Times New Roman" w:eastAsia="Times New Roman" w:hint="default"/>
        </w:rPr>
        <w:t>)</w:t>
      </w:r>
    </w:p>
    <w:p>
      <w:pPr>
        <w:pStyle w:val="Heading4"/>
        <w:spacing w:line="355" w:lineRule="auto" w:before="3"/>
        <w:ind w:right="1603" w:firstLine="208"/>
        <w:jc w:val="left"/>
      </w:pPr>
      <w:r>
        <w:rPr>
          <w:spacing w:val="-2"/>
          <w:w w:val="95"/>
        </w:rPr>
        <w:t>本期合并财务报表范围及其变化情况详见本附注“八、合并范围的变更”和“九、在其他</w:t>
      </w:r>
      <w:r>
        <w:rPr>
          <w:spacing w:val="73"/>
          <w:w w:val="95"/>
        </w:rPr>
        <w:t> </w:t>
      </w:r>
      <w:r>
        <w:rPr>
          <w:spacing w:val="73"/>
          <w:w w:val="95"/>
        </w:rPr>
      </w:r>
      <w:r>
        <w:rPr/>
        <w:t>主体中的权益”。</w:t>
      </w:r>
    </w:p>
    <w:p>
      <w:pPr>
        <w:pStyle w:val="Heading2"/>
        <w:spacing w:line="240" w:lineRule="auto" w:before="28"/>
        <w:ind w:left="117" w:right="0"/>
        <w:jc w:val="both"/>
        <w:rPr>
          <w:b w:val="0"/>
          <w:bCs w:val="0"/>
        </w:rPr>
      </w:pPr>
      <w:bookmarkStart w:name="四、财务报表的编制基础" w:id="169"/>
      <w:bookmarkEnd w:id="169"/>
      <w:r>
        <w:rPr>
          <w:b w:val="0"/>
          <w:bCs w:val="0"/>
        </w:rPr>
      </w:r>
      <w:r>
        <w:rPr/>
        <w:t>四、财务报表的编制基础</w:t>
      </w:r>
      <w:r>
        <w:rPr>
          <w:b w:val="0"/>
          <w:bCs w:val="0"/>
        </w:rPr>
      </w:r>
    </w:p>
    <w:p>
      <w:pPr>
        <w:pStyle w:val="Heading3"/>
        <w:spacing w:line="240" w:lineRule="auto" w:before="157"/>
        <w:ind w:left="117" w:right="0"/>
        <w:jc w:val="both"/>
        <w:rPr>
          <w:b w:val="0"/>
          <w:bCs w:val="0"/>
        </w:rPr>
      </w:pPr>
      <w:bookmarkStart w:name="1、编制基础" w:id="170"/>
      <w:bookmarkEnd w:id="170"/>
      <w:r>
        <w:rPr>
          <w:b w:val="0"/>
          <w:bCs w:val="0"/>
        </w:rPr>
      </w:r>
      <w:r>
        <w:rPr>
          <w:rFonts w:ascii="Times New Roman" w:hAnsi="Times New Roman" w:cs="Times New Roman" w:eastAsia="Times New Roman" w:hint="default"/>
          <w:sz w:val="18"/>
          <w:szCs w:val="18"/>
        </w:rPr>
        <w:t>1</w:t>
      </w:r>
      <w:r>
        <w:rPr/>
        <w:t>、编制基础</w:t>
      </w:r>
      <w:r>
        <w:rPr>
          <w:b w:val="0"/>
          <w:bCs w:val="0"/>
        </w:rPr>
      </w:r>
    </w:p>
    <w:p>
      <w:pPr>
        <w:pStyle w:val="Heading4"/>
        <w:spacing w:line="352" w:lineRule="auto" w:before="123"/>
        <w:ind w:right="1603" w:firstLine="424"/>
        <w:jc w:val="left"/>
        <w:rPr>
          <w:rFonts w:ascii="宋体" w:hAnsi="宋体" w:cs="宋体" w:eastAsia="宋体" w:hint="default"/>
        </w:rPr>
      </w:pPr>
      <w:r>
        <w:rPr>
          <w:spacing w:val="-2"/>
          <w:w w:val="95"/>
        </w:rPr>
        <w:t>公司以持续经营为基础，根据实际发生的交易和事项，按照财政部颁布的《企业会计准</w:t>
      </w:r>
      <w:r>
        <w:rPr>
          <w:w w:val="99"/>
        </w:rPr>
        <w:t> </w:t>
      </w:r>
      <w:r>
        <w:rPr>
          <w:spacing w:val="-2"/>
          <w:w w:val="95"/>
        </w:rPr>
        <w:t>则——基本准则》和各项具体会计准则、企业会计准则应用指南、企业会计准则解释及其他</w:t>
      </w:r>
      <w:r>
        <w:rPr>
          <w:spacing w:val="92"/>
          <w:w w:val="95"/>
        </w:rPr>
        <w:t> </w:t>
      </w:r>
      <w:r>
        <w:rPr>
          <w:spacing w:val="92"/>
          <w:w w:val="95"/>
        </w:rPr>
      </w:r>
      <w:r>
        <w:rPr>
          <w:spacing w:val="-2"/>
          <w:w w:val="95"/>
        </w:rPr>
        <w:t>相关规定（以下合称“企业会计准则”），以及中国证券监督管理委员会《公开发行证券的</w:t>
      </w:r>
      <w:r>
        <w:rPr>
          <w:spacing w:val="94"/>
          <w:w w:val="95"/>
        </w:rPr>
        <w:t> </w:t>
      </w:r>
      <w:r>
        <w:rPr>
          <w:spacing w:val="94"/>
          <w:w w:val="95"/>
        </w:rPr>
      </w:r>
      <w:r>
        <w:rPr/>
        <w:t>公司信息披露编报规则第</w:t>
      </w:r>
      <w:r>
        <w:rPr>
          <w:rFonts w:ascii="Times New Roman" w:hAnsi="Times New Roman" w:cs="Times New Roman" w:eastAsia="Times New Roman" w:hint="default"/>
        </w:rPr>
        <w:t>15</w:t>
      </w:r>
      <w:r>
        <w:rPr>
          <w:rFonts w:ascii="Times New Roman" w:hAnsi="Times New Roman" w:cs="Times New Roman" w:eastAsia="Times New Roman" w:hint="default"/>
          <w:spacing w:val="47"/>
        </w:rPr>
        <w:t> </w:t>
      </w:r>
      <w:r>
        <w:rPr/>
        <w:t>号——财务报告的一般规定》的披露规定编制财务报表。</w:t>
      </w:r>
      <w:r>
        <w:rPr>
          <w:w w:val="99"/>
        </w:rPr>
        <w:t> </w:t>
      </w:r>
      <w:bookmarkStart w:name="2、持续经营" w:id="171"/>
      <w:bookmarkEnd w:id="171"/>
      <w:r>
        <w:rPr>
          <w:w w:val="99"/>
        </w:rPr>
      </w:r>
      <w:r>
        <w:rPr>
          <w:rFonts w:ascii="Times New Roman" w:hAnsi="Times New Roman" w:cs="Times New Roman" w:eastAsia="Times New Roman" w:hint="default"/>
          <w:b/>
          <w:bCs/>
          <w:sz w:val="18"/>
          <w:szCs w:val="18"/>
        </w:rPr>
        <w:t>2</w:t>
      </w:r>
      <w:r>
        <w:rPr>
          <w:rFonts w:ascii="宋体" w:hAnsi="宋体" w:cs="宋体" w:eastAsia="宋体" w:hint="default"/>
          <w:b/>
          <w:bCs/>
        </w:rPr>
        <w:t>、持续经营</w:t>
      </w:r>
      <w:r>
        <w:rPr>
          <w:rFonts w:ascii="宋体" w:hAnsi="宋体" w:cs="宋体" w:eastAsia="宋体" w:hint="default"/>
        </w:rPr>
      </w:r>
    </w:p>
    <w:p>
      <w:pPr>
        <w:pStyle w:val="Heading4"/>
        <w:spacing w:line="240" w:lineRule="auto" w:before="20"/>
        <w:ind w:left="540" w:right="1603"/>
        <w:jc w:val="left"/>
      </w:pPr>
      <w:r>
        <w:rPr/>
        <w:t>公司自本报告期末至少</w:t>
      </w:r>
      <w:r>
        <w:rPr>
          <w:rFonts w:ascii="Times New Roman" w:hAnsi="Times New Roman" w:cs="Times New Roman" w:eastAsia="Times New Roman" w:hint="default"/>
        </w:rPr>
        <w:t>12</w:t>
      </w:r>
      <w:r>
        <w:rPr/>
        <w:t>个月内具备持续经营能力，无影响持续经营能力的重大事项。</w:t>
      </w:r>
    </w:p>
    <w:p>
      <w:pPr>
        <w:pStyle w:val="Heading2"/>
        <w:spacing w:line="240" w:lineRule="auto" w:before="113"/>
        <w:ind w:left="117" w:right="0"/>
        <w:jc w:val="both"/>
        <w:rPr>
          <w:b w:val="0"/>
          <w:bCs w:val="0"/>
        </w:rPr>
      </w:pPr>
      <w:bookmarkStart w:name="五、重要会计政策及会计估计" w:id="172"/>
      <w:bookmarkEnd w:id="172"/>
      <w:r>
        <w:rPr>
          <w:b w:val="0"/>
          <w:bCs w:val="0"/>
        </w:rPr>
      </w:r>
      <w:r>
        <w:rPr/>
        <w:t>五、重要会计政策及会计估计</w:t>
      </w:r>
      <w:r>
        <w:rPr>
          <w:b w:val="0"/>
          <w:bCs w:val="0"/>
        </w:rPr>
      </w:r>
    </w:p>
    <w:p>
      <w:pPr>
        <w:pStyle w:val="Heading4"/>
        <w:spacing w:line="240" w:lineRule="auto" w:before="157"/>
        <w:ind w:left="540" w:right="1603"/>
        <w:jc w:val="left"/>
      </w:pPr>
      <w:r>
        <w:rPr/>
        <w:t>以下披露内容已涵盖了本公司根据实际生产经营特点制定的具体会计政策和会计估计。</w:t>
      </w:r>
    </w:p>
    <w:p>
      <w:pPr>
        <w:spacing w:line="345" w:lineRule="auto" w:before="133"/>
        <w:ind w:left="542" w:right="1603" w:hanging="425"/>
        <w:jc w:val="left"/>
        <w:rPr>
          <w:rFonts w:ascii="Times New Roman" w:hAnsi="Times New Roman" w:cs="Times New Roman" w:eastAsia="Times New Roman" w:hint="default"/>
          <w:sz w:val="21"/>
          <w:szCs w:val="21"/>
        </w:rPr>
      </w:pPr>
      <w:bookmarkStart w:name="1、遵循企业会计准则的声明" w:id="173"/>
      <w:bookmarkEnd w:id="173"/>
      <w:r>
        <w:rPr/>
      </w:r>
      <w:r>
        <w:rPr>
          <w:rFonts w:ascii="Times New Roman" w:hAnsi="Times New Roman" w:cs="Times New Roman" w:eastAsia="Times New Roman" w:hint="default"/>
          <w:b/>
          <w:bCs/>
          <w:sz w:val="18"/>
          <w:szCs w:val="18"/>
        </w:rPr>
        <w:t>1</w:t>
      </w:r>
      <w:r>
        <w:rPr>
          <w:rFonts w:ascii="宋体" w:hAnsi="宋体" w:cs="宋体" w:eastAsia="宋体" w:hint="default"/>
          <w:b/>
          <w:bCs/>
          <w:sz w:val="21"/>
          <w:szCs w:val="21"/>
        </w:rPr>
        <w:t>、遵循企业会计准则的声明</w:t>
      </w:r>
      <w:r>
        <w:rPr>
          <w:rFonts w:ascii="宋体" w:hAnsi="宋体" w:cs="宋体" w:eastAsia="宋体" w:hint="default"/>
          <w:b/>
          <w:bCs/>
          <w:w w:val="99"/>
          <w:sz w:val="21"/>
          <w:szCs w:val="21"/>
        </w:rPr>
        <w:t> </w:t>
      </w:r>
      <w:r>
        <w:rPr>
          <w:rFonts w:ascii="宋体" w:hAnsi="宋体" w:cs="宋体" w:eastAsia="宋体" w:hint="default"/>
          <w:spacing w:val="3"/>
          <w:w w:val="95"/>
          <w:sz w:val="21"/>
          <w:szCs w:val="21"/>
        </w:rPr>
        <w:t>本财务报表符合财政部颁布的企业会计准则的要求，真实、完整地反映了本公司</w:t>
      </w:r>
      <w:r>
        <w:rPr>
          <w:rFonts w:ascii="Times New Roman" w:hAnsi="Times New Roman" w:cs="Times New Roman" w:eastAsia="Times New Roman" w:hint="default"/>
          <w:spacing w:val="3"/>
          <w:w w:val="95"/>
          <w:sz w:val="21"/>
          <w:szCs w:val="21"/>
        </w:rPr>
        <w:t>2019</w:t>
      </w:r>
      <w:r>
        <w:rPr>
          <w:rFonts w:ascii="Times New Roman" w:hAnsi="Times New Roman" w:cs="Times New Roman" w:eastAsia="Times New Roman" w:hint="default"/>
          <w:spacing w:val="3"/>
          <w:sz w:val="21"/>
          <w:szCs w:val="21"/>
        </w:rPr>
      </w:r>
    </w:p>
    <w:p>
      <w:pPr>
        <w:pStyle w:val="Heading4"/>
        <w:spacing w:line="240" w:lineRule="auto" w:before="17"/>
        <w:ind w:right="0"/>
        <w:jc w:val="both"/>
      </w:pP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日的合并及母公司财务状况以及</w:t>
      </w:r>
      <w:r>
        <w:rPr>
          <w:rFonts w:ascii="Times New Roman" w:hAnsi="Times New Roman" w:cs="Times New Roman" w:eastAsia="Times New Roman" w:hint="default"/>
        </w:rPr>
        <w:t>2019</w:t>
      </w:r>
      <w:r>
        <w:rPr/>
        <w:t>年度的合并及母公司经营成果和现金流量。</w:t>
      </w:r>
    </w:p>
    <w:p>
      <w:pPr>
        <w:pStyle w:val="Heading3"/>
        <w:spacing w:line="240" w:lineRule="auto" w:before="117"/>
        <w:ind w:left="117" w:right="0"/>
        <w:jc w:val="both"/>
        <w:rPr>
          <w:b w:val="0"/>
          <w:bCs w:val="0"/>
        </w:rPr>
      </w:pPr>
      <w:bookmarkStart w:name="2、会计期间" w:id="174"/>
      <w:bookmarkEnd w:id="174"/>
      <w:r>
        <w:rPr>
          <w:b w:val="0"/>
          <w:bCs w:val="0"/>
        </w:rPr>
      </w:r>
      <w:r>
        <w:rPr>
          <w:rFonts w:ascii="Times New Roman" w:hAnsi="Times New Roman" w:cs="Times New Roman" w:eastAsia="Times New Roman" w:hint="default"/>
          <w:sz w:val="18"/>
          <w:szCs w:val="18"/>
        </w:rPr>
        <w:t>2</w:t>
      </w:r>
      <w:r>
        <w:rPr/>
        <w:t>、会计期间</w:t>
      </w:r>
      <w:r>
        <w:rPr>
          <w:b w:val="0"/>
          <w:bCs w:val="0"/>
        </w:rPr>
      </w:r>
    </w:p>
    <w:p>
      <w:pPr>
        <w:pStyle w:val="Heading4"/>
        <w:spacing w:line="240" w:lineRule="auto" w:before="123"/>
        <w:ind w:left="537" w:right="1603"/>
        <w:jc w:val="left"/>
      </w:pPr>
      <w:r>
        <w:rPr/>
        <w:t>自公历</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日止为一个会计年度。</w:t>
      </w:r>
    </w:p>
    <w:p>
      <w:pPr>
        <w:pStyle w:val="Heading3"/>
        <w:spacing w:line="240" w:lineRule="auto" w:before="117"/>
        <w:ind w:left="117" w:right="0"/>
        <w:jc w:val="both"/>
        <w:rPr>
          <w:b w:val="0"/>
          <w:bCs w:val="0"/>
        </w:rPr>
      </w:pPr>
      <w:bookmarkStart w:name="3、营业周期" w:id="175"/>
      <w:bookmarkEnd w:id="175"/>
      <w:r>
        <w:rPr>
          <w:b w:val="0"/>
          <w:bCs w:val="0"/>
        </w:rPr>
      </w:r>
      <w:r>
        <w:rPr>
          <w:rFonts w:ascii="Times New Roman" w:hAnsi="Times New Roman" w:cs="Times New Roman" w:eastAsia="Times New Roman" w:hint="default"/>
          <w:sz w:val="18"/>
          <w:szCs w:val="18"/>
        </w:rPr>
        <w:t>3</w:t>
      </w:r>
      <w:r>
        <w:rPr/>
        <w:t>、营业周期</w:t>
      </w:r>
      <w:r>
        <w:rPr>
          <w:b w:val="0"/>
          <w:bCs w:val="0"/>
        </w:rPr>
      </w:r>
    </w:p>
    <w:p>
      <w:pPr>
        <w:pStyle w:val="Heading4"/>
        <w:spacing w:line="240" w:lineRule="auto" w:before="123"/>
        <w:ind w:left="537" w:right="1603"/>
        <w:jc w:val="left"/>
      </w:pPr>
      <w:r>
        <w:rPr/>
        <w:t>本公司营业周期为</w:t>
      </w:r>
      <w:r>
        <w:rPr>
          <w:rFonts w:ascii="Times New Roman" w:hAnsi="Times New Roman" w:cs="Times New Roman" w:eastAsia="Times New Roman" w:hint="default"/>
        </w:rPr>
        <w:t>12</w:t>
      </w:r>
      <w:r>
        <w:rPr/>
        <w:t>个月。</w:t>
      </w:r>
    </w:p>
    <w:p>
      <w:pPr>
        <w:pStyle w:val="Heading3"/>
        <w:spacing w:line="240" w:lineRule="auto" w:before="119"/>
        <w:ind w:left="117" w:right="0"/>
        <w:jc w:val="both"/>
        <w:rPr>
          <w:b w:val="0"/>
          <w:bCs w:val="0"/>
        </w:rPr>
      </w:pPr>
      <w:bookmarkStart w:name="4、记账本位币" w:id="176"/>
      <w:bookmarkEnd w:id="176"/>
      <w:r>
        <w:rPr>
          <w:b w:val="0"/>
          <w:bCs w:val="0"/>
        </w:rPr>
      </w:r>
      <w:r>
        <w:rPr>
          <w:rFonts w:ascii="Times New Roman" w:hAnsi="Times New Roman" w:cs="Times New Roman" w:eastAsia="Times New Roman" w:hint="default"/>
          <w:sz w:val="18"/>
          <w:szCs w:val="18"/>
        </w:rPr>
        <w:t>4</w:t>
      </w:r>
      <w:r>
        <w:rPr/>
        <w:t>、记账本位币</w:t>
      </w:r>
      <w:r>
        <w:rPr>
          <w:b w:val="0"/>
          <w:bCs w:val="0"/>
        </w:rPr>
      </w:r>
    </w:p>
    <w:p>
      <w:pPr>
        <w:pStyle w:val="Heading4"/>
        <w:spacing w:line="355" w:lineRule="auto" w:before="123"/>
        <w:ind w:left="537" w:right="1603"/>
        <w:jc w:val="left"/>
      </w:pPr>
      <w:r>
        <w:rPr/>
        <w:t>采用人民币为记账本位币。</w:t>
      </w:r>
      <w:r>
        <w:rPr>
          <w:w w:val="99"/>
        </w:rPr>
        <w:t> </w:t>
      </w:r>
      <w:r>
        <w:rPr>
          <w:w w:val="95"/>
        </w:rPr>
        <w:t>境外子公司以其所在国的运营经济环境的主要货币为记账本位币。</w:t>
      </w:r>
      <w:r>
        <w:rPr/>
      </w:r>
    </w:p>
    <w:p>
      <w:pPr>
        <w:spacing w:line="345" w:lineRule="auto" w:before="32"/>
        <w:ind w:left="542" w:right="1603" w:hanging="425"/>
        <w:jc w:val="left"/>
        <w:rPr>
          <w:rFonts w:ascii="宋体" w:hAnsi="宋体" w:cs="宋体" w:eastAsia="宋体" w:hint="default"/>
          <w:sz w:val="21"/>
          <w:szCs w:val="21"/>
        </w:rPr>
      </w:pPr>
      <w:bookmarkStart w:name="5、同一控制下和非同一控制下企业合并的会计处理方法" w:id="177"/>
      <w:bookmarkEnd w:id="177"/>
      <w:r>
        <w:rPr/>
      </w:r>
      <w:r>
        <w:rPr>
          <w:rFonts w:ascii="Times New Roman" w:hAnsi="Times New Roman" w:cs="Times New Roman" w:eastAsia="Times New Roman" w:hint="default"/>
          <w:b/>
          <w:bCs/>
          <w:sz w:val="18"/>
          <w:szCs w:val="18"/>
        </w:rPr>
        <w:t>5</w:t>
      </w:r>
      <w:r>
        <w:rPr>
          <w:rFonts w:ascii="宋体" w:hAnsi="宋体" w:cs="宋体" w:eastAsia="宋体" w:hint="default"/>
          <w:b/>
          <w:bCs/>
          <w:sz w:val="21"/>
          <w:szCs w:val="21"/>
        </w:rPr>
        <w:t>、同一控制下和非同一控制下企业合并的会计处理方法</w:t>
      </w:r>
      <w:r>
        <w:rPr>
          <w:rFonts w:ascii="宋体" w:hAnsi="宋体" w:cs="宋体" w:eastAsia="宋体" w:hint="default"/>
          <w:b/>
          <w:bCs/>
          <w:w w:val="99"/>
          <w:sz w:val="21"/>
          <w:szCs w:val="21"/>
        </w:rPr>
        <w:t> </w:t>
      </w:r>
      <w:r>
        <w:rPr>
          <w:rFonts w:ascii="宋体" w:hAnsi="宋体" w:cs="宋体" w:eastAsia="宋体" w:hint="default"/>
          <w:spacing w:val="-3"/>
          <w:sz w:val="21"/>
          <w:szCs w:val="21"/>
        </w:rPr>
        <w:t>同一控制下企业合并：本公司在企业合并中取得的资产和负债，按照合并日在被合并方</w:t>
      </w:r>
    </w:p>
    <w:p>
      <w:pPr>
        <w:pStyle w:val="Heading4"/>
        <w:spacing w:line="355" w:lineRule="auto" w:before="40"/>
        <w:ind w:right="1796"/>
        <w:jc w:val="both"/>
      </w:pPr>
      <w:r>
        <w:rPr>
          <w:spacing w:val="-2"/>
          <w:w w:val="95"/>
        </w:rPr>
        <w:t>资产、负债（包括最终控制方收购被合并方而形成的商誉）在最终控制方合并财务报表中的</w:t>
      </w:r>
      <w:r>
        <w:rPr>
          <w:spacing w:val="90"/>
          <w:w w:val="95"/>
        </w:rPr>
        <w:t> </w:t>
      </w:r>
      <w:r>
        <w:rPr>
          <w:spacing w:val="90"/>
          <w:w w:val="95"/>
        </w:rPr>
      </w:r>
      <w:r>
        <w:rPr>
          <w:spacing w:val="-2"/>
          <w:w w:val="95"/>
        </w:rPr>
        <w:t>账面价值计量。在合并中取得的净资产账面价值与支付的合并对价账面价值（或发行股份面</w:t>
      </w:r>
      <w:r>
        <w:rPr>
          <w:spacing w:val="92"/>
          <w:w w:val="95"/>
        </w:rPr>
        <w:t> </w:t>
      </w:r>
      <w:r>
        <w:rPr>
          <w:spacing w:val="92"/>
          <w:w w:val="95"/>
        </w:rPr>
      </w:r>
      <w:r>
        <w:rPr>
          <w:spacing w:val="-2"/>
          <w:w w:val="95"/>
        </w:rPr>
        <w:t>值总额）的差额，调整资本公积中的股本溢价，资本公积中的股本溢价不足冲减的，调整留</w:t>
      </w:r>
      <w:r>
        <w:rPr>
          <w:spacing w:val="93"/>
          <w:w w:val="95"/>
        </w:rPr>
        <w:t> </w:t>
      </w:r>
      <w:r>
        <w:rPr>
          <w:spacing w:val="93"/>
          <w:w w:val="95"/>
        </w:rPr>
      </w:r>
      <w:r>
        <w:rPr/>
        <w:t>存收益。</w:t>
      </w:r>
    </w:p>
    <w:p>
      <w:pPr>
        <w:pStyle w:val="Heading4"/>
        <w:spacing w:line="240" w:lineRule="auto"/>
        <w:ind w:right="1603" w:firstLine="424"/>
        <w:jc w:val="left"/>
      </w:pPr>
      <w:r>
        <w:rPr/>
        <w:t>非同一控制下企业合并：本公司在购买日对作为企业合并对价付出的资产、发生或承担</w:t>
      </w:r>
    </w:p>
    <w:p>
      <w:pPr>
        <w:pStyle w:val="Heading4"/>
        <w:spacing w:line="410" w:lineRule="atLeast" w:before="0"/>
        <w:ind w:right="1796"/>
        <w:jc w:val="both"/>
      </w:pPr>
      <w:r>
        <w:rPr>
          <w:spacing w:val="-2"/>
          <w:w w:val="95"/>
        </w:rPr>
        <w:t>的负债按照公允价值计量，公允价值与其账面价值的差额，计入当期损益。本公司对合并成</w:t>
      </w:r>
      <w:r>
        <w:rPr>
          <w:spacing w:val="92"/>
          <w:w w:val="95"/>
        </w:rPr>
        <w:t> </w:t>
      </w:r>
      <w:r>
        <w:rPr>
          <w:spacing w:val="92"/>
          <w:w w:val="95"/>
        </w:rPr>
      </w:r>
      <w:r>
        <w:rPr>
          <w:spacing w:val="-2"/>
          <w:w w:val="95"/>
        </w:rPr>
        <w:t>本大于合并中取得的被购买方可辨认净资产公允价值份额的差额，确认为商誉；合并成本小</w:t>
      </w:r>
      <w:r>
        <w:rPr>
          <w:spacing w:val="-2"/>
        </w:rPr>
      </w:r>
    </w:p>
    <w:p>
      <w:pPr>
        <w:spacing w:after="0" w:line="410" w:lineRule="atLeast"/>
        <w:jc w:val="both"/>
        <w:sectPr>
          <w:footerReference w:type="default" r:id="rId42"/>
          <w:pgSz w:w="11910" w:h="16840"/>
          <w:pgMar w:footer="1264" w:header="712" w:top="980" w:bottom="1460" w:left="1680" w:right="0"/>
          <w:pgNumType w:start="113"/>
        </w:sectPr>
      </w:pPr>
    </w:p>
    <w:p>
      <w:pPr>
        <w:spacing w:line="240" w:lineRule="auto" w:before="9"/>
        <w:rPr>
          <w:rFonts w:ascii="宋体" w:hAnsi="宋体" w:cs="宋体" w:eastAsia="宋体" w:hint="default"/>
          <w:sz w:val="29"/>
          <w:szCs w:val="29"/>
        </w:rPr>
      </w:pPr>
    </w:p>
    <w:p>
      <w:pPr>
        <w:pStyle w:val="Heading4"/>
        <w:spacing w:line="355" w:lineRule="auto" w:before="34"/>
        <w:ind w:left="542" w:right="1603" w:hanging="425"/>
        <w:jc w:val="left"/>
      </w:pPr>
      <w:r>
        <w:rPr/>
        <w:t>于合并中取得的被购买方可辨认净资产公允价值份额的差额，经复核后，计入当期损益。</w:t>
      </w:r>
      <w:r>
        <w:rPr>
          <w:w w:val="99"/>
        </w:rPr>
        <w:t> </w:t>
      </w:r>
      <w:r>
        <w:rPr>
          <w:spacing w:val="-2"/>
          <w:w w:val="95"/>
        </w:rPr>
        <w:t>为企业合并发生的审计、法律服务、评估咨询等中介费用以及其他直接相关费用，于发</w:t>
      </w:r>
      <w:r>
        <w:rPr>
          <w:spacing w:val="-2"/>
        </w:rPr>
      </w:r>
    </w:p>
    <w:p>
      <w:pPr>
        <w:pStyle w:val="Heading4"/>
        <w:spacing w:line="240" w:lineRule="auto" w:before="34"/>
        <w:ind w:right="0"/>
        <w:jc w:val="both"/>
      </w:pPr>
      <w:r>
        <w:rPr/>
        <w:t>生时计入当期损益；为企业合并而发行权益性证券的交易费用，冲减权益。</w:t>
      </w:r>
    </w:p>
    <w:p>
      <w:pPr>
        <w:pStyle w:val="Heading3"/>
        <w:spacing w:line="240" w:lineRule="auto" w:before="133"/>
        <w:ind w:left="117" w:right="0"/>
        <w:jc w:val="both"/>
        <w:rPr>
          <w:b w:val="0"/>
          <w:bCs w:val="0"/>
        </w:rPr>
      </w:pPr>
      <w:bookmarkStart w:name="6、合并财务报表的编制方法" w:id="178"/>
      <w:bookmarkEnd w:id="178"/>
      <w:r>
        <w:rPr>
          <w:b w:val="0"/>
          <w:bCs w:val="0"/>
        </w:rPr>
      </w:r>
      <w:r>
        <w:rPr>
          <w:rFonts w:ascii="Times New Roman" w:hAnsi="Times New Roman" w:cs="Times New Roman" w:eastAsia="Times New Roman" w:hint="default"/>
          <w:sz w:val="18"/>
          <w:szCs w:val="18"/>
        </w:rPr>
        <w:t>6</w:t>
      </w:r>
      <w:r>
        <w:rPr/>
        <w:t>、合并财务报表的编制方法</w:t>
      </w:r>
      <w:r>
        <w:rPr>
          <w:b w:val="0"/>
          <w:bCs w:val="0"/>
        </w:rPr>
      </w:r>
    </w:p>
    <w:p>
      <w:pPr>
        <w:pStyle w:val="Heading4"/>
        <w:spacing w:line="343" w:lineRule="auto" w:before="123"/>
        <w:ind w:left="431" w:right="1603"/>
        <w:jc w:val="left"/>
      </w:pPr>
      <w:r>
        <w:rPr>
          <w:rFonts w:ascii="Times New Roman" w:hAnsi="Times New Roman" w:cs="Times New Roman" w:eastAsia="Times New Roman" w:hint="default"/>
        </w:rPr>
        <w:t>(1)</w:t>
      </w:r>
      <w:r>
        <w:rPr/>
        <w:t>合并范围</w:t>
      </w:r>
      <w:r>
        <w:rPr>
          <w:w w:val="99"/>
        </w:rPr>
        <w:t> </w:t>
      </w:r>
      <w:r>
        <w:rPr/>
        <w:t>合并财务报表的合并范围以控制为基础确定，合并范围包括本公司及全部子公司。</w:t>
      </w:r>
      <w:r>
        <w:rPr>
          <w:w w:val="99"/>
        </w:rPr>
        <w:t> </w:t>
      </w:r>
      <w:r>
        <w:rPr>
          <w:rFonts w:ascii="Times New Roman" w:hAnsi="Times New Roman" w:cs="Times New Roman" w:eastAsia="Times New Roman" w:hint="default"/>
        </w:rPr>
        <w:t>(2)</w:t>
      </w:r>
      <w:r>
        <w:rPr/>
        <w:t>合并程序</w:t>
      </w:r>
      <w:r>
        <w:rPr>
          <w:w w:val="99"/>
        </w:rPr>
        <w:t> </w:t>
      </w:r>
      <w:r>
        <w:rPr/>
        <w:t>本公司以自身和各子公司的财务报表为基础，根据其他有关资料，编制合并财务报表。</w:t>
      </w:r>
    </w:p>
    <w:p>
      <w:pPr>
        <w:pStyle w:val="Heading4"/>
        <w:spacing w:line="357" w:lineRule="auto" w:before="43"/>
        <w:ind w:right="1796"/>
        <w:jc w:val="both"/>
      </w:pPr>
      <w:r>
        <w:rPr>
          <w:spacing w:val="-2"/>
          <w:w w:val="95"/>
        </w:rPr>
        <w:t>本公司编制合并财务报表，将整个企业集团视为一个会计主体，依据相关企业会计准则的确</w:t>
      </w:r>
      <w:r>
        <w:rPr>
          <w:spacing w:val="92"/>
          <w:w w:val="95"/>
        </w:rPr>
        <w:t> </w:t>
      </w:r>
      <w:r>
        <w:rPr>
          <w:spacing w:val="92"/>
          <w:w w:val="95"/>
        </w:rPr>
      </w:r>
      <w:r>
        <w:rPr>
          <w:spacing w:val="-2"/>
          <w:w w:val="95"/>
        </w:rPr>
        <w:t>认、计量和列报要求，按照统一的会计政策，反映本企业集团整体财务状况、经营成果和现</w:t>
      </w:r>
      <w:r>
        <w:rPr>
          <w:spacing w:val="92"/>
          <w:w w:val="95"/>
        </w:rPr>
        <w:t> </w:t>
      </w:r>
      <w:r>
        <w:rPr>
          <w:spacing w:val="92"/>
          <w:w w:val="95"/>
        </w:rPr>
      </w:r>
      <w:r>
        <w:rPr/>
        <w:t>金流量。</w:t>
      </w:r>
    </w:p>
    <w:p>
      <w:pPr>
        <w:pStyle w:val="Heading4"/>
        <w:spacing w:line="357" w:lineRule="auto" w:before="30"/>
        <w:ind w:right="1603" w:firstLine="424"/>
        <w:jc w:val="left"/>
      </w:pPr>
      <w:r>
        <w:rPr>
          <w:w w:val="95"/>
        </w:rPr>
        <w:t>所有纳入合并财务报表合并范围的子公司所采用的会计政策、会计期间与本公司一致，</w:t>
      </w:r>
      <w:r>
        <w:rPr>
          <w:w w:val="99"/>
        </w:rPr>
        <w:t> </w:t>
      </w:r>
      <w:r>
        <w:rPr>
          <w:w w:val="95"/>
        </w:rPr>
        <w:t>如子公司采用的会计政策、会计期间与本公司不一致的，在编制合并财务报表时，按本公司</w:t>
      </w:r>
      <w:r>
        <w:rPr>
          <w:spacing w:val="10"/>
          <w:w w:val="95"/>
        </w:rPr>
        <w:t> </w:t>
      </w:r>
      <w:r>
        <w:rPr>
          <w:spacing w:val="10"/>
          <w:w w:val="95"/>
        </w:rPr>
      </w:r>
      <w:r>
        <w:rPr>
          <w:w w:val="95"/>
        </w:rPr>
        <w:t>的会计政策、会计期间进行必要的调整。对于非同一控制下企业合并取得的子公司，以购买</w:t>
      </w:r>
      <w:r>
        <w:rPr>
          <w:spacing w:val="12"/>
          <w:w w:val="95"/>
        </w:rPr>
        <w:t> </w:t>
      </w:r>
      <w:r>
        <w:rPr>
          <w:spacing w:val="12"/>
          <w:w w:val="95"/>
        </w:rPr>
      </w:r>
      <w:r>
        <w:rPr>
          <w:spacing w:val="-2"/>
          <w:w w:val="99"/>
        </w:rPr>
        <w:t>日可辨认净资产公允价值为基础对其财务报表进行调整。对于同一控制下企业合并取得的子</w:t>
      </w:r>
      <w:r>
        <w:rPr>
          <w:spacing w:val="-93"/>
          <w:w w:val="99"/>
        </w:rPr>
        <w:t> </w:t>
      </w:r>
      <w:r>
        <w:rPr>
          <w:spacing w:val="-93"/>
          <w:w w:val="99"/>
        </w:rPr>
      </w:r>
      <w:r>
        <w:rPr>
          <w:w w:val="95"/>
        </w:rPr>
        <w:t>公司，以其资产、负债（包括最终控制方收购该子公司而形成的商誉）在最终控制方财务报</w:t>
      </w:r>
      <w:r>
        <w:rPr>
          <w:spacing w:val="13"/>
          <w:w w:val="95"/>
        </w:rPr>
        <w:t> </w:t>
      </w:r>
      <w:r>
        <w:rPr>
          <w:spacing w:val="13"/>
          <w:w w:val="95"/>
        </w:rPr>
      </w:r>
      <w:r>
        <w:rPr/>
        <w:t>表中的账面价值为基础对其财务报表进行调整。</w:t>
      </w:r>
    </w:p>
    <w:p>
      <w:pPr>
        <w:pStyle w:val="Heading4"/>
        <w:spacing w:line="357" w:lineRule="auto" w:before="30"/>
        <w:ind w:right="1603" w:firstLine="424"/>
        <w:jc w:val="left"/>
      </w:pPr>
      <w:r>
        <w:rPr>
          <w:spacing w:val="-2"/>
          <w:w w:val="99"/>
        </w:rPr>
        <w:t>子公司所有者权益、当期净损益和当期综合收益中属于少数股东的份额分别在合并资产</w:t>
      </w:r>
      <w:r>
        <w:rPr>
          <w:w w:val="99"/>
        </w:rPr>
        <w:t> </w:t>
      </w:r>
      <w:r>
        <w:rPr>
          <w:w w:val="95"/>
        </w:rPr>
        <w:t>负债表中所有者权益项目下、合并利润表中净利润项目下和综合收益总额项目下单独列示。</w:t>
      </w:r>
      <w:r>
        <w:rPr>
          <w:spacing w:val="99"/>
          <w:w w:val="95"/>
        </w:rPr>
        <w:t> </w:t>
      </w:r>
      <w:r>
        <w:rPr>
          <w:spacing w:val="99"/>
          <w:w w:val="95"/>
        </w:rPr>
      </w:r>
      <w:r>
        <w:rPr>
          <w:spacing w:val="3"/>
        </w:rPr>
        <w:t>子公司少数股东分担的当期亏损超过了少数股东在该子公司期初所有者权益中所享有份额</w:t>
      </w:r>
      <w:r>
        <w:rPr>
          <w:w w:val="99"/>
        </w:rPr>
        <w:t> </w:t>
      </w:r>
      <w:r>
        <w:rPr/>
        <w:t>而形成的余额，冲减少数股东权益。</w:t>
      </w:r>
    </w:p>
    <w:p>
      <w:pPr>
        <w:pStyle w:val="Heading4"/>
        <w:spacing w:line="355" w:lineRule="auto" w:before="30"/>
        <w:ind w:left="542" w:right="1603" w:hanging="5"/>
        <w:jc w:val="left"/>
      </w:pPr>
      <w:r>
        <w:rPr/>
        <w:t>①增加子公司或业务</w:t>
      </w:r>
      <w:r>
        <w:rPr>
          <w:w w:val="99"/>
        </w:rPr>
        <w:t> </w:t>
      </w:r>
      <w:r>
        <w:rPr>
          <w:spacing w:val="-2"/>
          <w:w w:val="95"/>
        </w:rPr>
        <w:t>在报告期内，若因同一控制下企业合并增加子公司或业务的，则调整合并资产负债表的</w:t>
      </w:r>
      <w:r>
        <w:rPr>
          <w:spacing w:val="-2"/>
        </w:rPr>
      </w:r>
    </w:p>
    <w:p>
      <w:pPr>
        <w:pStyle w:val="Heading4"/>
        <w:spacing w:line="355" w:lineRule="auto"/>
        <w:ind w:right="1797"/>
        <w:jc w:val="both"/>
      </w:pPr>
      <w:r>
        <w:rPr>
          <w:spacing w:val="-2"/>
          <w:w w:val="95"/>
        </w:rPr>
        <w:t>期初数；将子公司或业务合并当期期初至报告期末的收入、费用、利润纳入合并利润表；将</w:t>
      </w:r>
      <w:r>
        <w:rPr>
          <w:spacing w:val="92"/>
          <w:w w:val="95"/>
        </w:rPr>
        <w:t> </w:t>
      </w:r>
      <w:r>
        <w:rPr>
          <w:spacing w:val="92"/>
          <w:w w:val="95"/>
        </w:rPr>
      </w:r>
      <w:r>
        <w:rPr>
          <w:spacing w:val="-2"/>
          <w:w w:val="99"/>
        </w:rPr>
        <w:t>子公司或业务合并当期期初至报告期末的现金流量纳入合并现金流量表，同时对比较报表的</w:t>
      </w:r>
      <w:r>
        <w:rPr>
          <w:spacing w:val="-95"/>
          <w:w w:val="99"/>
        </w:rPr>
        <w:t> </w:t>
      </w:r>
      <w:r>
        <w:rPr>
          <w:spacing w:val="-95"/>
          <w:w w:val="99"/>
        </w:rPr>
      </w:r>
      <w:r>
        <w:rPr/>
        <w:t>相关项目进行调整，视同合并后的报告主体自最终控制方开始控制时点起一直存在。</w:t>
      </w:r>
    </w:p>
    <w:p>
      <w:pPr>
        <w:pStyle w:val="Heading4"/>
        <w:spacing w:line="357" w:lineRule="auto" w:before="34"/>
        <w:ind w:right="1796" w:firstLine="424"/>
        <w:jc w:val="both"/>
      </w:pPr>
      <w:r>
        <w:rPr>
          <w:spacing w:val="-2"/>
          <w:w w:val="99"/>
        </w:rPr>
        <w:t>因追加投资等原因能够对同一控制下的被投资方实施控制的，视同参与合并的各方在最</w:t>
      </w:r>
      <w:r>
        <w:rPr>
          <w:w w:val="99"/>
        </w:rPr>
        <w:t> </w:t>
      </w:r>
      <w:r>
        <w:rPr>
          <w:spacing w:val="-2"/>
          <w:w w:val="99"/>
        </w:rPr>
        <w:t>终控制方开始控制时即以目前的状态存在进行调整。在取得被合并方控制权之前持有的股权</w:t>
      </w:r>
      <w:r>
        <w:rPr>
          <w:spacing w:val="-93"/>
          <w:w w:val="99"/>
        </w:rPr>
        <w:t> </w:t>
      </w:r>
      <w:r>
        <w:rPr>
          <w:spacing w:val="-93"/>
          <w:w w:val="99"/>
        </w:rPr>
      </w:r>
      <w:r>
        <w:rPr>
          <w:spacing w:val="-2"/>
          <w:w w:val="99"/>
        </w:rPr>
        <w:t>投资，在取得原股权之日与合并方和被合并方同处于同一控制之日孰晚日起至合并日之间已</w:t>
      </w:r>
      <w:r>
        <w:rPr>
          <w:spacing w:val="-93"/>
          <w:w w:val="99"/>
        </w:rPr>
        <w:t> </w:t>
      </w:r>
      <w:r>
        <w:rPr>
          <w:spacing w:val="-93"/>
          <w:w w:val="99"/>
        </w:rPr>
      </w:r>
      <w:r>
        <w:rPr>
          <w:spacing w:val="-2"/>
          <w:w w:val="95"/>
        </w:rPr>
        <w:t>确认有关损益、其他综合收益以及其他净资产变动，分别冲减比较报表期间的期初留存收益</w:t>
      </w:r>
      <w:r>
        <w:rPr>
          <w:spacing w:val="92"/>
          <w:w w:val="95"/>
        </w:rPr>
        <w:t> </w:t>
      </w:r>
      <w:r>
        <w:rPr>
          <w:spacing w:val="92"/>
          <w:w w:val="95"/>
        </w:rPr>
      </w:r>
      <w:r>
        <w:rPr/>
        <w:t>或当期损益。</w:t>
      </w:r>
    </w:p>
    <w:p>
      <w:pPr>
        <w:pStyle w:val="Heading4"/>
        <w:spacing w:line="357" w:lineRule="auto" w:before="30"/>
        <w:ind w:right="1797" w:firstLine="424"/>
        <w:jc w:val="both"/>
      </w:pPr>
      <w:r>
        <w:rPr>
          <w:spacing w:val="-3"/>
        </w:rPr>
        <w:t>在报告期内，若因非同一控制下企业合并增加子公司或业务的，则不调整合并资产负债</w:t>
      </w:r>
      <w:r>
        <w:rPr>
          <w:w w:val="99"/>
        </w:rPr>
        <w:t> </w:t>
      </w:r>
      <w:r>
        <w:rPr>
          <w:spacing w:val="-2"/>
          <w:w w:val="95"/>
        </w:rPr>
        <w:t>表期初数；将该子公司或业务自购买日至报告期末的收入、费用、利润纳入合并利润表；该</w:t>
      </w:r>
      <w:r>
        <w:rPr>
          <w:spacing w:val="93"/>
          <w:w w:val="95"/>
        </w:rPr>
        <w:t> </w:t>
      </w:r>
      <w:r>
        <w:rPr>
          <w:spacing w:val="93"/>
          <w:w w:val="95"/>
        </w:rPr>
      </w:r>
      <w:r>
        <w:rPr/>
        <w:t>子公司或业务自购买日至报告期末的现金流量纳入合并现金流量表。</w:t>
      </w:r>
    </w:p>
    <w:p>
      <w:pPr>
        <w:spacing w:after="0" w:line="357" w:lineRule="auto"/>
        <w:jc w:val="both"/>
        <w:sectPr>
          <w:footerReference w:type="default" r:id="rId43"/>
          <w:pgSz w:w="11910" w:h="16840"/>
          <w:pgMar w:footer="1264" w:header="712" w:top="980" w:bottom="1460" w:left="1680" w:right="0"/>
          <w:pgNumType w:start="114"/>
        </w:sectPr>
      </w:pPr>
    </w:p>
    <w:p>
      <w:pPr>
        <w:spacing w:line="240" w:lineRule="auto" w:before="9"/>
        <w:rPr>
          <w:rFonts w:ascii="宋体" w:hAnsi="宋体" w:cs="宋体" w:eastAsia="宋体" w:hint="default"/>
          <w:sz w:val="29"/>
          <w:szCs w:val="29"/>
        </w:rPr>
      </w:pPr>
    </w:p>
    <w:p>
      <w:pPr>
        <w:pStyle w:val="Heading4"/>
        <w:spacing w:line="357" w:lineRule="auto" w:before="34"/>
        <w:ind w:right="1796" w:firstLine="424"/>
        <w:jc w:val="both"/>
      </w:pPr>
      <w:r>
        <w:rPr>
          <w:spacing w:val="-3"/>
          <w:w w:val="99"/>
        </w:rPr>
        <w:t>因追加投资等原因能够对非同一控制下的被投资方实施控制的，对于购买日之前持有的</w:t>
      </w:r>
      <w:r>
        <w:rPr>
          <w:w w:val="99"/>
        </w:rPr>
        <w:t> </w:t>
      </w:r>
      <w:r>
        <w:rPr>
          <w:spacing w:val="-2"/>
          <w:w w:val="95"/>
        </w:rPr>
        <w:t>被购买方的股权，本公司按照该股权在购买日的公允价值进行重新计量，公允价值与其账面</w:t>
      </w:r>
      <w:r>
        <w:rPr>
          <w:spacing w:val="92"/>
          <w:w w:val="95"/>
        </w:rPr>
        <w:t> </w:t>
      </w:r>
      <w:r>
        <w:rPr>
          <w:spacing w:val="92"/>
          <w:w w:val="95"/>
        </w:rPr>
      </w:r>
      <w:r>
        <w:rPr>
          <w:spacing w:val="-2"/>
          <w:w w:val="99"/>
        </w:rPr>
        <w:t>价值的差额计入当期投资收益。购买日之前持有的被购买方的股权涉及权益法核算下的其他</w:t>
      </w:r>
      <w:r>
        <w:rPr>
          <w:spacing w:val="-96"/>
          <w:w w:val="99"/>
        </w:rPr>
        <w:t> </w:t>
      </w:r>
      <w:r>
        <w:rPr>
          <w:spacing w:val="-96"/>
          <w:w w:val="99"/>
        </w:rPr>
      </w:r>
      <w:r>
        <w:rPr>
          <w:spacing w:val="-2"/>
          <w:w w:val="95"/>
        </w:rPr>
        <w:t>综合收益以及除净损益、其他综合收益和利润分配之外的其他所有者权益变动的，与其相关</w:t>
      </w:r>
      <w:r>
        <w:rPr>
          <w:spacing w:val="92"/>
          <w:w w:val="95"/>
        </w:rPr>
        <w:t> </w:t>
      </w:r>
      <w:r>
        <w:rPr>
          <w:spacing w:val="92"/>
          <w:w w:val="95"/>
        </w:rPr>
      </w:r>
      <w:r>
        <w:rPr>
          <w:spacing w:val="-2"/>
          <w:w w:val="95"/>
        </w:rPr>
        <w:t>的其他综合收益、其他所有者权益变动转为购买日所属当期投资收益，由于被投资方重新计</w:t>
      </w:r>
      <w:r>
        <w:rPr>
          <w:spacing w:val="92"/>
          <w:w w:val="95"/>
        </w:rPr>
        <w:t> </w:t>
      </w:r>
      <w:r>
        <w:rPr>
          <w:spacing w:val="92"/>
          <w:w w:val="95"/>
        </w:rPr>
      </w:r>
      <w:r>
        <w:rPr/>
        <w:t>量设定受益计划净负债或净资产变动而产生的其他综合收益除外。</w:t>
      </w:r>
    </w:p>
    <w:p>
      <w:pPr>
        <w:pStyle w:val="Heading4"/>
        <w:spacing w:line="355" w:lineRule="auto"/>
        <w:ind w:left="542" w:right="7360" w:hanging="5"/>
        <w:jc w:val="left"/>
      </w:pPr>
      <w:r>
        <w:rPr>
          <w:w w:val="95"/>
        </w:rPr>
        <w:t>②处置子公司或业务</w:t>
      </w:r>
      <w:r>
        <w:rPr>
          <w:spacing w:val="-14"/>
          <w:w w:val="95"/>
        </w:rPr>
        <w:t> </w:t>
      </w:r>
      <w:r>
        <w:rPr>
          <w:spacing w:val="-14"/>
          <w:w w:val="95"/>
        </w:rPr>
      </w:r>
      <w:r>
        <w:rPr/>
        <w:t>一般处理方法</w:t>
      </w:r>
    </w:p>
    <w:p>
      <w:pPr>
        <w:pStyle w:val="Heading4"/>
        <w:spacing w:line="355" w:lineRule="auto"/>
        <w:ind w:right="1603" w:firstLine="424"/>
        <w:jc w:val="left"/>
      </w:pPr>
      <w:r>
        <w:rPr>
          <w:spacing w:val="-5"/>
          <w:w w:val="95"/>
        </w:rPr>
        <w:t>在报告期内，本公司处置子公司或业务，则该子公司或业务期初至处置日的收入、费用、</w:t>
      </w:r>
      <w:r>
        <w:rPr>
          <w:w w:val="99"/>
        </w:rPr>
        <w:t> </w:t>
      </w:r>
      <w:r>
        <w:rPr/>
        <w:t>利润纳入合并利润表；该子公司或业务期初至处置日的现金流量纳入合并现金流量表。</w:t>
      </w:r>
    </w:p>
    <w:p>
      <w:pPr>
        <w:pStyle w:val="Heading4"/>
        <w:spacing w:line="357" w:lineRule="auto" w:before="34"/>
        <w:ind w:right="1603" w:firstLine="424"/>
        <w:jc w:val="left"/>
      </w:pPr>
      <w:r>
        <w:rPr>
          <w:spacing w:val="-2"/>
          <w:w w:val="99"/>
        </w:rPr>
        <w:t>因处置部分股权投资或其他原因丧失了对被投资方控制权时，对于处置后的剩余股权投</w:t>
      </w:r>
      <w:r>
        <w:rPr>
          <w:w w:val="99"/>
        </w:rPr>
        <w:t> </w:t>
      </w:r>
      <w:r>
        <w:rPr>
          <w:w w:val="95"/>
        </w:rPr>
        <w:t>资，本公司按照其在丧失控制权日的公允价值进行重新计量。处置股权取得的对价与剩余股</w:t>
      </w:r>
      <w:r>
        <w:rPr>
          <w:spacing w:val="12"/>
          <w:w w:val="95"/>
        </w:rPr>
        <w:t> </w:t>
      </w:r>
      <w:r>
        <w:rPr>
          <w:spacing w:val="12"/>
          <w:w w:val="95"/>
        </w:rPr>
      </w:r>
      <w:r>
        <w:rPr>
          <w:spacing w:val="-2"/>
          <w:w w:val="99"/>
        </w:rPr>
        <w:t>权公允价值之和，减去按原持股比例计算应享有原有子公司自购买日或合并日开始持续计算</w:t>
      </w:r>
      <w:r>
        <w:rPr>
          <w:spacing w:val="-96"/>
          <w:w w:val="99"/>
        </w:rPr>
        <w:t> </w:t>
      </w:r>
      <w:r>
        <w:rPr>
          <w:spacing w:val="-96"/>
          <w:w w:val="99"/>
        </w:rPr>
      </w:r>
      <w:r>
        <w:rPr>
          <w:w w:val="95"/>
        </w:rPr>
        <w:t>的净资产的份额与商誉之和的差额，计入丧失控制权当期的投资收益。与原有子公司股权投</w:t>
      </w:r>
      <w:r>
        <w:rPr>
          <w:spacing w:val="12"/>
          <w:w w:val="95"/>
        </w:rPr>
        <w:t> </w:t>
      </w:r>
      <w:r>
        <w:rPr>
          <w:spacing w:val="12"/>
          <w:w w:val="95"/>
        </w:rPr>
      </w:r>
      <w:r>
        <w:rPr>
          <w:w w:val="95"/>
        </w:rPr>
        <w:t>资相关的其他综合收益或除净损益、其他综合收益及利润分配之外的其他所有者权益变动，</w:t>
      </w:r>
      <w:r>
        <w:rPr>
          <w:spacing w:val="99"/>
          <w:w w:val="95"/>
        </w:rPr>
        <w:t> </w:t>
      </w:r>
      <w:r>
        <w:rPr>
          <w:spacing w:val="99"/>
          <w:w w:val="95"/>
        </w:rPr>
      </w:r>
      <w:r>
        <w:rPr>
          <w:spacing w:val="-2"/>
          <w:w w:val="99"/>
        </w:rPr>
        <w:t>在丧失控制权时转为当期投资收益，由于被投资方重新计量设定受益计划净负债或净资产变</w:t>
      </w:r>
      <w:r>
        <w:rPr>
          <w:spacing w:val="-96"/>
          <w:w w:val="99"/>
        </w:rPr>
        <w:t> </w:t>
      </w:r>
      <w:r>
        <w:rPr>
          <w:spacing w:val="-96"/>
          <w:w w:val="99"/>
        </w:rPr>
      </w:r>
      <w:r>
        <w:rPr/>
        <w:t>动而产生的其他综合收益除外。</w:t>
      </w:r>
    </w:p>
    <w:p>
      <w:pPr>
        <w:pStyle w:val="Heading4"/>
        <w:spacing w:line="355" w:lineRule="auto" w:before="30"/>
        <w:ind w:left="542" w:right="1603"/>
        <w:jc w:val="left"/>
      </w:pPr>
      <w:r>
        <w:rPr/>
        <w:t>分步处置子公司</w:t>
      </w:r>
      <w:r>
        <w:rPr>
          <w:w w:val="99"/>
        </w:rPr>
        <w:t> </w:t>
      </w:r>
      <w:r>
        <w:rPr>
          <w:spacing w:val="-2"/>
          <w:w w:val="99"/>
        </w:rPr>
        <w:t>通过多次交易分步处置对子公司股权投资直至丧失控制权的，处置对子公司股权投资的</w:t>
      </w:r>
      <w:r>
        <w:rPr>
          <w:spacing w:val="-2"/>
        </w:rPr>
      </w:r>
    </w:p>
    <w:p>
      <w:pPr>
        <w:pStyle w:val="Heading4"/>
        <w:spacing w:line="357" w:lineRule="auto"/>
        <w:ind w:right="1796"/>
        <w:jc w:val="both"/>
      </w:pPr>
      <w:r>
        <w:rPr>
          <w:spacing w:val="-2"/>
          <w:w w:val="95"/>
        </w:rPr>
        <w:t>各项交易的条款、条件以及经济影响符合以下一种或多种情况，通常表明应将多次交易事项</w:t>
      </w:r>
      <w:r>
        <w:rPr>
          <w:spacing w:val="92"/>
          <w:w w:val="95"/>
        </w:rPr>
        <w:t> </w:t>
      </w:r>
      <w:r>
        <w:rPr>
          <w:spacing w:val="92"/>
          <w:w w:val="95"/>
        </w:rPr>
      </w:r>
      <w:r>
        <w:rPr/>
        <w:t>作为一揽子交易进行会计处理：</w:t>
      </w:r>
    </w:p>
    <w:p>
      <w:pPr>
        <w:pStyle w:val="Heading4"/>
        <w:spacing w:line="355" w:lineRule="auto" w:before="30"/>
        <w:ind w:left="542" w:right="1603"/>
        <w:jc w:val="left"/>
      </w:pPr>
      <w:r>
        <w:rPr/>
        <w:t>ⅰ．这些交易是同时或者在考虑了彼此影响的情况下订立的。</w:t>
      </w:r>
      <w:r>
        <w:rPr>
          <w:w w:val="99"/>
        </w:rPr>
        <w:t> </w:t>
      </w:r>
      <w:r>
        <w:rPr/>
        <w:t>ⅱ．这些交易整体才能达成一项完整的商业结果。</w:t>
      </w:r>
      <w:r>
        <w:rPr>
          <w:w w:val="99"/>
        </w:rPr>
        <w:t> </w:t>
      </w:r>
      <w:r>
        <w:rPr/>
        <w:t>ⅲ．一项交易的发生取决于其他至少一项交易的发生。</w:t>
      </w:r>
      <w:r>
        <w:rPr>
          <w:w w:val="99"/>
        </w:rPr>
        <w:t> </w:t>
      </w:r>
      <w:r>
        <w:rPr/>
        <w:t>ⅳ．一项交易单独看是不经济的，但是和其他交易一并考虑时是经济的。</w:t>
      </w:r>
      <w:r>
        <w:rPr>
          <w:w w:val="99"/>
        </w:rPr>
        <w:t> </w:t>
      </w:r>
      <w:r>
        <w:rPr>
          <w:spacing w:val="-2"/>
          <w:w w:val="99"/>
        </w:rPr>
        <w:t>处置对子公司股权投资直至丧失控制权的各项交易属于一揽子交易的，本公司将各项交</w:t>
      </w:r>
      <w:r>
        <w:rPr>
          <w:spacing w:val="-2"/>
        </w:rPr>
      </w:r>
    </w:p>
    <w:p>
      <w:pPr>
        <w:pStyle w:val="Heading4"/>
        <w:spacing w:line="355" w:lineRule="auto" w:before="34"/>
        <w:ind w:right="1796"/>
        <w:jc w:val="both"/>
      </w:pPr>
      <w:r>
        <w:rPr>
          <w:spacing w:val="-2"/>
          <w:w w:val="95"/>
        </w:rPr>
        <w:t>易作为一项处置子公司并丧失控制权的交易进行会计处理；但是，在丧失控制权之前每一次</w:t>
      </w:r>
      <w:r>
        <w:rPr>
          <w:spacing w:val="92"/>
          <w:w w:val="95"/>
        </w:rPr>
        <w:t> </w:t>
      </w:r>
      <w:r>
        <w:rPr>
          <w:spacing w:val="92"/>
          <w:w w:val="95"/>
        </w:rPr>
      </w:r>
      <w:r>
        <w:rPr>
          <w:spacing w:val="-2"/>
          <w:w w:val="99"/>
        </w:rPr>
        <w:t>处置价款与处置投资对应的享有该子公司净资产份额的差额，在合并财务报表中确认为其他</w:t>
      </w:r>
      <w:r>
        <w:rPr>
          <w:spacing w:val="-93"/>
          <w:w w:val="99"/>
        </w:rPr>
        <w:t> </w:t>
      </w:r>
      <w:r>
        <w:rPr>
          <w:spacing w:val="-93"/>
          <w:w w:val="99"/>
        </w:rPr>
      </w:r>
      <w:r>
        <w:rPr/>
        <w:t>综合收益，在丧失控制权时一并转入丧失控制权当期的损益。</w:t>
      </w:r>
    </w:p>
    <w:p>
      <w:pPr>
        <w:pStyle w:val="Heading4"/>
        <w:spacing w:line="357" w:lineRule="auto"/>
        <w:ind w:right="1797" w:firstLine="424"/>
        <w:jc w:val="both"/>
      </w:pPr>
      <w:r>
        <w:rPr>
          <w:spacing w:val="-2"/>
          <w:w w:val="99"/>
        </w:rPr>
        <w:t>处置对子公司股权投资直至丧失控制权的各项交易不属于一揽子交易的，在丧失控制权</w:t>
      </w:r>
      <w:r>
        <w:rPr>
          <w:w w:val="99"/>
        </w:rPr>
        <w:t> </w:t>
      </w:r>
      <w:r>
        <w:rPr>
          <w:spacing w:val="-2"/>
          <w:w w:val="95"/>
        </w:rPr>
        <w:t>之前，按不丧失控制权的情况下部分处置对子公司的股权投资的相关政策进行会计处理；在</w:t>
      </w:r>
      <w:r>
        <w:rPr>
          <w:spacing w:val="92"/>
          <w:w w:val="95"/>
        </w:rPr>
        <w:t> </w:t>
      </w:r>
      <w:r>
        <w:rPr>
          <w:spacing w:val="92"/>
          <w:w w:val="95"/>
        </w:rPr>
      </w:r>
      <w:r>
        <w:rPr/>
        <w:t>丧失控制权时，按处置子公司一般处理方法进行会计处理。③购买子公司少数股权</w:t>
      </w:r>
    </w:p>
    <w:p>
      <w:pPr>
        <w:pStyle w:val="Heading4"/>
        <w:spacing w:line="357" w:lineRule="auto" w:before="30"/>
        <w:ind w:right="1796" w:firstLine="424"/>
        <w:jc w:val="both"/>
      </w:pPr>
      <w:r>
        <w:rPr>
          <w:spacing w:val="3"/>
        </w:rPr>
        <w:t>本公司因购买少数股权新取得的长期股权投资与按照新增持股比例计算应享有子公司</w:t>
      </w:r>
      <w:r>
        <w:rPr>
          <w:w w:val="99"/>
        </w:rPr>
        <w:t> </w:t>
      </w:r>
      <w:r>
        <w:rPr>
          <w:spacing w:val="-2"/>
          <w:w w:val="95"/>
        </w:rPr>
        <w:t>自购买日（或合并日）开始持续计算的净资产份额之间的差额，调整合并资产负债表中的资</w:t>
      </w:r>
      <w:r>
        <w:rPr>
          <w:spacing w:val="-2"/>
        </w:rPr>
      </w:r>
    </w:p>
    <w:p>
      <w:pPr>
        <w:spacing w:after="0" w:line="357" w:lineRule="auto"/>
        <w:jc w:val="both"/>
        <w:sectPr>
          <w:pgSz w:w="11910" w:h="16840"/>
          <w:pgMar w:header="712" w:footer="1264" w:top="980" w:bottom="1460" w:left="1680" w:right="0"/>
        </w:sectPr>
      </w:pPr>
    </w:p>
    <w:p>
      <w:pPr>
        <w:spacing w:line="240" w:lineRule="auto" w:before="9"/>
        <w:rPr>
          <w:rFonts w:ascii="宋体" w:hAnsi="宋体" w:cs="宋体" w:eastAsia="宋体" w:hint="default"/>
          <w:sz w:val="29"/>
          <w:szCs w:val="29"/>
        </w:rPr>
      </w:pPr>
    </w:p>
    <w:p>
      <w:pPr>
        <w:pStyle w:val="Heading4"/>
        <w:spacing w:line="240" w:lineRule="auto" w:before="34"/>
        <w:ind w:right="1603"/>
        <w:jc w:val="left"/>
      </w:pPr>
      <w:r>
        <w:rPr/>
        <w:t>本公积中的股本溢价，资本公积中的股本溢价不足冲减的，调整留存收益。</w:t>
      </w:r>
    </w:p>
    <w:p>
      <w:pPr>
        <w:pStyle w:val="Heading4"/>
        <w:spacing w:line="357" w:lineRule="auto" w:before="133"/>
        <w:ind w:left="542" w:right="1784"/>
        <w:jc w:val="left"/>
      </w:pPr>
      <w:r>
        <w:rPr/>
        <w:t>④不丧失控制权的情况下部分处置对子公司的长期股权投资</w:t>
      </w:r>
      <w:r>
        <w:rPr>
          <w:w w:val="99"/>
        </w:rPr>
        <w:t> </w:t>
      </w:r>
      <w:r>
        <w:rPr>
          <w:spacing w:val="3"/>
        </w:rPr>
        <w:t>在不丧失控制权的情况下因部分处置对子公司的长期股权投资而取得的处置价款与处</w:t>
      </w:r>
    </w:p>
    <w:p>
      <w:pPr>
        <w:pStyle w:val="Heading4"/>
        <w:spacing w:line="355" w:lineRule="auto" w:before="30"/>
        <w:ind w:right="1603"/>
        <w:jc w:val="left"/>
      </w:pPr>
      <w:r>
        <w:rPr>
          <w:spacing w:val="3"/>
        </w:rPr>
        <w:t>置长期股权投资相对应享有子公司自购买日或合并日开始持续计算的净资产份额之间的差</w:t>
      </w:r>
      <w:r>
        <w:rPr>
          <w:w w:val="99"/>
        </w:rPr>
        <w:t> </w:t>
      </w:r>
      <w:r>
        <w:rPr>
          <w:w w:val="95"/>
        </w:rPr>
        <w:t>额，调整合并资产负债表中的资本公积中的股本溢价，资本公积中的股本溢价不足冲减的，</w:t>
      </w:r>
      <w:r>
        <w:rPr>
          <w:spacing w:val="99"/>
          <w:w w:val="95"/>
        </w:rPr>
        <w:t> </w:t>
      </w:r>
      <w:r>
        <w:rPr>
          <w:spacing w:val="99"/>
          <w:w w:val="95"/>
        </w:rPr>
      </w:r>
      <w:r>
        <w:rPr/>
        <w:t>调整留存收益。</w:t>
      </w:r>
    </w:p>
    <w:p>
      <w:pPr>
        <w:spacing w:line="345" w:lineRule="auto" w:before="35"/>
        <w:ind w:left="542" w:right="6202" w:hanging="425"/>
        <w:jc w:val="left"/>
        <w:rPr>
          <w:rFonts w:ascii="宋体" w:hAnsi="宋体" w:cs="宋体" w:eastAsia="宋体" w:hint="default"/>
          <w:sz w:val="21"/>
          <w:szCs w:val="21"/>
        </w:rPr>
      </w:pPr>
      <w:bookmarkStart w:name="7、合营安排分类及共同经营会计处理方法" w:id="179"/>
      <w:bookmarkEnd w:id="179"/>
      <w:r>
        <w:rPr/>
      </w:r>
      <w:r>
        <w:rPr>
          <w:rFonts w:ascii="Times New Roman" w:hAnsi="Times New Roman" w:cs="Times New Roman" w:eastAsia="Times New Roman" w:hint="default"/>
          <w:b/>
          <w:bCs/>
          <w:w w:val="95"/>
          <w:sz w:val="18"/>
          <w:szCs w:val="18"/>
        </w:rPr>
        <w:t>7</w:t>
      </w:r>
      <w:r>
        <w:rPr>
          <w:rFonts w:ascii="宋体" w:hAnsi="宋体" w:cs="宋体" w:eastAsia="宋体" w:hint="default"/>
          <w:b/>
          <w:bCs/>
          <w:w w:val="95"/>
          <w:sz w:val="21"/>
          <w:szCs w:val="21"/>
        </w:rPr>
        <w:t>、合营安排分类及共同经营会计处理方法</w:t>
      </w:r>
      <w:r>
        <w:rPr>
          <w:rFonts w:ascii="宋体" w:hAnsi="宋体" w:cs="宋体" w:eastAsia="宋体" w:hint="default"/>
          <w:b/>
          <w:bCs/>
          <w:spacing w:val="83"/>
          <w:w w:val="95"/>
          <w:sz w:val="21"/>
          <w:szCs w:val="21"/>
        </w:rPr>
        <w:t> </w:t>
      </w:r>
      <w:r>
        <w:rPr>
          <w:rFonts w:ascii="宋体" w:hAnsi="宋体" w:cs="宋体" w:eastAsia="宋体" w:hint="default"/>
          <w:b/>
          <w:bCs/>
          <w:spacing w:val="83"/>
          <w:w w:val="95"/>
          <w:sz w:val="21"/>
          <w:szCs w:val="21"/>
        </w:rPr>
      </w:r>
      <w:r>
        <w:rPr>
          <w:rFonts w:ascii="宋体" w:hAnsi="宋体" w:cs="宋体" w:eastAsia="宋体" w:hint="default"/>
          <w:sz w:val="21"/>
          <w:szCs w:val="21"/>
        </w:rPr>
        <w:t>合营安排分为共同经营和合营企业。</w:t>
      </w:r>
    </w:p>
    <w:p>
      <w:pPr>
        <w:pStyle w:val="Heading4"/>
        <w:spacing w:line="355" w:lineRule="auto" w:before="40"/>
        <w:ind w:right="1603" w:firstLine="424"/>
        <w:jc w:val="left"/>
      </w:pPr>
      <w:r>
        <w:rPr>
          <w:spacing w:val="-2"/>
          <w:w w:val="95"/>
        </w:rPr>
        <w:t>当本公司是合营安排的合营方，享有该安排相关资产且承担该安排相关负债时，为共同</w:t>
      </w:r>
      <w:r>
        <w:rPr>
          <w:w w:val="99"/>
        </w:rPr>
        <w:t> </w:t>
      </w:r>
      <w:r>
        <w:rPr/>
        <w:t>经营。</w:t>
      </w:r>
    </w:p>
    <w:p>
      <w:pPr>
        <w:pStyle w:val="Heading4"/>
        <w:spacing w:line="355" w:lineRule="auto" w:before="34"/>
        <w:ind w:right="1603" w:firstLine="424"/>
        <w:jc w:val="left"/>
      </w:pPr>
      <w:r>
        <w:rPr>
          <w:spacing w:val="-2"/>
          <w:w w:val="99"/>
        </w:rPr>
        <w:t>本公司确认与共同经营中利益份额相关的下列项目，并按照相关企业会计准则的规定进</w:t>
      </w:r>
      <w:r>
        <w:rPr>
          <w:w w:val="99"/>
        </w:rPr>
        <w:t> </w:t>
      </w:r>
      <w:r>
        <w:rPr/>
        <w:t>行会计处理：</w:t>
      </w:r>
    </w:p>
    <w:p>
      <w:pPr>
        <w:pStyle w:val="Heading4"/>
        <w:spacing w:line="240" w:lineRule="auto"/>
        <w:ind w:left="542" w:right="1603"/>
        <w:jc w:val="left"/>
      </w:pPr>
      <w:r>
        <w:rPr/>
        <w:t>（</w:t>
      </w:r>
      <w:r>
        <w:rPr>
          <w:rFonts w:ascii="Times New Roman" w:hAnsi="Times New Roman" w:cs="Times New Roman" w:eastAsia="Times New Roman" w:hint="default"/>
        </w:rPr>
        <w:t>1</w:t>
      </w:r>
      <w:r>
        <w:rPr/>
        <w:t>）确认本公司单独所持有的资产，以及按本公司份额确认共同持有的资产。</w:t>
      </w:r>
    </w:p>
    <w:p>
      <w:pPr>
        <w:pStyle w:val="Heading4"/>
        <w:spacing w:line="240" w:lineRule="auto" w:before="117"/>
        <w:ind w:left="542" w:right="1603"/>
        <w:jc w:val="left"/>
      </w:pPr>
      <w:r>
        <w:rPr/>
        <w:t>（</w:t>
      </w:r>
      <w:r>
        <w:rPr>
          <w:rFonts w:ascii="Times New Roman" w:hAnsi="Times New Roman" w:cs="Times New Roman" w:eastAsia="Times New Roman" w:hint="default"/>
        </w:rPr>
        <w:t>2</w:t>
      </w:r>
      <w:r>
        <w:rPr/>
        <w:t>）确认本公司单独所承担的负债，以及按本公司份额确认共同承担的负债。</w:t>
      </w:r>
    </w:p>
    <w:p>
      <w:pPr>
        <w:pStyle w:val="Heading4"/>
        <w:spacing w:line="240" w:lineRule="auto" w:before="117"/>
        <w:ind w:left="542" w:right="1603"/>
        <w:jc w:val="left"/>
      </w:pPr>
      <w:r>
        <w:rPr/>
        <w:t>（</w:t>
      </w:r>
      <w:r>
        <w:rPr>
          <w:rFonts w:ascii="Times New Roman" w:hAnsi="Times New Roman" w:cs="Times New Roman" w:eastAsia="Times New Roman" w:hint="default"/>
        </w:rPr>
        <w:t>3</w:t>
      </w:r>
      <w:r>
        <w:rPr/>
        <w:t>）确认出售本公司享有的共同经营产出份额所产生的收入。</w:t>
      </w:r>
    </w:p>
    <w:p>
      <w:pPr>
        <w:pStyle w:val="Heading4"/>
        <w:spacing w:line="240" w:lineRule="auto" w:before="117"/>
        <w:ind w:left="542" w:right="1603"/>
        <w:jc w:val="left"/>
      </w:pPr>
      <w:r>
        <w:rPr/>
        <w:t>（</w:t>
      </w:r>
      <w:r>
        <w:rPr>
          <w:rFonts w:ascii="Times New Roman" w:hAnsi="Times New Roman" w:cs="Times New Roman" w:eastAsia="Times New Roman" w:hint="default"/>
        </w:rPr>
        <w:t>4</w:t>
      </w:r>
      <w:r>
        <w:rPr/>
        <w:t>）按本公司份额确认共同经营因出售产出所产生的收入。</w:t>
      </w:r>
    </w:p>
    <w:p>
      <w:pPr>
        <w:pStyle w:val="Heading4"/>
        <w:spacing w:line="336" w:lineRule="auto" w:before="119"/>
        <w:ind w:left="537" w:right="1603" w:firstLine="4"/>
        <w:jc w:val="left"/>
      </w:pPr>
      <w:r>
        <w:rPr>
          <w:w w:val="95"/>
        </w:rPr>
        <w:t>（</w:t>
      </w:r>
      <w:r>
        <w:rPr>
          <w:rFonts w:ascii="Times New Roman" w:hAnsi="Times New Roman" w:cs="Times New Roman" w:eastAsia="Times New Roman" w:hint="default"/>
          <w:w w:val="95"/>
        </w:rPr>
        <w:t>5</w:t>
      </w:r>
      <w:r>
        <w:rPr>
          <w:w w:val="95"/>
        </w:rPr>
        <w:t>）确认单独所发生的费用，以及按本公司份额确认共同经营发生的费用。</w:t>
      </w:r>
      <w:r>
        <w:rPr>
          <w:spacing w:val="28"/>
          <w:w w:val="95"/>
        </w:rPr>
        <w:t> </w:t>
      </w:r>
      <w:r>
        <w:rPr>
          <w:spacing w:val="28"/>
          <w:w w:val="95"/>
        </w:rPr>
      </w:r>
      <w:r>
        <w:rPr/>
        <w:t>本公司对合营企业投资的会计政策见本附注“五、</w:t>
      </w:r>
      <w:r>
        <w:rPr>
          <w:rFonts w:ascii="Times New Roman" w:hAnsi="Times New Roman" w:cs="Times New Roman" w:eastAsia="Times New Roman" w:hint="default"/>
        </w:rPr>
        <w:t>13</w:t>
      </w:r>
      <w:r>
        <w:rPr/>
        <w:t>长期股权投资”。</w:t>
      </w:r>
    </w:p>
    <w:p>
      <w:pPr>
        <w:spacing w:line="345" w:lineRule="auto" w:before="24"/>
        <w:ind w:left="537" w:right="1603" w:hanging="420"/>
        <w:jc w:val="left"/>
        <w:rPr>
          <w:rFonts w:ascii="宋体" w:hAnsi="宋体" w:cs="宋体" w:eastAsia="宋体" w:hint="default"/>
          <w:sz w:val="21"/>
          <w:szCs w:val="21"/>
        </w:rPr>
      </w:pPr>
      <w:bookmarkStart w:name="8、现金及现金等价物的确定标准" w:id="180"/>
      <w:bookmarkEnd w:id="180"/>
      <w:r>
        <w:rPr/>
      </w:r>
      <w:r>
        <w:rPr>
          <w:rFonts w:ascii="Times New Roman" w:hAnsi="Times New Roman" w:cs="Times New Roman" w:eastAsia="Times New Roman" w:hint="default"/>
          <w:b/>
          <w:bCs/>
          <w:sz w:val="18"/>
          <w:szCs w:val="18"/>
        </w:rPr>
        <w:t>8</w:t>
      </w:r>
      <w:r>
        <w:rPr>
          <w:rFonts w:ascii="宋体" w:hAnsi="宋体" w:cs="宋体" w:eastAsia="宋体" w:hint="default"/>
          <w:b/>
          <w:bCs/>
          <w:sz w:val="21"/>
          <w:szCs w:val="21"/>
        </w:rPr>
        <w:t>、现金及现金等价物的确定标准</w:t>
      </w:r>
      <w:r>
        <w:rPr>
          <w:rFonts w:ascii="宋体" w:hAnsi="宋体" w:cs="宋体" w:eastAsia="宋体" w:hint="default"/>
          <w:b/>
          <w:bCs/>
          <w:w w:val="99"/>
          <w:sz w:val="21"/>
          <w:szCs w:val="21"/>
        </w:rPr>
        <w:t> </w:t>
      </w:r>
      <w:r>
        <w:rPr>
          <w:rFonts w:ascii="宋体" w:hAnsi="宋体" w:cs="宋体" w:eastAsia="宋体" w:hint="default"/>
          <w:spacing w:val="-2"/>
          <w:w w:val="95"/>
          <w:sz w:val="21"/>
          <w:szCs w:val="21"/>
        </w:rPr>
        <w:t>在编制现金流量表时，将本公司库存现金以及可以随时用于支付的存款确认为现金。将</w:t>
      </w:r>
      <w:r>
        <w:rPr>
          <w:rFonts w:ascii="宋体" w:hAnsi="宋体" w:cs="宋体" w:eastAsia="宋体" w:hint="default"/>
          <w:spacing w:val="-2"/>
          <w:sz w:val="21"/>
          <w:szCs w:val="21"/>
        </w:rPr>
      </w:r>
    </w:p>
    <w:p>
      <w:pPr>
        <w:pStyle w:val="Heading4"/>
        <w:spacing w:line="355" w:lineRule="auto" w:before="43"/>
        <w:ind w:right="1603"/>
        <w:jc w:val="left"/>
      </w:pPr>
      <w:r>
        <w:rPr>
          <w:spacing w:val="-2"/>
          <w:w w:val="95"/>
        </w:rPr>
        <w:t>同时具备期限短（从购买日起三个月内到期）、流动性强、易于转换为已知现金、价值变动</w:t>
      </w:r>
      <w:r>
        <w:rPr>
          <w:spacing w:val="98"/>
          <w:w w:val="95"/>
        </w:rPr>
        <w:t> </w:t>
      </w:r>
      <w:r>
        <w:rPr>
          <w:spacing w:val="98"/>
          <w:w w:val="95"/>
        </w:rPr>
      </w:r>
      <w:r>
        <w:rPr/>
        <w:t>风险很小四个条件的投资，确定为现金等价物。</w:t>
      </w:r>
    </w:p>
    <w:p>
      <w:pPr>
        <w:pStyle w:val="Heading3"/>
        <w:spacing w:line="240" w:lineRule="auto" w:before="32"/>
        <w:ind w:left="117" w:right="1603"/>
        <w:jc w:val="left"/>
        <w:rPr>
          <w:b w:val="0"/>
          <w:bCs w:val="0"/>
        </w:rPr>
      </w:pPr>
      <w:bookmarkStart w:name="9、外币业务和外币报表折算" w:id="181"/>
      <w:bookmarkEnd w:id="181"/>
      <w:r>
        <w:rPr>
          <w:b w:val="0"/>
          <w:bCs w:val="0"/>
        </w:rPr>
      </w:r>
      <w:r>
        <w:rPr>
          <w:rFonts w:ascii="Times New Roman" w:hAnsi="Times New Roman" w:cs="Times New Roman" w:eastAsia="Times New Roman" w:hint="default"/>
          <w:sz w:val="18"/>
          <w:szCs w:val="18"/>
        </w:rPr>
        <w:t>9</w:t>
      </w:r>
      <w:r>
        <w:rPr/>
        <w:t>、外币业务和外币报表折算</w:t>
      </w:r>
      <w:r>
        <w:rPr>
          <w:b w:val="0"/>
          <w:bCs w:val="0"/>
        </w:rPr>
      </w:r>
    </w:p>
    <w:p>
      <w:pPr>
        <w:pStyle w:val="Heading4"/>
        <w:spacing w:line="345" w:lineRule="auto" w:before="123"/>
        <w:ind w:left="537" w:right="1789" w:hanging="106"/>
        <w:jc w:val="left"/>
      </w:pPr>
      <w:r>
        <w:rPr/>
        <w:t>（</w:t>
      </w:r>
      <w:r>
        <w:rPr>
          <w:rFonts w:ascii="Times New Roman" w:hAnsi="Times New Roman" w:cs="Times New Roman" w:eastAsia="Times New Roman" w:hint="default"/>
        </w:rPr>
        <w:t>1</w:t>
      </w:r>
      <w:r>
        <w:rPr/>
        <w:t>）外币业务</w:t>
      </w:r>
      <w:r>
        <w:rPr>
          <w:w w:val="99"/>
        </w:rPr>
        <w:t> </w:t>
      </w:r>
      <w:r>
        <w:rPr/>
        <w:t>外币业务采用交易发生日的即期汇率作为折算汇率将外币金额折合成人民币记账。</w:t>
      </w:r>
      <w:r>
        <w:rPr>
          <w:w w:val="99"/>
        </w:rPr>
        <w:t> </w:t>
      </w:r>
      <w:r>
        <w:rPr>
          <w:spacing w:val="3"/>
        </w:rPr>
        <w:t>资产负债表日外币货币性项目余额按资产负债表日即期汇率折算，由此产生的汇兑差</w:t>
      </w:r>
    </w:p>
    <w:p>
      <w:pPr>
        <w:pStyle w:val="Heading4"/>
        <w:spacing w:line="355" w:lineRule="auto" w:before="43"/>
        <w:ind w:right="1603"/>
        <w:jc w:val="left"/>
      </w:pPr>
      <w:r>
        <w:rPr>
          <w:spacing w:val="-2"/>
          <w:w w:val="99"/>
        </w:rPr>
        <w:t>额，除属于与购建符合资本化条件的资产相关的外币专门借款产生的汇兑差额按照借款费用</w:t>
      </w:r>
      <w:r>
        <w:rPr>
          <w:spacing w:val="-96"/>
          <w:w w:val="99"/>
        </w:rPr>
        <w:t> </w:t>
      </w:r>
      <w:r>
        <w:rPr>
          <w:spacing w:val="-96"/>
          <w:w w:val="99"/>
        </w:rPr>
      </w:r>
      <w:r>
        <w:rPr/>
        <w:t>资本化的原则处理外，均计入当期损益。</w:t>
      </w:r>
    </w:p>
    <w:p>
      <w:pPr>
        <w:pStyle w:val="Heading4"/>
        <w:spacing w:line="350" w:lineRule="auto"/>
        <w:ind w:right="1603" w:firstLine="314"/>
        <w:jc w:val="left"/>
      </w:pPr>
      <w:r>
        <w:rPr>
          <w:w w:val="95"/>
        </w:rPr>
        <w:t>（</w:t>
      </w:r>
      <w:r>
        <w:rPr>
          <w:rFonts w:ascii="Times New Roman" w:hAnsi="Times New Roman" w:cs="Times New Roman" w:eastAsia="Times New Roman" w:hint="default"/>
          <w:w w:val="95"/>
        </w:rPr>
        <w:t>2</w:t>
      </w:r>
      <w:r>
        <w:rPr>
          <w:w w:val="95"/>
        </w:rPr>
        <w:t>）外币财务报表的折算资产负债表中的资产和负债项目，采用资产负债表日的即期汇</w:t>
      </w:r>
      <w:r>
        <w:rPr>
          <w:w w:val="99"/>
        </w:rPr>
        <w:t> </w:t>
      </w:r>
      <w:r>
        <w:rPr>
          <w:w w:val="95"/>
        </w:rPr>
        <w:t>率折算；所有者权益项目除“未分配利润”项目外，其他项目采用发生时的即期汇率折算。</w:t>
      </w:r>
      <w:r>
        <w:rPr>
          <w:spacing w:val="98"/>
          <w:w w:val="95"/>
        </w:rPr>
        <w:t> </w:t>
      </w:r>
      <w:r>
        <w:rPr>
          <w:spacing w:val="98"/>
          <w:w w:val="95"/>
        </w:rPr>
      </w:r>
      <w:r>
        <w:rPr>
          <w:w w:val="95"/>
        </w:rPr>
        <w:t>利润表中的收入和费用项目，采用年度平均汇率折算。处置境外经营时，将与该境外经营相</w:t>
      </w:r>
      <w:r>
        <w:rPr>
          <w:spacing w:val="10"/>
          <w:w w:val="95"/>
        </w:rPr>
        <w:t> </w:t>
      </w:r>
      <w:r>
        <w:rPr>
          <w:spacing w:val="10"/>
          <w:w w:val="95"/>
        </w:rPr>
      </w:r>
      <w:r>
        <w:rPr/>
        <w:t>关的外币财务报表折算差额，自所有者权益项目转入处置当期损益。</w:t>
      </w:r>
    </w:p>
    <w:p>
      <w:pPr>
        <w:spacing w:before="36"/>
        <w:ind w:left="117" w:right="1603" w:firstLine="0"/>
        <w:jc w:val="left"/>
        <w:rPr>
          <w:rFonts w:ascii="宋体" w:hAnsi="宋体" w:cs="宋体" w:eastAsia="宋体" w:hint="default"/>
          <w:sz w:val="21"/>
          <w:szCs w:val="21"/>
        </w:rPr>
      </w:pPr>
      <w:bookmarkStart w:name="10、金融工具" w:id="182"/>
      <w:bookmarkEnd w:id="182"/>
      <w:r>
        <w:rPr/>
      </w:r>
      <w:r>
        <w:rPr>
          <w:rFonts w:ascii="Times New Roman" w:hAnsi="Times New Roman" w:cs="Times New Roman" w:eastAsia="Times New Roman" w:hint="default"/>
          <w:b/>
          <w:bCs/>
          <w:sz w:val="18"/>
          <w:szCs w:val="18"/>
        </w:rPr>
        <w:t>10</w:t>
      </w:r>
      <w:r>
        <w:rPr>
          <w:rFonts w:ascii="宋体" w:hAnsi="宋体" w:cs="宋体" w:eastAsia="宋体" w:hint="default"/>
          <w:b/>
          <w:bCs/>
          <w:sz w:val="21"/>
          <w:szCs w:val="21"/>
        </w:rPr>
        <w:t>、金融工具</w:t>
      </w:r>
      <w:r>
        <w:rPr>
          <w:rFonts w:ascii="宋体" w:hAnsi="宋体" w:cs="宋体" w:eastAsia="宋体" w:hint="default"/>
          <w:sz w:val="21"/>
          <w:szCs w:val="21"/>
        </w:rPr>
      </w:r>
    </w:p>
    <w:p>
      <w:pPr>
        <w:pStyle w:val="Heading4"/>
        <w:spacing w:line="240" w:lineRule="auto" w:before="126"/>
        <w:ind w:left="540" w:right="1603"/>
        <w:jc w:val="left"/>
      </w:pPr>
      <w:r>
        <w:rPr/>
        <w:t>金融工具包括金融资产、金融负债和权益工具。</w:t>
      </w:r>
    </w:p>
    <w:p>
      <w:pPr>
        <w:spacing w:after="0" w:line="240" w:lineRule="auto"/>
        <w:jc w:val="left"/>
        <w:sectPr>
          <w:pgSz w:w="11910" w:h="16840"/>
          <w:pgMar w:header="712" w:footer="1264" w:top="980" w:bottom="1460" w:left="1680" w:right="0"/>
        </w:sectPr>
      </w:pPr>
    </w:p>
    <w:p>
      <w:pPr>
        <w:spacing w:line="240" w:lineRule="auto" w:before="9"/>
        <w:rPr>
          <w:rFonts w:ascii="宋体" w:hAnsi="宋体" w:cs="宋体" w:eastAsia="宋体" w:hint="default"/>
          <w:sz w:val="29"/>
          <w:szCs w:val="29"/>
        </w:rPr>
      </w:pPr>
    </w:p>
    <w:p>
      <w:pPr>
        <w:pStyle w:val="Heading4"/>
        <w:spacing w:line="240" w:lineRule="auto" w:before="34"/>
        <w:ind w:left="540" w:right="1603"/>
        <w:jc w:val="left"/>
      </w:pPr>
      <w:r>
        <w:rPr/>
        <w:t>（</w:t>
      </w:r>
      <w:r>
        <w:rPr>
          <w:rFonts w:ascii="Times New Roman" w:hAnsi="Times New Roman" w:cs="Times New Roman" w:eastAsia="Times New Roman" w:hint="default"/>
        </w:rPr>
        <w:t>1</w:t>
      </w:r>
      <w:r>
        <w:rPr/>
        <w:t>）金融工具的分类</w:t>
      </w:r>
    </w:p>
    <w:p>
      <w:pPr>
        <w:pStyle w:val="Heading4"/>
        <w:spacing w:line="338" w:lineRule="auto" w:before="117"/>
        <w:ind w:left="537" w:right="1603" w:firstLine="2"/>
        <w:jc w:val="left"/>
      </w:pPr>
      <w:r>
        <w:rPr/>
        <w:t>自</w:t>
      </w:r>
      <w:r>
        <w:rPr>
          <w:spacing w:val="-51"/>
        </w:rPr>
        <w:t> </w:t>
      </w:r>
      <w:r>
        <w:rPr>
          <w:rFonts w:ascii="Times New Roman" w:hAnsi="Times New Roman" w:cs="Times New Roman" w:eastAsia="Times New Roman" w:hint="default"/>
        </w:rPr>
        <w:t>2019 </w:t>
      </w:r>
      <w:r>
        <w:rPr/>
        <w:t>年</w:t>
      </w:r>
      <w:r>
        <w:rPr>
          <w:spacing w:val="-54"/>
        </w:rPr>
        <w:t> </w:t>
      </w:r>
      <w:r>
        <w:rPr>
          <w:rFonts w:ascii="Times New Roman" w:hAnsi="Times New Roman" w:cs="Times New Roman" w:eastAsia="Times New Roman" w:hint="default"/>
        </w:rPr>
        <w:t>1 </w:t>
      </w:r>
      <w:r>
        <w:rPr/>
        <w:t>月</w:t>
      </w:r>
      <w:r>
        <w:rPr>
          <w:spacing w:val="-54"/>
        </w:rPr>
        <w:t> </w:t>
      </w:r>
      <w:r>
        <w:rPr>
          <w:rFonts w:ascii="Times New Roman" w:hAnsi="Times New Roman" w:cs="Times New Roman" w:eastAsia="Times New Roman" w:hint="default"/>
        </w:rPr>
        <w:t>1 </w:t>
      </w:r>
      <w:r>
        <w:rPr/>
        <w:t>日起适用的会计政策</w:t>
      </w:r>
      <w:r>
        <w:rPr>
          <w:w w:val="99"/>
        </w:rPr>
        <w:t> </w:t>
      </w:r>
      <w:r>
        <w:rPr>
          <w:spacing w:val="-2"/>
          <w:w w:val="99"/>
        </w:rPr>
        <w:t>根据本公司管理金融资产的业务模式和金融资产的合同现金流量特征，金融资产于初始</w:t>
      </w:r>
      <w:r>
        <w:rPr>
          <w:spacing w:val="-2"/>
        </w:rPr>
      </w:r>
    </w:p>
    <w:p>
      <w:pPr>
        <w:pStyle w:val="Heading4"/>
        <w:spacing w:line="355" w:lineRule="auto" w:before="47"/>
        <w:ind w:right="1796"/>
        <w:jc w:val="both"/>
      </w:pPr>
      <w:r>
        <w:rPr>
          <w:spacing w:val="-2"/>
          <w:w w:val="95"/>
        </w:rPr>
        <w:t>确认时分类为：以摊余成本计量的金融资产、以公允价值计量且其变动计入其他综合收益的</w:t>
      </w:r>
      <w:r>
        <w:rPr>
          <w:spacing w:val="92"/>
          <w:w w:val="95"/>
        </w:rPr>
        <w:t> </w:t>
      </w:r>
      <w:r>
        <w:rPr>
          <w:spacing w:val="92"/>
          <w:w w:val="95"/>
        </w:rPr>
      </w:r>
      <w:r>
        <w:rPr/>
        <w:t>金融资产（债务工具）和以公允价值计量且其变动计入当期损益的金融资产。</w:t>
      </w:r>
    </w:p>
    <w:p>
      <w:pPr>
        <w:pStyle w:val="Heading4"/>
        <w:spacing w:line="357" w:lineRule="auto"/>
        <w:ind w:right="1603" w:firstLine="422"/>
        <w:jc w:val="left"/>
      </w:pPr>
      <w:r>
        <w:rPr>
          <w:spacing w:val="3"/>
        </w:rPr>
        <w:t>业务模式是以收取合同现金流量为目标且合同现金流量仅为对本金和以未偿付本金金</w:t>
      </w:r>
      <w:r>
        <w:rPr>
          <w:w w:val="99"/>
        </w:rPr>
        <w:t> </w:t>
      </w:r>
      <w:r>
        <w:rPr/>
        <w:t>额为基础的利息的支付的，分类为以摊余成本计量的金融资产；业务模式既以收取合同现金</w:t>
      </w:r>
      <w:r>
        <w:rPr>
          <w:w w:val="99"/>
        </w:rPr>
        <w:t> </w:t>
      </w:r>
      <w:r>
        <w:rPr>
          <w:spacing w:val="3"/>
        </w:rPr>
        <w:t>流量又以出售该金融资产为目标且合同现金流量仅为对本金和以未偿付本金金额为基础的</w:t>
      </w:r>
      <w:r>
        <w:rPr>
          <w:w w:val="99"/>
        </w:rPr>
        <w:t> </w:t>
      </w:r>
      <w:r>
        <w:rPr>
          <w:spacing w:val="-3"/>
        </w:rPr>
        <w:t>利息的支付的，分类为以公允价值计量且其变动计入其他综合收益的金融资产（债务工具）；</w:t>
      </w:r>
      <w:r>
        <w:rPr>
          <w:w w:val="99"/>
        </w:rPr>
        <w:t> </w:t>
      </w:r>
      <w:r>
        <w:rPr/>
        <w:t>除此之外的其他金融资产，分类为以公允价值计量且其变动计入当期损益的金融资产。</w:t>
      </w:r>
    </w:p>
    <w:p>
      <w:pPr>
        <w:pStyle w:val="Heading4"/>
        <w:spacing w:line="355" w:lineRule="auto"/>
        <w:ind w:right="1709" w:firstLine="422"/>
        <w:jc w:val="both"/>
      </w:pPr>
      <w:r>
        <w:rPr>
          <w:spacing w:val="-2"/>
          <w:w w:val="99"/>
        </w:rPr>
        <w:t>对于非交易性权益工具投资，本公司在初始确认时确定是否将其指定为以公允价值计量</w:t>
      </w:r>
      <w:r>
        <w:rPr>
          <w:w w:val="99"/>
        </w:rPr>
        <w:t> </w:t>
      </w:r>
      <w:r>
        <w:rPr>
          <w:w w:val="95"/>
        </w:rPr>
        <w:t>且其变动计入其他综合收益的金融资产（权益工具）。在初始确认时，为了能够消除或显著</w:t>
      </w:r>
      <w:r>
        <w:rPr>
          <w:spacing w:val="13"/>
          <w:w w:val="95"/>
        </w:rPr>
        <w:t> </w:t>
      </w:r>
      <w:r>
        <w:rPr>
          <w:spacing w:val="13"/>
          <w:w w:val="95"/>
        </w:rPr>
      </w:r>
      <w:r>
        <w:rPr>
          <w:w w:val="95"/>
        </w:rPr>
        <w:t>减少会计错配，可以将金融资产指定为以公允价值计量且其变动计入当期损益的金融资产。</w:t>
      </w:r>
      <w:r>
        <w:rPr/>
      </w:r>
    </w:p>
    <w:p>
      <w:pPr>
        <w:pStyle w:val="Heading4"/>
        <w:spacing w:line="355" w:lineRule="auto"/>
        <w:ind w:right="1798" w:firstLine="422"/>
        <w:jc w:val="both"/>
      </w:pPr>
      <w:r>
        <w:rPr>
          <w:spacing w:val="-2"/>
          <w:w w:val="99"/>
        </w:rPr>
        <w:t>金融负债于初始确认时分类为：以公允价值计量且其变动计入当期损益的金融负债和以</w:t>
      </w:r>
      <w:r>
        <w:rPr>
          <w:w w:val="99"/>
        </w:rPr>
        <w:t> </w:t>
      </w:r>
      <w:r>
        <w:rPr/>
        <w:t>摊余成本计量的金融负债。</w:t>
      </w:r>
    </w:p>
    <w:p>
      <w:pPr>
        <w:pStyle w:val="Heading4"/>
        <w:spacing w:line="357" w:lineRule="auto"/>
        <w:ind w:right="1796" w:firstLine="422"/>
        <w:jc w:val="both"/>
      </w:pPr>
      <w:r>
        <w:rPr>
          <w:spacing w:val="3"/>
        </w:rPr>
        <w:t>符合以下条件之一的金融负债可在初始计量时指定为以公允价值计量且其变动计入当</w:t>
      </w:r>
      <w:r>
        <w:rPr>
          <w:w w:val="99"/>
        </w:rPr>
        <w:t> </w:t>
      </w:r>
      <w:r>
        <w:rPr/>
        <w:t>期损益的金融负债：</w:t>
      </w:r>
    </w:p>
    <w:p>
      <w:pPr>
        <w:pStyle w:val="Heading4"/>
        <w:spacing w:line="240" w:lineRule="auto" w:before="30"/>
        <w:ind w:left="540" w:right="1603"/>
        <w:jc w:val="left"/>
      </w:pPr>
      <w:r>
        <w:rPr>
          <w:rFonts w:ascii="Times New Roman" w:hAnsi="Times New Roman" w:cs="Times New Roman" w:eastAsia="Times New Roman" w:hint="default"/>
        </w:rPr>
        <w:t>1</w:t>
      </w:r>
      <w:r>
        <w:rPr/>
        <w:t>）该项指定能够消除或显著减少会计错配。</w:t>
      </w:r>
    </w:p>
    <w:p>
      <w:pPr>
        <w:pStyle w:val="Heading4"/>
        <w:spacing w:line="348" w:lineRule="auto" w:before="117"/>
        <w:ind w:right="1796" w:firstLine="422"/>
        <w:jc w:val="both"/>
      </w:pPr>
      <w:r>
        <w:rPr>
          <w:rFonts w:ascii="Times New Roman" w:hAnsi="Times New Roman" w:cs="Times New Roman" w:eastAsia="Times New Roman" w:hint="default"/>
        </w:rPr>
        <w:t>2</w:t>
      </w:r>
      <w:r>
        <w:rPr/>
        <w:t>）根据正式书面文件载明的企业风险管理或投资策略，以公允价值为基础对金融负债</w:t>
      </w:r>
      <w:r>
        <w:rPr>
          <w:w w:val="99"/>
        </w:rPr>
        <w:t> </w:t>
      </w:r>
      <w:r>
        <w:rPr>
          <w:spacing w:val="-2"/>
          <w:w w:val="99"/>
        </w:rPr>
        <w:t>组合或金融资产和金融负债组合进行管理和业绩评价，并在企业内部以此为基础向关键管理</w:t>
      </w:r>
      <w:r>
        <w:rPr>
          <w:spacing w:val="-96"/>
          <w:w w:val="99"/>
        </w:rPr>
        <w:t> </w:t>
      </w:r>
      <w:r>
        <w:rPr>
          <w:spacing w:val="-96"/>
          <w:w w:val="99"/>
        </w:rPr>
      </w:r>
      <w:r>
        <w:rPr/>
        <w:t>人员报告。</w:t>
      </w:r>
    </w:p>
    <w:p>
      <w:pPr>
        <w:pStyle w:val="Heading4"/>
        <w:spacing w:line="240" w:lineRule="auto" w:before="38"/>
        <w:ind w:left="540" w:right="1603"/>
        <w:jc w:val="left"/>
      </w:pPr>
      <w:r>
        <w:rPr>
          <w:rFonts w:ascii="Times New Roman" w:hAnsi="Times New Roman" w:cs="Times New Roman" w:eastAsia="Times New Roman" w:hint="default"/>
        </w:rPr>
        <w:t>3</w:t>
      </w:r>
      <w:r>
        <w:rPr/>
        <w:t>）该金融负债包含需单独分拆的嵌入衍生工具。</w:t>
      </w:r>
    </w:p>
    <w:p>
      <w:pPr>
        <w:pStyle w:val="Heading4"/>
        <w:spacing w:line="336" w:lineRule="auto" w:before="117"/>
        <w:ind w:left="540" w:right="1603"/>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日前适用的会计政策</w:t>
      </w:r>
      <w:r>
        <w:rPr>
          <w:w w:val="99"/>
        </w:rPr>
        <w:t> </w:t>
      </w:r>
      <w:r>
        <w:rPr>
          <w:spacing w:val="-2"/>
          <w:w w:val="99"/>
        </w:rPr>
        <w:t>金融资产和金融负债于初始确认时分类为：以公允价值计量且其变动计入当期损益的金</w:t>
      </w:r>
      <w:r>
        <w:rPr>
          <w:spacing w:val="-2"/>
        </w:rPr>
      </w:r>
    </w:p>
    <w:p>
      <w:pPr>
        <w:pStyle w:val="Heading4"/>
        <w:spacing w:line="357" w:lineRule="auto" w:before="49"/>
        <w:ind w:right="1797"/>
        <w:jc w:val="both"/>
      </w:pPr>
      <w:r>
        <w:rPr>
          <w:spacing w:val="-2"/>
          <w:w w:val="99"/>
        </w:rPr>
        <w:t>融资产或金融负债，包括交易性金融资产或金融负债和直接指定为以公允价值计量且其变动</w:t>
      </w:r>
      <w:r>
        <w:rPr>
          <w:spacing w:val="-93"/>
          <w:w w:val="99"/>
        </w:rPr>
        <w:t> </w:t>
      </w:r>
      <w:r>
        <w:rPr>
          <w:spacing w:val="-93"/>
          <w:w w:val="99"/>
        </w:rPr>
      </w:r>
      <w:r>
        <w:rPr>
          <w:spacing w:val="-2"/>
          <w:w w:val="95"/>
        </w:rPr>
        <w:t>计入当期损益的金融资产或金融负债；持有至到期投资；应收款项；可供出售金融资产；其</w:t>
      </w:r>
      <w:r>
        <w:rPr>
          <w:spacing w:val="93"/>
          <w:w w:val="95"/>
        </w:rPr>
        <w:t> </w:t>
      </w:r>
      <w:r>
        <w:rPr>
          <w:spacing w:val="93"/>
          <w:w w:val="95"/>
        </w:rPr>
      </w:r>
      <w:r>
        <w:rPr/>
        <w:t>他金融负债等。</w:t>
      </w:r>
    </w:p>
    <w:p>
      <w:pPr>
        <w:pStyle w:val="Heading4"/>
        <w:spacing w:line="336" w:lineRule="auto" w:before="30"/>
        <w:ind w:left="540" w:right="6202"/>
        <w:jc w:val="left"/>
      </w:pPr>
      <w:r>
        <w:rPr/>
        <w:t>（</w:t>
      </w:r>
      <w:r>
        <w:rPr>
          <w:rFonts w:ascii="Times New Roman" w:hAnsi="Times New Roman" w:cs="Times New Roman" w:eastAsia="Times New Roman" w:hint="default"/>
        </w:rPr>
        <w:t>2</w:t>
      </w:r>
      <w:r>
        <w:rPr/>
        <w:t>）金融工具的确认依据和计量方法</w:t>
      </w:r>
      <w:r>
        <w:rPr>
          <w:w w:val="99"/>
        </w:rPr>
        <w:t> </w:t>
      </w:r>
      <w:r>
        <w:rPr/>
        <w:t>自</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日起适用的会计政策</w:t>
      </w:r>
    </w:p>
    <w:p>
      <w:pPr>
        <w:pStyle w:val="Heading4"/>
        <w:spacing w:line="357" w:lineRule="auto" w:before="24"/>
        <w:ind w:left="540" w:right="1603"/>
        <w:jc w:val="left"/>
      </w:pPr>
      <w:r>
        <w:rPr/>
        <w:t>①以摊余成本计量的金融资产</w:t>
      </w:r>
      <w:r>
        <w:rPr>
          <w:w w:val="99"/>
        </w:rPr>
        <w:t> </w:t>
      </w:r>
      <w:r>
        <w:rPr>
          <w:spacing w:val="-2"/>
          <w:w w:val="95"/>
        </w:rPr>
        <w:t>以摊余成本计量的金融资产包括应收票据、应收账款、其他应收款、长期应收款、债权</w:t>
      </w:r>
      <w:r>
        <w:rPr>
          <w:spacing w:val="-2"/>
        </w:rPr>
      </w:r>
    </w:p>
    <w:p>
      <w:pPr>
        <w:pStyle w:val="Heading4"/>
        <w:spacing w:line="357" w:lineRule="auto" w:before="30"/>
        <w:ind w:right="1796"/>
        <w:jc w:val="both"/>
      </w:pPr>
      <w:r>
        <w:rPr>
          <w:spacing w:val="-2"/>
          <w:w w:val="95"/>
        </w:rPr>
        <w:t>投资等，按公允价值进行初始计量，相关交易费用计入初始确认金额；不包含重大融资成分</w:t>
      </w:r>
      <w:r>
        <w:rPr>
          <w:spacing w:val="92"/>
          <w:w w:val="95"/>
        </w:rPr>
        <w:t> </w:t>
      </w:r>
      <w:r>
        <w:rPr>
          <w:spacing w:val="92"/>
          <w:w w:val="95"/>
        </w:rPr>
      </w:r>
      <w:r>
        <w:rPr>
          <w:spacing w:val="-2"/>
          <w:w w:val="99"/>
        </w:rPr>
        <w:t>的应收账款以及本公司决定不考虑不超过一年的融资成分的应收账款，以合同交易价格进行</w:t>
      </w:r>
      <w:r>
        <w:rPr>
          <w:spacing w:val="-93"/>
          <w:w w:val="99"/>
        </w:rPr>
        <w:t> </w:t>
      </w:r>
      <w:r>
        <w:rPr>
          <w:spacing w:val="-93"/>
          <w:w w:val="99"/>
        </w:rPr>
      </w:r>
      <w:r>
        <w:rPr/>
        <w:t>初始计量。</w:t>
      </w:r>
    </w:p>
    <w:p>
      <w:pPr>
        <w:spacing w:after="0" w:line="357" w:lineRule="auto"/>
        <w:jc w:val="both"/>
        <w:sectPr>
          <w:pgSz w:w="11910" w:h="16840"/>
          <w:pgMar w:header="712" w:footer="1264" w:top="980" w:bottom="1460" w:left="1680" w:right="0"/>
        </w:sectPr>
      </w:pPr>
    </w:p>
    <w:p>
      <w:pPr>
        <w:spacing w:line="240" w:lineRule="auto" w:before="9"/>
        <w:rPr>
          <w:rFonts w:ascii="宋体" w:hAnsi="宋体" w:cs="宋体" w:eastAsia="宋体" w:hint="default"/>
          <w:sz w:val="29"/>
          <w:szCs w:val="29"/>
        </w:rPr>
      </w:pPr>
    </w:p>
    <w:p>
      <w:pPr>
        <w:pStyle w:val="Heading4"/>
        <w:spacing w:line="355" w:lineRule="auto" w:before="34"/>
        <w:ind w:left="540" w:right="1603"/>
        <w:jc w:val="left"/>
      </w:pPr>
      <w:r>
        <w:rPr/>
        <w:t>持有期间采用实际利率法计算的利息计入当期损益。</w:t>
      </w:r>
      <w:r>
        <w:rPr>
          <w:w w:val="99"/>
        </w:rPr>
        <w:t> </w:t>
      </w:r>
      <w:r>
        <w:rPr>
          <w:w w:val="95"/>
        </w:rPr>
        <w:t>收回或处置时，将取得的价款与该金融资产账面价值之间的差额计入当期损益。</w:t>
      </w:r>
      <w:r>
        <w:rPr/>
      </w:r>
    </w:p>
    <w:p>
      <w:pPr>
        <w:pStyle w:val="Heading4"/>
        <w:spacing w:line="355" w:lineRule="auto" w:before="34"/>
        <w:ind w:left="540" w:right="1603"/>
        <w:jc w:val="left"/>
      </w:pPr>
      <w:r>
        <w:rPr/>
        <w:t>②以公允价值计量且其变动计入其他综合收益的金融资产（债务工具）</w:t>
      </w:r>
      <w:r>
        <w:rPr>
          <w:w w:val="99"/>
        </w:rPr>
        <w:t> </w:t>
      </w:r>
      <w:r>
        <w:rPr>
          <w:spacing w:val="-5"/>
          <w:w w:val="99"/>
        </w:rPr>
        <w:t>以公允价值计量且其变动计入其他综合收益的金融资产（债务工具）包括应收款项融资、</w:t>
      </w:r>
      <w:r>
        <w:rPr>
          <w:spacing w:val="-5"/>
        </w:rPr>
      </w:r>
    </w:p>
    <w:p>
      <w:pPr>
        <w:pStyle w:val="Heading4"/>
        <w:spacing w:line="357" w:lineRule="auto"/>
        <w:ind w:right="1796"/>
        <w:jc w:val="both"/>
      </w:pPr>
      <w:r>
        <w:rPr>
          <w:spacing w:val="-2"/>
          <w:w w:val="95"/>
        </w:rPr>
        <w:t>其他债权投资等，按公允价值进行初始计量，相关交易费用计入初始确认金额。该金融资产</w:t>
      </w:r>
      <w:r>
        <w:rPr>
          <w:spacing w:val="92"/>
          <w:w w:val="95"/>
        </w:rPr>
        <w:t> </w:t>
      </w:r>
      <w:r>
        <w:rPr>
          <w:spacing w:val="92"/>
          <w:w w:val="95"/>
        </w:rPr>
      </w:r>
      <w:r>
        <w:rPr>
          <w:spacing w:val="-2"/>
          <w:w w:val="95"/>
        </w:rPr>
        <w:t>按公允价值进行后续计量，公允价值变动除采用实际利率法计算的利息、减值损失或利得和</w:t>
      </w:r>
      <w:r>
        <w:rPr>
          <w:spacing w:val="92"/>
          <w:w w:val="95"/>
        </w:rPr>
        <w:t> </w:t>
      </w:r>
      <w:r>
        <w:rPr>
          <w:spacing w:val="92"/>
          <w:w w:val="95"/>
        </w:rPr>
      </w:r>
      <w:r>
        <w:rPr/>
        <w:t>汇兑损益之外，均计入其他综合收益。</w:t>
      </w:r>
    </w:p>
    <w:p>
      <w:pPr>
        <w:pStyle w:val="Heading4"/>
        <w:spacing w:line="355" w:lineRule="auto" w:before="30"/>
        <w:ind w:right="1603" w:firstLine="422"/>
        <w:jc w:val="left"/>
      </w:pPr>
      <w:r>
        <w:rPr>
          <w:spacing w:val="-2"/>
          <w:w w:val="95"/>
        </w:rPr>
        <w:t>终止确认时，之前计入其他综合收益的累计利得或损失从其他综合收益中转出，计入当</w:t>
      </w:r>
      <w:r>
        <w:rPr>
          <w:w w:val="99"/>
        </w:rPr>
        <w:t> </w:t>
      </w:r>
      <w:r>
        <w:rPr/>
        <w:t>期损益。</w:t>
      </w:r>
    </w:p>
    <w:p>
      <w:pPr>
        <w:pStyle w:val="Heading4"/>
        <w:spacing w:line="357" w:lineRule="auto"/>
        <w:ind w:left="540" w:right="1603"/>
        <w:jc w:val="left"/>
      </w:pPr>
      <w:r>
        <w:rPr/>
        <w:t>③以公允价值计量且其变动计入其他综合收益的金融资产（权益工具）</w:t>
      </w:r>
      <w:r>
        <w:rPr>
          <w:w w:val="99"/>
        </w:rPr>
        <w:t> </w:t>
      </w:r>
      <w:r>
        <w:rPr>
          <w:spacing w:val="-2"/>
          <w:w w:val="95"/>
        </w:rPr>
        <w:t>以公允价值计量且其变动计入其他综合收益的金融资产（权益工具）包括其他权益工具</w:t>
      </w:r>
      <w:r>
        <w:rPr>
          <w:spacing w:val="-2"/>
        </w:rPr>
      </w:r>
    </w:p>
    <w:p>
      <w:pPr>
        <w:pStyle w:val="Heading4"/>
        <w:spacing w:line="355" w:lineRule="auto" w:before="30"/>
        <w:ind w:right="1796"/>
        <w:jc w:val="both"/>
      </w:pPr>
      <w:r>
        <w:rPr>
          <w:spacing w:val="-2"/>
          <w:w w:val="95"/>
        </w:rPr>
        <w:t>投资等，按公允价值进行初始计量，相关交易费用计入初始确认金额。该金融资产按公允价</w:t>
      </w:r>
      <w:r>
        <w:rPr>
          <w:spacing w:val="92"/>
          <w:w w:val="95"/>
        </w:rPr>
        <w:t> </w:t>
      </w:r>
      <w:r>
        <w:rPr>
          <w:spacing w:val="92"/>
          <w:w w:val="95"/>
        </w:rPr>
      </w:r>
      <w:r>
        <w:rPr/>
        <w:t>值进行后续计量，公允价值变动计入其他综合收益。取得的股利计入当期损益。</w:t>
      </w:r>
    </w:p>
    <w:p>
      <w:pPr>
        <w:pStyle w:val="Heading4"/>
        <w:spacing w:line="355" w:lineRule="auto"/>
        <w:ind w:right="1603" w:firstLine="422"/>
        <w:jc w:val="left"/>
      </w:pPr>
      <w:r>
        <w:rPr>
          <w:spacing w:val="-2"/>
          <w:w w:val="95"/>
        </w:rPr>
        <w:t>终止确认时，之前计入其他综合收益的累计利得或损失从其他综合收益中转出，计入留</w:t>
      </w:r>
      <w:r>
        <w:rPr>
          <w:w w:val="99"/>
        </w:rPr>
        <w:t> </w:t>
      </w:r>
      <w:r>
        <w:rPr/>
        <w:t>存收益。</w:t>
      </w:r>
    </w:p>
    <w:p>
      <w:pPr>
        <w:pStyle w:val="Heading4"/>
        <w:spacing w:line="357" w:lineRule="auto"/>
        <w:ind w:left="540" w:right="1786"/>
        <w:jc w:val="left"/>
      </w:pPr>
      <w:r>
        <w:rPr/>
        <w:t>④以公允价值计量且其变动计入当期损益的金融资产</w:t>
      </w:r>
      <w:r>
        <w:rPr>
          <w:w w:val="99"/>
        </w:rPr>
        <w:t> </w:t>
      </w:r>
      <w:r>
        <w:rPr>
          <w:spacing w:val="3"/>
        </w:rPr>
        <w:t>以公允价值计量且其变动计入当期损益的金融资产包括交易性金融资产、衍生金融资</w:t>
      </w:r>
    </w:p>
    <w:p>
      <w:pPr>
        <w:pStyle w:val="Heading4"/>
        <w:spacing w:line="355" w:lineRule="auto" w:before="30"/>
        <w:ind w:right="1796"/>
        <w:jc w:val="both"/>
      </w:pPr>
      <w:r>
        <w:rPr>
          <w:spacing w:val="-2"/>
          <w:w w:val="95"/>
        </w:rPr>
        <w:t>产、其他非流动金融资产等，按公允价值进行初始计量，相关交易费用计入当期损益。该金</w:t>
      </w:r>
      <w:r>
        <w:rPr>
          <w:spacing w:val="93"/>
          <w:w w:val="95"/>
        </w:rPr>
        <w:t> </w:t>
      </w:r>
      <w:r>
        <w:rPr>
          <w:spacing w:val="93"/>
          <w:w w:val="95"/>
        </w:rPr>
      </w:r>
      <w:r>
        <w:rPr/>
        <w:t>融资产按公允价值进行后续计量，公允价值变动计入当期损益。</w:t>
      </w:r>
    </w:p>
    <w:p>
      <w:pPr>
        <w:pStyle w:val="Heading4"/>
        <w:spacing w:line="357" w:lineRule="auto"/>
        <w:ind w:left="540" w:right="1603"/>
        <w:jc w:val="left"/>
      </w:pPr>
      <w:r>
        <w:rPr/>
        <w:t>⑤以公允价值计量且其变动计入当期损益的金融负债</w:t>
      </w:r>
      <w:r>
        <w:rPr>
          <w:w w:val="99"/>
        </w:rPr>
        <w:t> </w:t>
      </w:r>
      <w:r>
        <w:rPr>
          <w:spacing w:val="-2"/>
          <w:w w:val="99"/>
        </w:rPr>
        <w:t>以公允价值计量且其变动计入当期损益的金融负债包括交易性金融负债、衍生金融负债</w:t>
      </w:r>
      <w:r>
        <w:rPr>
          <w:spacing w:val="-2"/>
        </w:rPr>
      </w:r>
    </w:p>
    <w:p>
      <w:pPr>
        <w:pStyle w:val="Heading4"/>
        <w:spacing w:line="355" w:lineRule="auto" w:before="30"/>
        <w:ind w:right="1796"/>
        <w:jc w:val="both"/>
      </w:pPr>
      <w:r>
        <w:rPr>
          <w:spacing w:val="-2"/>
          <w:w w:val="95"/>
        </w:rPr>
        <w:t>等，按公允价值进行初始计量，相关交易费用计入当期损益。该金融负债按公允价值进行后</w:t>
      </w:r>
      <w:r>
        <w:rPr>
          <w:spacing w:val="92"/>
          <w:w w:val="95"/>
        </w:rPr>
        <w:t> </w:t>
      </w:r>
      <w:r>
        <w:rPr>
          <w:spacing w:val="92"/>
          <w:w w:val="95"/>
        </w:rPr>
      </w:r>
      <w:r>
        <w:rPr/>
        <w:t>续计量，公允价值变动计入当期损益。</w:t>
      </w:r>
    </w:p>
    <w:p>
      <w:pPr>
        <w:pStyle w:val="Heading4"/>
        <w:spacing w:line="240" w:lineRule="auto"/>
        <w:ind w:left="540" w:right="1603"/>
        <w:jc w:val="left"/>
      </w:pPr>
      <w:r>
        <w:rPr/>
        <w:t>终止确认时，其账面价值与支付的对价之间的差额计入当期损益。</w:t>
      </w:r>
    </w:p>
    <w:p>
      <w:pPr>
        <w:pStyle w:val="Heading4"/>
        <w:spacing w:line="355" w:lineRule="auto" w:before="133"/>
        <w:ind w:left="540" w:right="1603"/>
        <w:jc w:val="left"/>
      </w:pPr>
      <w:r>
        <w:rPr/>
        <w:t>⑥以摊余成本计量的金融负债</w:t>
      </w:r>
      <w:r>
        <w:rPr>
          <w:w w:val="99"/>
        </w:rPr>
        <w:t> </w:t>
      </w:r>
      <w:r>
        <w:rPr>
          <w:spacing w:val="-2"/>
          <w:w w:val="95"/>
        </w:rPr>
        <w:t>以摊余成本计量的金融负债包括短期借款、应付票据、应付账款、其他应付款、长期借</w:t>
      </w:r>
      <w:r>
        <w:rPr>
          <w:spacing w:val="-2"/>
        </w:rPr>
      </w:r>
    </w:p>
    <w:p>
      <w:pPr>
        <w:pStyle w:val="Heading4"/>
        <w:spacing w:line="355" w:lineRule="auto" w:before="34"/>
        <w:ind w:left="540" w:right="1603" w:hanging="423"/>
        <w:jc w:val="left"/>
      </w:pPr>
      <w:r>
        <w:rPr>
          <w:w w:val="95"/>
        </w:rPr>
        <w:t>款、应付债券、长期应付款，按公允价值进行初始计量，相关交易费用计入初始确认金额。</w:t>
      </w:r>
      <w:r>
        <w:rPr>
          <w:spacing w:val="99"/>
          <w:w w:val="95"/>
        </w:rPr>
        <w:t> </w:t>
      </w:r>
      <w:r>
        <w:rPr>
          <w:spacing w:val="99"/>
          <w:w w:val="95"/>
        </w:rPr>
      </w:r>
      <w:r>
        <w:rPr/>
        <w:t>持有期间采用实际利率法计算的利息计入当期损益。</w:t>
      </w:r>
      <w:r>
        <w:rPr>
          <w:w w:val="99"/>
        </w:rPr>
        <w:t> </w:t>
      </w:r>
      <w:r>
        <w:rPr/>
        <w:t>终止确认时，将支付的对价与该金融负债账面价值之间的差额计入当期损益。</w:t>
      </w:r>
      <w:r>
        <w:rPr>
          <w:w w:val="99"/>
        </w:rPr>
        <w:t> </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日前适用的会计政策</w:t>
      </w:r>
    </w:p>
    <w:p>
      <w:pPr>
        <w:pStyle w:val="Heading4"/>
        <w:spacing w:line="355" w:lineRule="auto" w:before="8"/>
        <w:ind w:left="540" w:right="1603"/>
        <w:jc w:val="left"/>
      </w:pPr>
      <w:r>
        <w:rPr/>
        <w:t>①以公允价值计量且其变动计入当期损益的金融资产（金融负债）</w:t>
      </w:r>
      <w:r>
        <w:rPr>
          <w:w w:val="99"/>
        </w:rPr>
        <w:t> </w:t>
      </w:r>
      <w:r>
        <w:rPr>
          <w:spacing w:val="-2"/>
          <w:w w:val="99"/>
        </w:rPr>
        <w:t>取得时以公允价值（扣除已宣告但尚未发放的现金股利或已到付息期但尚未领取的债券</w:t>
      </w:r>
      <w:r>
        <w:rPr>
          <w:spacing w:val="-2"/>
        </w:rPr>
      </w:r>
    </w:p>
    <w:p>
      <w:pPr>
        <w:pStyle w:val="Heading4"/>
        <w:spacing w:line="357" w:lineRule="auto"/>
        <w:ind w:left="540" w:right="1786" w:hanging="423"/>
        <w:jc w:val="left"/>
      </w:pPr>
      <w:r>
        <w:rPr/>
        <w:t>利息）作为初始确认金额，相关的交易费用计入当期损益。</w:t>
      </w:r>
      <w:r>
        <w:rPr>
          <w:w w:val="99"/>
        </w:rPr>
        <w:t> </w:t>
      </w:r>
      <w:r>
        <w:rPr>
          <w:spacing w:val="3"/>
        </w:rPr>
        <w:t>持有期间将取得的利息或现金股利确认为投资收益，期末将公允价值变动计入当期损</w:t>
      </w:r>
    </w:p>
    <w:p>
      <w:pPr>
        <w:spacing w:after="0" w:line="357" w:lineRule="auto"/>
        <w:jc w:val="left"/>
        <w:sectPr>
          <w:pgSz w:w="11910" w:h="16840"/>
          <w:pgMar w:header="712" w:footer="1264" w:top="980" w:bottom="1460" w:left="1680" w:right="0"/>
        </w:sectPr>
      </w:pPr>
    </w:p>
    <w:p>
      <w:pPr>
        <w:spacing w:line="240" w:lineRule="auto" w:before="9"/>
        <w:rPr>
          <w:rFonts w:ascii="宋体" w:hAnsi="宋体" w:cs="宋体" w:eastAsia="宋体" w:hint="default"/>
          <w:sz w:val="29"/>
          <w:szCs w:val="29"/>
        </w:rPr>
      </w:pPr>
    </w:p>
    <w:p>
      <w:pPr>
        <w:pStyle w:val="Heading4"/>
        <w:spacing w:line="240" w:lineRule="auto" w:before="34"/>
        <w:ind w:right="1603"/>
        <w:jc w:val="left"/>
      </w:pPr>
      <w:r>
        <w:rPr/>
        <w:t>益。</w:t>
      </w:r>
    </w:p>
    <w:p>
      <w:pPr>
        <w:pStyle w:val="Heading4"/>
        <w:spacing w:line="240" w:lineRule="auto" w:before="133"/>
        <w:ind w:left="540" w:right="1603"/>
        <w:jc w:val="left"/>
      </w:pPr>
      <w:r>
        <w:rPr/>
        <w:t>处置时，其公允价值与初始入账金额之间的差额确认为投资收益，同时调整公允价值变</w:t>
      </w:r>
    </w:p>
    <w:p>
      <w:pPr>
        <w:spacing w:line="240" w:lineRule="auto" w:before="10"/>
        <w:rPr>
          <w:rFonts w:ascii="宋体" w:hAnsi="宋体" w:cs="宋体" w:eastAsia="宋体" w:hint="default"/>
          <w:sz w:val="7"/>
          <w:szCs w:val="7"/>
        </w:rPr>
      </w:pPr>
    </w:p>
    <w:p>
      <w:pPr>
        <w:pStyle w:val="Heading4"/>
        <w:spacing w:line="240" w:lineRule="auto" w:before="34"/>
        <w:ind w:right="1603"/>
        <w:jc w:val="left"/>
      </w:pPr>
      <w:r>
        <w:rPr/>
        <w:t>动损益。</w:t>
      </w:r>
    </w:p>
    <w:p>
      <w:pPr>
        <w:pStyle w:val="Heading4"/>
        <w:spacing w:line="355" w:lineRule="auto" w:before="133"/>
        <w:ind w:left="540" w:right="1603"/>
        <w:jc w:val="left"/>
      </w:pPr>
      <w:r>
        <w:rPr/>
        <w:t>②持有至到期投资</w:t>
      </w:r>
      <w:r>
        <w:rPr>
          <w:w w:val="99"/>
        </w:rPr>
        <w:t> </w:t>
      </w:r>
      <w:r>
        <w:rPr>
          <w:spacing w:val="-2"/>
          <w:w w:val="95"/>
        </w:rPr>
        <w:t>取得时按公允价值（扣除已到付息期但尚未领取的债券利息）和相关交易费用之和作为</w:t>
      </w:r>
      <w:r>
        <w:rPr>
          <w:spacing w:val="-2"/>
        </w:rPr>
      </w:r>
    </w:p>
    <w:p>
      <w:pPr>
        <w:pStyle w:val="Heading4"/>
        <w:spacing w:line="357" w:lineRule="auto"/>
        <w:ind w:left="540" w:right="1603" w:hanging="423"/>
        <w:jc w:val="left"/>
      </w:pPr>
      <w:r>
        <w:rPr/>
        <w:t>初始确认金额。</w:t>
      </w:r>
      <w:r>
        <w:rPr>
          <w:w w:val="99"/>
        </w:rPr>
        <w:t> </w:t>
      </w:r>
      <w:r>
        <w:rPr>
          <w:spacing w:val="-2"/>
          <w:w w:val="95"/>
        </w:rPr>
        <w:t>持有期间按照摊余成本和实际利率（提示：如实际利率与票面利率差别较小的，按票面</w:t>
      </w:r>
      <w:r>
        <w:rPr>
          <w:spacing w:val="-2"/>
        </w:rPr>
      </w:r>
    </w:p>
    <w:p>
      <w:pPr>
        <w:pStyle w:val="Heading4"/>
        <w:spacing w:line="355" w:lineRule="auto" w:before="30"/>
        <w:ind w:right="1796"/>
        <w:jc w:val="both"/>
      </w:pPr>
      <w:r>
        <w:rPr>
          <w:spacing w:val="-2"/>
          <w:w w:val="95"/>
        </w:rPr>
        <w:t>利率）计算确认利息收入，计入投资收益。实际利率在取得时确定，在该预期存续期间或适</w:t>
      </w:r>
      <w:r>
        <w:rPr>
          <w:spacing w:val="93"/>
          <w:w w:val="95"/>
        </w:rPr>
        <w:t> </w:t>
      </w:r>
      <w:r>
        <w:rPr>
          <w:spacing w:val="93"/>
          <w:w w:val="95"/>
        </w:rPr>
      </w:r>
      <w:r>
        <w:rPr/>
        <w:t>用的更短期间内保持不变。</w:t>
      </w:r>
    </w:p>
    <w:p>
      <w:pPr>
        <w:pStyle w:val="Heading4"/>
        <w:spacing w:line="240" w:lineRule="auto"/>
        <w:ind w:left="540" w:right="1603"/>
        <w:jc w:val="left"/>
      </w:pPr>
      <w:r>
        <w:rPr/>
        <w:t>处置时，将所取得价款与该投资账面价值之间的差额计入投资收益。</w:t>
      </w:r>
    </w:p>
    <w:p>
      <w:pPr>
        <w:pStyle w:val="Heading4"/>
        <w:spacing w:line="355" w:lineRule="auto" w:before="135"/>
        <w:ind w:left="540" w:right="1603"/>
        <w:jc w:val="left"/>
      </w:pPr>
      <w:r>
        <w:rPr/>
        <w:t>③应收款项</w:t>
      </w:r>
      <w:r>
        <w:rPr>
          <w:w w:val="99"/>
        </w:rPr>
        <w:t> </w:t>
      </w:r>
      <w:r>
        <w:rPr>
          <w:spacing w:val="-2"/>
          <w:w w:val="99"/>
        </w:rPr>
        <w:t>公司对外销售商品或提供劳务形成的应收债权，以及公司持有的其他企业的不包括在活</w:t>
      </w:r>
      <w:r>
        <w:rPr>
          <w:spacing w:val="-2"/>
        </w:rPr>
      </w:r>
    </w:p>
    <w:p>
      <w:pPr>
        <w:pStyle w:val="Heading4"/>
        <w:spacing w:line="355" w:lineRule="auto"/>
        <w:ind w:right="1798"/>
        <w:jc w:val="both"/>
      </w:pPr>
      <w:r>
        <w:rPr>
          <w:spacing w:val="-2"/>
          <w:w w:val="95"/>
        </w:rPr>
        <w:t>跃市场上有报价的债务工具的债权，包括应收账款、其他应收款等，以向购货方应收的合同</w:t>
      </w:r>
      <w:r>
        <w:rPr>
          <w:spacing w:val="90"/>
          <w:w w:val="95"/>
        </w:rPr>
        <w:t> </w:t>
      </w:r>
      <w:r>
        <w:rPr>
          <w:spacing w:val="90"/>
          <w:w w:val="95"/>
        </w:rPr>
      </w:r>
      <w:r>
        <w:rPr/>
        <w:t>或协议价款作为初始确认金额；具有融资性质的，按其现值进行初始确认。</w:t>
      </w:r>
    </w:p>
    <w:p>
      <w:pPr>
        <w:pStyle w:val="Heading4"/>
        <w:spacing w:line="240" w:lineRule="auto"/>
        <w:ind w:left="540" w:right="1603"/>
        <w:jc w:val="left"/>
      </w:pPr>
      <w:r>
        <w:rPr/>
        <w:t>收回或处置时，将取得的价款与该应收款项账面价值之间的差额计入当期损益。</w:t>
      </w:r>
    </w:p>
    <w:p>
      <w:pPr>
        <w:pStyle w:val="Heading4"/>
        <w:spacing w:line="357" w:lineRule="auto" w:before="133"/>
        <w:ind w:left="540" w:right="1603"/>
        <w:jc w:val="left"/>
      </w:pPr>
      <w:r>
        <w:rPr/>
        <w:t>④可供出售金融资产</w:t>
      </w:r>
      <w:r>
        <w:rPr>
          <w:w w:val="99"/>
        </w:rPr>
        <w:t> </w:t>
      </w:r>
      <w:r>
        <w:rPr>
          <w:spacing w:val="-2"/>
          <w:w w:val="99"/>
        </w:rPr>
        <w:t>取得时按公允价值（扣除已宣告但尚未发放的现金股利或已到付息期但尚未领取的债券</w:t>
      </w:r>
      <w:r>
        <w:rPr>
          <w:spacing w:val="-2"/>
        </w:rPr>
      </w:r>
    </w:p>
    <w:p>
      <w:pPr>
        <w:pStyle w:val="Heading4"/>
        <w:spacing w:line="355" w:lineRule="auto" w:before="30"/>
        <w:ind w:left="540" w:right="1603" w:hanging="423"/>
        <w:jc w:val="left"/>
      </w:pPr>
      <w:r>
        <w:rPr/>
        <w:t>利息）和相关交易费用之和作为初始确认金额。</w:t>
      </w:r>
      <w:r>
        <w:rPr>
          <w:w w:val="99"/>
        </w:rPr>
        <w:t> </w:t>
      </w:r>
      <w:r>
        <w:rPr>
          <w:spacing w:val="-2"/>
          <w:w w:val="99"/>
        </w:rPr>
        <w:t>持有期间将取得的利息或现金股利确认为投资收益。期末以公允价值计量且将公允价值</w:t>
      </w:r>
      <w:r>
        <w:rPr>
          <w:spacing w:val="-2"/>
        </w:rPr>
      </w:r>
    </w:p>
    <w:p>
      <w:pPr>
        <w:pStyle w:val="Heading4"/>
        <w:spacing w:line="357" w:lineRule="auto"/>
        <w:ind w:right="1796"/>
        <w:jc w:val="both"/>
      </w:pPr>
      <w:r>
        <w:rPr>
          <w:spacing w:val="-2"/>
          <w:w w:val="95"/>
        </w:rPr>
        <w:t>变动计入其他综合收益。但是，在活跃市场中没有报价且其公允价值不能可靠计量的权益工</w:t>
      </w:r>
      <w:r>
        <w:rPr>
          <w:spacing w:val="92"/>
          <w:w w:val="95"/>
        </w:rPr>
        <w:t> </w:t>
      </w:r>
      <w:r>
        <w:rPr>
          <w:spacing w:val="92"/>
          <w:w w:val="95"/>
        </w:rPr>
      </w:r>
      <w:r>
        <w:rPr>
          <w:spacing w:val="-2"/>
          <w:w w:val="95"/>
        </w:rPr>
        <w:t>具投资，以及与该权益工具挂钩并须通过交付该权益工具结算的衍生金融资产，按照成本计</w:t>
      </w:r>
      <w:r>
        <w:rPr>
          <w:w w:val="95"/>
        </w:rPr>
        <w:t>  </w:t>
      </w:r>
      <w:r>
        <w:rPr>
          <w:spacing w:val="92"/>
          <w:w w:val="95"/>
        </w:rPr>
        <w:t> </w:t>
      </w:r>
      <w:r>
        <w:rPr>
          <w:spacing w:val="92"/>
          <w:w w:val="95"/>
        </w:rPr>
      </w:r>
      <w:r>
        <w:rPr/>
        <w:t>量。</w:t>
      </w:r>
    </w:p>
    <w:p>
      <w:pPr>
        <w:pStyle w:val="Heading4"/>
        <w:spacing w:line="355" w:lineRule="auto" w:before="30"/>
        <w:ind w:right="1603" w:firstLine="422"/>
        <w:jc w:val="left"/>
      </w:pPr>
      <w:r>
        <w:rPr>
          <w:spacing w:val="-2"/>
          <w:w w:val="95"/>
        </w:rPr>
        <w:t>处置时，将取得的价款与该金融资产账面价值之间的差额，计入投资损益；同时，将原</w:t>
      </w:r>
      <w:r>
        <w:rPr>
          <w:w w:val="99"/>
        </w:rPr>
        <w:t> </w:t>
      </w:r>
      <w:r>
        <w:rPr/>
        <w:t>直接计入其他综合收益的公允价值变动累计额对应处置部分的金额转出，计入当期损益。</w:t>
      </w:r>
    </w:p>
    <w:p>
      <w:pPr>
        <w:pStyle w:val="Heading4"/>
        <w:spacing w:line="355" w:lineRule="auto"/>
        <w:ind w:left="540" w:right="1603"/>
        <w:jc w:val="left"/>
      </w:pPr>
      <w:r>
        <w:rPr/>
        <w:t>⑤其他金融负债</w:t>
      </w:r>
      <w:r>
        <w:rPr>
          <w:w w:val="99"/>
        </w:rPr>
        <w:t> </w:t>
      </w:r>
      <w:r>
        <w:rPr>
          <w:w w:val="95"/>
        </w:rPr>
        <w:t>按其公允价值和相关交易费用之和作为初始确认金额。采用摊余成本进行后续计量。</w:t>
      </w:r>
      <w:r>
        <w:rPr/>
      </w:r>
    </w:p>
    <w:p>
      <w:pPr>
        <w:pStyle w:val="Heading4"/>
        <w:spacing w:line="336" w:lineRule="auto" w:before="34"/>
        <w:ind w:left="540" w:right="1603"/>
        <w:jc w:val="left"/>
      </w:pPr>
      <w:r>
        <w:rPr/>
        <w:t>（</w:t>
      </w:r>
      <w:r>
        <w:rPr>
          <w:rFonts w:ascii="Times New Roman" w:hAnsi="Times New Roman" w:cs="Times New Roman" w:eastAsia="Times New Roman" w:hint="default"/>
        </w:rPr>
        <w:t>3</w:t>
      </w:r>
      <w:r>
        <w:rPr/>
        <w:t>）金融资产转移的确认依据和计量方法</w:t>
      </w:r>
      <w:r>
        <w:rPr>
          <w:w w:val="99"/>
        </w:rPr>
        <w:t> </w:t>
      </w:r>
      <w:r>
        <w:rPr>
          <w:spacing w:val="-2"/>
          <w:w w:val="99"/>
        </w:rPr>
        <w:t>公司发生金融资产转移时，如已将金融资产所有权上几乎所有的风险和报酬转移给转入</w:t>
      </w:r>
      <w:r>
        <w:rPr>
          <w:spacing w:val="-2"/>
        </w:rPr>
      </w:r>
    </w:p>
    <w:p>
      <w:pPr>
        <w:pStyle w:val="Heading4"/>
        <w:spacing w:line="355" w:lineRule="auto" w:before="49"/>
        <w:ind w:right="1603"/>
        <w:jc w:val="left"/>
      </w:pPr>
      <w:r>
        <w:rPr>
          <w:spacing w:val="-2"/>
          <w:w w:val="95"/>
        </w:rPr>
        <w:t>方，则终止确认该金融资产；如保留了金融资产所有权上几乎所有的风险和报酬的，则不终</w:t>
      </w:r>
      <w:r>
        <w:rPr>
          <w:spacing w:val="93"/>
          <w:w w:val="95"/>
        </w:rPr>
        <w:t> </w:t>
      </w:r>
      <w:r>
        <w:rPr>
          <w:spacing w:val="93"/>
          <w:w w:val="95"/>
        </w:rPr>
      </w:r>
      <w:r>
        <w:rPr/>
        <w:t>止确认该金融资产。</w:t>
      </w:r>
    </w:p>
    <w:p>
      <w:pPr>
        <w:pStyle w:val="Heading4"/>
        <w:spacing w:line="240" w:lineRule="auto" w:before="35"/>
        <w:ind w:left="540" w:right="1603"/>
        <w:jc w:val="left"/>
      </w:pPr>
      <w:r>
        <w:rPr>
          <w:spacing w:val="3"/>
        </w:rPr>
        <w:t>在判断金融资产转移是否满足上述金融资产终止确认条件时，采用实质重于形式的原</w:t>
      </w:r>
    </w:p>
    <w:p>
      <w:pPr>
        <w:pStyle w:val="Heading4"/>
        <w:spacing w:line="240" w:lineRule="auto" w:before="133"/>
        <w:ind w:right="1603"/>
        <w:jc w:val="left"/>
      </w:pPr>
      <w:r>
        <w:rPr/>
        <w:t>则。</w:t>
      </w:r>
    </w:p>
    <w:p>
      <w:pPr>
        <w:pStyle w:val="Heading4"/>
        <w:spacing w:line="240" w:lineRule="auto" w:before="133"/>
        <w:ind w:left="540" w:right="1603"/>
        <w:jc w:val="left"/>
      </w:pPr>
      <w:r>
        <w:rPr>
          <w:spacing w:val="-1"/>
          <w:w w:val="99"/>
        </w:rPr>
        <w:t>公</w:t>
      </w:r>
      <w:r>
        <w:rPr>
          <w:spacing w:val="2"/>
          <w:w w:val="99"/>
        </w:rPr>
        <w:t>司</w:t>
      </w:r>
      <w:r>
        <w:rPr>
          <w:spacing w:val="-1"/>
          <w:w w:val="99"/>
        </w:rPr>
        <w:t>将</w:t>
      </w:r>
      <w:r>
        <w:rPr>
          <w:spacing w:val="2"/>
          <w:w w:val="99"/>
        </w:rPr>
        <w:t>金</w:t>
      </w:r>
      <w:r>
        <w:rPr>
          <w:spacing w:val="-1"/>
          <w:w w:val="99"/>
        </w:rPr>
        <w:t>融</w:t>
      </w:r>
      <w:r>
        <w:rPr>
          <w:spacing w:val="2"/>
          <w:w w:val="99"/>
        </w:rPr>
        <w:t>资</w:t>
      </w:r>
      <w:r>
        <w:rPr>
          <w:spacing w:val="-1"/>
          <w:w w:val="99"/>
        </w:rPr>
        <w:t>产</w:t>
      </w:r>
      <w:r>
        <w:rPr>
          <w:spacing w:val="2"/>
          <w:w w:val="99"/>
        </w:rPr>
        <w:t>转</w:t>
      </w:r>
      <w:r>
        <w:rPr>
          <w:spacing w:val="-1"/>
          <w:w w:val="99"/>
        </w:rPr>
        <w:t>移</w:t>
      </w:r>
      <w:r>
        <w:rPr>
          <w:spacing w:val="2"/>
          <w:w w:val="99"/>
        </w:rPr>
        <w:t>区</w:t>
      </w:r>
      <w:r>
        <w:rPr>
          <w:spacing w:val="-1"/>
          <w:w w:val="99"/>
        </w:rPr>
        <w:t>分</w:t>
      </w:r>
      <w:r>
        <w:rPr>
          <w:spacing w:val="2"/>
          <w:w w:val="99"/>
        </w:rPr>
        <w:t>为</w:t>
      </w:r>
      <w:r>
        <w:rPr>
          <w:spacing w:val="-1"/>
          <w:w w:val="99"/>
        </w:rPr>
        <w:t>金</w:t>
      </w:r>
      <w:r>
        <w:rPr>
          <w:spacing w:val="2"/>
          <w:w w:val="99"/>
        </w:rPr>
        <w:t>融</w:t>
      </w:r>
      <w:r>
        <w:rPr>
          <w:spacing w:val="-1"/>
          <w:w w:val="99"/>
        </w:rPr>
        <w:t>资</w:t>
      </w:r>
      <w:r>
        <w:rPr>
          <w:spacing w:val="2"/>
          <w:w w:val="99"/>
        </w:rPr>
        <w:t>产</w:t>
      </w:r>
      <w:r>
        <w:rPr>
          <w:spacing w:val="-1"/>
          <w:w w:val="99"/>
        </w:rPr>
        <w:t>整</w:t>
      </w:r>
      <w:r>
        <w:rPr>
          <w:spacing w:val="2"/>
          <w:w w:val="99"/>
        </w:rPr>
        <w:t>体</w:t>
      </w:r>
      <w:r>
        <w:rPr>
          <w:spacing w:val="-1"/>
          <w:w w:val="99"/>
        </w:rPr>
        <w:t>转</w:t>
      </w:r>
      <w:r>
        <w:rPr>
          <w:spacing w:val="2"/>
          <w:w w:val="99"/>
        </w:rPr>
        <w:t>移</w:t>
      </w:r>
      <w:r>
        <w:rPr>
          <w:spacing w:val="-1"/>
          <w:w w:val="99"/>
        </w:rPr>
        <w:t>和</w:t>
      </w:r>
      <w:r>
        <w:rPr>
          <w:spacing w:val="2"/>
          <w:w w:val="99"/>
        </w:rPr>
        <w:t>部</w:t>
      </w:r>
      <w:r>
        <w:rPr>
          <w:spacing w:val="-1"/>
          <w:w w:val="99"/>
        </w:rPr>
        <w:t>分</w:t>
      </w:r>
      <w:r>
        <w:rPr>
          <w:spacing w:val="2"/>
          <w:w w:val="99"/>
        </w:rPr>
        <w:t>转移</w:t>
      </w:r>
      <w:r>
        <w:rPr>
          <w:spacing w:val="-92"/>
          <w:w w:val="99"/>
        </w:rPr>
        <w:t>。</w:t>
      </w:r>
      <w:r>
        <w:rPr>
          <w:spacing w:val="-1"/>
          <w:w w:val="99"/>
        </w:rPr>
        <w:t>金</w:t>
      </w:r>
      <w:r>
        <w:rPr>
          <w:spacing w:val="2"/>
          <w:w w:val="99"/>
        </w:rPr>
        <w:t>融</w:t>
      </w:r>
      <w:r>
        <w:rPr>
          <w:spacing w:val="-1"/>
          <w:w w:val="99"/>
        </w:rPr>
        <w:t>资</w:t>
      </w:r>
      <w:r>
        <w:rPr>
          <w:spacing w:val="2"/>
          <w:w w:val="99"/>
        </w:rPr>
        <w:t>产</w:t>
      </w:r>
      <w:r>
        <w:rPr>
          <w:spacing w:val="-1"/>
          <w:w w:val="99"/>
        </w:rPr>
        <w:t>整</w:t>
      </w:r>
      <w:r>
        <w:rPr>
          <w:spacing w:val="2"/>
          <w:w w:val="99"/>
        </w:rPr>
        <w:t>体</w:t>
      </w:r>
      <w:r>
        <w:rPr>
          <w:spacing w:val="-1"/>
          <w:w w:val="99"/>
        </w:rPr>
        <w:t>转</w:t>
      </w:r>
      <w:r>
        <w:rPr>
          <w:spacing w:val="2"/>
          <w:w w:val="99"/>
        </w:rPr>
        <w:t>移</w:t>
      </w:r>
      <w:r>
        <w:rPr>
          <w:spacing w:val="-1"/>
          <w:w w:val="99"/>
        </w:rPr>
        <w:t>满</w:t>
      </w:r>
      <w:r>
        <w:rPr>
          <w:spacing w:val="2"/>
          <w:w w:val="99"/>
        </w:rPr>
        <w:t>足</w:t>
      </w:r>
      <w:r>
        <w:rPr>
          <w:spacing w:val="-1"/>
          <w:w w:val="99"/>
        </w:rPr>
        <w:t>终</w:t>
      </w:r>
      <w:r>
        <w:rPr>
          <w:w w:val="99"/>
        </w:rPr>
        <w:t>止</w:t>
      </w:r>
      <w:r>
        <w:rPr/>
      </w:r>
    </w:p>
    <w:p>
      <w:pPr>
        <w:spacing w:line="240" w:lineRule="auto" w:before="10"/>
        <w:rPr>
          <w:rFonts w:ascii="宋体" w:hAnsi="宋体" w:cs="宋体" w:eastAsia="宋体" w:hint="default"/>
          <w:sz w:val="7"/>
          <w:szCs w:val="7"/>
        </w:rPr>
      </w:pPr>
    </w:p>
    <w:p>
      <w:pPr>
        <w:pStyle w:val="Heading4"/>
        <w:spacing w:line="240" w:lineRule="auto" w:before="34"/>
        <w:ind w:right="1603"/>
        <w:jc w:val="left"/>
      </w:pPr>
      <w:r>
        <w:rPr/>
        <w:t>确认条件的，将下列两项金额的差额计入当期损益：</w:t>
      </w:r>
    </w:p>
    <w:p>
      <w:pPr>
        <w:spacing w:after="0" w:line="240" w:lineRule="auto"/>
        <w:jc w:val="left"/>
        <w:sectPr>
          <w:pgSz w:w="11910" w:h="16840"/>
          <w:pgMar w:header="712" w:footer="1264" w:top="980" w:bottom="1460" w:left="1680" w:right="0"/>
        </w:sectPr>
      </w:pPr>
    </w:p>
    <w:p>
      <w:pPr>
        <w:spacing w:line="240" w:lineRule="auto" w:before="9"/>
        <w:rPr>
          <w:rFonts w:ascii="宋体" w:hAnsi="宋体" w:cs="宋体" w:eastAsia="宋体" w:hint="default"/>
          <w:sz w:val="29"/>
          <w:szCs w:val="29"/>
        </w:rPr>
      </w:pPr>
    </w:p>
    <w:p>
      <w:pPr>
        <w:pStyle w:val="Heading4"/>
        <w:spacing w:line="240" w:lineRule="auto" w:before="34"/>
        <w:ind w:left="540" w:right="1603"/>
        <w:jc w:val="left"/>
      </w:pPr>
      <w:r>
        <w:rPr/>
        <w:t>①所转移金融资产的账面价值；</w:t>
      </w:r>
    </w:p>
    <w:p>
      <w:pPr>
        <w:pStyle w:val="Heading4"/>
        <w:spacing w:line="357" w:lineRule="auto" w:before="133"/>
        <w:ind w:right="1796" w:firstLine="422"/>
        <w:jc w:val="both"/>
      </w:pPr>
      <w:r>
        <w:rPr>
          <w:spacing w:val="-2"/>
          <w:w w:val="95"/>
        </w:rPr>
        <w:t>②因转移而收到的对价，与原直接计入所有者权益的公允价值变动累计额（涉及转移的</w:t>
      </w:r>
      <w:r>
        <w:rPr>
          <w:w w:val="99"/>
        </w:rPr>
        <w:t> </w:t>
      </w:r>
      <w:r>
        <w:rPr>
          <w:spacing w:val="-2"/>
          <w:w w:val="95"/>
        </w:rPr>
        <w:t>金融资产为以公允价值计量且其变动计入其他综合收益的金融资产（债务工具）、可供出售</w:t>
      </w:r>
      <w:r>
        <w:rPr>
          <w:spacing w:val="91"/>
          <w:w w:val="95"/>
        </w:rPr>
        <w:t> </w:t>
      </w:r>
      <w:r>
        <w:rPr>
          <w:spacing w:val="91"/>
          <w:w w:val="95"/>
        </w:rPr>
      </w:r>
      <w:r>
        <w:rPr/>
        <w:t>金融资产的情形）之和。</w:t>
      </w:r>
    </w:p>
    <w:p>
      <w:pPr>
        <w:pStyle w:val="Heading4"/>
        <w:spacing w:line="357" w:lineRule="auto" w:before="30"/>
        <w:ind w:right="1796" w:firstLine="422"/>
        <w:jc w:val="both"/>
      </w:pPr>
      <w:r>
        <w:rPr>
          <w:spacing w:val="-2"/>
          <w:w w:val="95"/>
        </w:rPr>
        <w:t>金融资产部分转移满足终止确认条件的，将所转移金融资产整体的账面价值，在终止确</w:t>
      </w:r>
      <w:r>
        <w:rPr>
          <w:w w:val="99"/>
        </w:rPr>
        <w:t> </w:t>
      </w:r>
      <w:r>
        <w:rPr>
          <w:spacing w:val="-2"/>
          <w:w w:val="95"/>
        </w:rPr>
        <w:t>认部分和未终止确认部分之间，按照各自的相对公允价值进行分摊，并将下列两项金额的差</w:t>
      </w:r>
      <w:r>
        <w:rPr>
          <w:spacing w:val="92"/>
          <w:w w:val="95"/>
        </w:rPr>
        <w:t> </w:t>
      </w:r>
      <w:r>
        <w:rPr>
          <w:spacing w:val="92"/>
          <w:w w:val="95"/>
        </w:rPr>
      </w:r>
      <w:r>
        <w:rPr/>
        <w:t>额计入当期损益：</w:t>
      </w:r>
    </w:p>
    <w:p>
      <w:pPr>
        <w:pStyle w:val="Heading4"/>
        <w:spacing w:line="240" w:lineRule="auto" w:before="30"/>
        <w:ind w:left="540" w:right="1603"/>
        <w:jc w:val="left"/>
      </w:pPr>
      <w:r>
        <w:rPr/>
        <w:t>①终止确认部分的账面价值；</w:t>
      </w:r>
    </w:p>
    <w:p>
      <w:pPr>
        <w:pStyle w:val="Heading4"/>
        <w:spacing w:line="357" w:lineRule="auto" w:before="133"/>
        <w:ind w:right="1796" w:firstLine="422"/>
        <w:jc w:val="both"/>
      </w:pPr>
      <w:r>
        <w:rPr>
          <w:spacing w:val="-2"/>
          <w:w w:val="99"/>
        </w:rPr>
        <w:t>②终止确认部分的对价，与原直接计入所有者权益的公允价值变动累计额中对应终止确</w:t>
      </w:r>
      <w:r>
        <w:rPr>
          <w:w w:val="99"/>
        </w:rPr>
        <w:t> </w:t>
      </w:r>
      <w:r>
        <w:rPr>
          <w:spacing w:val="-2"/>
          <w:w w:val="99"/>
        </w:rPr>
        <w:t>认部分的金额（涉及转移的金融资产为以公允价值计量且其变动计入其他综合收益的金融资</w:t>
      </w:r>
      <w:r>
        <w:rPr>
          <w:spacing w:val="-93"/>
          <w:w w:val="99"/>
        </w:rPr>
        <w:t> </w:t>
      </w:r>
      <w:r>
        <w:rPr>
          <w:spacing w:val="-93"/>
          <w:w w:val="99"/>
        </w:rPr>
      </w:r>
      <w:r>
        <w:rPr/>
        <w:t>产（债务工具）、可供出售金融资产的情形）之和。</w:t>
      </w:r>
    </w:p>
    <w:p>
      <w:pPr>
        <w:pStyle w:val="Heading4"/>
        <w:spacing w:line="355" w:lineRule="auto" w:before="30"/>
        <w:ind w:right="1796" w:firstLine="422"/>
        <w:jc w:val="both"/>
      </w:pPr>
      <w:r>
        <w:rPr>
          <w:spacing w:val="-2"/>
          <w:w w:val="95"/>
        </w:rPr>
        <w:t>金融资产转移不满足终止确认条件的，继续确认该金融资产，所收到的对价确认为一项</w:t>
      </w:r>
      <w:r>
        <w:rPr>
          <w:w w:val="99"/>
        </w:rPr>
        <w:t> </w:t>
      </w:r>
      <w:r>
        <w:rPr/>
        <w:t>金融负债。</w:t>
      </w:r>
    </w:p>
    <w:p>
      <w:pPr>
        <w:pStyle w:val="Heading4"/>
        <w:spacing w:line="336" w:lineRule="auto"/>
        <w:ind w:left="540" w:right="1603"/>
        <w:jc w:val="left"/>
      </w:pPr>
      <w:r>
        <w:rPr/>
        <w:t>（</w:t>
      </w:r>
      <w:r>
        <w:rPr>
          <w:rFonts w:ascii="Times New Roman" w:hAnsi="Times New Roman" w:cs="Times New Roman" w:eastAsia="Times New Roman" w:hint="default"/>
        </w:rPr>
        <w:t>4</w:t>
      </w:r>
      <w:r>
        <w:rPr/>
        <w:t>）金融负债终止确认条件</w:t>
      </w:r>
      <w:r>
        <w:rPr>
          <w:w w:val="99"/>
        </w:rPr>
        <w:t> </w:t>
      </w:r>
      <w:r>
        <w:rPr>
          <w:spacing w:val="-2"/>
          <w:w w:val="95"/>
        </w:rPr>
        <w:t>金融负债的现时义务全部或部分已经解除的，则终止确认该金融负债或其一部分；本公</w:t>
      </w:r>
      <w:r>
        <w:rPr>
          <w:spacing w:val="-2"/>
        </w:rPr>
      </w:r>
    </w:p>
    <w:p>
      <w:pPr>
        <w:pStyle w:val="Heading4"/>
        <w:spacing w:line="357" w:lineRule="auto" w:before="49"/>
        <w:ind w:right="1796"/>
        <w:jc w:val="both"/>
      </w:pPr>
      <w:r>
        <w:rPr>
          <w:spacing w:val="-2"/>
          <w:w w:val="95"/>
        </w:rPr>
        <w:t>司若与债权人签定协议，以承担新金融负债方式替换现存金融负债，且新金融负债与现存金</w:t>
      </w:r>
      <w:r>
        <w:rPr>
          <w:spacing w:val="92"/>
          <w:w w:val="95"/>
        </w:rPr>
        <w:t> </w:t>
      </w:r>
      <w:r>
        <w:rPr>
          <w:spacing w:val="92"/>
          <w:w w:val="95"/>
        </w:rPr>
      </w:r>
      <w:r>
        <w:rPr/>
        <w:t>融负债的合同条款实质上不同的，则终止确认现存金融负债，并同时确认新金融负债。</w:t>
      </w:r>
    </w:p>
    <w:p>
      <w:pPr>
        <w:pStyle w:val="Heading4"/>
        <w:spacing w:line="355" w:lineRule="auto" w:before="30"/>
        <w:ind w:right="1796" w:firstLine="422"/>
        <w:jc w:val="both"/>
      </w:pPr>
      <w:r>
        <w:rPr>
          <w:spacing w:val="-2"/>
          <w:w w:val="99"/>
        </w:rPr>
        <w:t>对现存金融负债全部或部分合同条款作出实质性修改的，则终止确认现存金融负债或其</w:t>
      </w:r>
      <w:r>
        <w:rPr>
          <w:w w:val="99"/>
        </w:rPr>
        <w:t> </w:t>
      </w:r>
      <w:r>
        <w:rPr/>
        <w:t>一部分，同时将修改条款后的金融负债确认为一项新金融负债。</w:t>
      </w:r>
    </w:p>
    <w:p>
      <w:pPr>
        <w:pStyle w:val="Heading4"/>
        <w:spacing w:line="357" w:lineRule="auto"/>
        <w:ind w:right="1796" w:firstLine="422"/>
        <w:jc w:val="both"/>
      </w:pPr>
      <w:r>
        <w:rPr>
          <w:spacing w:val="-2"/>
          <w:w w:val="95"/>
        </w:rPr>
        <w:t>金融负债全部或部分终止确认时，终止确认的金融负债账面价值与支付对价（包括转出</w:t>
      </w:r>
      <w:r>
        <w:rPr>
          <w:w w:val="99"/>
        </w:rPr>
        <w:t> </w:t>
      </w:r>
      <w:r>
        <w:rPr/>
        <w:t>的非现金资产或承担的新金融负债）之间的差额，计入当期损益。</w:t>
      </w:r>
    </w:p>
    <w:p>
      <w:pPr>
        <w:pStyle w:val="Heading4"/>
        <w:spacing w:line="355" w:lineRule="auto" w:before="30"/>
        <w:ind w:right="1796" w:firstLine="422"/>
        <w:jc w:val="both"/>
      </w:pPr>
      <w:r>
        <w:rPr>
          <w:spacing w:val="-2"/>
          <w:w w:val="99"/>
        </w:rPr>
        <w:t>本公司若回购部分金融负债的，在回购日按照继续确认部分与终止确认部分的相对公允</w:t>
      </w:r>
      <w:r>
        <w:rPr>
          <w:w w:val="99"/>
        </w:rPr>
        <w:t> </w:t>
      </w:r>
      <w:r>
        <w:rPr>
          <w:spacing w:val="-2"/>
          <w:w w:val="95"/>
        </w:rPr>
        <w:t>价值，将该金融负债整体的账面价值进行分配。分配给终止确认部分的账面价值与支付的对</w:t>
      </w:r>
      <w:r>
        <w:rPr>
          <w:spacing w:val="92"/>
          <w:w w:val="95"/>
        </w:rPr>
        <w:t> </w:t>
      </w:r>
      <w:r>
        <w:rPr>
          <w:spacing w:val="92"/>
          <w:w w:val="95"/>
        </w:rPr>
      </w:r>
      <w:r>
        <w:rPr/>
        <w:t>价（包括转出的非现金资产或承担的新金融负债）之间的差额，计入当期损益。</w:t>
      </w:r>
    </w:p>
    <w:p>
      <w:pPr>
        <w:pStyle w:val="Heading4"/>
        <w:spacing w:line="336" w:lineRule="auto"/>
        <w:ind w:left="540" w:right="1603"/>
        <w:jc w:val="left"/>
      </w:pPr>
      <w:r>
        <w:rPr/>
        <w:t>（</w:t>
      </w:r>
      <w:r>
        <w:rPr>
          <w:rFonts w:ascii="Times New Roman" w:hAnsi="Times New Roman" w:cs="Times New Roman" w:eastAsia="Times New Roman" w:hint="default"/>
        </w:rPr>
        <w:t>5</w:t>
      </w:r>
      <w:r>
        <w:rPr/>
        <w:t>）金融资产和金融负债的公允价值的确定方法</w:t>
      </w:r>
      <w:r>
        <w:rPr>
          <w:w w:val="99"/>
        </w:rPr>
        <w:t> </w:t>
      </w:r>
      <w:r>
        <w:rPr>
          <w:spacing w:val="-2"/>
          <w:w w:val="95"/>
        </w:rPr>
        <w:t>存在活跃市场的金融工具，以活跃市场中的报价确定其公允价值。不存在活跃市场的金</w:t>
      </w:r>
      <w:r>
        <w:rPr>
          <w:spacing w:val="-2"/>
        </w:rPr>
      </w:r>
    </w:p>
    <w:p>
      <w:pPr>
        <w:pStyle w:val="Heading4"/>
        <w:spacing w:line="355" w:lineRule="auto" w:before="51"/>
        <w:ind w:right="1796"/>
        <w:jc w:val="both"/>
      </w:pPr>
      <w:r>
        <w:rPr>
          <w:spacing w:val="-2"/>
          <w:w w:val="95"/>
        </w:rPr>
        <w:t>融工具，采用估值技术确定其公允价值。在估值时，本公司采用在当前情况下适用并且有足</w:t>
      </w:r>
      <w:r>
        <w:rPr>
          <w:spacing w:val="92"/>
          <w:w w:val="95"/>
        </w:rPr>
        <w:t> </w:t>
      </w:r>
      <w:r>
        <w:rPr>
          <w:spacing w:val="92"/>
          <w:w w:val="95"/>
        </w:rPr>
      </w:r>
      <w:r>
        <w:rPr>
          <w:spacing w:val="-2"/>
          <w:w w:val="99"/>
        </w:rPr>
        <w:t>够可利用数据和其他信息支持的估值技术，选择与市场参与者在相关资产或负债的交易中所</w:t>
      </w:r>
      <w:r>
        <w:rPr>
          <w:spacing w:val="-93"/>
          <w:w w:val="99"/>
        </w:rPr>
        <w:t> </w:t>
      </w:r>
      <w:r>
        <w:rPr>
          <w:spacing w:val="-93"/>
          <w:w w:val="99"/>
        </w:rPr>
      </w:r>
      <w:r>
        <w:rPr>
          <w:spacing w:val="-2"/>
          <w:w w:val="95"/>
        </w:rPr>
        <w:t>考虑的资产或负债特征相一致的输入值，并优先使用相关可观察输入值。只有在相关可观察</w:t>
      </w:r>
      <w:r>
        <w:rPr>
          <w:spacing w:val="92"/>
          <w:w w:val="95"/>
        </w:rPr>
        <w:t> </w:t>
      </w:r>
      <w:r>
        <w:rPr>
          <w:spacing w:val="92"/>
          <w:w w:val="95"/>
        </w:rPr>
      </w:r>
      <w:r>
        <w:rPr/>
        <w:t>输入值无法取得或取得不切实可行的情况下，才使用不可观察输入值。</w:t>
      </w:r>
    </w:p>
    <w:p>
      <w:pPr>
        <w:pStyle w:val="Heading4"/>
        <w:spacing w:line="336" w:lineRule="auto" w:before="35"/>
        <w:ind w:left="540" w:right="5362"/>
        <w:jc w:val="left"/>
      </w:pPr>
      <w:r>
        <w:rPr/>
        <w:t>（</w:t>
      </w:r>
      <w:r>
        <w:rPr>
          <w:rFonts w:ascii="Times New Roman" w:hAnsi="Times New Roman" w:cs="Times New Roman" w:eastAsia="Times New Roman" w:hint="default"/>
        </w:rPr>
        <w:t>6</w:t>
      </w:r>
      <w:r>
        <w:rPr/>
        <w:t>）金融资产减值的测试方法及会计处理方法</w:t>
      </w:r>
      <w:r>
        <w:rPr>
          <w:w w:val="99"/>
        </w:rPr>
        <w:t> </w:t>
      </w:r>
      <w:r>
        <w:rPr/>
        <w:t>自</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日起适用的会计政策</w:t>
      </w:r>
    </w:p>
    <w:p>
      <w:pPr>
        <w:pStyle w:val="Heading4"/>
        <w:spacing w:line="357" w:lineRule="auto" w:before="24"/>
        <w:ind w:right="1709" w:firstLine="422"/>
        <w:jc w:val="both"/>
      </w:pPr>
      <w:r>
        <w:rPr>
          <w:w w:val="95"/>
        </w:rPr>
        <w:t>本公司考虑所有合理且有依据的信息，包括前瞻性信息，以单项或组合的方式对以摊余</w:t>
      </w:r>
      <w:r>
        <w:rPr>
          <w:w w:val="99"/>
        </w:rPr>
        <w:t> </w:t>
      </w:r>
      <w:r>
        <w:rPr>
          <w:w w:val="95"/>
        </w:rPr>
        <w:t>成本计量的金融资产和以公允价值计量且其变动计入其他综合收益的金融资产（债务工具）</w:t>
      </w:r>
      <w:r>
        <w:rPr/>
      </w:r>
    </w:p>
    <w:p>
      <w:pPr>
        <w:spacing w:after="0" w:line="357" w:lineRule="auto"/>
        <w:jc w:val="both"/>
        <w:sectPr>
          <w:footerReference w:type="default" r:id="rId44"/>
          <w:pgSz w:w="11910" w:h="16840"/>
          <w:pgMar w:footer="1264" w:header="712" w:top="980" w:bottom="1460" w:left="1680" w:right="0"/>
          <w:pgNumType w:start="120"/>
        </w:sectPr>
      </w:pPr>
    </w:p>
    <w:p>
      <w:pPr>
        <w:spacing w:line="240" w:lineRule="auto" w:before="9"/>
        <w:rPr>
          <w:rFonts w:ascii="宋体" w:hAnsi="宋体" w:cs="宋体" w:eastAsia="宋体" w:hint="default"/>
          <w:sz w:val="29"/>
          <w:szCs w:val="29"/>
        </w:rPr>
      </w:pPr>
    </w:p>
    <w:p>
      <w:pPr>
        <w:pStyle w:val="Heading4"/>
        <w:spacing w:line="355" w:lineRule="auto" w:before="34"/>
        <w:ind w:right="1603"/>
        <w:jc w:val="left"/>
      </w:pPr>
      <w:r>
        <w:rPr>
          <w:spacing w:val="-2"/>
          <w:w w:val="99"/>
        </w:rPr>
        <w:t>的预期信用损失进行估计。预期信用损失的计量取决于金融资产自初始确认后是否发生信用</w:t>
      </w:r>
      <w:r>
        <w:rPr>
          <w:spacing w:val="-96"/>
          <w:w w:val="99"/>
        </w:rPr>
        <w:t> </w:t>
      </w:r>
      <w:r>
        <w:rPr>
          <w:spacing w:val="-96"/>
          <w:w w:val="99"/>
        </w:rPr>
      </w:r>
      <w:r>
        <w:rPr/>
        <w:t>风险显著增加。</w:t>
      </w:r>
    </w:p>
    <w:p>
      <w:pPr>
        <w:pStyle w:val="Heading4"/>
        <w:spacing w:line="350" w:lineRule="auto" w:before="34"/>
        <w:ind w:right="1796" w:firstLine="422"/>
        <w:jc w:val="both"/>
      </w:pPr>
      <w:r>
        <w:rPr>
          <w:spacing w:val="-2"/>
          <w:w w:val="99"/>
        </w:rPr>
        <w:t>如果该金融工具的信用风险自初始确认后已显著增加，本公司按照相当于该金融工具整</w:t>
      </w:r>
      <w:r>
        <w:rPr>
          <w:w w:val="99"/>
        </w:rPr>
        <w:t> </w:t>
      </w:r>
      <w:r>
        <w:rPr>
          <w:spacing w:val="-2"/>
          <w:w w:val="99"/>
        </w:rPr>
        <w:t>个存续期内预期信用损失的金额计量其损失准备；如果该金融工具的信用风险自初始确认后</w:t>
      </w:r>
      <w:r>
        <w:rPr>
          <w:spacing w:val="-96"/>
          <w:w w:val="99"/>
        </w:rPr>
        <w:t> </w:t>
      </w:r>
      <w:r>
        <w:rPr>
          <w:spacing w:val="-96"/>
          <w:w w:val="99"/>
        </w:rPr>
      </w:r>
      <w:r>
        <w:rPr>
          <w:spacing w:val="-2"/>
          <w:w w:val="99"/>
        </w:rPr>
        <w:t>并未显著增加，本公司按照相当于该金融工具未来</w:t>
      </w:r>
      <w:r>
        <w:rPr>
          <w:rFonts w:ascii="Times New Roman" w:hAnsi="Times New Roman" w:cs="Times New Roman" w:eastAsia="Times New Roman" w:hint="default"/>
          <w:spacing w:val="-2"/>
          <w:w w:val="99"/>
        </w:rPr>
        <w:t>12</w:t>
      </w:r>
      <w:r>
        <w:rPr>
          <w:spacing w:val="-2"/>
          <w:w w:val="99"/>
        </w:rPr>
        <w:t>个月内预期信用损失的金额计量其损失</w:t>
      </w:r>
      <w:r>
        <w:rPr>
          <w:spacing w:val="-91"/>
          <w:w w:val="99"/>
        </w:rPr>
        <w:t> </w:t>
      </w:r>
      <w:r>
        <w:rPr>
          <w:spacing w:val="-91"/>
          <w:w w:val="99"/>
        </w:rPr>
      </w:r>
      <w:r>
        <w:rPr/>
        <w:t>准备。由此形成的损失准备的增加或转回金额，作为减值损失或利得计入当期损益。</w:t>
      </w:r>
    </w:p>
    <w:p>
      <w:pPr>
        <w:pStyle w:val="Heading4"/>
        <w:spacing w:line="336" w:lineRule="auto" w:before="39"/>
        <w:ind w:right="1796" w:firstLine="422"/>
        <w:jc w:val="both"/>
      </w:pPr>
      <w:r>
        <w:rPr>
          <w:spacing w:val="-2"/>
          <w:w w:val="95"/>
        </w:rPr>
        <w:t>通常逾期超过</w:t>
      </w:r>
      <w:r>
        <w:rPr>
          <w:rFonts w:ascii="Times New Roman" w:hAnsi="Times New Roman" w:cs="Times New Roman" w:eastAsia="Times New Roman" w:hint="default"/>
          <w:spacing w:val="-2"/>
          <w:w w:val="95"/>
        </w:rPr>
        <w:t>30</w:t>
      </w:r>
      <w:r>
        <w:rPr>
          <w:spacing w:val="-2"/>
          <w:w w:val="95"/>
        </w:rPr>
        <w:t>日，本公司即认为该金融工具的信用风险已显著增加，除非有确凿证据</w:t>
      </w:r>
      <w:r>
        <w:rPr>
          <w:w w:val="99"/>
        </w:rPr>
        <w:t> </w:t>
      </w:r>
      <w:r>
        <w:rPr/>
        <w:t>证明该金融工具的信用风险自初始确认后并未显著增加。</w:t>
      </w:r>
    </w:p>
    <w:p>
      <w:pPr>
        <w:pStyle w:val="Heading4"/>
        <w:spacing w:line="355" w:lineRule="auto" w:before="49"/>
        <w:ind w:right="1796" w:firstLine="422"/>
        <w:jc w:val="both"/>
      </w:pPr>
      <w:r>
        <w:rPr>
          <w:spacing w:val="-2"/>
          <w:w w:val="99"/>
        </w:rPr>
        <w:t>如果金融工具于资产负债表日的信用风险较低，本公司即认为该金融工具的信用风险自</w:t>
      </w:r>
      <w:r>
        <w:rPr>
          <w:w w:val="99"/>
        </w:rPr>
        <w:t> </w:t>
      </w:r>
      <w:r>
        <w:rPr/>
        <w:t>初始确认后并未显著增加。</w:t>
      </w:r>
    </w:p>
    <w:p>
      <w:pPr>
        <w:pStyle w:val="Heading4"/>
        <w:spacing w:line="355" w:lineRule="auto" w:before="34"/>
        <w:ind w:right="1798" w:firstLine="422"/>
        <w:jc w:val="both"/>
      </w:pPr>
      <w:r>
        <w:rPr>
          <w:spacing w:val="-2"/>
          <w:w w:val="99"/>
        </w:rPr>
        <w:t>如果有客观证据表明某项金融资产已经发生信用减值，则本公司在单项基础上对该金融</w:t>
      </w:r>
      <w:r>
        <w:rPr>
          <w:w w:val="99"/>
        </w:rPr>
        <w:t> </w:t>
      </w:r>
      <w:r>
        <w:rPr/>
        <w:t>资产计提减值准备。</w:t>
      </w:r>
    </w:p>
    <w:p>
      <w:pPr>
        <w:pStyle w:val="Heading4"/>
        <w:spacing w:line="355" w:lineRule="auto"/>
        <w:ind w:right="1796" w:firstLine="422"/>
        <w:jc w:val="both"/>
      </w:pPr>
      <w:r>
        <w:rPr>
          <w:spacing w:val="-2"/>
          <w:w w:val="95"/>
        </w:rPr>
        <w:t>对于应收账款，无论是否包含重大融资成分，本公司始终按照相当于整个存续期内预期</w:t>
      </w:r>
      <w:r>
        <w:rPr>
          <w:w w:val="99"/>
        </w:rPr>
        <w:t> </w:t>
      </w:r>
      <w:r>
        <w:rPr/>
        <w:t>信用损失的金额计量其损失准备。</w:t>
      </w:r>
    </w:p>
    <w:p>
      <w:pPr>
        <w:pStyle w:val="Heading4"/>
        <w:spacing w:line="355" w:lineRule="auto"/>
        <w:ind w:right="1796" w:firstLine="422"/>
        <w:jc w:val="both"/>
      </w:pPr>
      <w:r>
        <w:rPr>
          <w:spacing w:val="-2"/>
          <w:w w:val="95"/>
        </w:rPr>
        <w:t>对于租赁应收款、公司通过销售商品或提供劳务形成的长期应收款，本公司选择始终按</w:t>
      </w:r>
      <w:r>
        <w:rPr>
          <w:w w:val="99"/>
        </w:rPr>
        <w:t> </w:t>
      </w:r>
      <w:r>
        <w:rPr/>
        <w:t>照相当于整个存续期内预期信用损失的金额计量其损失准备。</w:t>
      </w:r>
    </w:p>
    <w:p>
      <w:pPr>
        <w:pStyle w:val="Heading4"/>
        <w:spacing w:line="336" w:lineRule="auto" w:before="34"/>
        <w:ind w:left="540" w:right="1603"/>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日前适用的会计政策</w:t>
      </w:r>
      <w:r>
        <w:rPr>
          <w:w w:val="99"/>
        </w:rPr>
        <w:t> </w:t>
      </w:r>
      <w:r>
        <w:rPr>
          <w:spacing w:val="-2"/>
          <w:w w:val="99"/>
        </w:rPr>
        <w:t>除以公允价值计量且其变动计入当期损益的金融资产外，本公司于资产负债表日对金融</w:t>
      </w:r>
      <w:r>
        <w:rPr>
          <w:spacing w:val="-2"/>
        </w:rPr>
      </w:r>
    </w:p>
    <w:p>
      <w:pPr>
        <w:pStyle w:val="Heading4"/>
        <w:spacing w:line="240" w:lineRule="auto" w:before="49"/>
        <w:ind w:right="1603"/>
        <w:jc w:val="left"/>
      </w:pPr>
      <w:r>
        <w:rPr/>
        <w:t>资产的账面价值进行检查，如果有客观证据表明某项金融资产发生减值的，计提减值准备。</w:t>
      </w:r>
    </w:p>
    <w:p>
      <w:pPr>
        <w:pStyle w:val="Heading4"/>
        <w:spacing w:line="357" w:lineRule="auto" w:before="133"/>
        <w:ind w:left="540" w:right="1603"/>
        <w:jc w:val="left"/>
      </w:pPr>
      <w:r>
        <w:rPr/>
        <w:t>①可供出售金融资产的减值准备：</w:t>
      </w:r>
      <w:r>
        <w:rPr>
          <w:w w:val="99"/>
        </w:rPr>
        <w:t> </w:t>
      </w:r>
      <w:r>
        <w:rPr>
          <w:w w:val="95"/>
        </w:rPr>
        <w:t>期末如果可供出售金融资产的公允价值发生严重下降，或在综合考虑各种相关因素后，</w:t>
      </w:r>
      <w:r>
        <w:rPr/>
      </w:r>
    </w:p>
    <w:p>
      <w:pPr>
        <w:pStyle w:val="Heading4"/>
        <w:spacing w:line="355" w:lineRule="auto" w:before="30"/>
        <w:ind w:right="1603"/>
        <w:jc w:val="left"/>
      </w:pPr>
      <w:r>
        <w:rPr>
          <w:spacing w:val="-2"/>
          <w:w w:val="95"/>
        </w:rPr>
        <w:t>预期这种下降趋势属于非暂时性的，就认定其已发生减值，将原直接计入所有者权益的公允</w:t>
      </w:r>
      <w:r>
        <w:rPr>
          <w:spacing w:val="92"/>
          <w:w w:val="95"/>
        </w:rPr>
        <w:t> </w:t>
      </w:r>
      <w:r>
        <w:rPr>
          <w:spacing w:val="92"/>
          <w:w w:val="95"/>
        </w:rPr>
      </w:r>
      <w:r>
        <w:rPr/>
        <w:t>价值下降形成的累计损失一并转出，确认减值损失。</w:t>
      </w:r>
    </w:p>
    <w:p>
      <w:pPr>
        <w:pStyle w:val="Heading4"/>
        <w:spacing w:line="355" w:lineRule="auto"/>
        <w:ind w:right="1709" w:firstLine="422"/>
        <w:jc w:val="both"/>
      </w:pPr>
      <w:r>
        <w:rPr>
          <w:spacing w:val="-2"/>
          <w:w w:val="99"/>
        </w:rPr>
        <w:t>对于已确认减值损失的可供出售债务工具，在随后的会计期间公允价值已上升且客观上</w:t>
      </w:r>
      <w:r>
        <w:rPr>
          <w:w w:val="99"/>
        </w:rPr>
        <w:t> </w:t>
      </w:r>
      <w:r>
        <w:rPr>
          <w:w w:val="95"/>
        </w:rPr>
        <w:t>与确认原减值损失确认后发生的事项有关的，原确认的减值损失予以转回，计入当期损益。</w:t>
      </w:r>
      <w:r>
        <w:rPr/>
      </w:r>
    </w:p>
    <w:p>
      <w:pPr>
        <w:pStyle w:val="Heading4"/>
        <w:spacing w:line="240" w:lineRule="auto"/>
        <w:ind w:left="540" w:right="1603"/>
        <w:jc w:val="left"/>
      </w:pPr>
      <w:r>
        <w:rPr/>
        <w:t>可供出售权益工具投资发生的减值损失，不通过损益转回。</w:t>
      </w:r>
    </w:p>
    <w:p>
      <w:pPr>
        <w:pStyle w:val="Heading4"/>
        <w:spacing w:line="357" w:lineRule="auto" w:before="135"/>
        <w:ind w:left="540" w:right="5047"/>
        <w:jc w:val="left"/>
      </w:pPr>
      <w:r>
        <w:rPr/>
        <w:t>②应收款项坏账准备：</w:t>
      </w:r>
      <w:r>
        <w:rPr>
          <w:w w:val="99"/>
        </w:rPr>
        <w:t> </w:t>
      </w:r>
      <w:r>
        <w:rPr/>
        <w:t>Ⅰ单项金额重大并单独计提坏账准备的应收款项：</w:t>
      </w:r>
      <w:r>
        <w:rPr>
          <w:w w:val="99"/>
        </w:rPr>
        <w:t> </w:t>
      </w:r>
      <w:r>
        <w:rPr/>
        <w:t>单项金额重大的判断依据或金额标准：</w:t>
      </w:r>
      <w:r>
        <w:rPr>
          <w:w w:val="99"/>
        </w:rPr>
        <w:t> </w:t>
      </w:r>
      <w:r>
        <w:rPr/>
        <w:t>应收款项余额前五名。</w:t>
      </w:r>
      <w:r>
        <w:rPr>
          <w:w w:val="99"/>
        </w:rPr>
        <w:t> </w:t>
      </w:r>
      <w:r>
        <w:rPr/>
        <w:t>单项金额重大应收款项坏账准备的计提方法：</w:t>
      </w:r>
    </w:p>
    <w:p>
      <w:pPr>
        <w:pStyle w:val="Heading4"/>
        <w:spacing w:line="357" w:lineRule="auto" w:before="30"/>
        <w:ind w:right="1796" w:firstLine="422"/>
        <w:jc w:val="both"/>
      </w:pPr>
      <w:r>
        <w:rPr>
          <w:spacing w:val="-2"/>
          <w:w w:val="95"/>
        </w:rPr>
        <w:t>单独进行减值测试，如有客观证据表明其已发生减值，按预计未来现金流量现值低于其</w:t>
      </w:r>
      <w:r>
        <w:rPr>
          <w:w w:val="99"/>
        </w:rPr>
        <w:t> </w:t>
      </w:r>
      <w:r>
        <w:rPr>
          <w:spacing w:val="-2"/>
          <w:w w:val="95"/>
        </w:rPr>
        <w:t>账面价值的差额计提坏账准备，计入当期损益。单独测试未发生减值的应收款项，将其归入</w:t>
      </w:r>
      <w:r>
        <w:rPr>
          <w:spacing w:val="90"/>
          <w:w w:val="95"/>
        </w:rPr>
        <w:t> </w:t>
      </w:r>
      <w:r>
        <w:rPr>
          <w:spacing w:val="90"/>
          <w:w w:val="95"/>
        </w:rPr>
      </w:r>
      <w:r>
        <w:rPr/>
        <w:t>相应组合计提坏账准备。</w:t>
      </w:r>
    </w:p>
    <w:p>
      <w:pPr>
        <w:spacing w:after="0" w:line="357" w:lineRule="auto"/>
        <w:jc w:val="both"/>
        <w:sectPr>
          <w:pgSz w:w="11910" w:h="16840"/>
          <w:pgMar w:header="712" w:footer="1264" w:top="980" w:bottom="1460" w:left="1680" w:right="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pStyle w:val="Heading4"/>
        <w:spacing w:line="240" w:lineRule="auto" w:before="34"/>
        <w:ind w:left="660" w:right="791"/>
        <w:jc w:val="left"/>
      </w:pPr>
      <w:r>
        <w:rPr/>
        <w:t>Ⅱ按信用风险特征组合计提坏账准备应收款项：</w:t>
      </w:r>
    </w:p>
    <w:p>
      <w:pPr>
        <w:spacing w:line="240" w:lineRule="auto" w:before="5"/>
        <w:rPr>
          <w:rFonts w:ascii="宋体" w:hAnsi="宋体" w:cs="宋体" w:eastAsia="宋体" w:hint="default"/>
          <w:sz w:val="2"/>
          <w:szCs w:val="2"/>
        </w:rPr>
      </w:pPr>
    </w:p>
    <w:p>
      <w:pPr>
        <w:spacing w:line="28" w:lineRule="exact"/>
        <w:ind w:left="114" w:right="0" w:firstLine="0"/>
        <w:rPr>
          <w:rFonts w:ascii="宋体" w:hAnsi="宋体" w:cs="宋体" w:eastAsia="宋体" w:hint="default"/>
          <w:sz w:val="2"/>
          <w:szCs w:val="2"/>
        </w:rPr>
      </w:pPr>
      <w:r>
        <w:rPr>
          <w:rFonts w:ascii="宋体" w:hAnsi="宋体" w:cs="宋体" w:eastAsia="宋体" w:hint="default"/>
          <w:position w:val="0"/>
          <w:sz w:val="2"/>
          <w:szCs w:val="2"/>
        </w:rPr>
        <w:pict>
          <v:group style="width:427.9pt;height:1.45pt;mso-position-horizontal-relative:char;mso-position-vertical-relative:line" coordorigin="0,0" coordsize="8558,29">
            <v:group style="position:absolute;left:14;top:14;width:8529;height:2" coordorigin="14,14" coordsize="8529,2">
              <v:shape style="position:absolute;left:14;top:14;width:8529;height:2" coordorigin="14,14" coordsize="8529,0" path="m14,14l8543,14e" filled="false" stroked="true" strokeweight="1.44pt" strokecolor="#000000">
                <v:path arrowok="t"/>
              </v:shape>
            </v:group>
          </v:group>
        </w:pict>
      </w:r>
      <w:r>
        <w:rPr>
          <w:rFonts w:ascii="宋体" w:hAnsi="宋体" w:cs="宋体" w:eastAsia="宋体" w:hint="default"/>
          <w:position w:val="0"/>
          <w:sz w:val="2"/>
          <w:szCs w:val="2"/>
        </w:rPr>
      </w:r>
    </w:p>
    <w:p>
      <w:pPr>
        <w:pStyle w:val="BodyText"/>
        <w:spacing w:line="240" w:lineRule="auto" w:before="87"/>
        <w:ind w:left="3751" w:right="5295"/>
        <w:jc w:val="center"/>
      </w:pPr>
      <w:r>
        <w:rPr/>
        <w:t>确定组合的依据</w:t>
      </w:r>
    </w:p>
    <w:p>
      <w:pPr>
        <w:spacing w:line="240" w:lineRule="auto" w:before="0"/>
        <w:rPr>
          <w:rFonts w:ascii="宋体" w:hAnsi="宋体" w:cs="宋体" w:eastAsia="宋体" w:hint="default"/>
          <w:sz w:val="6"/>
          <w:szCs w:val="6"/>
        </w:rPr>
      </w:pPr>
    </w:p>
    <w:tbl>
      <w:tblPr>
        <w:tblW w:w="0" w:type="auto"/>
        <w:jc w:val="left"/>
        <w:tblInd w:w="124" w:type="dxa"/>
        <w:tblLayout w:type="fixed"/>
        <w:tblCellMar>
          <w:top w:w="0" w:type="dxa"/>
          <w:left w:w="0" w:type="dxa"/>
          <w:bottom w:w="0" w:type="dxa"/>
          <w:right w:w="0" w:type="dxa"/>
        </w:tblCellMar>
        <w:tblLook w:val="01E0"/>
      </w:tblPr>
      <w:tblGrid>
        <w:gridCol w:w="2777"/>
        <w:gridCol w:w="5752"/>
      </w:tblGrid>
      <w:tr>
        <w:trPr>
          <w:trHeight w:val="730" w:hRule="exact"/>
        </w:trPr>
        <w:tc>
          <w:tcPr>
            <w:tcW w:w="277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6"/>
              <w:ind w:left="120"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：账龄组合</w:t>
            </w:r>
          </w:p>
        </w:tc>
        <w:tc>
          <w:tcPr>
            <w:tcW w:w="5752" w:type="dxa"/>
            <w:tcBorders>
              <w:top w:val="dotted" w:sz="4" w:space="0" w:color="000000"/>
              <w:left w:val="dotted" w:sz="4" w:space="0" w:color="000000"/>
              <w:bottom w:val="dotted" w:sz="4" w:space="0" w:color="000000"/>
              <w:right w:val="nil" w:sz="6" w:space="0" w:color="auto"/>
            </w:tcBorders>
          </w:tcPr>
          <w:p>
            <w:pPr>
              <w:pStyle w:val="TableParagraph"/>
              <w:spacing w:line="309" w:lineRule="auto" w:before="86"/>
              <w:ind w:left="2933" w:right="113" w:hanging="2340"/>
              <w:jc w:val="left"/>
              <w:rPr>
                <w:rFonts w:ascii="宋体" w:hAnsi="宋体" w:cs="宋体" w:eastAsia="宋体" w:hint="default"/>
                <w:sz w:val="18"/>
                <w:szCs w:val="18"/>
              </w:rPr>
            </w:pPr>
            <w:r>
              <w:rPr>
                <w:rFonts w:ascii="宋体" w:hAnsi="宋体" w:cs="宋体" w:eastAsia="宋体" w:hint="default"/>
                <w:sz w:val="18"/>
                <w:szCs w:val="18"/>
              </w:rPr>
              <w:t>不属于单项计提坏账准备，且不属于下列组合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和组合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的应收 款项</w:t>
            </w:r>
          </w:p>
        </w:tc>
      </w:tr>
      <w:tr>
        <w:trPr>
          <w:trHeight w:val="410" w:hRule="exact"/>
        </w:trPr>
        <w:tc>
          <w:tcPr>
            <w:tcW w:w="277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6"/>
              <w:ind w:left="120"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：合并范围内的关联方</w:t>
            </w:r>
          </w:p>
        </w:tc>
        <w:tc>
          <w:tcPr>
            <w:tcW w:w="575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6"/>
              <w:ind w:left="481" w:right="0"/>
              <w:jc w:val="center"/>
              <w:rPr>
                <w:rFonts w:ascii="宋体" w:hAnsi="宋体" w:cs="宋体" w:eastAsia="宋体" w:hint="default"/>
                <w:sz w:val="18"/>
                <w:szCs w:val="18"/>
              </w:rPr>
            </w:pPr>
            <w:r>
              <w:rPr>
                <w:rFonts w:ascii="宋体" w:hAnsi="宋体" w:cs="宋体" w:eastAsia="宋体" w:hint="default"/>
                <w:sz w:val="18"/>
                <w:szCs w:val="18"/>
              </w:rPr>
              <w:t>合并范围内的关联方</w:t>
            </w:r>
          </w:p>
        </w:tc>
      </w:tr>
      <w:tr>
        <w:trPr>
          <w:trHeight w:val="410" w:hRule="exact"/>
        </w:trPr>
        <w:tc>
          <w:tcPr>
            <w:tcW w:w="277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6"/>
              <w:ind w:left="120"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575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6"/>
              <w:ind w:left="479" w:right="0"/>
              <w:jc w:val="center"/>
              <w:rPr>
                <w:rFonts w:ascii="宋体" w:hAnsi="宋体" w:cs="宋体" w:eastAsia="宋体" w:hint="default"/>
                <w:sz w:val="18"/>
                <w:szCs w:val="18"/>
              </w:rPr>
            </w:pPr>
            <w:r>
              <w:rPr>
                <w:rFonts w:ascii="宋体" w:hAnsi="宋体" w:cs="宋体" w:eastAsia="宋体" w:hint="default"/>
                <w:sz w:val="18"/>
                <w:szCs w:val="18"/>
              </w:rPr>
              <w:t>其他</w:t>
            </w:r>
          </w:p>
        </w:tc>
      </w:tr>
    </w:tbl>
    <w:p>
      <w:pPr>
        <w:pStyle w:val="BodyText"/>
        <w:spacing w:line="240" w:lineRule="auto" w:before="86"/>
        <w:ind w:left="3139" w:right="791"/>
        <w:jc w:val="left"/>
      </w:pPr>
      <w:r>
        <w:rPr/>
        <w:t>按组合计提坏账准备的计提方法</w:t>
      </w:r>
    </w:p>
    <w:p>
      <w:pPr>
        <w:spacing w:line="240" w:lineRule="auto" w:before="13"/>
        <w:rPr>
          <w:rFonts w:ascii="宋体" w:hAnsi="宋体" w:cs="宋体" w:eastAsia="宋体" w:hint="default"/>
          <w:sz w:val="5"/>
          <w:szCs w:val="5"/>
        </w:rPr>
      </w:pPr>
    </w:p>
    <w:tbl>
      <w:tblPr>
        <w:tblW w:w="0" w:type="auto"/>
        <w:jc w:val="left"/>
        <w:tblInd w:w="114" w:type="dxa"/>
        <w:tblLayout w:type="fixed"/>
        <w:tblCellMar>
          <w:top w:w="0" w:type="dxa"/>
          <w:left w:w="0" w:type="dxa"/>
          <w:bottom w:w="0" w:type="dxa"/>
          <w:right w:w="0" w:type="dxa"/>
        </w:tblCellMar>
        <w:tblLook w:val="01E0"/>
      </w:tblPr>
      <w:tblGrid>
        <w:gridCol w:w="2777"/>
        <w:gridCol w:w="5752"/>
      </w:tblGrid>
      <w:tr>
        <w:trPr>
          <w:trHeight w:val="410" w:hRule="exact"/>
        </w:trPr>
        <w:tc>
          <w:tcPr>
            <w:tcW w:w="277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7"/>
              <w:ind w:left="120"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：账龄组合</w:t>
            </w:r>
          </w:p>
        </w:tc>
        <w:tc>
          <w:tcPr>
            <w:tcW w:w="575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7"/>
              <w:ind w:left="481" w:right="0"/>
              <w:jc w:val="center"/>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410" w:hRule="exact"/>
        </w:trPr>
        <w:tc>
          <w:tcPr>
            <w:tcW w:w="277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7"/>
              <w:ind w:left="120"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：合并范围内的关联方</w:t>
            </w:r>
          </w:p>
        </w:tc>
        <w:tc>
          <w:tcPr>
            <w:tcW w:w="575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7"/>
              <w:ind w:left="481" w:right="0"/>
              <w:jc w:val="center"/>
              <w:rPr>
                <w:rFonts w:ascii="宋体" w:hAnsi="宋体" w:cs="宋体" w:eastAsia="宋体" w:hint="default"/>
                <w:sz w:val="18"/>
                <w:szCs w:val="18"/>
              </w:rPr>
            </w:pPr>
            <w:r>
              <w:rPr>
                <w:rFonts w:ascii="宋体" w:hAnsi="宋体" w:cs="宋体" w:eastAsia="宋体" w:hint="default"/>
                <w:sz w:val="18"/>
                <w:szCs w:val="18"/>
              </w:rPr>
              <w:t>不计提坏账准备</w:t>
            </w:r>
          </w:p>
        </w:tc>
      </w:tr>
      <w:tr>
        <w:trPr>
          <w:trHeight w:val="420" w:hRule="exact"/>
        </w:trPr>
        <w:tc>
          <w:tcPr>
            <w:tcW w:w="2777"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88"/>
              <w:ind w:left="120"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5752"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88"/>
              <w:ind w:left="481" w:right="0"/>
              <w:jc w:val="center"/>
              <w:rPr>
                <w:rFonts w:ascii="宋体" w:hAnsi="宋体" w:cs="宋体" w:eastAsia="宋体" w:hint="default"/>
                <w:sz w:val="18"/>
                <w:szCs w:val="18"/>
              </w:rPr>
            </w:pPr>
            <w:r>
              <w:rPr>
                <w:rFonts w:ascii="宋体" w:hAnsi="宋体" w:cs="宋体" w:eastAsia="宋体" w:hint="default"/>
                <w:sz w:val="18"/>
                <w:szCs w:val="18"/>
              </w:rPr>
              <w:t>不计提坏账准备</w:t>
            </w:r>
          </w:p>
        </w:tc>
      </w:tr>
    </w:tbl>
    <w:p>
      <w:pPr>
        <w:pStyle w:val="Heading4"/>
        <w:spacing w:line="240" w:lineRule="auto" w:before="94"/>
        <w:ind w:left="657" w:right="791"/>
        <w:jc w:val="left"/>
      </w:pPr>
      <w:r>
        <w:rPr/>
        <w:t>组合中，采用账龄分析法计提坏账准备的：</w:t>
      </w:r>
    </w:p>
    <w:p>
      <w:pPr>
        <w:spacing w:line="240" w:lineRule="auto" w:before="6"/>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2843"/>
        <w:gridCol w:w="2844"/>
        <w:gridCol w:w="2842"/>
      </w:tblGrid>
      <w:tr>
        <w:trPr>
          <w:trHeight w:val="420" w:hRule="exact"/>
        </w:trPr>
        <w:tc>
          <w:tcPr>
            <w:tcW w:w="2843"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88"/>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284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88"/>
              <w:ind w:left="56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应收账款计提比例</w:t>
            </w:r>
            <w:r>
              <w:rPr>
                <w:rFonts w:ascii="Times New Roman" w:hAnsi="Times New Roman" w:cs="Times New Roman" w:eastAsia="Times New Roman" w:hint="default"/>
                <w:sz w:val="18"/>
                <w:szCs w:val="18"/>
              </w:rPr>
              <w:t>(%)</w:t>
            </w:r>
          </w:p>
        </w:tc>
        <w:tc>
          <w:tcPr>
            <w:tcW w:w="2842"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88"/>
              <w:ind w:left="44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其他应收款计提比例</w:t>
            </w:r>
            <w:r>
              <w:rPr>
                <w:rFonts w:ascii="Times New Roman" w:hAnsi="Times New Roman" w:cs="Times New Roman" w:eastAsia="Times New Roman" w:hint="default"/>
                <w:sz w:val="18"/>
                <w:szCs w:val="18"/>
              </w:rPr>
              <w:t>(%)</w:t>
            </w:r>
          </w:p>
        </w:tc>
      </w:tr>
      <w:tr>
        <w:trPr>
          <w:trHeight w:val="410" w:hRule="exact"/>
        </w:trPr>
        <w:tc>
          <w:tcPr>
            <w:tcW w:w="284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7"/>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8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pacing w:val="-1"/>
                <w:sz w:val="18"/>
              </w:rPr>
              <w:t>0.50</w:t>
            </w:r>
          </w:p>
        </w:tc>
        <w:tc>
          <w:tcPr>
            <w:tcW w:w="284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7"/>
              <w:ind w:right="106"/>
              <w:jc w:val="right"/>
              <w:rPr>
                <w:rFonts w:ascii="Times New Roman" w:hAnsi="Times New Roman" w:cs="Times New Roman" w:eastAsia="Times New Roman" w:hint="default"/>
                <w:sz w:val="18"/>
                <w:szCs w:val="18"/>
              </w:rPr>
            </w:pPr>
            <w:r>
              <w:rPr>
                <w:rFonts w:ascii="Times New Roman"/>
                <w:spacing w:val="-1"/>
                <w:sz w:val="18"/>
              </w:rPr>
              <w:t>0.50</w:t>
            </w:r>
          </w:p>
        </w:tc>
      </w:tr>
      <w:tr>
        <w:trPr>
          <w:trHeight w:val="410" w:hRule="exact"/>
        </w:trPr>
        <w:tc>
          <w:tcPr>
            <w:tcW w:w="284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8"/>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8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pacing w:val="-1"/>
                <w:sz w:val="18"/>
              </w:rPr>
              <w:t>5.00</w:t>
            </w:r>
          </w:p>
        </w:tc>
        <w:tc>
          <w:tcPr>
            <w:tcW w:w="284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7"/>
              <w:ind w:right="106"/>
              <w:jc w:val="right"/>
              <w:rPr>
                <w:rFonts w:ascii="Times New Roman" w:hAnsi="Times New Roman" w:cs="Times New Roman" w:eastAsia="Times New Roman" w:hint="default"/>
                <w:sz w:val="18"/>
                <w:szCs w:val="18"/>
              </w:rPr>
            </w:pPr>
            <w:r>
              <w:rPr>
                <w:rFonts w:ascii="Times New Roman"/>
                <w:spacing w:val="-1"/>
                <w:sz w:val="18"/>
              </w:rPr>
              <w:t>5.00</w:t>
            </w:r>
          </w:p>
        </w:tc>
      </w:tr>
      <w:tr>
        <w:trPr>
          <w:trHeight w:val="410" w:hRule="exact"/>
        </w:trPr>
        <w:tc>
          <w:tcPr>
            <w:tcW w:w="284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6"/>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8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8"/>
              <w:ind w:right="100"/>
              <w:jc w:val="right"/>
              <w:rPr>
                <w:rFonts w:ascii="Times New Roman" w:hAnsi="Times New Roman" w:cs="Times New Roman" w:eastAsia="Times New Roman" w:hint="default"/>
                <w:sz w:val="18"/>
                <w:szCs w:val="18"/>
              </w:rPr>
            </w:pPr>
            <w:r>
              <w:rPr>
                <w:rFonts w:ascii="Times New Roman"/>
                <w:spacing w:val="-1"/>
                <w:sz w:val="18"/>
              </w:rPr>
              <w:t>10.00</w:t>
            </w:r>
          </w:p>
        </w:tc>
        <w:tc>
          <w:tcPr>
            <w:tcW w:w="284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8"/>
              <w:ind w:right="106"/>
              <w:jc w:val="right"/>
              <w:rPr>
                <w:rFonts w:ascii="Times New Roman" w:hAnsi="Times New Roman" w:cs="Times New Roman" w:eastAsia="Times New Roman" w:hint="default"/>
                <w:sz w:val="18"/>
                <w:szCs w:val="18"/>
              </w:rPr>
            </w:pPr>
            <w:r>
              <w:rPr>
                <w:rFonts w:ascii="Times New Roman"/>
                <w:spacing w:val="-1"/>
                <w:sz w:val="18"/>
              </w:rPr>
              <w:t>10.00</w:t>
            </w:r>
          </w:p>
        </w:tc>
      </w:tr>
      <w:tr>
        <w:trPr>
          <w:trHeight w:val="410" w:hRule="exact"/>
        </w:trPr>
        <w:tc>
          <w:tcPr>
            <w:tcW w:w="284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6"/>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8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8"/>
              <w:ind w:right="100"/>
              <w:jc w:val="right"/>
              <w:rPr>
                <w:rFonts w:ascii="Times New Roman" w:hAnsi="Times New Roman" w:cs="Times New Roman" w:eastAsia="Times New Roman" w:hint="default"/>
                <w:sz w:val="18"/>
                <w:szCs w:val="18"/>
              </w:rPr>
            </w:pPr>
            <w:r>
              <w:rPr>
                <w:rFonts w:ascii="Times New Roman"/>
                <w:spacing w:val="-1"/>
                <w:sz w:val="18"/>
              </w:rPr>
              <w:t>30.00</w:t>
            </w:r>
          </w:p>
        </w:tc>
        <w:tc>
          <w:tcPr>
            <w:tcW w:w="284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8"/>
              <w:ind w:right="106"/>
              <w:jc w:val="right"/>
              <w:rPr>
                <w:rFonts w:ascii="Times New Roman" w:hAnsi="Times New Roman" w:cs="Times New Roman" w:eastAsia="Times New Roman" w:hint="default"/>
                <w:sz w:val="18"/>
                <w:szCs w:val="18"/>
              </w:rPr>
            </w:pPr>
            <w:r>
              <w:rPr>
                <w:rFonts w:ascii="Times New Roman"/>
                <w:spacing w:val="-1"/>
                <w:sz w:val="18"/>
              </w:rPr>
              <w:t>30.00</w:t>
            </w:r>
          </w:p>
        </w:tc>
      </w:tr>
      <w:tr>
        <w:trPr>
          <w:trHeight w:val="410" w:hRule="exact"/>
        </w:trPr>
        <w:tc>
          <w:tcPr>
            <w:tcW w:w="284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6"/>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8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9"/>
              <w:ind w:right="100"/>
              <w:jc w:val="right"/>
              <w:rPr>
                <w:rFonts w:ascii="Times New Roman" w:hAnsi="Times New Roman" w:cs="Times New Roman" w:eastAsia="Times New Roman" w:hint="default"/>
                <w:sz w:val="18"/>
                <w:szCs w:val="18"/>
              </w:rPr>
            </w:pPr>
            <w:r>
              <w:rPr>
                <w:rFonts w:ascii="Times New Roman"/>
                <w:spacing w:val="-1"/>
                <w:sz w:val="18"/>
              </w:rPr>
              <w:t>50.00</w:t>
            </w:r>
          </w:p>
        </w:tc>
        <w:tc>
          <w:tcPr>
            <w:tcW w:w="284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9"/>
              <w:ind w:right="106"/>
              <w:jc w:val="right"/>
              <w:rPr>
                <w:rFonts w:ascii="Times New Roman" w:hAnsi="Times New Roman" w:cs="Times New Roman" w:eastAsia="Times New Roman" w:hint="default"/>
                <w:sz w:val="18"/>
                <w:szCs w:val="18"/>
              </w:rPr>
            </w:pPr>
            <w:r>
              <w:rPr>
                <w:rFonts w:ascii="Times New Roman"/>
                <w:spacing w:val="-1"/>
                <w:sz w:val="18"/>
              </w:rPr>
              <w:t>50.00</w:t>
            </w:r>
          </w:p>
        </w:tc>
      </w:tr>
      <w:tr>
        <w:trPr>
          <w:trHeight w:val="420" w:hRule="exact"/>
        </w:trPr>
        <w:tc>
          <w:tcPr>
            <w:tcW w:w="2843"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87"/>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84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29"/>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2842"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29"/>
              <w:ind w:right="106"/>
              <w:jc w:val="right"/>
              <w:rPr>
                <w:rFonts w:ascii="Times New Roman" w:hAnsi="Times New Roman" w:cs="Times New Roman" w:eastAsia="Times New Roman" w:hint="default"/>
                <w:sz w:val="18"/>
                <w:szCs w:val="18"/>
              </w:rPr>
            </w:pPr>
            <w:r>
              <w:rPr>
                <w:rFonts w:ascii="Times New Roman"/>
                <w:spacing w:val="-1"/>
                <w:sz w:val="18"/>
              </w:rPr>
              <w:t>100.00</w:t>
            </w:r>
          </w:p>
        </w:tc>
      </w:tr>
    </w:tbl>
    <w:p>
      <w:pPr>
        <w:pStyle w:val="Heading4"/>
        <w:spacing w:line="241" w:lineRule="exact" w:before="0"/>
        <w:ind w:left="660" w:right="791"/>
        <w:jc w:val="left"/>
      </w:pPr>
      <w:r>
        <w:rPr/>
        <w:t>Ⅲ</w:t>
      </w:r>
      <w:r>
        <w:rPr>
          <w:spacing w:val="-13"/>
        </w:rPr>
        <w:t> </w:t>
      </w:r>
      <w:r>
        <w:rPr/>
        <w:t>单项金额不重大但单独计提坏账准备的应收款项：</w:t>
      </w:r>
    </w:p>
    <w:p>
      <w:pPr>
        <w:pStyle w:val="Heading4"/>
        <w:spacing w:line="357" w:lineRule="auto" w:before="133"/>
        <w:ind w:left="660" w:right="791"/>
        <w:jc w:val="left"/>
      </w:pPr>
      <w:r>
        <w:rPr/>
        <w:t>单项计提坏账准备的理由：</w:t>
      </w:r>
      <w:r>
        <w:rPr>
          <w:w w:val="99"/>
        </w:rPr>
        <w:t> </w:t>
      </w:r>
      <w:r>
        <w:rPr>
          <w:spacing w:val="-2"/>
          <w:w w:val="99"/>
        </w:rPr>
        <w:t>如有客观证据表明年末单项金额不重大的应收款项发生了减值的，根据其未来现金流量</w:t>
      </w:r>
      <w:r>
        <w:rPr>
          <w:spacing w:val="-2"/>
        </w:rPr>
      </w:r>
    </w:p>
    <w:p>
      <w:pPr>
        <w:pStyle w:val="Heading4"/>
        <w:spacing w:line="355" w:lineRule="auto" w:before="30"/>
        <w:ind w:left="660" w:right="2643" w:hanging="423"/>
        <w:jc w:val="left"/>
      </w:pPr>
      <w:r>
        <w:rPr>
          <w:w w:val="95"/>
        </w:rPr>
        <w:t>现值低于其账面价值的差额，确认减值损失，计提坏账准备。</w:t>
      </w:r>
      <w:r>
        <w:rPr>
          <w:spacing w:val="69"/>
          <w:w w:val="95"/>
        </w:rPr>
        <w:t> </w:t>
      </w:r>
      <w:r>
        <w:rPr>
          <w:spacing w:val="69"/>
          <w:w w:val="95"/>
        </w:rPr>
      </w:r>
      <w:r>
        <w:rPr/>
        <w:t>坏账准备的计提方法：</w:t>
      </w:r>
    </w:p>
    <w:p>
      <w:pPr>
        <w:pStyle w:val="Heading4"/>
        <w:spacing w:line="357" w:lineRule="auto"/>
        <w:ind w:left="237" w:right="791" w:firstLine="422"/>
        <w:jc w:val="left"/>
      </w:pPr>
      <w:r>
        <w:rPr>
          <w:spacing w:val="-2"/>
          <w:w w:val="99"/>
        </w:rPr>
        <w:t>单独测试未发生减值的应收账款和其他应收款，以账龄为信用风险特征根据账龄分析法</w:t>
      </w:r>
      <w:r>
        <w:rPr>
          <w:w w:val="99"/>
        </w:rPr>
        <w:t> </w:t>
      </w:r>
      <w:r>
        <w:rPr/>
        <w:t>计提坏账准备。</w:t>
      </w:r>
    </w:p>
    <w:p>
      <w:pPr>
        <w:pStyle w:val="Heading4"/>
        <w:spacing w:line="355" w:lineRule="auto" w:before="30"/>
        <w:ind w:left="660" w:right="791"/>
        <w:jc w:val="left"/>
      </w:pPr>
      <w:r>
        <w:rPr/>
        <w:t>其他说明：</w:t>
      </w:r>
      <w:r>
        <w:rPr>
          <w:w w:val="99"/>
        </w:rPr>
        <w:t> </w:t>
      </w:r>
      <w:r>
        <w:rPr>
          <w:spacing w:val="-2"/>
          <w:w w:val="99"/>
        </w:rPr>
        <w:t>年末对于不适用按账龄段划分的类似信用风险特征组合的应收票据、预付账款和长期应</w:t>
      </w:r>
      <w:r>
        <w:rPr>
          <w:spacing w:val="-2"/>
        </w:rPr>
      </w:r>
    </w:p>
    <w:p>
      <w:pPr>
        <w:pStyle w:val="Heading4"/>
        <w:spacing w:line="355" w:lineRule="auto"/>
        <w:ind w:left="237" w:right="1796"/>
        <w:jc w:val="both"/>
      </w:pPr>
      <w:r>
        <w:rPr>
          <w:spacing w:val="-2"/>
          <w:w w:val="95"/>
        </w:rPr>
        <w:t>收款均进行单项减值测试。如有客观证据表明其发生了减值的，根据其未来现金流量现值低</w:t>
      </w:r>
      <w:r>
        <w:rPr>
          <w:spacing w:val="92"/>
          <w:w w:val="95"/>
        </w:rPr>
        <w:t> </w:t>
      </w:r>
      <w:r>
        <w:rPr>
          <w:spacing w:val="92"/>
          <w:w w:val="95"/>
        </w:rPr>
      </w:r>
      <w:r>
        <w:rPr>
          <w:spacing w:val="-2"/>
          <w:w w:val="95"/>
        </w:rPr>
        <w:t>于其账面价值的差额，确认减值损失，计提坏账准备。如经减值测试未发现减值的，则不计</w:t>
      </w:r>
      <w:r>
        <w:rPr>
          <w:spacing w:val="92"/>
          <w:w w:val="95"/>
        </w:rPr>
        <w:t> </w:t>
      </w:r>
      <w:r>
        <w:rPr>
          <w:spacing w:val="92"/>
          <w:w w:val="95"/>
        </w:rPr>
      </w:r>
      <w:r>
        <w:rPr/>
        <w:t>提坏账准备。</w:t>
      </w:r>
    </w:p>
    <w:p>
      <w:pPr>
        <w:pStyle w:val="Heading4"/>
        <w:spacing w:line="355" w:lineRule="auto" w:before="34"/>
        <w:ind w:left="660" w:right="791"/>
        <w:jc w:val="left"/>
      </w:pPr>
      <w:r>
        <w:rPr/>
        <w:t>③持有至到期投资的减值准备：</w:t>
      </w:r>
      <w:r>
        <w:rPr>
          <w:w w:val="99"/>
        </w:rPr>
        <w:t> </w:t>
      </w:r>
      <w:r>
        <w:rPr>
          <w:w w:val="95"/>
        </w:rPr>
        <w:t>持有至到期投资减值损失的计量比照应收款项减值损失计量方法处理。</w:t>
      </w:r>
      <w:r>
        <w:rPr/>
      </w:r>
    </w:p>
    <w:p>
      <w:pPr>
        <w:spacing w:before="32"/>
        <w:ind w:left="237" w:right="0" w:firstLine="0"/>
        <w:jc w:val="both"/>
        <w:rPr>
          <w:rFonts w:ascii="宋体" w:hAnsi="宋体" w:cs="宋体" w:eastAsia="宋体" w:hint="default"/>
          <w:sz w:val="21"/>
          <w:szCs w:val="21"/>
        </w:rPr>
      </w:pPr>
      <w:bookmarkStart w:name="11、存货" w:id="183"/>
      <w:bookmarkEnd w:id="183"/>
      <w:r>
        <w:rPr/>
      </w:r>
      <w:r>
        <w:rPr>
          <w:rFonts w:ascii="Times New Roman" w:hAnsi="Times New Roman" w:cs="Times New Roman" w:eastAsia="Times New Roman" w:hint="default"/>
          <w:b/>
          <w:bCs/>
          <w:sz w:val="18"/>
          <w:szCs w:val="18"/>
        </w:rPr>
        <w:t>11</w:t>
      </w:r>
      <w:r>
        <w:rPr>
          <w:rFonts w:ascii="宋体" w:hAnsi="宋体" w:cs="宋体" w:eastAsia="宋体" w:hint="default"/>
          <w:b/>
          <w:bCs/>
          <w:sz w:val="21"/>
          <w:szCs w:val="21"/>
        </w:rPr>
        <w:t>、存货</w:t>
      </w:r>
      <w:r>
        <w:rPr>
          <w:rFonts w:ascii="宋体" w:hAnsi="宋体" w:cs="宋体" w:eastAsia="宋体" w:hint="default"/>
          <w:sz w:val="21"/>
          <w:szCs w:val="21"/>
        </w:rPr>
      </w:r>
    </w:p>
    <w:p>
      <w:pPr>
        <w:pStyle w:val="Heading4"/>
        <w:spacing w:line="240" w:lineRule="auto" w:before="123"/>
        <w:ind w:left="657" w:right="791"/>
        <w:jc w:val="left"/>
      </w:pPr>
      <w:r>
        <w:rPr>
          <w:rFonts w:ascii="Times New Roman" w:hAnsi="Times New Roman" w:cs="Times New Roman" w:eastAsia="Times New Roman" w:hint="default"/>
        </w:rPr>
        <w:t>(1)</w:t>
      </w:r>
      <w:r>
        <w:rPr/>
        <w:t>存货的分类</w:t>
      </w:r>
    </w:p>
    <w:p>
      <w:pPr>
        <w:spacing w:after="0" w:line="240" w:lineRule="auto"/>
        <w:jc w:val="left"/>
        <w:sectPr>
          <w:pgSz w:w="11910" w:h="16840"/>
          <w:pgMar w:header="712" w:footer="1264" w:top="980" w:bottom="1460" w:left="1560" w:right="0"/>
        </w:sectPr>
      </w:pPr>
    </w:p>
    <w:p>
      <w:pPr>
        <w:spacing w:line="240" w:lineRule="auto" w:before="9"/>
        <w:rPr>
          <w:rFonts w:ascii="宋体" w:hAnsi="宋体" w:cs="宋体" w:eastAsia="宋体" w:hint="default"/>
          <w:sz w:val="29"/>
          <w:szCs w:val="29"/>
        </w:rPr>
      </w:pPr>
    </w:p>
    <w:p>
      <w:pPr>
        <w:pStyle w:val="Heading4"/>
        <w:spacing w:line="240" w:lineRule="auto" w:before="34"/>
        <w:ind w:left="537" w:right="1603"/>
        <w:jc w:val="left"/>
      </w:pPr>
      <w:r>
        <w:rPr/>
        <w:t>存货分类为：原材料、在产品、库存商品、开发产品等。</w:t>
      </w:r>
    </w:p>
    <w:p>
      <w:pPr>
        <w:pStyle w:val="Heading4"/>
        <w:spacing w:line="348" w:lineRule="auto" w:before="133"/>
        <w:ind w:left="537" w:right="6202"/>
        <w:jc w:val="left"/>
      </w:pPr>
      <w:r>
        <w:rPr>
          <w:rFonts w:ascii="Times New Roman" w:hAnsi="Times New Roman" w:cs="Times New Roman" w:eastAsia="Times New Roman" w:hint="default"/>
        </w:rPr>
        <w:t>(2)</w:t>
      </w:r>
      <w:r>
        <w:rPr/>
        <w:t>发出存货的计价方法</w:t>
      </w:r>
      <w:r>
        <w:rPr>
          <w:w w:val="99"/>
        </w:rPr>
        <w:t> </w:t>
      </w:r>
      <w:r>
        <w:rPr/>
        <w:t>存货发出时按加权平均法计价。</w:t>
      </w:r>
      <w:r>
        <w:rPr>
          <w:w w:val="99"/>
        </w:rPr>
        <w:t> </w:t>
      </w:r>
      <w:r>
        <w:rPr>
          <w:rFonts w:ascii="Times New Roman" w:hAnsi="Times New Roman" w:cs="Times New Roman" w:eastAsia="Times New Roman" w:hint="default"/>
          <w:w w:val="95"/>
        </w:rPr>
        <w:t>(3)</w:t>
      </w:r>
      <w:r>
        <w:rPr>
          <w:w w:val="95"/>
        </w:rPr>
        <w:t>不同类别存货可变现净值的确定依据</w:t>
      </w:r>
      <w:r>
        <w:rPr/>
      </w:r>
    </w:p>
    <w:p>
      <w:pPr>
        <w:pStyle w:val="Heading4"/>
        <w:spacing w:line="357" w:lineRule="auto" w:before="12"/>
        <w:ind w:right="1709" w:firstLine="422"/>
        <w:jc w:val="both"/>
      </w:pPr>
      <w:r>
        <w:rPr>
          <w:w w:val="95"/>
        </w:rPr>
        <w:t>产成品、库存商品和用于出售的材料等直接用于出售的商品存货，在正常生产经营过程</w:t>
      </w:r>
      <w:r>
        <w:rPr>
          <w:w w:val="99"/>
        </w:rPr>
        <w:t> </w:t>
      </w:r>
      <w:r>
        <w:rPr>
          <w:w w:val="95"/>
        </w:rPr>
        <w:t>中，以该存货的估计售价减去估计的销售费用和相关税费后的金额，确定其可变现净值；需</w:t>
      </w:r>
      <w:r>
        <w:rPr>
          <w:spacing w:val="13"/>
          <w:w w:val="95"/>
        </w:rPr>
        <w:t> </w:t>
      </w:r>
      <w:r>
        <w:rPr>
          <w:spacing w:val="13"/>
          <w:w w:val="95"/>
        </w:rPr>
      </w:r>
      <w:r>
        <w:rPr>
          <w:w w:val="95"/>
        </w:rPr>
        <w:t>要经过加工的材料存货，在正常生产经营过程中，以所生产的产成品的估计售价减去至完工</w:t>
      </w:r>
      <w:r>
        <w:rPr>
          <w:spacing w:val="12"/>
          <w:w w:val="95"/>
        </w:rPr>
        <w:t> </w:t>
      </w:r>
      <w:r>
        <w:rPr>
          <w:spacing w:val="12"/>
          <w:w w:val="95"/>
        </w:rPr>
      </w:r>
      <w:r>
        <w:rPr>
          <w:w w:val="95"/>
        </w:rPr>
        <w:t>时估计将要发生的成本、估计的销售费用和相关税费后的金额，确定其可变现净值；为执行</w:t>
      </w:r>
      <w:r>
        <w:rPr>
          <w:spacing w:val="13"/>
          <w:w w:val="95"/>
        </w:rPr>
        <w:t> </w:t>
      </w:r>
      <w:r>
        <w:rPr>
          <w:spacing w:val="13"/>
          <w:w w:val="95"/>
        </w:rPr>
      </w:r>
      <w:r>
        <w:rPr>
          <w:w w:val="95"/>
        </w:rPr>
        <w:t>销售合同或者劳务合同而持有的存货，其可变现净值以合同价格为基础计算，若持有存货的</w:t>
      </w:r>
      <w:r>
        <w:rPr>
          <w:spacing w:val="12"/>
          <w:w w:val="95"/>
        </w:rPr>
        <w:t> </w:t>
      </w:r>
      <w:r>
        <w:rPr>
          <w:spacing w:val="12"/>
          <w:w w:val="95"/>
        </w:rPr>
      </w:r>
      <w:r>
        <w:rPr>
          <w:w w:val="95"/>
        </w:rPr>
        <w:t>数量多于销售合同订购数量的，超出部分的存货的可变现净值以一般销售价格为基础计算。</w:t>
      </w:r>
      <w:r>
        <w:rPr/>
      </w:r>
    </w:p>
    <w:p>
      <w:pPr>
        <w:pStyle w:val="Heading4"/>
        <w:spacing w:line="355" w:lineRule="auto"/>
        <w:ind w:right="1796" w:firstLine="422"/>
        <w:jc w:val="both"/>
      </w:pPr>
      <w:r>
        <w:rPr>
          <w:spacing w:val="-2"/>
          <w:w w:val="95"/>
        </w:rPr>
        <w:t>期末按照单个存货项目计提存货跌价准备；但对于数量繁多、单价较低的存货，按照存</w:t>
      </w:r>
      <w:r>
        <w:rPr>
          <w:w w:val="99"/>
        </w:rPr>
        <w:t> </w:t>
      </w:r>
      <w:r>
        <w:rPr>
          <w:spacing w:val="-2"/>
          <w:w w:val="95"/>
        </w:rPr>
        <w:t>货类别计提存货跌价准备；与在同一地区生产和销售的产品系列相关、具有相同或类似最终</w:t>
      </w:r>
      <w:r>
        <w:rPr>
          <w:spacing w:val="92"/>
          <w:w w:val="95"/>
        </w:rPr>
        <w:t> </w:t>
      </w:r>
      <w:r>
        <w:rPr>
          <w:spacing w:val="92"/>
          <w:w w:val="95"/>
        </w:rPr>
      </w:r>
      <w:r>
        <w:rPr/>
        <w:t>用途或目的，且难以与其他项目分开计量的存货，则合并计提存货跌价准备。</w:t>
      </w:r>
    </w:p>
    <w:p>
      <w:pPr>
        <w:pStyle w:val="Heading4"/>
        <w:spacing w:line="355" w:lineRule="auto"/>
        <w:ind w:right="1798" w:firstLine="422"/>
        <w:jc w:val="both"/>
      </w:pPr>
      <w:r>
        <w:rPr>
          <w:spacing w:val="-2"/>
          <w:w w:val="99"/>
        </w:rPr>
        <w:t>除有明确证据表明资产负债表日市场价格异常外，存货项目的可变现净值以资产负债表</w:t>
      </w:r>
      <w:r>
        <w:rPr>
          <w:w w:val="99"/>
        </w:rPr>
        <w:t> </w:t>
      </w:r>
      <w:r>
        <w:rPr/>
        <w:t>日市场价格为基础确定。</w:t>
      </w:r>
    </w:p>
    <w:p>
      <w:pPr>
        <w:pStyle w:val="Heading4"/>
        <w:spacing w:line="240" w:lineRule="auto"/>
        <w:ind w:left="537" w:right="1603"/>
        <w:jc w:val="left"/>
      </w:pPr>
      <w:r>
        <w:rPr/>
        <w:t>本期期末存货项目的可变现净值以资产负债表日市场价格为基础确定。</w:t>
      </w:r>
    </w:p>
    <w:p>
      <w:pPr>
        <w:pStyle w:val="Heading4"/>
        <w:spacing w:line="345" w:lineRule="auto" w:before="135"/>
        <w:ind w:left="537" w:right="6315"/>
        <w:jc w:val="left"/>
      </w:pPr>
      <w:r>
        <w:rPr>
          <w:rFonts w:ascii="Times New Roman" w:hAnsi="Times New Roman" w:cs="Times New Roman" w:eastAsia="Times New Roman" w:hint="default"/>
        </w:rPr>
        <w:t>(4)</w:t>
      </w:r>
      <w:r>
        <w:rPr/>
        <w:t>存货的盘存制度</w:t>
      </w:r>
      <w:r>
        <w:rPr>
          <w:w w:val="99"/>
        </w:rPr>
        <w:t> </w:t>
      </w:r>
      <w:r>
        <w:rPr/>
        <w:t>采用永续盘存制。</w:t>
      </w:r>
      <w:r>
        <w:rPr>
          <w:w w:val="99"/>
        </w:rPr>
        <w:t> </w:t>
      </w:r>
      <w:r>
        <w:rPr>
          <w:rFonts w:ascii="Times New Roman" w:hAnsi="Times New Roman" w:cs="Times New Roman" w:eastAsia="Times New Roman" w:hint="default"/>
          <w:w w:val="95"/>
        </w:rPr>
        <w:t>(5)</w:t>
      </w:r>
      <w:r>
        <w:rPr>
          <w:w w:val="95"/>
        </w:rPr>
        <w:t>低值易耗品和包装物的摊销方法</w:t>
      </w:r>
      <w:r>
        <w:rPr/>
      </w:r>
    </w:p>
    <w:p>
      <w:pPr>
        <w:pStyle w:val="Heading4"/>
        <w:spacing w:line="240" w:lineRule="auto" w:before="15"/>
        <w:ind w:left="537" w:right="1603"/>
        <w:jc w:val="left"/>
      </w:pPr>
      <w:r>
        <w:rPr/>
        <w:t>①低值易耗品采用一次转销法。</w:t>
      </w:r>
    </w:p>
    <w:p>
      <w:pPr>
        <w:pStyle w:val="Heading4"/>
        <w:spacing w:line="240" w:lineRule="auto" w:before="135"/>
        <w:ind w:left="537" w:right="1603"/>
        <w:jc w:val="left"/>
      </w:pPr>
      <w:r>
        <w:rPr/>
        <w:t>②包装物采用一次转销法。</w:t>
      </w:r>
    </w:p>
    <w:p>
      <w:pPr>
        <w:spacing w:line="336" w:lineRule="auto" w:before="133"/>
        <w:ind w:left="537" w:right="1603" w:hanging="420"/>
        <w:jc w:val="left"/>
        <w:rPr>
          <w:rFonts w:ascii="宋体" w:hAnsi="宋体" w:cs="宋体" w:eastAsia="宋体" w:hint="default"/>
          <w:sz w:val="21"/>
          <w:szCs w:val="21"/>
        </w:rPr>
      </w:pPr>
      <w:bookmarkStart w:name="12、持有待售资产" w:id="184"/>
      <w:bookmarkEnd w:id="184"/>
      <w:r>
        <w:rPr/>
      </w:r>
      <w:r>
        <w:rPr>
          <w:rFonts w:ascii="Times New Roman" w:hAnsi="Times New Roman" w:cs="Times New Roman" w:eastAsia="Times New Roman" w:hint="default"/>
          <w:b/>
          <w:bCs/>
          <w:sz w:val="21"/>
          <w:szCs w:val="21"/>
        </w:rPr>
        <w:t>12</w:t>
      </w:r>
      <w:r>
        <w:rPr>
          <w:rFonts w:ascii="宋体" w:hAnsi="宋体" w:cs="宋体" w:eastAsia="宋体" w:hint="default"/>
          <w:b/>
          <w:bCs/>
          <w:sz w:val="21"/>
          <w:szCs w:val="21"/>
        </w:rPr>
        <w:t>、持有待售资产</w:t>
      </w:r>
      <w:r>
        <w:rPr>
          <w:rFonts w:ascii="宋体" w:hAnsi="宋体" w:cs="宋体" w:eastAsia="宋体" w:hint="default"/>
          <w:b/>
          <w:bCs/>
          <w:w w:val="99"/>
          <w:sz w:val="21"/>
          <w:szCs w:val="21"/>
        </w:rPr>
        <w:t> </w:t>
      </w:r>
      <w:r>
        <w:rPr>
          <w:rFonts w:ascii="宋体" w:hAnsi="宋体" w:cs="宋体" w:eastAsia="宋体" w:hint="default"/>
          <w:spacing w:val="-2"/>
          <w:w w:val="99"/>
          <w:sz w:val="21"/>
          <w:szCs w:val="21"/>
        </w:rPr>
        <w:t>企业主要通过出售而非持续使用一项非流动资产或处置组收回其账面价值的，应当将其</w:t>
      </w:r>
      <w:r>
        <w:rPr>
          <w:rFonts w:ascii="宋体" w:hAnsi="宋体" w:cs="宋体" w:eastAsia="宋体" w:hint="default"/>
          <w:spacing w:val="-2"/>
          <w:sz w:val="21"/>
          <w:szCs w:val="21"/>
        </w:rPr>
      </w:r>
    </w:p>
    <w:p>
      <w:pPr>
        <w:pStyle w:val="Heading4"/>
        <w:spacing w:line="355" w:lineRule="auto" w:before="49"/>
        <w:ind w:left="537" w:right="7360" w:hanging="420"/>
        <w:jc w:val="left"/>
      </w:pPr>
      <w:r>
        <w:rPr/>
        <w:t>划分为持有待售类别。</w:t>
      </w:r>
      <w:r>
        <w:rPr>
          <w:w w:val="99"/>
        </w:rPr>
        <w:t> </w:t>
      </w:r>
      <w:r>
        <w:rPr/>
        <w:t>应当同时满足下列条件：</w:t>
      </w:r>
    </w:p>
    <w:p>
      <w:pPr>
        <w:pStyle w:val="Heading4"/>
        <w:spacing w:line="240" w:lineRule="auto"/>
        <w:ind w:left="537" w:right="1603"/>
        <w:jc w:val="left"/>
      </w:pPr>
      <w:r>
        <w:rPr/>
        <w:t>（一）根据类似交易中出售此类资产或处置组的惯例，在当前状况下即可立即出售；</w:t>
      </w:r>
    </w:p>
    <w:p>
      <w:pPr>
        <w:pStyle w:val="Heading4"/>
        <w:spacing w:line="355" w:lineRule="auto" w:before="135"/>
        <w:ind w:right="1603" w:firstLine="420"/>
        <w:jc w:val="left"/>
      </w:pPr>
      <w:r>
        <w:rPr>
          <w:w w:val="95"/>
        </w:rPr>
        <w:t>（二）出售极可能发生，即企业已经就一项出售计划作出决议且获得确定的购买承诺，</w:t>
      </w:r>
      <w:r>
        <w:rPr>
          <w:w w:val="99"/>
        </w:rPr>
        <w:t> </w:t>
      </w:r>
      <w:r>
        <w:rPr>
          <w:spacing w:val="3"/>
        </w:rPr>
        <w:t>预计出售将在一年内完成。有关规定要求企业相关权力机构或者监管部门批准后方可出售</w:t>
      </w:r>
      <w:r>
        <w:rPr>
          <w:w w:val="99"/>
        </w:rPr>
        <w:t> </w:t>
      </w:r>
      <w:r>
        <w:rPr/>
        <w:t>的，应当已经获得批准。</w:t>
      </w:r>
    </w:p>
    <w:p>
      <w:pPr>
        <w:pStyle w:val="Heading4"/>
        <w:spacing w:line="357" w:lineRule="auto"/>
        <w:ind w:right="1796" w:firstLine="420"/>
        <w:jc w:val="both"/>
      </w:pPr>
      <w:r>
        <w:rPr>
          <w:spacing w:val="-2"/>
          <w:w w:val="95"/>
        </w:rPr>
        <w:t>确定的购买承诺，是指企业与其他方签订的具有法律约束力的购买协议，该协议包含交</w:t>
      </w:r>
      <w:r>
        <w:rPr>
          <w:w w:val="99"/>
        </w:rPr>
        <w:t> </w:t>
      </w:r>
      <w:r>
        <w:rPr>
          <w:spacing w:val="-2"/>
          <w:w w:val="95"/>
        </w:rPr>
        <w:t>易价格、时间和足够严厉的违约惩罚等重要条款，使协议出现重大调整或者撤销的可能性极</w:t>
      </w:r>
      <w:r>
        <w:rPr>
          <w:w w:val="95"/>
        </w:rPr>
        <w:t>  </w:t>
      </w:r>
      <w:r>
        <w:rPr>
          <w:spacing w:val="92"/>
          <w:w w:val="95"/>
        </w:rPr>
        <w:t> </w:t>
      </w:r>
      <w:r>
        <w:rPr>
          <w:spacing w:val="92"/>
          <w:w w:val="95"/>
        </w:rPr>
      </w:r>
      <w:r>
        <w:rPr/>
        <w:t>小。</w:t>
      </w:r>
    </w:p>
    <w:p>
      <w:pPr>
        <w:spacing w:before="30"/>
        <w:ind w:left="117" w:right="1603" w:firstLine="0"/>
        <w:jc w:val="left"/>
        <w:rPr>
          <w:rFonts w:ascii="宋体" w:hAnsi="宋体" w:cs="宋体" w:eastAsia="宋体" w:hint="default"/>
          <w:sz w:val="21"/>
          <w:szCs w:val="21"/>
        </w:rPr>
      </w:pPr>
      <w:bookmarkStart w:name="13、长期股权投资" w:id="185"/>
      <w:bookmarkEnd w:id="185"/>
      <w:r>
        <w:rPr/>
      </w:r>
      <w:r>
        <w:rPr>
          <w:rFonts w:ascii="Times New Roman" w:hAnsi="Times New Roman" w:cs="Times New Roman" w:eastAsia="Times New Roman" w:hint="default"/>
          <w:b/>
          <w:bCs/>
          <w:sz w:val="18"/>
          <w:szCs w:val="18"/>
        </w:rPr>
        <w:t>13</w:t>
      </w:r>
      <w:r>
        <w:rPr>
          <w:rFonts w:ascii="宋体" w:hAnsi="宋体" w:cs="宋体" w:eastAsia="宋体" w:hint="default"/>
          <w:b/>
          <w:bCs/>
          <w:sz w:val="21"/>
          <w:szCs w:val="21"/>
        </w:rPr>
        <w:t>、长期股权投资</w:t>
      </w:r>
      <w:r>
        <w:rPr>
          <w:rFonts w:ascii="宋体" w:hAnsi="宋体" w:cs="宋体" w:eastAsia="宋体" w:hint="default"/>
          <w:sz w:val="21"/>
          <w:szCs w:val="21"/>
        </w:rPr>
      </w:r>
    </w:p>
    <w:p>
      <w:pPr>
        <w:pStyle w:val="Heading4"/>
        <w:spacing w:line="240" w:lineRule="auto" w:before="126"/>
        <w:ind w:left="537" w:right="1603"/>
        <w:jc w:val="left"/>
      </w:pPr>
      <w:r>
        <w:rPr/>
        <w:t>（</w:t>
      </w:r>
      <w:r>
        <w:rPr>
          <w:rFonts w:ascii="Times New Roman" w:hAnsi="Times New Roman" w:cs="Times New Roman" w:eastAsia="Times New Roman" w:hint="default"/>
        </w:rPr>
        <w:t>1</w:t>
      </w:r>
      <w:r>
        <w:rPr/>
        <w:t>）共同控制、重大影响的判断标准</w:t>
      </w:r>
    </w:p>
    <w:p>
      <w:pPr>
        <w:spacing w:after="0" w:line="240" w:lineRule="auto"/>
        <w:jc w:val="left"/>
        <w:sectPr>
          <w:pgSz w:w="11910" w:h="16840"/>
          <w:pgMar w:header="712" w:footer="1264" w:top="980" w:bottom="1460" w:left="1680" w:right="0"/>
        </w:sectPr>
      </w:pPr>
    </w:p>
    <w:p>
      <w:pPr>
        <w:spacing w:line="240" w:lineRule="auto" w:before="9"/>
        <w:rPr>
          <w:rFonts w:ascii="宋体" w:hAnsi="宋体" w:cs="宋体" w:eastAsia="宋体" w:hint="default"/>
          <w:sz w:val="29"/>
          <w:szCs w:val="29"/>
        </w:rPr>
      </w:pPr>
    </w:p>
    <w:p>
      <w:pPr>
        <w:pStyle w:val="Heading4"/>
        <w:spacing w:line="357" w:lineRule="auto" w:before="34"/>
        <w:ind w:right="1796" w:firstLine="422"/>
        <w:jc w:val="both"/>
      </w:pPr>
      <w:r>
        <w:rPr>
          <w:spacing w:val="-2"/>
          <w:w w:val="95"/>
        </w:rPr>
        <w:t>共同控制，是指按照相关约定对某项安排所共有的控制，并且该安排的相关活动必须经</w:t>
      </w:r>
      <w:r>
        <w:rPr>
          <w:w w:val="99"/>
        </w:rPr>
        <w:t> </w:t>
      </w:r>
      <w:r>
        <w:rPr>
          <w:spacing w:val="-2"/>
          <w:w w:val="99"/>
        </w:rPr>
        <w:t>过分享控制权的参与方一致同意后才能决策。本公司与其他合营方一同对被投资单位实施共</w:t>
      </w:r>
      <w:r>
        <w:rPr>
          <w:spacing w:val="-96"/>
          <w:w w:val="99"/>
        </w:rPr>
        <w:t> </w:t>
      </w:r>
      <w:r>
        <w:rPr>
          <w:spacing w:val="-96"/>
          <w:w w:val="99"/>
        </w:rPr>
      </w:r>
      <w:r>
        <w:rPr/>
        <w:t>同控制且对被投资单位净资产享有权利的，被投资单位为本公司的合营企业。</w:t>
      </w:r>
    </w:p>
    <w:p>
      <w:pPr>
        <w:pStyle w:val="Heading4"/>
        <w:spacing w:line="355" w:lineRule="auto" w:before="30"/>
        <w:ind w:right="1796" w:firstLine="420"/>
        <w:jc w:val="both"/>
      </w:pPr>
      <w:r>
        <w:rPr>
          <w:spacing w:val="-2"/>
          <w:w w:val="95"/>
        </w:rPr>
        <w:t>重大影响，是指对一个企业的财务和经营决策有参与决策的权力，但并不能够控制或者</w:t>
      </w:r>
      <w:r>
        <w:rPr>
          <w:w w:val="99"/>
        </w:rPr>
        <w:t> </w:t>
      </w:r>
      <w:r>
        <w:rPr>
          <w:spacing w:val="-2"/>
          <w:w w:val="95"/>
        </w:rPr>
        <w:t>与其他方一起共同控制这些政策的制定。本公司能够对被投资单位施加重大影响的，被投资</w:t>
      </w:r>
      <w:r>
        <w:rPr>
          <w:spacing w:val="92"/>
          <w:w w:val="95"/>
        </w:rPr>
        <w:t> </w:t>
      </w:r>
      <w:r>
        <w:rPr>
          <w:spacing w:val="92"/>
          <w:w w:val="95"/>
        </w:rPr>
      </w:r>
      <w:r>
        <w:rPr/>
        <w:t>单位为本公司联营企业。</w:t>
      </w:r>
    </w:p>
    <w:p>
      <w:pPr>
        <w:pStyle w:val="Heading4"/>
        <w:spacing w:line="240" w:lineRule="auto" w:before="35"/>
        <w:ind w:left="537" w:right="1603"/>
        <w:jc w:val="left"/>
      </w:pPr>
      <w:r>
        <w:rPr/>
        <w:t>（</w:t>
      </w:r>
      <w:r>
        <w:rPr>
          <w:rFonts w:ascii="Times New Roman" w:hAnsi="Times New Roman" w:cs="Times New Roman" w:eastAsia="Times New Roman" w:hint="default"/>
        </w:rPr>
        <w:t>2</w:t>
      </w:r>
      <w:r>
        <w:rPr/>
        <w:t>）初始投资成本的确定</w:t>
      </w:r>
    </w:p>
    <w:p>
      <w:pPr>
        <w:pStyle w:val="Heading4"/>
        <w:spacing w:line="355" w:lineRule="auto" w:before="117"/>
        <w:ind w:left="540" w:right="1603" w:hanging="3"/>
        <w:jc w:val="left"/>
      </w:pPr>
      <w:r>
        <w:rPr/>
        <w:t>①企业合并形成的长期股权投资</w:t>
      </w:r>
      <w:r>
        <w:rPr>
          <w:w w:val="99"/>
        </w:rPr>
        <w:t> </w:t>
      </w:r>
      <w:r>
        <w:rPr>
          <w:spacing w:val="-2"/>
          <w:w w:val="95"/>
        </w:rPr>
        <w:t>同一控制下的企业合并：公司以支付现金、转让非现金资产或承担债务方式以及以发行</w:t>
      </w:r>
      <w:r>
        <w:rPr>
          <w:spacing w:val="-2"/>
        </w:rPr>
      </w:r>
    </w:p>
    <w:p>
      <w:pPr>
        <w:pStyle w:val="Heading4"/>
        <w:spacing w:line="357" w:lineRule="auto"/>
        <w:ind w:right="1796"/>
        <w:jc w:val="both"/>
      </w:pPr>
      <w:r>
        <w:rPr>
          <w:spacing w:val="-2"/>
          <w:w w:val="99"/>
        </w:rPr>
        <w:t>权益性证券作为合并对价的，在合并日按照取得被合并方所有者权益在最终控制方合并财务</w:t>
      </w:r>
      <w:r>
        <w:rPr>
          <w:spacing w:val="-93"/>
          <w:w w:val="99"/>
        </w:rPr>
        <w:t> </w:t>
      </w:r>
      <w:r>
        <w:rPr>
          <w:spacing w:val="-93"/>
          <w:w w:val="99"/>
        </w:rPr>
      </w:r>
      <w:r>
        <w:rPr>
          <w:spacing w:val="-2"/>
          <w:w w:val="99"/>
        </w:rPr>
        <w:t>报表中的账面价值的份额作为长期股权投资的初始投资成本。因追加投资等原因能够对同一</w:t>
      </w:r>
      <w:r>
        <w:rPr>
          <w:spacing w:val="-93"/>
          <w:w w:val="99"/>
        </w:rPr>
        <w:t> </w:t>
      </w:r>
      <w:r>
        <w:rPr>
          <w:spacing w:val="-93"/>
          <w:w w:val="99"/>
        </w:rPr>
      </w:r>
      <w:r>
        <w:rPr>
          <w:spacing w:val="-2"/>
          <w:w w:val="99"/>
        </w:rPr>
        <w:t>控制下的被投资单位实施控制的，在合并日根据合并后应享有被合并方净资产在最终控制方</w:t>
      </w:r>
      <w:r>
        <w:rPr>
          <w:spacing w:val="-93"/>
          <w:w w:val="99"/>
        </w:rPr>
        <w:t> </w:t>
      </w:r>
      <w:r>
        <w:rPr>
          <w:spacing w:val="-93"/>
          <w:w w:val="99"/>
        </w:rPr>
      </w:r>
      <w:r>
        <w:rPr>
          <w:spacing w:val="-2"/>
          <w:w w:val="95"/>
        </w:rPr>
        <w:t>合并财务报表中的账面价值的份额，确定长期股权投资的初始投资成本。合并日长期股权投</w:t>
      </w:r>
      <w:r>
        <w:rPr>
          <w:spacing w:val="92"/>
          <w:w w:val="95"/>
        </w:rPr>
        <w:t> </w:t>
      </w:r>
      <w:r>
        <w:rPr>
          <w:spacing w:val="92"/>
          <w:w w:val="95"/>
        </w:rPr>
      </w:r>
      <w:r>
        <w:rPr>
          <w:spacing w:val="-2"/>
          <w:w w:val="99"/>
        </w:rPr>
        <w:t>资的初始投资成本，与达到合并前的长期股权投资账面价值加上合并日进一步取得股份新支</w:t>
      </w:r>
      <w:r>
        <w:rPr>
          <w:spacing w:val="-93"/>
          <w:w w:val="99"/>
        </w:rPr>
        <w:t> </w:t>
      </w:r>
      <w:r>
        <w:rPr>
          <w:spacing w:val="-93"/>
          <w:w w:val="99"/>
        </w:rPr>
      </w:r>
      <w:r>
        <w:rPr/>
        <w:t>付对价的账面价值之和的差额，调整股本溢价，股本溢价不足冲减的，冲减留存收益。</w:t>
      </w:r>
    </w:p>
    <w:p>
      <w:pPr>
        <w:pStyle w:val="Heading4"/>
        <w:spacing w:line="357" w:lineRule="auto" w:before="30"/>
        <w:ind w:right="1796" w:firstLine="420"/>
        <w:jc w:val="both"/>
      </w:pPr>
      <w:r>
        <w:rPr>
          <w:spacing w:val="-2"/>
          <w:w w:val="99"/>
        </w:rPr>
        <w:t>非同一控制下的企业合并：公司按照购买日确定的合并成本作为长期股权投资的初始投</w:t>
      </w:r>
      <w:r>
        <w:rPr>
          <w:w w:val="99"/>
        </w:rPr>
        <w:t> </w:t>
      </w:r>
      <w:r>
        <w:rPr>
          <w:spacing w:val="-2"/>
          <w:w w:val="95"/>
        </w:rPr>
        <w:t>资成本。因追加投资等原因能够对非同一控制下的被投资单位实施控制的，按照原持有的股</w:t>
      </w:r>
      <w:r>
        <w:rPr>
          <w:spacing w:val="92"/>
          <w:w w:val="95"/>
        </w:rPr>
        <w:t> </w:t>
      </w:r>
      <w:r>
        <w:rPr>
          <w:spacing w:val="92"/>
          <w:w w:val="95"/>
        </w:rPr>
      </w:r>
      <w:r>
        <w:rPr/>
        <w:t>权投资账面价值加上新增投资成本之和，作为改按成本法核算的初始投资成本。</w:t>
      </w:r>
    </w:p>
    <w:p>
      <w:pPr>
        <w:pStyle w:val="Heading4"/>
        <w:spacing w:line="357" w:lineRule="auto" w:before="30"/>
        <w:ind w:left="537" w:right="1603"/>
        <w:jc w:val="left"/>
      </w:pPr>
      <w:r>
        <w:rPr/>
        <w:t>②其他方式取得的长期股权投资</w:t>
      </w:r>
      <w:r>
        <w:rPr>
          <w:w w:val="99"/>
        </w:rPr>
        <w:t> </w:t>
      </w:r>
      <w:r>
        <w:rPr/>
        <w:t>以支付现金方式取得的长期股权投资，按照实际支付的购买价款作为初始投资成本。</w:t>
      </w:r>
      <w:r>
        <w:rPr>
          <w:w w:val="99"/>
        </w:rPr>
        <w:t> </w:t>
      </w:r>
      <w:r>
        <w:rPr>
          <w:spacing w:val="-2"/>
          <w:w w:val="99"/>
        </w:rPr>
        <w:t>以发行权益性证券取得的长期股权投资，按照发行权益性证券的公允价值作为初始投资</w:t>
      </w:r>
      <w:r>
        <w:rPr>
          <w:spacing w:val="-2"/>
        </w:rPr>
      </w:r>
    </w:p>
    <w:p>
      <w:pPr>
        <w:pStyle w:val="Heading4"/>
        <w:spacing w:line="240" w:lineRule="auto" w:before="30"/>
        <w:ind w:right="0"/>
        <w:jc w:val="both"/>
      </w:pPr>
      <w:r>
        <w:rPr/>
        <w:t>成本。</w:t>
      </w:r>
    </w:p>
    <w:p>
      <w:pPr>
        <w:pStyle w:val="Heading4"/>
        <w:spacing w:line="357" w:lineRule="auto" w:before="133"/>
        <w:ind w:right="1796" w:firstLine="422"/>
        <w:jc w:val="both"/>
      </w:pPr>
      <w:r>
        <w:rPr>
          <w:spacing w:val="3"/>
        </w:rPr>
        <w:t>在非货币性资产交换具备商业实质和换入资产或换出资产的公允价值能够可靠计量的</w:t>
      </w:r>
      <w:r>
        <w:rPr>
          <w:w w:val="99"/>
        </w:rPr>
        <w:t> </w:t>
      </w:r>
      <w:r>
        <w:rPr>
          <w:spacing w:val="-2"/>
          <w:w w:val="99"/>
        </w:rPr>
        <w:t>前提下，非货币性资产交换换入的长期股权投资以换出资产的公允价值和应支付的相关税费</w:t>
      </w:r>
      <w:r>
        <w:rPr>
          <w:spacing w:val="-96"/>
          <w:w w:val="99"/>
        </w:rPr>
        <w:t> </w:t>
      </w:r>
      <w:r>
        <w:rPr>
          <w:spacing w:val="-96"/>
          <w:w w:val="99"/>
        </w:rPr>
      </w:r>
      <w:r>
        <w:rPr>
          <w:spacing w:val="-2"/>
          <w:w w:val="95"/>
        </w:rPr>
        <w:t>确定其初始投资成本，除非有确凿证据表明换入资产的公允价值更加可靠；不满足上述前提</w:t>
      </w:r>
      <w:r>
        <w:rPr>
          <w:spacing w:val="92"/>
          <w:w w:val="95"/>
        </w:rPr>
        <w:t> </w:t>
      </w:r>
      <w:r>
        <w:rPr>
          <w:spacing w:val="92"/>
          <w:w w:val="95"/>
        </w:rPr>
      </w:r>
      <w:r>
        <w:rPr>
          <w:spacing w:val="-2"/>
          <w:w w:val="99"/>
        </w:rPr>
        <w:t>的非货币性资产交换，以换出资产的账面价值和应支付的相关税费作为换入长期股权投资的</w:t>
      </w:r>
      <w:r>
        <w:rPr>
          <w:spacing w:val="-96"/>
          <w:w w:val="99"/>
        </w:rPr>
        <w:t> </w:t>
      </w:r>
      <w:r>
        <w:rPr>
          <w:spacing w:val="-96"/>
          <w:w w:val="99"/>
        </w:rPr>
      </w:r>
      <w:r>
        <w:rPr/>
        <w:t>初始投资成本。</w:t>
      </w:r>
    </w:p>
    <w:p>
      <w:pPr>
        <w:pStyle w:val="Heading4"/>
        <w:spacing w:line="240" w:lineRule="auto" w:before="30"/>
        <w:ind w:left="537" w:right="1603"/>
        <w:jc w:val="left"/>
      </w:pPr>
      <w:r>
        <w:rPr/>
        <w:t>通过债务重组取得的长期股权投资，其初始投资成本按照公允价值为基础确定。</w:t>
      </w:r>
    </w:p>
    <w:p>
      <w:pPr>
        <w:pStyle w:val="Heading4"/>
        <w:spacing w:line="240" w:lineRule="auto" w:before="133"/>
        <w:ind w:left="537" w:right="1603"/>
        <w:jc w:val="left"/>
      </w:pPr>
      <w:r>
        <w:rPr/>
        <w:t>（</w:t>
      </w:r>
      <w:r>
        <w:rPr>
          <w:rFonts w:ascii="Times New Roman" w:hAnsi="Times New Roman" w:cs="Times New Roman" w:eastAsia="Times New Roman" w:hint="default"/>
        </w:rPr>
        <w:t>3</w:t>
      </w:r>
      <w:r>
        <w:rPr/>
        <w:t>）后续计量及损益确认方法</w:t>
      </w:r>
    </w:p>
    <w:p>
      <w:pPr>
        <w:pStyle w:val="Heading4"/>
        <w:spacing w:line="357" w:lineRule="auto" w:before="117"/>
        <w:ind w:left="537" w:right="1603"/>
        <w:jc w:val="left"/>
      </w:pPr>
      <w:r>
        <w:rPr/>
        <w:t>①成本法核算的长期股权投资</w:t>
      </w:r>
      <w:r>
        <w:rPr>
          <w:w w:val="99"/>
        </w:rPr>
        <w:t> </w:t>
      </w:r>
      <w:r>
        <w:rPr>
          <w:spacing w:val="-2"/>
          <w:w w:val="95"/>
        </w:rPr>
        <w:t>公司对子公司的长期股权投资，采用成本法核算。除取得投资时实际支付的价款或对价</w:t>
      </w:r>
      <w:r>
        <w:rPr>
          <w:spacing w:val="-2"/>
        </w:rPr>
      </w:r>
    </w:p>
    <w:p>
      <w:pPr>
        <w:pStyle w:val="Heading4"/>
        <w:spacing w:line="355" w:lineRule="auto" w:before="30"/>
        <w:ind w:right="1798"/>
        <w:jc w:val="both"/>
      </w:pPr>
      <w:r>
        <w:rPr>
          <w:spacing w:val="-2"/>
          <w:w w:val="99"/>
        </w:rPr>
        <w:t>中包含的已宣告但尚未发放的现金股利或利润外，公司按照享有被投资单位宣告发放的现金</w:t>
      </w:r>
      <w:r>
        <w:rPr>
          <w:spacing w:val="-96"/>
          <w:w w:val="99"/>
        </w:rPr>
        <w:t> </w:t>
      </w:r>
      <w:r>
        <w:rPr>
          <w:spacing w:val="-96"/>
          <w:w w:val="99"/>
        </w:rPr>
      </w:r>
      <w:r>
        <w:rPr/>
        <w:t>股利或利润确认当期投资收益。</w:t>
      </w:r>
    </w:p>
    <w:p>
      <w:pPr>
        <w:pStyle w:val="Heading4"/>
        <w:spacing w:line="240" w:lineRule="auto" w:before="34"/>
        <w:ind w:left="537" w:right="1603"/>
        <w:jc w:val="left"/>
      </w:pPr>
      <w:r>
        <w:rPr/>
        <w:t>②权益法核算的长期股权投资</w:t>
      </w:r>
    </w:p>
    <w:p>
      <w:pPr>
        <w:spacing w:after="0" w:line="240" w:lineRule="auto"/>
        <w:jc w:val="left"/>
        <w:sectPr>
          <w:pgSz w:w="11910" w:h="16840"/>
          <w:pgMar w:header="712" w:footer="1264" w:top="980" w:bottom="1460" w:left="1680" w:right="0"/>
        </w:sectPr>
      </w:pPr>
    </w:p>
    <w:p>
      <w:pPr>
        <w:spacing w:line="240" w:lineRule="auto" w:before="9"/>
        <w:rPr>
          <w:rFonts w:ascii="宋体" w:hAnsi="宋体" w:cs="宋体" w:eastAsia="宋体" w:hint="default"/>
          <w:sz w:val="29"/>
          <w:szCs w:val="29"/>
        </w:rPr>
      </w:pPr>
    </w:p>
    <w:p>
      <w:pPr>
        <w:pStyle w:val="Heading4"/>
        <w:spacing w:line="357" w:lineRule="auto" w:before="34"/>
        <w:ind w:left="129" w:right="1603" w:firstLine="424"/>
        <w:jc w:val="left"/>
      </w:pPr>
      <w:r>
        <w:rPr>
          <w:spacing w:val="-3"/>
        </w:rPr>
        <w:t>对联营企业和合营企业的长期股权投资，采用权益法核算。初始投资成本大于投资时应</w:t>
      </w:r>
      <w:r>
        <w:rPr>
          <w:w w:val="99"/>
        </w:rPr>
        <w:t> </w:t>
      </w:r>
      <w:r>
        <w:rPr>
          <w:w w:val="95"/>
        </w:rPr>
        <w:t>享有被投资单位可辨认净资产公允价值份额的差额，不调整长期股权投资的初始投资成本；</w:t>
      </w:r>
      <w:r>
        <w:rPr>
          <w:spacing w:val="1"/>
          <w:w w:val="95"/>
        </w:rPr>
        <w:t> </w:t>
      </w:r>
      <w:r>
        <w:rPr>
          <w:spacing w:val="1"/>
          <w:w w:val="95"/>
        </w:rPr>
      </w:r>
      <w:r>
        <w:rPr>
          <w:spacing w:val="-2"/>
          <w:w w:val="99"/>
        </w:rPr>
        <w:t>初始投资成本小于投资时应享有被投资单位可辨认净资产公允价值份额的差额，计入当期损</w:t>
      </w:r>
      <w:r>
        <w:rPr>
          <w:w w:val="99"/>
        </w:rPr>
        <w:t> </w:t>
      </w:r>
      <w:r>
        <w:rPr/>
        <w:t>益。</w:t>
      </w:r>
    </w:p>
    <w:p>
      <w:pPr>
        <w:pStyle w:val="Heading4"/>
        <w:spacing w:line="357" w:lineRule="auto" w:before="30"/>
        <w:ind w:left="129" w:right="1798" w:firstLine="424"/>
        <w:jc w:val="both"/>
      </w:pPr>
      <w:r>
        <w:rPr>
          <w:spacing w:val="-3"/>
          <w:w w:val="99"/>
        </w:rPr>
        <w:t>公司按照应享有或应分担的被投资单位实现的净损益和其他综合收益的份额，分别确认</w:t>
      </w:r>
      <w:r>
        <w:rPr>
          <w:w w:val="99"/>
        </w:rPr>
        <w:t> </w:t>
      </w:r>
      <w:r>
        <w:rPr>
          <w:spacing w:val="-3"/>
        </w:rPr>
        <w:t>投资收益和其他综合收益，同时调整长期股权投资的账面价值；按照被投资单位宣告分派的</w:t>
      </w:r>
      <w:r>
        <w:rPr>
          <w:w w:val="99"/>
        </w:rPr>
        <w:t> </w:t>
      </w:r>
      <w:r>
        <w:rPr>
          <w:spacing w:val="-3"/>
        </w:rPr>
        <w:t>利润或现金股利计算应享有的部分，相应减少长期股权投资的账面价值；对于被投资单位除</w:t>
      </w:r>
      <w:r>
        <w:rPr>
          <w:w w:val="99"/>
        </w:rPr>
        <w:t> </w:t>
      </w:r>
      <w:r>
        <w:rPr>
          <w:spacing w:val="-3"/>
        </w:rPr>
        <w:t>净损益、其他综合收益和利润分配以外所有者权益的其他变动，调整长期股权投资的账面价</w:t>
      </w:r>
      <w:r>
        <w:rPr>
          <w:w w:val="99"/>
        </w:rPr>
        <w:t> </w:t>
      </w:r>
      <w:r>
        <w:rPr/>
        <w:t>值并计入所有者权益。</w:t>
      </w:r>
    </w:p>
    <w:p>
      <w:pPr>
        <w:pStyle w:val="Heading4"/>
        <w:spacing w:line="357" w:lineRule="auto" w:before="30"/>
        <w:ind w:right="1603" w:firstLine="420"/>
        <w:jc w:val="left"/>
      </w:pPr>
      <w:r>
        <w:rPr>
          <w:spacing w:val="-2"/>
          <w:w w:val="99"/>
        </w:rPr>
        <w:t>在确认应享有被投资单位净损益的份额时，以取得投资时被投资单位可辨认净资产的公</w:t>
      </w:r>
      <w:r>
        <w:rPr>
          <w:w w:val="99"/>
        </w:rPr>
        <w:t> </w:t>
      </w:r>
      <w:r>
        <w:rPr>
          <w:spacing w:val="-5"/>
          <w:w w:val="99"/>
        </w:rPr>
        <w:t>允价值为基础，并按照公司的会计政策及会计期间，对被投资单位的净利润进行调整后确认。</w:t>
      </w:r>
      <w:r>
        <w:rPr>
          <w:spacing w:val="-72"/>
          <w:w w:val="99"/>
        </w:rPr>
        <w:t> </w:t>
      </w:r>
      <w:r>
        <w:rPr>
          <w:spacing w:val="-72"/>
          <w:w w:val="99"/>
        </w:rPr>
      </w:r>
      <w:r>
        <w:rPr>
          <w:w w:val="95"/>
        </w:rPr>
        <w:t>在持有投资期间，被投资单位编制合并财务报表的，以合并财务报表中的净利润、其他综合</w:t>
      </w:r>
      <w:r>
        <w:rPr>
          <w:spacing w:val="10"/>
          <w:w w:val="95"/>
        </w:rPr>
        <w:t> </w:t>
      </w:r>
      <w:r>
        <w:rPr>
          <w:spacing w:val="10"/>
          <w:w w:val="95"/>
        </w:rPr>
      </w:r>
      <w:r>
        <w:rPr/>
        <w:t>收益和其他所有者权益变动中归属于被投资单位的金额为基础进行核算。</w:t>
      </w:r>
    </w:p>
    <w:p>
      <w:pPr>
        <w:pStyle w:val="Heading4"/>
        <w:spacing w:line="352" w:lineRule="auto" w:before="30"/>
        <w:ind w:right="1796" w:firstLine="420"/>
        <w:jc w:val="both"/>
      </w:pPr>
      <w:r>
        <w:rPr>
          <w:spacing w:val="-2"/>
          <w:w w:val="99"/>
        </w:rPr>
        <w:t>公司与联营企业、合营企业之间发生的未实现内部交易损益按照应享有的比例计算归属</w:t>
      </w:r>
      <w:r>
        <w:rPr>
          <w:w w:val="99"/>
        </w:rPr>
        <w:t> </w:t>
      </w:r>
      <w:r>
        <w:rPr>
          <w:spacing w:val="-2"/>
          <w:w w:val="95"/>
        </w:rPr>
        <w:t>于公司的部分，予以抵销，在此基础上确认投资收益。与被投资单位发生的未实现内部交易</w:t>
      </w:r>
      <w:r>
        <w:rPr>
          <w:spacing w:val="90"/>
          <w:w w:val="95"/>
        </w:rPr>
        <w:t> </w:t>
      </w:r>
      <w:r>
        <w:rPr>
          <w:spacing w:val="90"/>
          <w:w w:val="95"/>
        </w:rPr>
      </w:r>
      <w:r>
        <w:rPr>
          <w:spacing w:val="-2"/>
          <w:w w:val="95"/>
        </w:rPr>
        <w:t>损失，属于资产减值损失的，全额确认。公司与联营企业、合营企业之间发生投出或出售资</w:t>
      </w:r>
      <w:r>
        <w:rPr>
          <w:spacing w:val="93"/>
          <w:w w:val="95"/>
        </w:rPr>
        <w:t> </w:t>
      </w:r>
      <w:r>
        <w:rPr>
          <w:spacing w:val="93"/>
          <w:w w:val="95"/>
        </w:rPr>
      </w:r>
      <w:r>
        <w:rPr>
          <w:spacing w:val="2"/>
        </w:rPr>
        <w:t>产的交易，该资产构成业务的，按照本附注</w:t>
      </w:r>
      <w:r>
        <w:rPr>
          <w:rFonts w:ascii="Times New Roman" w:hAnsi="Times New Roman" w:cs="Times New Roman" w:eastAsia="Times New Roman" w:hint="default"/>
          <w:spacing w:val="2"/>
        </w:rPr>
        <w:t>“</w:t>
      </w:r>
      <w:r>
        <w:rPr>
          <w:spacing w:val="2"/>
        </w:rPr>
        <w:t>五、</w:t>
      </w:r>
      <w:r>
        <w:rPr>
          <w:rFonts w:ascii="Times New Roman" w:hAnsi="Times New Roman" w:cs="Times New Roman" w:eastAsia="Times New Roman" w:hint="default"/>
          <w:spacing w:val="2"/>
        </w:rPr>
        <w:t>5</w:t>
      </w:r>
      <w:r>
        <w:rPr>
          <w:rFonts w:ascii="Times New Roman" w:hAnsi="Times New Roman" w:cs="Times New Roman" w:eastAsia="Times New Roman" w:hint="default"/>
          <w:spacing w:val="-10"/>
        </w:rPr>
        <w:t> </w:t>
      </w:r>
      <w:r>
        <w:rPr>
          <w:spacing w:val="2"/>
        </w:rPr>
        <w:t>同一控制下和非同一控制下企业合并的</w:t>
      </w:r>
      <w:r>
        <w:rPr>
          <w:w w:val="99"/>
        </w:rPr>
        <w:t> </w:t>
      </w:r>
      <w:r>
        <w:rPr/>
        <w:t>会计处理方法</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五、</w:t>
      </w:r>
      <w:r>
        <w:rPr>
          <w:rFonts w:ascii="Times New Roman" w:hAnsi="Times New Roman" w:cs="Times New Roman" w:eastAsia="Times New Roman" w:hint="default"/>
        </w:rPr>
        <w:t>6</w:t>
      </w:r>
      <w:r>
        <w:rPr>
          <w:rFonts w:ascii="Times New Roman" w:hAnsi="Times New Roman" w:cs="Times New Roman" w:eastAsia="Times New Roman" w:hint="default"/>
          <w:spacing w:val="-19"/>
        </w:rPr>
        <w:t> </w:t>
      </w:r>
      <w:r>
        <w:rPr/>
        <w:t>合并财务报表的编制方法</w:t>
      </w:r>
      <w:r>
        <w:rPr>
          <w:rFonts w:ascii="Times New Roman" w:hAnsi="Times New Roman" w:cs="Times New Roman" w:eastAsia="Times New Roman" w:hint="default"/>
        </w:rPr>
        <w:t>”</w:t>
      </w:r>
      <w:r>
        <w:rPr/>
        <w:t>中披露的相关政策进行会计处理。</w:t>
      </w:r>
    </w:p>
    <w:p>
      <w:pPr>
        <w:pStyle w:val="Heading4"/>
        <w:spacing w:line="357" w:lineRule="auto" w:before="8"/>
        <w:ind w:right="1796" w:firstLine="420"/>
        <w:jc w:val="both"/>
      </w:pPr>
      <w:r>
        <w:rPr>
          <w:spacing w:val="-2"/>
          <w:w w:val="95"/>
        </w:rPr>
        <w:t>在公司确认应分担被投资单位发生的亏损时，按照以下顺序进行处理：首先，冲减长期</w:t>
      </w:r>
      <w:r>
        <w:rPr>
          <w:w w:val="99"/>
        </w:rPr>
        <w:t> </w:t>
      </w:r>
      <w:r>
        <w:rPr>
          <w:spacing w:val="-2"/>
          <w:w w:val="95"/>
        </w:rPr>
        <w:t>股权投资的账面价值。其次，长期股权投资的账面价值不足以冲减的，以其他实质上构成对</w:t>
      </w:r>
      <w:r>
        <w:rPr>
          <w:spacing w:val="93"/>
          <w:w w:val="95"/>
        </w:rPr>
        <w:t> </w:t>
      </w:r>
      <w:r>
        <w:rPr>
          <w:spacing w:val="93"/>
          <w:w w:val="95"/>
        </w:rPr>
      </w:r>
      <w:r>
        <w:rPr>
          <w:spacing w:val="-2"/>
          <w:w w:val="99"/>
        </w:rPr>
        <w:t>被投资单位净投资的长期权益账面价值为限继续确认投资损失，冲减长期应收项目等的账面</w:t>
      </w:r>
      <w:r>
        <w:rPr>
          <w:spacing w:val="-95"/>
          <w:w w:val="99"/>
        </w:rPr>
        <w:t> </w:t>
      </w:r>
      <w:r>
        <w:rPr>
          <w:spacing w:val="-95"/>
          <w:w w:val="99"/>
        </w:rPr>
      </w:r>
      <w:r>
        <w:rPr>
          <w:spacing w:val="-2"/>
          <w:w w:val="95"/>
        </w:rPr>
        <w:t>价值。最后，经过上述处理，按照投资合同或协议约定企业仍承担额外义务的，按预计承担</w:t>
      </w:r>
      <w:r>
        <w:rPr>
          <w:spacing w:val="93"/>
          <w:w w:val="95"/>
        </w:rPr>
        <w:t> </w:t>
      </w:r>
      <w:r>
        <w:rPr>
          <w:spacing w:val="93"/>
          <w:w w:val="95"/>
        </w:rPr>
      </w:r>
      <w:r>
        <w:rPr/>
        <w:t>的义务确认预计负债，计入当期投资损失。</w:t>
      </w:r>
    </w:p>
    <w:p>
      <w:pPr>
        <w:pStyle w:val="Heading4"/>
        <w:spacing w:line="355" w:lineRule="auto" w:before="30"/>
        <w:ind w:left="540" w:right="1603" w:hanging="3"/>
        <w:jc w:val="left"/>
      </w:pPr>
      <w:r>
        <w:rPr/>
        <w:t>③长期股权投资的处置</w:t>
      </w:r>
      <w:r>
        <w:rPr>
          <w:w w:val="99"/>
        </w:rPr>
        <w:t> </w:t>
      </w:r>
      <w:r>
        <w:rPr/>
        <w:t>处置长期股权投资，其账面价值与实际取得价款的差额，计入当期损益。</w:t>
      </w:r>
      <w:r>
        <w:rPr>
          <w:w w:val="99"/>
        </w:rPr>
        <w:t> </w:t>
      </w:r>
      <w:r>
        <w:rPr>
          <w:spacing w:val="-2"/>
          <w:w w:val="95"/>
        </w:rPr>
        <w:t>采用权益法核算的长期股权投资，在处置该项投资时，采用与被投资单位直接处置相关</w:t>
      </w:r>
      <w:r>
        <w:rPr>
          <w:spacing w:val="-2"/>
        </w:rPr>
      </w:r>
    </w:p>
    <w:p>
      <w:pPr>
        <w:pStyle w:val="Heading4"/>
        <w:spacing w:line="355" w:lineRule="auto" w:before="34"/>
        <w:ind w:right="1603"/>
        <w:jc w:val="left"/>
      </w:pPr>
      <w:r>
        <w:rPr>
          <w:w w:val="95"/>
        </w:rPr>
        <w:t>资产或负债相同的基础，按相应比例对原计入其他综合收益的部分进行会计处理。因被投资</w:t>
      </w:r>
      <w:r>
        <w:rPr>
          <w:spacing w:val="12"/>
          <w:w w:val="95"/>
        </w:rPr>
        <w:t> </w:t>
      </w:r>
      <w:r>
        <w:rPr>
          <w:spacing w:val="12"/>
          <w:w w:val="95"/>
        </w:rPr>
      </w:r>
      <w:r>
        <w:rPr>
          <w:w w:val="95"/>
        </w:rPr>
        <w:t>单位除净损益、其他综合收益和利润分配以外的其他所有者权益变动而确认的所有者权益，</w:t>
      </w:r>
      <w:r>
        <w:rPr>
          <w:spacing w:val="99"/>
          <w:w w:val="95"/>
        </w:rPr>
        <w:t> </w:t>
      </w:r>
      <w:r>
        <w:rPr>
          <w:spacing w:val="99"/>
          <w:w w:val="95"/>
        </w:rPr>
      </w:r>
      <w:r>
        <w:rPr>
          <w:spacing w:val="-2"/>
          <w:w w:val="99"/>
        </w:rPr>
        <w:t>按比例结转入当期损益，由于被投资方重新计量设定受益计划净负债或净资产变动而产生的</w:t>
      </w:r>
      <w:r>
        <w:rPr>
          <w:spacing w:val="-93"/>
          <w:w w:val="99"/>
        </w:rPr>
        <w:t> </w:t>
      </w:r>
      <w:r>
        <w:rPr>
          <w:spacing w:val="-93"/>
          <w:w w:val="99"/>
        </w:rPr>
      </w:r>
      <w:r>
        <w:rPr/>
        <w:t>其他综合收益除外。</w:t>
      </w:r>
    </w:p>
    <w:p>
      <w:pPr>
        <w:pStyle w:val="Heading4"/>
        <w:spacing w:line="357" w:lineRule="auto" w:before="35"/>
        <w:ind w:right="1603" w:firstLine="422"/>
        <w:jc w:val="left"/>
      </w:pPr>
      <w:r>
        <w:rPr>
          <w:spacing w:val="-2"/>
          <w:w w:val="99"/>
        </w:rPr>
        <w:t>因处置部分股权投资等原因丧失了对被投资单位的共同控制或重大影响的，处置后的剩</w:t>
      </w:r>
      <w:r>
        <w:rPr>
          <w:w w:val="99"/>
        </w:rPr>
        <w:t> </w:t>
      </w:r>
      <w:r>
        <w:rPr>
          <w:spacing w:val="-2"/>
          <w:w w:val="99"/>
        </w:rPr>
        <w:t>余股权改按金融工具确认和计量准则核算，其在丧失共同控制或重大影响之日的公允价值与</w:t>
      </w:r>
      <w:r>
        <w:rPr>
          <w:spacing w:val="-93"/>
          <w:w w:val="99"/>
        </w:rPr>
        <w:t> </w:t>
      </w:r>
      <w:r>
        <w:rPr>
          <w:spacing w:val="-93"/>
          <w:w w:val="99"/>
        </w:rPr>
      </w:r>
      <w:r>
        <w:rPr>
          <w:w w:val="95"/>
        </w:rPr>
        <w:t>账面价值之间的差额计入当期损益。原股权投资因采用权益法核算而确认的其他综合收益，</w:t>
      </w:r>
      <w:r>
        <w:rPr>
          <w:spacing w:val="99"/>
          <w:w w:val="95"/>
        </w:rPr>
        <w:t> </w:t>
      </w:r>
      <w:r>
        <w:rPr>
          <w:spacing w:val="99"/>
          <w:w w:val="95"/>
        </w:rPr>
      </w:r>
      <w:r>
        <w:rPr>
          <w:spacing w:val="3"/>
        </w:rPr>
        <w:t>在终止采用权益法核算时采用与被投资单位直接处置相关资产或负债相同的基础进行会计</w:t>
      </w:r>
    </w:p>
    <w:p>
      <w:pPr>
        <w:spacing w:after="0" w:line="357" w:lineRule="auto"/>
        <w:jc w:val="left"/>
        <w:sectPr>
          <w:pgSz w:w="11910" w:h="16840"/>
          <w:pgMar w:header="712" w:footer="1264" w:top="980" w:bottom="1460" w:left="1680" w:right="0"/>
        </w:sectPr>
      </w:pPr>
    </w:p>
    <w:p>
      <w:pPr>
        <w:spacing w:line="240" w:lineRule="auto" w:before="9"/>
        <w:rPr>
          <w:rFonts w:ascii="宋体" w:hAnsi="宋体" w:cs="宋体" w:eastAsia="宋体" w:hint="default"/>
          <w:sz w:val="29"/>
          <w:szCs w:val="29"/>
        </w:rPr>
      </w:pPr>
    </w:p>
    <w:p>
      <w:pPr>
        <w:pStyle w:val="Heading4"/>
        <w:spacing w:line="355" w:lineRule="auto" w:before="34"/>
        <w:ind w:right="1603"/>
        <w:jc w:val="left"/>
      </w:pPr>
      <w:r>
        <w:rPr>
          <w:spacing w:val="-2"/>
          <w:w w:val="95"/>
        </w:rPr>
        <w:t>处理。因被投资方除净损益、其他综合收益和利润分配以外的其他所有者权益变动而确认的</w:t>
      </w:r>
      <w:r>
        <w:rPr>
          <w:spacing w:val="92"/>
          <w:w w:val="95"/>
        </w:rPr>
        <w:t> </w:t>
      </w:r>
      <w:r>
        <w:rPr>
          <w:spacing w:val="92"/>
          <w:w w:val="95"/>
        </w:rPr>
      </w:r>
      <w:r>
        <w:rPr/>
        <w:t>所有者权益，在终止采用权益法核算时全部转入当期损益。</w:t>
      </w:r>
    </w:p>
    <w:p>
      <w:pPr>
        <w:pStyle w:val="Heading4"/>
        <w:spacing w:line="357" w:lineRule="auto" w:before="34"/>
        <w:ind w:right="1797" w:firstLine="422"/>
        <w:jc w:val="both"/>
      </w:pPr>
      <w:r>
        <w:rPr>
          <w:spacing w:val="-2"/>
          <w:w w:val="95"/>
        </w:rPr>
        <w:t>因处置部分股权投资等原因丧失了对被投资单位控制权的，在编制个别财务报表时，处</w:t>
      </w:r>
      <w:r>
        <w:rPr>
          <w:w w:val="99"/>
        </w:rPr>
        <w:t> </w:t>
      </w:r>
      <w:r>
        <w:rPr>
          <w:spacing w:val="-2"/>
          <w:w w:val="95"/>
        </w:rPr>
        <w:t>置后的剩余股权能够对被投资单位实施共同控制或重大影响的，改按权益法核算，并对该剩</w:t>
      </w:r>
      <w:r>
        <w:rPr>
          <w:spacing w:val="93"/>
          <w:w w:val="95"/>
        </w:rPr>
        <w:t> </w:t>
      </w:r>
      <w:r>
        <w:rPr>
          <w:spacing w:val="93"/>
          <w:w w:val="95"/>
        </w:rPr>
      </w:r>
      <w:r>
        <w:rPr>
          <w:spacing w:val="-2"/>
          <w:w w:val="99"/>
        </w:rPr>
        <w:t>余股权视同自取得时即采用权益法核算进行调整；处置后的剩余股权不能对被投资单位实施</w:t>
      </w:r>
      <w:r>
        <w:rPr>
          <w:spacing w:val="-96"/>
          <w:w w:val="99"/>
        </w:rPr>
        <w:t> </w:t>
      </w:r>
      <w:r>
        <w:rPr>
          <w:spacing w:val="-96"/>
          <w:w w:val="99"/>
        </w:rPr>
      </w:r>
      <w:r>
        <w:rPr>
          <w:spacing w:val="-2"/>
          <w:w w:val="95"/>
        </w:rPr>
        <w:t>共同控制或施加重大影响的，改按金融工具确认和计量准则的有关规定进行会计处理，其在</w:t>
      </w:r>
      <w:r>
        <w:rPr>
          <w:spacing w:val="92"/>
          <w:w w:val="95"/>
        </w:rPr>
        <w:t> </w:t>
      </w:r>
      <w:r>
        <w:rPr>
          <w:spacing w:val="92"/>
          <w:w w:val="95"/>
        </w:rPr>
      </w:r>
      <w:r>
        <w:rPr/>
        <w:t>丧失控制之日的公允价值与账面价值间的差额计入当期损益。</w:t>
      </w:r>
    </w:p>
    <w:p>
      <w:pPr>
        <w:pStyle w:val="Heading4"/>
        <w:spacing w:line="357" w:lineRule="auto" w:before="30"/>
        <w:ind w:right="1796" w:firstLine="420"/>
        <w:jc w:val="both"/>
      </w:pPr>
      <w:r>
        <w:rPr>
          <w:spacing w:val="-2"/>
          <w:w w:val="95"/>
        </w:rPr>
        <w:t>处置的股权是因追加投资等原因通过企业合并取得的，在编制个别财务报表时，处置后</w:t>
      </w:r>
      <w:r>
        <w:rPr>
          <w:w w:val="99"/>
        </w:rPr>
        <w:t> </w:t>
      </w:r>
      <w:r>
        <w:rPr>
          <w:spacing w:val="-2"/>
          <w:w w:val="99"/>
        </w:rPr>
        <w:t>的剩余股权采用成本法或权益法核算的，购买日之前持有的股权投资因采用权益法核算而确</w:t>
      </w:r>
      <w:r>
        <w:rPr>
          <w:spacing w:val="-96"/>
          <w:w w:val="99"/>
        </w:rPr>
        <w:t> </w:t>
      </w:r>
      <w:r>
        <w:rPr>
          <w:spacing w:val="-96"/>
          <w:w w:val="99"/>
        </w:rPr>
      </w:r>
      <w:r>
        <w:rPr>
          <w:spacing w:val="-2"/>
          <w:w w:val="99"/>
        </w:rPr>
        <w:t>认的其他综合收益和其他所有者权益按比例结转；处置后的剩余股权改按金融工具确认和计</w:t>
      </w:r>
      <w:r>
        <w:rPr>
          <w:spacing w:val="-96"/>
          <w:w w:val="99"/>
        </w:rPr>
        <w:t> </w:t>
      </w:r>
      <w:r>
        <w:rPr>
          <w:spacing w:val="-96"/>
          <w:w w:val="99"/>
        </w:rPr>
      </w:r>
      <w:r>
        <w:rPr/>
        <w:t>量准则进行会计处理的，其他综合收益和其他所有者权益全部结转。</w:t>
      </w:r>
    </w:p>
    <w:p>
      <w:pPr>
        <w:spacing w:line="345" w:lineRule="auto" w:before="30"/>
        <w:ind w:left="537" w:right="1603" w:hanging="420"/>
        <w:jc w:val="left"/>
        <w:rPr>
          <w:rFonts w:ascii="宋体" w:hAnsi="宋体" w:cs="宋体" w:eastAsia="宋体" w:hint="default"/>
          <w:sz w:val="21"/>
          <w:szCs w:val="21"/>
        </w:rPr>
      </w:pPr>
      <w:bookmarkStart w:name="14、投资性房地产" w:id="186"/>
      <w:bookmarkEnd w:id="186"/>
      <w:r>
        <w:rPr/>
      </w:r>
      <w:r>
        <w:rPr>
          <w:rFonts w:ascii="Times New Roman" w:hAnsi="Times New Roman" w:cs="Times New Roman" w:eastAsia="Times New Roman" w:hint="default"/>
          <w:b/>
          <w:bCs/>
          <w:sz w:val="18"/>
          <w:szCs w:val="18"/>
        </w:rPr>
        <w:t>14</w:t>
      </w:r>
      <w:r>
        <w:rPr>
          <w:rFonts w:ascii="宋体" w:hAnsi="宋体" w:cs="宋体" w:eastAsia="宋体" w:hint="default"/>
          <w:b/>
          <w:bCs/>
          <w:sz w:val="21"/>
          <w:szCs w:val="21"/>
        </w:rPr>
        <w:t>、投资性房地产</w:t>
      </w:r>
      <w:r>
        <w:rPr>
          <w:rFonts w:ascii="宋体" w:hAnsi="宋体" w:cs="宋体" w:eastAsia="宋体" w:hint="default"/>
          <w:b/>
          <w:bCs/>
          <w:w w:val="99"/>
          <w:sz w:val="21"/>
          <w:szCs w:val="21"/>
        </w:rPr>
        <w:t> </w:t>
      </w:r>
      <w:r>
        <w:rPr>
          <w:rFonts w:ascii="宋体" w:hAnsi="宋体" w:cs="宋体" w:eastAsia="宋体" w:hint="default"/>
          <w:spacing w:val="-2"/>
          <w:w w:val="95"/>
          <w:sz w:val="21"/>
          <w:szCs w:val="21"/>
        </w:rPr>
        <w:t>投资性房地产是指为赚取租金或资本增值，或两者兼有而持有的房地产，包括已出租的</w:t>
      </w:r>
      <w:r>
        <w:rPr>
          <w:rFonts w:ascii="宋体" w:hAnsi="宋体" w:cs="宋体" w:eastAsia="宋体" w:hint="default"/>
          <w:spacing w:val="-2"/>
          <w:sz w:val="21"/>
          <w:szCs w:val="21"/>
        </w:rPr>
      </w:r>
    </w:p>
    <w:p>
      <w:pPr>
        <w:pStyle w:val="Heading4"/>
        <w:spacing w:line="355" w:lineRule="auto" w:before="40"/>
        <w:ind w:right="1603"/>
        <w:jc w:val="left"/>
      </w:pPr>
      <w:r>
        <w:rPr>
          <w:spacing w:val="-2"/>
          <w:w w:val="95"/>
        </w:rPr>
        <w:t>土地使用权、持有并准备增值后转让的土地使用权、已出租的建筑物（含自行建造或开发活</w:t>
      </w:r>
      <w:r>
        <w:rPr>
          <w:spacing w:val="93"/>
          <w:w w:val="95"/>
        </w:rPr>
        <w:t> </w:t>
      </w:r>
      <w:r>
        <w:rPr>
          <w:spacing w:val="93"/>
          <w:w w:val="95"/>
        </w:rPr>
      </w:r>
      <w:r>
        <w:rPr/>
        <w:t>动完成后用于出租的建筑物以及正在建造或开发过程中将来用于出租的建筑物）。</w:t>
      </w:r>
    </w:p>
    <w:p>
      <w:pPr>
        <w:pStyle w:val="Heading4"/>
        <w:spacing w:line="357" w:lineRule="auto"/>
        <w:ind w:right="1796" w:firstLine="420"/>
        <w:jc w:val="both"/>
      </w:pPr>
      <w:r>
        <w:rPr>
          <w:spacing w:val="-2"/>
          <w:w w:val="99"/>
        </w:rPr>
        <w:t>公司对现有投资性房地产采用成本模式计量。对按照成本模式计量的投资性房地产－出</w:t>
      </w:r>
      <w:r>
        <w:rPr>
          <w:w w:val="99"/>
        </w:rPr>
        <w:t> </w:t>
      </w:r>
      <w:r>
        <w:rPr>
          <w:spacing w:val="-2"/>
          <w:w w:val="99"/>
        </w:rPr>
        <w:t>租用建筑物采用与本公司固定资产相同的折旧政策，出租用土地使用权按与无形资产相同的</w:t>
      </w:r>
      <w:r>
        <w:rPr>
          <w:spacing w:val="-93"/>
          <w:w w:val="99"/>
        </w:rPr>
        <w:t> </w:t>
      </w:r>
      <w:r>
        <w:rPr>
          <w:spacing w:val="-93"/>
          <w:w w:val="99"/>
        </w:rPr>
      </w:r>
      <w:r>
        <w:rPr/>
        <w:t>摊销政策执行。</w:t>
      </w:r>
    </w:p>
    <w:p>
      <w:pPr>
        <w:spacing w:before="30"/>
        <w:ind w:left="117" w:right="1603" w:firstLine="0"/>
        <w:jc w:val="left"/>
        <w:rPr>
          <w:rFonts w:ascii="宋体" w:hAnsi="宋体" w:cs="宋体" w:eastAsia="宋体" w:hint="default"/>
          <w:sz w:val="21"/>
          <w:szCs w:val="21"/>
        </w:rPr>
      </w:pPr>
      <w:bookmarkStart w:name="15、固定资产" w:id="187"/>
      <w:bookmarkEnd w:id="187"/>
      <w:r>
        <w:rPr/>
      </w:r>
      <w:r>
        <w:rPr>
          <w:rFonts w:ascii="Times New Roman" w:hAnsi="Times New Roman" w:cs="Times New Roman" w:eastAsia="Times New Roman" w:hint="default"/>
          <w:b/>
          <w:bCs/>
          <w:sz w:val="18"/>
          <w:szCs w:val="18"/>
        </w:rPr>
        <w:t>15</w:t>
      </w:r>
      <w:r>
        <w:rPr>
          <w:rFonts w:ascii="宋体" w:hAnsi="宋体" w:cs="宋体" w:eastAsia="宋体" w:hint="default"/>
          <w:b/>
          <w:bCs/>
          <w:sz w:val="21"/>
          <w:szCs w:val="21"/>
        </w:rPr>
        <w:t>、固定资产</w:t>
      </w:r>
      <w:r>
        <w:rPr>
          <w:rFonts w:ascii="宋体" w:hAnsi="宋体" w:cs="宋体" w:eastAsia="宋体" w:hint="default"/>
          <w:sz w:val="21"/>
          <w:szCs w:val="21"/>
        </w:rPr>
      </w:r>
    </w:p>
    <w:p>
      <w:pPr>
        <w:pStyle w:val="Heading3"/>
        <w:spacing w:line="240" w:lineRule="auto" w:before="123"/>
        <w:ind w:left="117" w:right="1603"/>
        <w:jc w:val="left"/>
        <w:rPr>
          <w:b w:val="0"/>
          <w:bCs w:val="0"/>
        </w:rPr>
      </w:pPr>
      <w:bookmarkStart w:name="（1）确认条件" w:id="188"/>
      <w:bookmarkEnd w:id="188"/>
      <w:r>
        <w:rPr>
          <w:b w:val="0"/>
          <w:bCs w:val="0"/>
        </w:rPr>
      </w:r>
      <w:r>
        <w:rPr/>
        <w:t>（</w:t>
      </w:r>
      <w:r>
        <w:rPr>
          <w:rFonts w:ascii="Times New Roman" w:hAnsi="Times New Roman" w:cs="Times New Roman" w:eastAsia="Times New Roman" w:hint="default"/>
          <w:sz w:val="18"/>
          <w:szCs w:val="18"/>
        </w:rPr>
        <w:t>1</w:t>
      </w:r>
      <w:r>
        <w:rPr/>
        <w:t>）确认条件</w:t>
      </w:r>
      <w:r>
        <w:rPr>
          <w:b w:val="0"/>
          <w:bCs w:val="0"/>
        </w:rPr>
      </w:r>
    </w:p>
    <w:p>
      <w:pPr>
        <w:pStyle w:val="Heading4"/>
        <w:spacing w:line="355" w:lineRule="auto" w:before="126"/>
        <w:ind w:right="1796" w:firstLine="420"/>
        <w:jc w:val="both"/>
      </w:pPr>
      <w:r>
        <w:rPr>
          <w:spacing w:val="-2"/>
          <w:w w:val="95"/>
        </w:rPr>
        <w:t>固定资产指为生产商品、提供劳务、出租或经营管理而持有，并且使用寿命超过一个会</w:t>
      </w:r>
      <w:r>
        <w:rPr>
          <w:w w:val="99"/>
        </w:rPr>
        <w:t> </w:t>
      </w:r>
      <w:r>
        <w:rPr/>
        <w:t>计年度的有形资产。固定资产在同时满足下列条件时予以确认：</w:t>
      </w:r>
    </w:p>
    <w:p>
      <w:pPr>
        <w:pStyle w:val="Heading4"/>
        <w:spacing w:line="240" w:lineRule="auto"/>
        <w:ind w:left="537" w:right="1603"/>
        <w:jc w:val="left"/>
      </w:pPr>
      <w:r>
        <w:rPr/>
        <w:t>①与该固定资产有关的经济利益很可能流入企业。</w:t>
      </w:r>
    </w:p>
    <w:p>
      <w:pPr>
        <w:pStyle w:val="Heading4"/>
        <w:spacing w:line="240" w:lineRule="auto" w:before="133"/>
        <w:ind w:left="537" w:right="1603"/>
        <w:jc w:val="left"/>
      </w:pPr>
      <w:r>
        <w:rPr/>
        <w:t>②该固定资产的成本能够可靠地计量。</w:t>
      </w:r>
    </w:p>
    <w:p>
      <w:pPr>
        <w:pStyle w:val="Heading3"/>
        <w:spacing w:line="240" w:lineRule="auto" w:before="133"/>
        <w:ind w:left="117" w:right="1603"/>
        <w:jc w:val="left"/>
        <w:rPr>
          <w:b w:val="0"/>
          <w:bCs w:val="0"/>
        </w:rPr>
      </w:pPr>
      <w:bookmarkStart w:name="（2）折旧方法" w:id="189"/>
      <w:bookmarkEnd w:id="189"/>
      <w:r>
        <w:rPr>
          <w:b w:val="0"/>
          <w:bCs w:val="0"/>
        </w:rPr>
      </w:r>
      <w:r>
        <w:rPr/>
        <w:t>（</w:t>
      </w:r>
      <w:r>
        <w:rPr>
          <w:rFonts w:ascii="Times New Roman" w:hAnsi="Times New Roman" w:cs="Times New Roman" w:eastAsia="Times New Roman" w:hint="default"/>
          <w:sz w:val="18"/>
          <w:szCs w:val="18"/>
        </w:rPr>
        <w:t>2</w:t>
      </w:r>
      <w:r>
        <w:rPr/>
        <w:t>）折旧方法</w:t>
      </w:r>
      <w:r>
        <w:rPr>
          <w:b w:val="0"/>
          <w:bCs w:val="0"/>
        </w:rPr>
      </w:r>
    </w:p>
    <w:p>
      <w:pPr>
        <w:pStyle w:val="Heading4"/>
        <w:spacing w:line="357" w:lineRule="auto" w:before="123"/>
        <w:ind w:right="1796" w:firstLine="420"/>
        <w:jc w:val="both"/>
      </w:pPr>
      <w:r>
        <w:rPr>
          <w:spacing w:val="-2"/>
          <w:w w:val="95"/>
        </w:rPr>
        <w:t>固定资产折旧采用年限平均法分类计提，根据固定资产类别、预计使用寿命和预计净残</w:t>
      </w:r>
      <w:r>
        <w:rPr>
          <w:w w:val="99"/>
        </w:rPr>
        <w:t> </w:t>
      </w:r>
      <w:r>
        <w:rPr>
          <w:spacing w:val="-2"/>
          <w:w w:val="99"/>
        </w:rPr>
        <w:t>值率确定折旧率。如固定资产各组成部分的使用寿命不同或者以不同方式为企业提供经济利</w:t>
      </w:r>
      <w:r>
        <w:rPr>
          <w:spacing w:val="-96"/>
          <w:w w:val="99"/>
        </w:rPr>
        <w:t> </w:t>
      </w:r>
      <w:r>
        <w:rPr>
          <w:spacing w:val="-96"/>
          <w:w w:val="99"/>
        </w:rPr>
      </w:r>
      <w:r>
        <w:rPr/>
        <w:t>益，则选择不同折旧率或折旧方法，分别计提折旧。</w:t>
      </w:r>
    </w:p>
    <w:p>
      <w:pPr>
        <w:pStyle w:val="Heading4"/>
        <w:spacing w:line="357" w:lineRule="auto" w:before="30"/>
        <w:ind w:right="1603" w:firstLine="420"/>
        <w:jc w:val="left"/>
      </w:pPr>
      <w:r>
        <w:rPr>
          <w:w w:val="95"/>
        </w:rPr>
        <w:t>融资租赁方式租入的固定资产，能合理确定租赁期届满时将会取得租赁资产所有权的，</w:t>
      </w:r>
      <w:r>
        <w:rPr>
          <w:w w:val="99"/>
        </w:rPr>
        <w:t> </w:t>
      </w:r>
      <w:r>
        <w:rPr>
          <w:spacing w:val="-2"/>
          <w:w w:val="99"/>
        </w:rPr>
        <w:t>在租赁资产尚可使用年限内计提折旧；无法合理确定租赁期届满时能够取得租赁资产所有权</w:t>
      </w:r>
      <w:r>
        <w:rPr>
          <w:spacing w:val="-93"/>
          <w:w w:val="99"/>
        </w:rPr>
        <w:t> </w:t>
      </w:r>
      <w:r>
        <w:rPr>
          <w:spacing w:val="-93"/>
          <w:w w:val="99"/>
        </w:rPr>
      </w:r>
      <w:r>
        <w:rPr/>
        <w:t>的，在租赁期与租赁资产尚可使用年限两者中较短的期间内计提折旧。</w:t>
      </w:r>
    </w:p>
    <w:p>
      <w:pPr>
        <w:pStyle w:val="Heading4"/>
        <w:spacing w:line="240" w:lineRule="auto" w:before="30"/>
        <w:ind w:left="537" w:right="1603"/>
        <w:jc w:val="left"/>
      </w:pPr>
      <w:r>
        <w:rPr/>
        <w:t>各类固定资产折旧年限和年折旧率如下：</w:t>
      </w:r>
    </w:p>
    <w:p>
      <w:pPr>
        <w:spacing w:line="240" w:lineRule="auto" w:before="12"/>
        <w:rPr>
          <w:rFonts w:ascii="宋体" w:hAnsi="宋体" w:cs="宋体" w:eastAsia="宋体" w:hint="default"/>
          <w:sz w:val="12"/>
          <w:szCs w:val="12"/>
        </w:rPr>
      </w:pPr>
    </w:p>
    <w:tbl>
      <w:tblPr>
        <w:tblW w:w="0" w:type="auto"/>
        <w:jc w:val="left"/>
        <w:tblInd w:w="112" w:type="dxa"/>
        <w:tblLayout w:type="fixed"/>
        <w:tblCellMar>
          <w:top w:w="0" w:type="dxa"/>
          <w:left w:w="0" w:type="dxa"/>
          <w:bottom w:w="0" w:type="dxa"/>
          <w:right w:w="0" w:type="dxa"/>
        </w:tblCellMar>
        <w:tblLook w:val="01E0"/>
      </w:tblPr>
      <w:tblGrid>
        <w:gridCol w:w="1914"/>
        <w:gridCol w:w="1630"/>
        <w:gridCol w:w="1701"/>
        <w:gridCol w:w="1701"/>
        <w:gridCol w:w="1559"/>
      </w:tblGrid>
      <w:tr>
        <w:trPr>
          <w:trHeight w:val="360"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6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折旧方法</w:t>
            </w:r>
          </w:p>
        </w:tc>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6" w:lineRule="exact"/>
              <w:ind w:left="1" w:right="0"/>
              <w:jc w:val="center"/>
              <w:rPr>
                <w:rFonts w:ascii="宋体" w:hAnsi="宋体" w:cs="宋体" w:eastAsia="宋体" w:hint="default"/>
                <w:sz w:val="18"/>
                <w:szCs w:val="18"/>
              </w:rPr>
            </w:pPr>
            <w:r>
              <w:rPr>
                <w:rFonts w:ascii="宋体" w:hAnsi="宋体" w:cs="宋体" w:eastAsia="宋体" w:hint="default"/>
                <w:sz w:val="18"/>
                <w:szCs w:val="18"/>
              </w:rPr>
              <w:t>折旧年限</w:t>
            </w:r>
          </w:p>
        </w:tc>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6" w:lineRule="exact"/>
              <w:ind w:right="1"/>
              <w:jc w:val="center"/>
              <w:rPr>
                <w:rFonts w:ascii="宋体" w:hAnsi="宋体" w:cs="宋体" w:eastAsia="宋体" w:hint="default"/>
                <w:sz w:val="18"/>
                <w:szCs w:val="18"/>
              </w:rPr>
            </w:pPr>
            <w:r>
              <w:rPr>
                <w:rFonts w:ascii="宋体" w:hAnsi="宋体" w:cs="宋体" w:eastAsia="宋体" w:hint="default"/>
                <w:sz w:val="18"/>
                <w:szCs w:val="18"/>
              </w:rPr>
              <w:t>年折旧率</w:t>
            </w:r>
          </w:p>
        </w:tc>
      </w:tr>
      <w:tr>
        <w:trPr>
          <w:trHeight w:val="358"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房屋及建筑物</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35 </w:t>
            </w:r>
            <w:r>
              <w:rPr>
                <w:rFonts w:ascii="宋体" w:hAnsi="宋体" w:cs="宋体" w:eastAsia="宋体" w:hint="default"/>
                <w:sz w:val="18"/>
                <w:szCs w:val="18"/>
              </w:rPr>
              <w:t>年</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Times New Roman" w:hAnsi="Times New Roman" w:cs="Times New Roman" w:eastAsia="Times New Roman" w:hint="default"/>
                <w:sz w:val="18"/>
                <w:szCs w:val="18"/>
              </w:rPr>
            </w:pPr>
            <w:r>
              <w:rPr>
                <w:rFonts w:ascii="Times New Roman"/>
                <w:sz w:val="18"/>
              </w:rPr>
              <w:t>5.00%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Times New Roman" w:hAnsi="Times New Roman" w:cs="Times New Roman" w:eastAsia="Times New Roman" w:hint="default"/>
                <w:sz w:val="18"/>
                <w:szCs w:val="18"/>
              </w:rPr>
            </w:pPr>
            <w:r>
              <w:rPr>
                <w:rFonts w:ascii="Times New Roman"/>
                <w:sz w:val="18"/>
              </w:rPr>
              <w:t>2.71%</w:t>
            </w:r>
          </w:p>
        </w:tc>
      </w:tr>
    </w:tbl>
    <w:p>
      <w:pPr>
        <w:spacing w:after="0" w:line="240" w:lineRule="auto"/>
        <w:jc w:val="center"/>
        <w:rPr>
          <w:rFonts w:ascii="Times New Roman" w:hAnsi="Times New Roman" w:cs="Times New Roman" w:eastAsia="Times New Roman" w:hint="default"/>
          <w:sz w:val="18"/>
          <w:szCs w:val="18"/>
        </w:rPr>
        <w:sectPr>
          <w:pgSz w:w="11910" w:h="16840"/>
          <w:pgMar w:header="712" w:footer="1264" w:top="980" w:bottom="1460" w:left="16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tbl>
      <w:tblPr>
        <w:tblW w:w="0" w:type="auto"/>
        <w:jc w:val="left"/>
        <w:tblInd w:w="112" w:type="dxa"/>
        <w:tblLayout w:type="fixed"/>
        <w:tblCellMar>
          <w:top w:w="0" w:type="dxa"/>
          <w:left w:w="0" w:type="dxa"/>
          <w:bottom w:w="0" w:type="dxa"/>
          <w:right w:w="0" w:type="dxa"/>
        </w:tblCellMar>
        <w:tblLook w:val="01E0"/>
      </w:tblPr>
      <w:tblGrid>
        <w:gridCol w:w="1914"/>
        <w:gridCol w:w="1630"/>
        <w:gridCol w:w="1701"/>
        <w:gridCol w:w="1701"/>
        <w:gridCol w:w="1559"/>
      </w:tblGrid>
      <w:tr>
        <w:trPr>
          <w:trHeight w:val="360"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right="0"/>
              <w:jc w:val="center"/>
              <w:rPr>
                <w:rFonts w:ascii="宋体" w:hAnsi="宋体" w:cs="宋体" w:eastAsia="宋体" w:hint="default"/>
                <w:sz w:val="18"/>
                <w:szCs w:val="18"/>
              </w:rPr>
            </w:pPr>
            <w:r>
              <w:rPr>
                <w:rFonts w:ascii="宋体" w:hAnsi="宋体" w:cs="宋体" w:eastAsia="宋体" w:hint="default"/>
                <w:sz w:val="18"/>
                <w:szCs w:val="18"/>
              </w:rPr>
              <w:t>运输设备</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right="1"/>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7-10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611"/>
              <w:jc w:val="right"/>
              <w:rPr>
                <w:rFonts w:ascii="Times New Roman" w:hAnsi="Times New Roman" w:cs="Times New Roman" w:eastAsia="Times New Roman" w:hint="default"/>
                <w:sz w:val="18"/>
                <w:szCs w:val="18"/>
              </w:rPr>
            </w:pPr>
            <w:r>
              <w:rPr>
                <w:rFonts w:ascii="Times New Roman"/>
                <w:spacing w:val="-1"/>
                <w:sz w:val="18"/>
              </w:rPr>
              <w:t>5.00%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Times New Roman" w:hAnsi="Times New Roman" w:cs="Times New Roman" w:eastAsia="Times New Roman" w:hint="default"/>
                <w:sz w:val="18"/>
                <w:szCs w:val="18"/>
              </w:rPr>
            </w:pPr>
            <w:r>
              <w:rPr>
                <w:rFonts w:ascii="Times New Roman"/>
                <w:sz w:val="18"/>
              </w:rPr>
              <w:t>13.57%-9.50%</w:t>
            </w:r>
          </w:p>
        </w:tc>
      </w:tr>
      <w:tr>
        <w:trPr>
          <w:trHeight w:val="360"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right="0"/>
              <w:jc w:val="center"/>
              <w:rPr>
                <w:rFonts w:ascii="宋体" w:hAnsi="宋体" w:cs="宋体" w:eastAsia="宋体" w:hint="default"/>
                <w:sz w:val="18"/>
                <w:szCs w:val="18"/>
              </w:rPr>
            </w:pPr>
            <w:r>
              <w:rPr>
                <w:rFonts w:ascii="宋体" w:hAnsi="宋体" w:cs="宋体" w:eastAsia="宋体" w:hint="default"/>
                <w:sz w:val="18"/>
                <w:szCs w:val="18"/>
              </w:rPr>
              <w:t>专用设备</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right="1"/>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5-8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611"/>
              <w:jc w:val="right"/>
              <w:rPr>
                <w:rFonts w:ascii="Times New Roman" w:hAnsi="Times New Roman" w:cs="Times New Roman" w:eastAsia="Times New Roman" w:hint="default"/>
                <w:sz w:val="18"/>
                <w:szCs w:val="18"/>
              </w:rPr>
            </w:pPr>
            <w:r>
              <w:rPr>
                <w:rFonts w:ascii="Times New Roman"/>
                <w:spacing w:val="-1"/>
                <w:sz w:val="18"/>
              </w:rPr>
              <w:t>5.00%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Times New Roman" w:hAnsi="Times New Roman" w:cs="Times New Roman" w:eastAsia="Times New Roman" w:hint="default"/>
                <w:sz w:val="18"/>
                <w:szCs w:val="18"/>
              </w:rPr>
            </w:pPr>
            <w:r>
              <w:rPr>
                <w:rFonts w:ascii="Times New Roman"/>
                <w:sz w:val="18"/>
              </w:rPr>
              <w:t>19.00%-11.88%</w:t>
            </w:r>
          </w:p>
        </w:tc>
      </w:tr>
      <w:tr>
        <w:trPr>
          <w:trHeight w:val="360"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right="0"/>
              <w:jc w:val="center"/>
              <w:rPr>
                <w:rFonts w:ascii="宋体" w:hAnsi="宋体" w:cs="宋体" w:eastAsia="宋体" w:hint="default"/>
                <w:sz w:val="18"/>
                <w:szCs w:val="18"/>
              </w:rPr>
            </w:pPr>
            <w:r>
              <w:rPr>
                <w:rFonts w:ascii="宋体" w:hAnsi="宋体" w:cs="宋体" w:eastAsia="宋体" w:hint="default"/>
                <w:sz w:val="18"/>
                <w:szCs w:val="18"/>
              </w:rPr>
              <w:t>电子设备</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right="1"/>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611"/>
              <w:jc w:val="right"/>
              <w:rPr>
                <w:rFonts w:ascii="Times New Roman" w:hAnsi="Times New Roman" w:cs="Times New Roman" w:eastAsia="Times New Roman" w:hint="default"/>
                <w:sz w:val="18"/>
                <w:szCs w:val="18"/>
              </w:rPr>
            </w:pPr>
            <w:r>
              <w:rPr>
                <w:rFonts w:ascii="Times New Roman"/>
                <w:spacing w:val="-1"/>
                <w:sz w:val="18"/>
              </w:rPr>
              <w:t>5.00%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Times New Roman" w:hAnsi="Times New Roman" w:cs="Times New Roman" w:eastAsia="Times New Roman" w:hint="default"/>
                <w:sz w:val="18"/>
                <w:szCs w:val="18"/>
              </w:rPr>
            </w:pPr>
            <w:r>
              <w:rPr>
                <w:rFonts w:ascii="Times New Roman"/>
                <w:sz w:val="18"/>
              </w:rPr>
              <w:t>31.67%</w:t>
            </w:r>
          </w:p>
        </w:tc>
      </w:tr>
      <w:tr>
        <w:trPr>
          <w:trHeight w:val="361"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right="0"/>
              <w:jc w:val="center"/>
              <w:rPr>
                <w:rFonts w:ascii="宋体" w:hAnsi="宋体" w:cs="宋体" w:eastAsia="宋体" w:hint="default"/>
                <w:sz w:val="18"/>
                <w:szCs w:val="18"/>
              </w:rPr>
            </w:pPr>
            <w:r>
              <w:rPr>
                <w:rFonts w:ascii="宋体" w:hAnsi="宋体" w:cs="宋体" w:eastAsia="宋体" w:hint="default"/>
                <w:sz w:val="18"/>
                <w:szCs w:val="18"/>
              </w:rPr>
              <w:t>办公设备</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right="1"/>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5-6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611"/>
              <w:jc w:val="right"/>
              <w:rPr>
                <w:rFonts w:ascii="Times New Roman" w:hAnsi="Times New Roman" w:cs="Times New Roman" w:eastAsia="Times New Roman" w:hint="default"/>
                <w:sz w:val="18"/>
                <w:szCs w:val="18"/>
              </w:rPr>
            </w:pPr>
            <w:r>
              <w:rPr>
                <w:rFonts w:ascii="Times New Roman"/>
                <w:spacing w:val="-1"/>
                <w:sz w:val="18"/>
              </w:rPr>
              <w:t>5.00%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Times New Roman" w:hAnsi="Times New Roman" w:cs="Times New Roman" w:eastAsia="Times New Roman" w:hint="default"/>
                <w:sz w:val="18"/>
                <w:szCs w:val="18"/>
              </w:rPr>
            </w:pPr>
            <w:r>
              <w:rPr>
                <w:rFonts w:ascii="Times New Roman"/>
                <w:sz w:val="18"/>
              </w:rPr>
              <w:t>19.00%-15.83%</w:t>
            </w:r>
          </w:p>
        </w:tc>
      </w:tr>
      <w:tr>
        <w:trPr>
          <w:trHeight w:val="360"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仪器仪表</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5-6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611"/>
              <w:jc w:val="right"/>
              <w:rPr>
                <w:rFonts w:ascii="Times New Roman" w:hAnsi="Times New Roman" w:cs="Times New Roman" w:eastAsia="Times New Roman" w:hint="default"/>
                <w:sz w:val="18"/>
                <w:szCs w:val="18"/>
              </w:rPr>
            </w:pPr>
            <w:r>
              <w:rPr>
                <w:rFonts w:ascii="Times New Roman"/>
                <w:spacing w:val="-1"/>
                <w:sz w:val="18"/>
              </w:rPr>
              <w:t>5.00%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4" w:right="0"/>
              <w:jc w:val="center"/>
              <w:rPr>
                <w:rFonts w:ascii="Times New Roman" w:hAnsi="Times New Roman" w:cs="Times New Roman" w:eastAsia="Times New Roman" w:hint="default"/>
                <w:sz w:val="18"/>
                <w:szCs w:val="18"/>
              </w:rPr>
            </w:pPr>
            <w:r>
              <w:rPr>
                <w:rFonts w:ascii="Times New Roman"/>
                <w:sz w:val="18"/>
              </w:rPr>
              <w:t>19.00%-15.83%</w:t>
            </w:r>
          </w:p>
        </w:tc>
      </w:tr>
      <w:tr>
        <w:trPr>
          <w:trHeight w:val="360"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培训设备</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611"/>
              <w:jc w:val="right"/>
              <w:rPr>
                <w:rFonts w:ascii="Times New Roman" w:hAnsi="Times New Roman" w:cs="Times New Roman" w:eastAsia="Times New Roman" w:hint="default"/>
                <w:sz w:val="18"/>
                <w:szCs w:val="18"/>
              </w:rPr>
            </w:pPr>
            <w:r>
              <w:rPr>
                <w:rFonts w:ascii="Times New Roman"/>
                <w:spacing w:val="-1"/>
                <w:sz w:val="18"/>
              </w:rPr>
              <w:t>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0"/>
              <w:jc w:val="center"/>
              <w:rPr>
                <w:rFonts w:ascii="Times New Roman" w:hAnsi="Times New Roman" w:cs="Times New Roman" w:eastAsia="Times New Roman" w:hint="default"/>
                <w:sz w:val="18"/>
                <w:szCs w:val="18"/>
              </w:rPr>
            </w:pPr>
            <w:r>
              <w:rPr>
                <w:rFonts w:ascii="Times New Roman"/>
                <w:sz w:val="18"/>
              </w:rPr>
              <w:t>14.29%</w:t>
            </w:r>
          </w:p>
        </w:tc>
      </w:tr>
      <w:tr>
        <w:trPr>
          <w:trHeight w:val="360"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其他设备</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5-6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611"/>
              <w:jc w:val="right"/>
              <w:rPr>
                <w:rFonts w:ascii="Times New Roman" w:hAnsi="Times New Roman" w:cs="Times New Roman" w:eastAsia="Times New Roman" w:hint="default"/>
                <w:sz w:val="18"/>
                <w:szCs w:val="18"/>
              </w:rPr>
            </w:pPr>
            <w:r>
              <w:rPr>
                <w:rFonts w:ascii="Times New Roman"/>
                <w:spacing w:val="-1"/>
                <w:sz w:val="18"/>
              </w:rPr>
              <w:t>5.00%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4" w:right="0"/>
              <w:jc w:val="center"/>
              <w:rPr>
                <w:rFonts w:ascii="Times New Roman" w:hAnsi="Times New Roman" w:cs="Times New Roman" w:eastAsia="Times New Roman" w:hint="default"/>
                <w:sz w:val="18"/>
                <w:szCs w:val="18"/>
              </w:rPr>
            </w:pPr>
            <w:r>
              <w:rPr>
                <w:rFonts w:ascii="Times New Roman"/>
                <w:sz w:val="18"/>
              </w:rPr>
              <w:t>19.00%-15.83%</w:t>
            </w:r>
          </w:p>
        </w:tc>
      </w:tr>
      <w:tr>
        <w:trPr>
          <w:trHeight w:val="360"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right="0"/>
              <w:jc w:val="center"/>
              <w:rPr>
                <w:rFonts w:ascii="宋体" w:hAnsi="宋体" w:cs="宋体" w:eastAsia="宋体" w:hint="default"/>
                <w:sz w:val="18"/>
                <w:szCs w:val="18"/>
              </w:rPr>
            </w:pPr>
            <w:r>
              <w:rPr>
                <w:rFonts w:ascii="宋体" w:hAnsi="宋体" w:cs="宋体" w:eastAsia="宋体" w:hint="default"/>
                <w:sz w:val="18"/>
                <w:szCs w:val="18"/>
              </w:rPr>
              <w:t>营运业务用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ATM</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设备</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5-10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611"/>
              <w:jc w:val="right"/>
              <w:rPr>
                <w:rFonts w:ascii="Times New Roman" w:hAnsi="Times New Roman" w:cs="Times New Roman" w:eastAsia="Times New Roman" w:hint="default"/>
                <w:sz w:val="18"/>
                <w:szCs w:val="18"/>
              </w:rPr>
            </w:pPr>
            <w:r>
              <w:rPr>
                <w:rFonts w:ascii="Times New Roman"/>
                <w:spacing w:val="-1"/>
                <w:sz w:val="18"/>
              </w:rPr>
              <w:t>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4" w:right="0"/>
              <w:jc w:val="center"/>
              <w:rPr>
                <w:rFonts w:ascii="Times New Roman" w:hAnsi="Times New Roman" w:cs="Times New Roman" w:eastAsia="Times New Roman" w:hint="default"/>
                <w:sz w:val="18"/>
                <w:szCs w:val="18"/>
              </w:rPr>
            </w:pPr>
            <w:r>
              <w:rPr>
                <w:rFonts w:ascii="Times New Roman"/>
                <w:sz w:val="18"/>
              </w:rPr>
              <w:t>20.00%-10.00%</w:t>
            </w:r>
          </w:p>
        </w:tc>
      </w:tr>
    </w:tbl>
    <w:p>
      <w:pPr>
        <w:pStyle w:val="Heading3"/>
        <w:spacing w:line="250" w:lineRule="exact" w:before="0"/>
        <w:ind w:left="117" w:right="0"/>
        <w:jc w:val="both"/>
        <w:rPr>
          <w:b w:val="0"/>
          <w:bCs w:val="0"/>
        </w:rPr>
      </w:pPr>
      <w:bookmarkStart w:name="（3）融资租入固定资产的认定依据、计价和折旧方法" w:id="190"/>
      <w:bookmarkEnd w:id="190"/>
      <w:r>
        <w:rPr>
          <w:b w:val="0"/>
          <w:bCs w:val="0"/>
        </w:rPr>
      </w:r>
      <w:r>
        <w:rPr/>
        <w:t>（</w:t>
      </w:r>
      <w:r>
        <w:rPr>
          <w:rFonts w:ascii="Times New Roman" w:hAnsi="Times New Roman" w:cs="Times New Roman" w:eastAsia="Times New Roman" w:hint="default"/>
          <w:sz w:val="18"/>
          <w:szCs w:val="18"/>
        </w:rPr>
        <w:t>3</w:t>
      </w:r>
      <w:r>
        <w:rPr/>
        <w:t>）融资租入固定资产的认定依据、计价和折旧方法</w:t>
      </w:r>
      <w:r>
        <w:rPr>
          <w:b w:val="0"/>
          <w:bCs w:val="0"/>
        </w:rPr>
      </w:r>
    </w:p>
    <w:p>
      <w:pPr>
        <w:pStyle w:val="Heading4"/>
        <w:spacing w:line="240" w:lineRule="auto" w:before="123"/>
        <w:ind w:left="431" w:right="1603"/>
        <w:jc w:val="left"/>
      </w:pPr>
      <w:r>
        <w:rPr/>
        <w:t>公司与租赁方所签订的租赁协议条款中规定了下列条件之一的，确认为融资租入资产。</w:t>
      </w:r>
    </w:p>
    <w:p>
      <w:pPr>
        <w:pStyle w:val="Heading4"/>
        <w:spacing w:line="240" w:lineRule="auto" w:before="133"/>
        <w:ind w:left="460" w:right="1603"/>
        <w:jc w:val="left"/>
      </w:pPr>
      <w:r>
        <w:rPr/>
        <w:t>①租赁期满后租赁资产的所有权归属于本公司。</w:t>
      </w:r>
    </w:p>
    <w:p>
      <w:pPr>
        <w:pStyle w:val="Heading4"/>
        <w:spacing w:line="240" w:lineRule="auto" w:before="133"/>
        <w:ind w:left="458" w:right="1603"/>
        <w:jc w:val="left"/>
      </w:pPr>
      <w:r>
        <w:rPr/>
        <w:t>②公司具有购买资产的选择权，购买价款远低于行使选择权时该资产的公允价值。</w:t>
      </w:r>
    </w:p>
    <w:p>
      <w:pPr>
        <w:pStyle w:val="Heading4"/>
        <w:spacing w:line="240" w:lineRule="auto" w:before="135"/>
        <w:ind w:left="460" w:right="1603"/>
        <w:jc w:val="left"/>
      </w:pPr>
      <w:r>
        <w:rPr/>
        <w:t>③租赁期占所租赁资产使用寿命的大部分。</w:t>
      </w:r>
    </w:p>
    <w:p>
      <w:pPr>
        <w:pStyle w:val="Heading4"/>
        <w:spacing w:line="355" w:lineRule="auto" w:before="133"/>
        <w:ind w:left="460" w:right="1603" w:hanging="29"/>
        <w:jc w:val="left"/>
      </w:pPr>
      <w:r>
        <w:rPr/>
        <w:t>④租赁开始日的最低租赁付款额现值，与该资产的公允价值不存在较大的差异。</w:t>
      </w:r>
      <w:r>
        <w:rPr>
          <w:w w:val="99"/>
        </w:rPr>
        <w:t> </w:t>
      </w:r>
      <w:r>
        <w:rPr>
          <w:w w:val="95"/>
        </w:rPr>
        <w:t>公司在承租开始日，将租赁资产公允价值与最低租赁付款额现值两者中较低者作为租入</w:t>
      </w:r>
      <w:r>
        <w:rPr/>
      </w:r>
    </w:p>
    <w:p>
      <w:pPr>
        <w:pStyle w:val="Heading4"/>
        <w:spacing w:line="357" w:lineRule="auto"/>
        <w:ind w:right="1796"/>
        <w:jc w:val="both"/>
      </w:pPr>
      <w:r>
        <w:rPr>
          <w:spacing w:val="-2"/>
          <w:w w:val="95"/>
        </w:rPr>
        <w:t>资产的入账价值，将最低租赁付款额作为长期应付款的入账价值，其差额作为未确认的融资</w:t>
      </w:r>
      <w:r>
        <w:rPr>
          <w:w w:val="95"/>
        </w:rPr>
        <w:t>  </w:t>
      </w:r>
      <w:r>
        <w:rPr>
          <w:spacing w:val="92"/>
          <w:w w:val="95"/>
        </w:rPr>
        <w:t> </w:t>
      </w:r>
      <w:r>
        <w:rPr>
          <w:spacing w:val="92"/>
          <w:w w:val="95"/>
        </w:rPr>
      </w:r>
      <w:r>
        <w:rPr/>
        <w:t>费。</w:t>
      </w:r>
    </w:p>
    <w:p>
      <w:pPr>
        <w:pStyle w:val="Heading4"/>
        <w:spacing w:line="345" w:lineRule="auto" w:before="30"/>
        <w:ind w:left="460" w:right="1603" w:hanging="344"/>
        <w:jc w:val="left"/>
      </w:pPr>
      <w:bookmarkStart w:name="16、在建工程" w:id="191"/>
      <w:bookmarkEnd w:id="191"/>
      <w:r>
        <w:rPr/>
      </w:r>
      <w:r>
        <w:rPr>
          <w:rFonts w:ascii="Times New Roman" w:hAnsi="Times New Roman" w:cs="Times New Roman" w:eastAsia="Times New Roman" w:hint="default"/>
          <w:b/>
          <w:bCs/>
          <w:sz w:val="18"/>
          <w:szCs w:val="18"/>
        </w:rPr>
        <w:t>16</w:t>
      </w:r>
      <w:r>
        <w:rPr>
          <w:rFonts w:ascii="宋体" w:hAnsi="宋体" w:cs="宋体" w:eastAsia="宋体" w:hint="default"/>
          <w:b/>
          <w:bCs/>
        </w:rPr>
        <w:t>、在建工程</w:t>
      </w:r>
      <w:r>
        <w:rPr>
          <w:rFonts w:ascii="宋体" w:hAnsi="宋体" w:cs="宋体" w:eastAsia="宋体" w:hint="default"/>
          <w:b/>
          <w:bCs/>
          <w:w w:val="99"/>
        </w:rPr>
        <w:t> </w:t>
      </w:r>
      <w:r>
        <w:rPr>
          <w:w w:val="95"/>
        </w:rPr>
        <w:t>在建工程项目按建造该项资产达到预定可使用状态前所发生的必要支出，作为固定资产</w:t>
      </w:r>
      <w:r>
        <w:rPr/>
      </w:r>
    </w:p>
    <w:p>
      <w:pPr>
        <w:pStyle w:val="Heading4"/>
        <w:spacing w:line="357" w:lineRule="auto" w:before="40"/>
        <w:ind w:right="1797"/>
        <w:jc w:val="both"/>
      </w:pPr>
      <w:r>
        <w:rPr>
          <w:spacing w:val="-2"/>
          <w:w w:val="95"/>
        </w:rPr>
        <w:t>的入账价值。所建造的固定资产在工程已达到预定可使用状态，但尚未办理竣工决算的，自</w:t>
      </w:r>
      <w:r>
        <w:rPr>
          <w:spacing w:val="92"/>
          <w:w w:val="95"/>
        </w:rPr>
        <w:t> </w:t>
      </w:r>
      <w:r>
        <w:rPr>
          <w:spacing w:val="92"/>
          <w:w w:val="95"/>
        </w:rPr>
      </w:r>
      <w:r>
        <w:rPr>
          <w:spacing w:val="-2"/>
          <w:w w:val="95"/>
        </w:rPr>
        <w:t>达到预定可使用状态之日起，根据工程预算、造价或者工程实际成本等，按估计的价值转入</w:t>
      </w:r>
      <w:r>
        <w:rPr>
          <w:spacing w:val="90"/>
          <w:w w:val="95"/>
        </w:rPr>
        <w:t> </w:t>
      </w:r>
      <w:r>
        <w:rPr>
          <w:spacing w:val="90"/>
          <w:w w:val="95"/>
        </w:rPr>
      </w:r>
      <w:r>
        <w:rPr>
          <w:spacing w:val="-2"/>
          <w:w w:val="95"/>
        </w:rPr>
        <w:t>固定资产，并按本公司固定资产折旧政策计提固定资产的折旧，待办理竣工决算后，再按实</w:t>
      </w:r>
      <w:r>
        <w:rPr>
          <w:spacing w:val="93"/>
          <w:w w:val="95"/>
        </w:rPr>
        <w:t> </w:t>
      </w:r>
      <w:r>
        <w:rPr>
          <w:spacing w:val="93"/>
          <w:w w:val="95"/>
        </w:rPr>
      </w:r>
      <w:r>
        <w:rPr/>
        <w:t>际成本调整原来的暂估价值，但不调整原已计提的折旧额。</w:t>
      </w:r>
    </w:p>
    <w:p>
      <w:pPr>
        <w:spacing w:before="30"/>
        <w:ind w:left="117" w:right="0" w:firstLine="0"/>
        <w:jc w:val="both"/>
        <w:rPr>
          <w:rFonts w:ascii="宋体" w:hAnsi="宋体" w:cs="宋体" w:eastAsia="宋体" w:hint="default"/>
          <w:sz w:val="21"/>
          <w:szCs w:val="21"/>
        </w:rPr>
      </w:pPr>
      <w:bookmarkStart w:name="17、借款费用" w:id="192"/>
      <w:bookmarkEnd w:id="192"/>
      <w:r>
        <w:rPr/>
      </w:r>
      <w:r>
        <w:rPr>
          <w:rFonts w:ascii="Times New Roman" w:hAnsi="Times New Roman" w:cs="Times New Roman" w:eastAsia="Times New Roman" w:hint="default"/>
          <w:b/>
          <w:bCs/>
          <w:sz w:val="18"/>
          <w:szCs w:val="18"/>
        </w:rPr>
        <w:t>17</w:t>
      </w:r>
      <w:r>
        <w:rPr>
          <w:rFonts w:ascii="宋体" w:hAnsi="宋体" w:cs="宋体" w:eastAsia="宋体" w:hint="default"/>
          <w:b/>
          <w:bCs/>
          <w:sz w:val="21"/>
          <w:szCs w:val="21"/>
        </w:rPr>
        <w:t>、借款费用</w:t>
      </w:r>
      <w:r>
        <w:rPr>
          <w:rFonts w:ascii="宋体" w:hAnsi="宋体" w:cs="宋体" w:eastAsia="宋体" w:hint="default"/>
          <w:sz w:val="21"/>
          <w:szCs w:val="21"/>
        </w:rPr>
      </w:r>
    </w:p>
    <w:p>
      <w:pPr>
        <w:pStyle w:val="Heading4"/>
        <w:spacing w:line="338" w:lineRule="auto" w:before="123"/>
        <w:ind w:left="542" w:right="1603"/>
        <w:jc w:val="left"/>
      </w:pPr>
      <w:r>
        <w:rPr>
          <w:rFonts w:ascii="Times New Roman" w:hAnsi="Times New Roman" w:cs="Times New Roman" w:eastAsia="Times New Roman" w:hint="default"/>
        </w:rPr>
        <w:t>(1)</w:t>
      </w:r>
      <w:r>
        <w:rPr/>
        <w:t>借款费用资本化的确认原则</w:t>
      </w:r>
      <w:r>
        <w:rPr>
          <w:w w:val="99"/>
        </w:rPr>
        <w:t> </w:t>
      </w:r>
      <w:r>
        <w:rPr>
          <w:spacing w:val="-3"/>
        </w:rPr>
        <w:t>借款费用，包括借款利息、折价或者溢价的摊销、辅助费用以及因外币借款而发生的汇</w:t>
      </w:r>
    </w:p>
    <w:p>
      <w:pPr>
        <w:pStyle w:val="Heading4"/>
        <w:spacing w:line="240" w:lineRule="auto" w:before="47"/>
        <w:ind w:right="0"/>
        <w:jc w:val="both"/>
      </w:pPr>
      <w:r>
        <w:rPr/>
        <w:t>兑差额等。</w:t>
      </w:r>
    </w:p>
    <w:p>
      <w:pPr>
        <w:pStyle w:val="Heading4"/>
        <w:spacing w:line="357" w:lineRule="auto" w:before="133"/>
        <w:ind w:right="1796" w:firstLine="424"/>
        <w:jc w:val="both"/>
      </w:pPr>
      <w:r>
        <w:rPr>
          <w:spacing w:val="-2"/>
          <w:w w:val="95"/>
        </w:rPr>
        <w:t>公司发生的借款费用，可直接归属于符合资本化条件的资产的购建或者生产的，予以资</w:t>
      </w:r>
      <w:r>
        <w:rPr>
          <w:w w:val="99"/>
        </w:rPr>
        <w:t> </w:t>
      </w:r>
      <w:r>
        <w:rPr>
          <w:spacing w:val="-2"/>
          <w:w w:val="95"/>
        </w:rPr>
        <w:t>本化，计入相关资产成本；其他借款费用，在发生时根据其发生额确认为费用，计入当期损</w:t>
      </w:r>
      <w:r>
        <w:rPr>
          <w:w w:val="95"/>
        </w:rPr>
        <w:t>  </w:t>
      </w:r>
      <w:r>
        <w:rPr>
          <w:spacing w:val="92"/>
          <w:w w:val="95"/>
        </w:rPr>
        <w:t> </w:t>
      </w:r>
      <w:r>
        <w:rPr>
          <w:spacing w:val="92"/>
          <w:w w:val="95"/>
        </w:rPr>
      </w:r>
      <w:r>
        <w:rPr/>
        <w:t>益。</w:t>
      </w:r>
    </w:p>
    <w:p>
      <w:pPr>
        <w:pStyle w:val="Heading4"/>
        <w:spacing w:line="355" w:lineRule="auto" w:before="30"/>
        <w:ind w:right="1603" w:firstLine="424"/>
        <w:jc w:val="left"/>
      </w:pPr>
      <w:r>
        <w:rPr>
          <w:spacing w:val="-2"/>
          <w:w w:val="99"/>
        </w:rPr>
        <w:t>符合资本化条件的资产，是指需要经过相当长时间的购建或者生产活动才能达到预定可</w:t>
      </w:r>
      <w:r>
        <w:rPr>
          <w:w w:val="99"/>
        </w:rPr>
        <w:t> </w:t>
      </w:r>
      <w:r>
        <w:rPr/>
        <w:t>使用或者可销售状态的固定资产、投资性房地产和存货等资产。</w:t>
      </w:r>
    </w:p>
    <w:p>
      <w:pPr>
        <w:pStyle w:val="Heading4"/>
        <w:spacing w:line="240" w:lineRule="auto"/>
        <w:ind w:left="542" w:right="1603"/>
        <w:jc w:val="left"/>
      </w:pPr>
      <w:r>
        <w:rPr/>
        <w:t>借款费用同时满足下列条件时开始资本化：</w:t>
      </w:r>
    </w:p>
    <w:p>
      <w:pPr>
        <w:pStyle w:val="Heading4"/>
        <w:spacing w:line="355" w:lineRule="auto" w:before="133"/>
        <w:ind w:right="1603" w:firstLine="424"/>
        <w:jc w:val="left"/>
      </w:pPr>
      <w:r>
        <w:rPr>
          <w:spacing w:val="-2"/>
          <w:w w:val="99"/>
        </w:rPr>
        <w:t>①资产支出已经发生，资产支出包括为购建或者生产符合资本化条件的资产而以支付现</w:t>
      </w:r>
      <w:r>
        <w:rPr>
          <w:w w:val="99"/>
        </w:rPr>
        <w:t> </w:t>
      </w:r>
      <w:r>
        <w:rPr/>
        <w:t>金、转移非现金资产或者承担带息债务形式发生的支出。</w:t>
      </w:r>
    </w:p>
    <w:p>
      <w:pPr>
        <w:spacing w:after="0" w:line="355" w:lineRule="auto"/>
        <w:jc w:val="left"/>
        <w:sectPr>
          <w:pgSz w:w="11910" w:h="16840"/>
          <w:pgMar w:header="712" w:footer="1264" w:top="980" w:bottom="1460" w:left="1680" w:right="0"/>
        </w:sectPr>
      </w:pPr>
    </w:p>
    <w:p>
      <w:pPr>
        <w:spacing w:line="240" w:lineRule="auto" w:before="9"/>
        <w:rPr>
          <w:rFonts w:ascii="宋体" w:hAnsi="宋体" w:cs="宋体" w:eastAsia="宋体" w:hint="default"/>
          <w:sz w:val="29"/>
          <w:szCs w:val="29"/>
        </w:rPr>
      </w:pPr>
    </w:p>
    <w:p>
      <w:pPr>
        <w:pStyle w:val="Heading4"/>
        <w:spacing w:line="240" w:lineRule="auto" w:before="34"/>
        <w:ind w:left="542" w:right="1603"/>
        <w:jc w:val="left"/>
      </w:pPr>
      <w:r>
        <w:rPr/>
        <w:t>②借款费用已经发生。</w:t>
      </w:r>
    </w:p>
    <w:p>
      <w:pPr>
        <w:pStyle w:val="Heading4"/>
        <w:spacing w:line="348" w:lineRule="auto" w:before="133"/>
        <w:ind w:left="542" w:right="1603"/>
        <w:jc w:val="left"/>
      </w:pPr>
      <w:r>
        <w:rPr/>
        <w:t>③为使资产达到预定可使用或者可销售状态所必要的购建或者生产活动已经开始。</w:t>
      </w:r>
      <w:r>
        <w:rPr>
          <w:w w:val="99"/>
        </w:rPr>
        <w:t> </w:t>
      </w:r>
      <w:r>
        <w:rPr>
          <w:rFonts w:ascii="Times New Roman" w:hAnsi="Times New Roman" w:cs="Times New Roman" w:eastAsia="Times New Roman" w:hint="default"/>
        </w:rPr>
        <w:t>(2)</w:t>
      </w:r>
      <w:r>
        <w:rPr/>
        <w:t>借款费用资本化期间</w:t>
      </w:r>
      <w:r>
        <w:rPr>
          <w:w w:val="99"/>
        </w:rPr>
        <w:t> </w:t>
      </w:r>
      <w:r>
        <w:rPr>
          <w:spacing w:val="-2"/>
          <w:w w:val="95"/>
        </w:rPr>
        <w:t>资本化期间，指从借款费用开始资本化时点到停止资本化时点的期间，借款费用暂停资</w:t>
      </w:r>
      <w:r>
        <w:rPr>
          <w:spacing w:val="-2"/>
        </w:rPr>
      </w:r>
    </w:p>
    <w:p>
      <w:pPr>
        <w:pStyle w:val="Heading4"/>
        <w:spacing w:line="355" w:lineRule="auto" w:before="38"/>
        <w:ind w:left="542" w:right="1603" w:hanging="425"/>
        <w:jc w:val="left"/>
      </w:pPr>
      <w:r>
        <w:rPr/>
        <w:t>本化的期间不包括在内。</w:t>
      </w:r>
      <w:r>
        <w:rPr>
          <w:w w:val="99"/>
        </w:rPr>
        <w:t> </w:t>
      </w:r>
      <w:r>
        <w:rPr>
          <w:spacing w:val="-2"/>
          <w:w w:val="99"/>
        </w:rPr>
        <w:t>当购建或者生产符合资本化条件的资产达到预定可使用或者可销售状态时，借款费用停</w:t>
      </w:r>
      <w:r>
        <w:rPr>
          <w:spacing w:val="-2"/>
        </w:rPr>
      </w:r>
    </w:p>
    <w:p>
      <w:pPr>
        <w:pStyle w:val="Heading4"/>
        <w:spacing w:line="240" w:lineRule="auto" w:before="35"/>
        <w:ind w:right="1603"/>
        <w:jc w:val="left"/>
      </w:pPr>
      <w:r>
        <w:rPr/>
        <w:t>止资本化。</w:t>
      </w:r>
    </w:p>
    <w:p>
      <w:pPr>
        <w:pStyle w:val="Heading4"/>
        <w:spacing w:line="355" w:lineRule="auto" w:before="133"/>
        <w:ind w:right="1798" w:firstLine="424"/>
        <w:jc w:val="both"/>
      </w:pPr>
      <w:r>
        <w:rPr>
          <w:spacing w:val="-2"/>
          <w:w w:val="99"/>
        </w:rPr>
        <w:t>当购建或者生产符合资本化条件的资产中部分项目分别完工且可单独使用时，该部分资</w:t>
      </w:r>
      <w:r>
        <w:rPr>
          <w:w w:val="99"/>
        </w:rPr>
        <w:t> </w:t>
      </w:r>
      <w:r>
        <w:rPr/>
        <w:t>产借款费用停止资本化。</w:t>
      </w:r>
    </w:p>
    <w:p>
      <w:pPr>
        <w:pStyle w:val="Heading4"/>
        <w:spacing w:line="357" w:lineRule="auto"/>
        <w:ind w:right="1798" w:firstLine="424"/>
        <w:jc w:val="both"/>
      </w:pPr>
      <w:r>
        <w:rPr>
          <w:spacing w:val="-2"/>
          <w:w w:val="99"/>
        </w:rPr>
        <w:t>购建或者生产的资产的各部分分别完工，但必须等到整体完工后才可使用或可对外销售</w:t>
      </w:r>
      <w:r>
        <w:rPr>
          <w:w w:val="99"/>
        </w:rPr>
        <w:t> </w:t>
      </w:r>
      <w:r>
        <w:rPr/>
        <w:t>的，在该资产整体完工时停止借款费用资本化。</w:t>
      </w:r>
    </w:p>
    <w:p>
      <w:pPr>
        <w:pStyle w:val="Heading4"/>
        <w:spacing w:line="336" w:lineRule="auto" w:before="30"/>
        <w:ind w:left="542" w:right="1603" w:hanging="82"/>
        <w:jc w:val="left"/>
        <w:rPr>
          <w:rFonts w:ascii="Times New Roman" w:hAnsi="Times New Roman" w:cs="Times New Roman" w:eastAsia="Times New Roman" w:hint="default"/>
        </w:rPr>
      </w:pPr>
      <w:r>
        <w:rPr>
          <w:rFonts w:ascii="Times New Roman" w:hAnsi="Times New Roman" w:cs="Times New Roman" w:eastAsia="Times New Roman" w:hint="default"/>
        </w:rPr>
        <w:t>(3)</w:t>
      </w:r>
      <w:r>
        <w:rPr/>
        <w:t>暂停资本化期间</w:t>
      </w:r>
      <w:r>
        <w:rPr>
          <w:w w:val="99"/>
        </w:rPr>
        <w:t> </w:t>
      </w:r>
      <w:r>
        <w:rPr>
          <w:w w:val="95"/>
        </w:rPr>
        <w:t>符合资本化条件的资产在购建或生产过程中发生的非正常中断、且中断时间连续超过  </w:t>
      </w:r>
      <w:r>
        <w:rPr>
          <w:spacing w:val="89"/>
          <w:w w:val="95"/>
        </w:rPr>
        <w:t> </w:t>
      </w:r>
      <w:r>
        <w:rPr>
          <w:rFonts w:ascii="Times New Roman" w:hAnsi="Times New Roman" w:cs="Times New Roman" w:eastAsia="Times New Roman" w:hint="default"/>
          <w:w w:val="95"/>
        </w:rPr>
        <w:t>3</w:t>
      </w:r>
      <w:r>
        <w:rPr>
          <w:rFonts w:ascii="Times New Roman" w:hAnsi="Times New Roman" w:cs="Times New Roman" w:eastAsia="Times New Roman" w:hint="default"/>
        </w:rPr>
      </w:r>
    </w:p>
    <w:p>
      <w:pPr>
        <w:pStyle w:val="Heading4"/>
        <w:spacing w:line="357" w:lineRule="auto" w:before="24"/>
        <w:ind w:right="1603"/>
        <w:jc w:val="left"/>
        <w:rPr>
          <w:rFonts w:ascii="宋体" w:hAnsi="宋体" w:cs="宋体" w:eastAsia="宋体" w:hint="default"/>
        </w:rPr>
      </w:pPr>
      <w:r>
        <w:rPr>
          <w:spacing w:val="-2"/>
          <w:w w:val="95"/>
        </w:rPr>
        <w:t>个月的，则借款费用暂停资本化；该项中断如是所购建或生产的符合资本化条件的资产达到</w:t>
      </w:r>
      <w:r>
        <w:rPr>
          <w:spacing w:val="92"/>
          <w:w w:val="95"/>
        </w:rPr>
        <w:t> </w:t>
      </w:r>
      <w:r>
        <w:rPr>
          <w:spacing w:val="92"/>
          <w:w w:val="95"/>
        </w:rPr>
      </w:r>
      <w:r>
        <w:rPr>
          <w:spacing w:val="-2"/>
          <w:w w:val="95"/>
        </w:rPr>
        <w:t>预定可使用状态或者可销售状态必要的程序，则借款费用继续资本化。在中断期间发生的借</w:t>
      </w:r>
      <w:r>
        <w:rPr>
          <w:spacing w:val="92"/>
          <w:w w:val="95"/>
        </w:rPr>
        <w:t> </w:t>
      </w:r>
      <w:r>
        <w:rPr>
          <w:spacing w:val="92"/>
          <w:w w:val="95"/>
        </w:rPr>
      </w:r>
      <w:r>
        <w:rPr/>
        <w:t>款费用确认为当期损益，直至资产的购建或者生产活动重新开始后借款费用继续资本化。</w:t>
      </w:r>
      <w:r>
        <w:rPr>
          <w:w w:val="99"/>
        </w:rPr>
        <w:t> </w:t>
      </w:r>
      <w:bookmarkStart w:name="18、无形资产" w:id="193"/>
      <w:bookmarkEnd w:id="193"/>
      <w:r>
        <w:rPr>
          <w:w w:val="99"/>
        </w:rPr>
      </w:r>
      <w:r>
        <w:rPr>
          <w:rFonts w:ascii="Times New Roman" w:hAnsi="Times New Roman" w:cs="Times New Roman" w:eastAsia="Times New Roman" w:hint="default"/>
          <w:b/>
          <w:bCs/>
          <w:sz w:val="18"/>
          <w:szCs w:val="18"/>
        </w:rPr>
        <w:t>18</w:t>
      </w:r>
      <w:r>
        <w:rPr>
          <w:rFonts w:ascii="宋体" w:hAnsi="宋体" w:cs="宋体" w:eastAsia="宋体" w:hint="default"/>
          <w:b/>
          <w:bCs/>
        </w:rPr>
        <w:t>、无形资产</w:t>
      </w:r>
      <w:r>
        <w:rPr>
          <w:rFonts w:ascii="宋体" w:hAnsi="宋体" w:cs="宋体" w:eastAsia="宋体" w:hint="default"/>
        </w:rPr>
      </w:r>
    </w:p>
    <w:p>
      <w:pPr>
        <w:pStyle w:val="Heading4"/>
        <w:spacing w:line="240" w:lineRule="auto" w:before="16"/>
        <w:ind w:left="537" w:right="1603"/>
        <w:jc w:val="left"/>
      </w:pPr>
      <w:r>
        <w:rPr>
          <w:rFonts w:ascii="Times New Roman" w:hAnsi="Times New Roman" w:cs="Times New Roman" w:eastAsia="Times New Roman" w:hint="default"/>
        </w:rPr>
        <w:t>(1)</w:t>
      </w:r>
      <w:r>
        <w:rPr/>
        <w:t>无形资产的计价方法</w:t>
      </w:r>
    </w:p>
    <w:p>
      <w:pPr>
        <w:pStyle w:val="Heading4"/>
        <w:spacing w:line="355" w:lineRule="auto" w:before="117"/>
        <w:ind w:left="537" w:right="1603"/>
        <w:jc w:val="left"/>
      </w:pPr>
      <w:r>
        <w:rPr/>
        <w:t>①公司取得无形资产时按成本进行初始计量</w:t>
      </w:r>
      <w:r>
        <w:rPr>
          <w:w w:val="99"/>
        </w:rPr>
        <w:t> </w:t>
      </w:r>
      <w:r>
        <w:rPr>
          <w:spacing w:val="-2"/>
          <w:w w:val="95"/>
        </w:rPr>
        <w:t>外购无形资产的成本，包括购买价款、相关税费以及直接归属于使该项资产达到预定用</w:t>
      </w:r>
      <w:r>
        <w:rPr>
          <w:spacing w:val="-2"/>
        </w:rPr>
      </w:r>
    </w:p>
    <w:p>
      <w:pPr>
        <w:pStyle w:val="Heading4"/>
        <w:spacing w:line="355" w:lineRule="auto" w:before="35"/>
        <w:ind w:right="1603"/>
        <w:jc w:val="left"/>
      </w:pPr>
      <w:r>
        <w:rPr>
          <w:spacing w:val="-2"/>
          <w:w w:val="95"/>
        </w:rPr>
        <w:t>途所发生的其他支出。购买无形资产的价款超过正常信用条件延期支付，实质上具有融资性</w:t>
      </w:r>
      <w:r>
        <w:rPr>
          <w:spacing w:val="92"/>
          <w:w w:val="95"/>
        </w:rPr>
        <w:t> </w:t>
      </w:r>
      <w:r>
        <w:rPr>
          <w:spacing w:val="92"/>
          <w:w w:val="95"/>
        </w:rPr>
      </w:r>
      <w:r>
        <w:rPr/>
        <w:t>质的，无形资产的成本以购买价款的现值为基础确定。</w:t>
      </w:r>
    </w:p>
    <w:p>
      <w:pPr>
        <w:pStyle w:val="Heading4"/>
        <w:spacing w:line="355" w:lineRule="auto"/>
        <w:ind w:right="1796" w:firstLine="420"/>
        <w:jc w:val="both"/>
      </w:pPr>
      <w:r>
        <w:rPr>
          <w:spacing w:val="-2"/>
          <w:w w:val="99"/>
        </w:rPr>
        <w:t>债务重组取得债务人用以抵债的无形资产，以该无形资产的公允价值为基础确定其入账</w:t>
      </w:r>
      <w:r>
        <w:rPr>
          <w:w w:val="99"/>
        </w:rPr>
        <w:t> </w:t>
      </w:r>
      <w:r>
        <w:rPr>
          <w:spacing w:val="-2"/>
          <w:w w:val="95"/>
        </w:rPr>
        <w:t>价值，并将重组债务的账面价值与该用以抵债的无形资产公允价值之间的差额，计入当期损</w:t>
      </w:r>
      <w:r>
        <w:rPr>
          <w:w w:val="95"/>
        </w:rPr>
        <w:t>  </w:t>
      </w:r>
      <w:r>
        <w:rPr>
          <w:spacing w:val="92"/>
          <w:w w:val="95"/>
        </w:rPr>
        <w:t> </w:t>
      </w:r>
      <w:r>
        <w:rPr>
          <w:spacing w:val="92"/>
          <w:w w:val="95"/>
        </w:rPr>
      </w:r>
      <w:r>
        <w:rPr/>
        <w:t>益。</w:t>
      </w:r>
    </w:p>
    <w:p>
      <w:pPr>
        <w:pStyle w:val="Heading4"/>
        <w:spacing w:line="357" w:lineRule="auto"/>
        <w:ind w:right="1603" w:firstLine="420"/>
        <w:jc w:val="left"/>
      </w:pPr>
      <w:r>
        <w:rPr>
          <w:spacing w:val="3"/>
        </w:rPr>
        <w:t>在非货币性资产交换具备商业实质且换入资产或换出资产的公允价值能够可靠计量的</w:t>
      </w:r>
      <w:r>
        <w:rPr>
          <w:w w:val="99"/>
        </w:rPr>
        <w:t> </w:t>
      </w:r>
      <w:r>
        <w:rPr>
          <w:w w:val="95"/>
        </w:rPr>
        <w:t>前提下，非货币性资产交换换入的无形资产以换出资产的公允价值为基础确定其入账价值，</w:t>
      </w:r>
      <w:r>
        <w:rPr>
          <w:spacing w:val="99"/>
          <w:w w:val="95"/>
        </w:rPr>
        <w:t> </w:t>
      </w:r>
      <w:r>
        <w:rPr>
          <w:spacing w:val="99"/>
          <w:w w:val="95"/>
        </w:rPr>
      </w:r>
      <w:r>
        <w:rPr>
          <w:w w:val="95"/>
        </w:rPr>
        <w:t>除非有确凿证据表明换入资产的公允价值更加可靠；不满足上述前提的非货币性资产交换，</w:t>
      </w:r>
      <w:r>
        <w:rPr>
          <w:spacing w:val="99"/>
          <w:w w:val="95"/>
        </w:rPr>
        <w:t> </w:t>
      </w:r>
      <w:r>
        <w:rPr>
          <w:spacing w:val="99"/>
          <w:w w:val="95"/>
        </w:rPr>
      </w:r>
      <w:r>
        <w:rPr/>
        <w:t>以换出资产的账面价值和应支付的相关税费作为换入无形资产的成本，不确认损益。</w:t>
      </w:r>
    </w:p>
    <w:p>
      <w:pPr>
        <w:pStyle w:val="Heading4"/>
        <w:spacing w:line="357" w:lineRule="auto" w:before="30"/>
        <w:ind w:left="540" w:right="5362"/>
        <w:jc w:val="left"/>
      </w:pPr>
      <w:r>
        <w:rPr/>
        <w:t>②后续计量</w:t>
      </w:r>
      <w:r>
        <w:rPr>
          <w:w w:val="99"/>
        </w:rPr>
        <w:t> </w:t>
      </w:r>
      <w:r>
        <w:rPr>
          <w:w w:val="95"/>
        </w:rPr>
        <w:t>在取得无形资产时分析判断其使用寿命。</w:t>
      </w:r>
      <w:r>
        <w:rPr/>
      </w:r>
    </w:p>
    <w:p>
      <w:pPr>
        <w:pStyle w:val="Heading4"/>
        <w:spacing w:line="355" w:lineRule="auto" w:before="30"/>
        <w:ind w:right="1603" w:firstLine="420"/>
        <w:jc w:val="left"/>
      </w:pPr>
      <w:r>
        <w:rPr>
          <w:spacing w:val="-2"/>
          <w:w w:val="95"/>
        </w:rPr>
        <w:t>对于使用寿命有限的无形资产，在为企业带来经济利益的期限内按直线法摊销；无法预</w:t>
      </w:r>
      <w:r>
        <w:rPr>
          <w:w w:val="99"/>
        </w:rPr>
        <w:t> </w:t>
      </w:r>
      <w:r>
        <w:rPr/>
        <w:t>见无形资产为企业带来经济利益期限的，视为使用寿命不确定的无形资产，不予摊销</w:t>
      </w:r>
    </w:p>
    <w:p>
      <w:pPr>
        <w:pStyle w:val="Heading4"/>
        <w:spacing w:line="240" w:lineRule="auto" w:before="34"/>
        <w:ind w:left="468" w:right="1603"/>
        <w:jc w:val="left"/>
      </w:pPr>
      <w:r>
        <w:rPr>
          <w:rFonts w:ascii="Times New Roman" w:hAnsi="Times New Roman" w:cs="Times New Roman" w:eastAsia="Times New Roman" w:hint="default"/>
        </w:rPr>
        <w:t>(2)</w:t>
      </w:r>
      <w:r>
        <w:rPr/>
        <w:t>使用寿命有限的无形资产的使用寿命估计情况</w:t>
      </w:r>
    </w:p>
    <w:p>
      <w:pPr>
        <w:spacing w:after="0" w:line="240" w:lineRule="auto"/>
        <w:jc w:val="left"/>
        <w:sectPr>
          <w:pgSz w:w="11910" w:h="16840"/>
          <w:pgMar w:header="712" w:footer="1264" w:top="980" w:bottom="1460" w:left="16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tbl>
      <w:tblPr>
        <w:tblW w:w="0" w:type="auto"/>
        <w:jc w:val="left"/>
        <w:tblInd w:w="119" w:type="dxa"/>
        <w:tblLayout w:type="fixed"/>
        <w:tblCellMar>
          <w:top w:w="0" w:type="dxa"/>
          <w:left w:w="0" w:type="dxa"/>
          <w:bottom w:w="0" w:type="dxa"/>
          <w:right w:w="0" w:type="dxa"/>
        </w:tblCellMar>
        <w:tblLook w:val="01E0"/>
      </w:tblPr>
      <w:tblGrid>
        <w:gridCol w:w="1918"/>
        <w:gridCol w:w="1698"/>
        <w:gridCol w:w="4717"/>
      </w:tblGrid>
      <w:tr>
        <w:trPr>
          <w:trHeight w:val="454" w:hRule="exact"/>
        </w:trPr>
        <w:tc>
          <w:tcPr>
            <w:tcW w:w="1918" w:type="dxa"/>
            <w:tcBorders>
              <w:top w:val="single" w:sz="6" w:space="0" w:color="000000"/>
              <w:left w:val="single" w:sz="6" w:space="0" w:color="000000"/>
              <w:bottom w:val="single" w:sz="8" w:space="0" w:color="000000"/>
              <w:right w:val="single" w:sz="8" w:space="0" w:color="000000"/>
            </w:tcBorders>
          </w:tcPr>
          <w:p>
            <w:pPr>
              <w:pStyle w:val="TableParagraph"/>
              <w:spacing w:line="218" w:lineRule="exact"/>
              <w:ind w:left="1"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698" w:type="dxa"/>
            <w:tcBorders>
              <w:top w:val="single" w:sz="6" w:space="0" w:color="000000"/>
              <w:left w:val="single" w:sz="8" w:space="0" w:color="000000"/>
              <w:bottom w:val="single" w:sz="8" w:space="0" w:color="000000"/>
              <w:right w:val="single" w:sz="8" w:space="0" w:color="000000"/>
            </w:tcBorders>
          </w:tcPr>
          <w:p>
            <w:pPr>
              <w:pStyle w:val="TableParagraph"/>
              <w:spacing w:line="218" w:lineRule="exact"/>
              <w:ind w:right="0"/>
              <w:jc w:val="center"/>
              <w:rPr>
                <w:rFonts w:ascii="宋体" w:hAnsi="宋体" w:cs="宋体" w:eastAsia="宋体" w:hint="default"/>
                <w:sz w:val="18"/>
                <w:szCs w:val="18"/>
              </w:rPr>
            </w:pPr>
            <w:r>
              <w:rPr>
                <w:rFonts w:ascii="宋体" w:hAnsi="宋体" w:cs="宋体" w:eastAsia="宋体" w:hint="default"/>
                <w:b/>
                <w:bCs/>
                <w:sz w:val="18"/>
                <w:szCs w:val="18"/>
              </w:rPr>
              <w:t>预计使用寿命</w:t>
            </w:r>
            <w:r>
              <w:rPr>
                <w:rFonts w:ascii="宋体" w:hAnsi="宋体" w:cs="宋体" w:eastAsia="宋体" w:hint="default"/>
                <w:sz w:val="18"/>
                <w:szCs w:val="18"/>
              </w:rPr>
            </w:r>
          </w:p>
        </w:tc>
        <w:tc>
          <w:tcPr>
            <w:tcW w:w="4717" w:type="dxa"/>
            <w:tcBorders>
              <w:top w:val="single" w:sz="6" w:space="0" w:color="000000"/>
              <w:left w:val="single" w:sz="8" w:space="0" w:color="000000"/>
              <w:bottom w:val="single" w:sz="8" w:space="0" w:color="000000"/>
              <w:right w:val="single" w:sz="8" w:space="0" w:color="000000"/>
            </w:tcBorders>
          </w:tcPr>
          <w:p>
            <w:pPr>
              <w:pStyle w:val="TableParagraph"/>
              <w:spacing w:line="218" w:lineRule="exact"/>
              <w:ind w:right="0"/>
              <w:jc w:val="center"/>
              <w:rPr>
                <w:rFonts w:ascii="宋体" w:hAnsi="宋体" w:cs="宋体" w:eastAsia="宋体" w:hint="default"/>
                <w:sz w:val="18"/>
                <w:szCs w:val="18"/>
              </w:rPr>
            </w:pPr>
            <w:r>
              <w:rPr>
                <w:rFonts w:ascii="宋体" w:hAnsi="宋体" w:cs="宋体" w:eastAsia="宋体" w:hint="default"/>
                <w:b/>
                <w:bCs/>
                <w:sz w:val="18"/>
                <w:szCs w:val="18"/>
              </w:rPr>
              <w:t>依据</w:t>
            </w:r>
            <w:r>
              <w:rPr>
                <w:rFonts w:ascii="宋体" w:hAnsi="宋体" w:cs="宋体" w:eastAsia="宋体" w:hint="default"/>
                <w:sz w:val="18"/>
                <w:szCs w:val="18"/>
              </w:rPr>
            </w:r>
          </w:p>
        </w:tc>
      </w:tr>
      <w:tr>
        <w:trPr>
          <w:trHeight w:val="438" w:hRule="exact"/>
        </w:trPr>
        <w:tc>
          <w:tcPr>
            <w:tcW w:w="1918" w:type="dxa"/>
            <w:tcBorders>
              <w:top w:val="single" w:sz="8" w:space="0" w:color="000000"/>
              <w:left w:val="single" w:sz="6" w:space="0" w:color="000000"/>
              <w:bottom w:val="single" w:sz="8" w:space="0" w:color="000000"/>
              <w:right w:val="single" w:sz="8" w:space="0" w:color="000000"/>
            </w:tcBorders>
          </w:tcPr>
          <w:p>
            <w:pPr>
              <w:pStyle w:val="TableParagraph"/>
              <w:spacing w:line="218" w:lineRule="exact"/>
              <w:ind w:left="3"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698" w:type="dxa"/>
            <w:tcBorders>
              <w:top w:val="single" w:sz="8" w:space="0" w:color="000000"/>
              <w:left w:val="single" w:sz="8" w:space="0" w:color="000000"/>
              <w:bottom w:val="single" w:sz="8" w:space="0" w:color="000000"/>
              <w:right w:val="single" w:sz="8" w:space="0" w:color="000000"/>
            </w:tcBorders>
          </w:tcPr>
          <w:p>
            <w:pPr>
              <w:pStyle w:val="TableParagraph"/>
              <w:spacing w:line="231"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宋体" w:hAnsi="宋体" w:cs="宋体" w:eastAsia="宋体" w:hint="default"/>
                <w:sz w:val="18"/>
                <w:szCs w:val="18"/>
              </w:rPr>
              <w:t>年</w:t>
            </w:r>
          </w:p>
        </w:tc>
        <w:tc>
          <w:tcPr>
            <w:tcW w:w="4717" w:type="dxa"/>
            <w:tcBorders>
              <w:top w:val="single" w:sz="8" w:space="0" w:color="000000"/>
              <w:left w:val="single" w:sz="8" w:space="0" w:color="000000"/>
              <w:bottom w:val="single" w:sz="8" w:space="0" w:color="000000"/>
              <w:right w:val="single" w:sz="8" w:space="0" w:color="000000"/>
            </w:tcBorders>
          </w:tcPr>
          <w:p>
            <w:pPr>
              <w:pStyle w:val="TableParagraph"/>
              <w:spacing w:line="218" w:lineRule="exact"/>
              <w:ind w:right="0"/>
              <w:jc w:val="center"/>
              <w:rPr>
                <w:rFonts w:ascii="宋体" w:hAnsi="宋体" w:cs="宋体" w:eastAsia="宋体" w:hint="default"/>
                <w:sz w:val="18"/>
                <w:szCs w:val="18"/>
              </w:rPr>
            </w:pPr>
            <w:r>
              <w:rPr>
                <w:rFonts w:ascii="宋体" w:hAnsi="宋体" w:cs="宋体" w:eastAsia="宋体" w:hint="default"/>
                <w:sz w:val="18"/>
                <w:szCs w:val="18"/>
              </w:rPr>
              <w:t>土地使用权证有效日期</w:t>
            </w:r>
          </w:p>
        </w:tc>
      </w:tr>
      <w:tr>
        <w:trPr>
          <w:trHeight w:val="438" w:hRule="exact"/>
        </w:trPr>
        <w:tc>
          <w:tcPr>
            <w:tcW w:w="1918" w:type="dxa"/>
            <w:tcBorders>
              <w:top w:val="single" w:sz="8" w:space="0" w:color="000000"/>
              <w:left w:val="single" w:sz="6" w:space="0" w:color="000000"/>
              <w:bottom w:val="single" w:sz="8" w:space="0" w:color="000000"/>
              <w:right w:val="single" w:sz="8" w:space="0" w:color="000000"/>
            </w:tcBorders>
          </w:tcPr>
          <w:p>
            <w:pPr>
              <w:pStyle w:val="TableParagraph"/>
              <w:spacing w:line="219" w:lineRule="exact"/>
              <w:ind w:left="3"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698"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4717" w:type="dxa"/>
            <w:tcBorders>
              <w:top w:val="single" w:sz="8" w:space="0" w:color="000000"/>
              <w:left w:val="single" w:sz="8" w:space="0" w:color="000000"/>
              <w:bottom w:val="single" w:sz="8" w:space="0" w:color="000000"/>
              <w:right w:val="single" w:sz="8" w:space="0" w:color="000000"/>
            </w:tcBorders>
          </w:tcPr>
          <w:p>
            <w:pPr>
              <w:pStyle w:val="TableParagraph"/>
              <w:spacing w:line="219" w:lineRule="exact"/>
              <w:ind w:right="0"/>
              <w:jc w:val="center"/>
              <w:rPr>
                <w:rFonts w:ascii="宋体" w:hAnsi="宋体" w:cs="宋体" w:eastAsia="宋体" w:hint="default"/>
                <w:sz w:val="18"/>
                <w:szCs w:val="18"/>
              </w:rPr>
            </w:pPr>
            <w:r>
              <w:rPr>
                <w:rFonts w:ascii="宋体" w:hAnsi="宋体" w:cs="宋体" w:eastAsia="宋体" w:hint="default"/>
                <w:sz w:val="18"/>
                <w:szCs w:val="18"/>
              </w:rPr>
              <w:t>与该项无形资产有关的经济利益的预期实现方式</w:t>
            </w:r>
          </w:p>
        </w:tc>
      </w:tr>
    </w:tbl>
    <w:p>
      <w:pPr>
        <w:pStyle w:val="Heading4"/>
        <w:spacing w:line="241" w:lineRule="exact" w:before="0"/>
        <w:ind w:left="557" w:right="969"/>
        <w:jc w:val="left"/>
      </w:pPr>
      <w:r>
        <w:rPr/>
        <w:t>每期末，对使用寿命有限的无形资产的使用寿命及摊销方法进行复核。</w:t>
      </w:r>
    </w:p>
    <w:p>
      <w:pPr>
        <w:pStyle w:val="Heading4"/>
        <w:spacing w:line="348" w:lineRule="auto" w:before="133"/>
        <w:ind w:left="557" w:right="969"/>
        <w:jc w:val="left"/>
      </w:pPr>
      <w:r>
        <w:rPr/>
        <w:t>经复核，本年期末无形资产的使用寿命及摊销方法与以前估计未有不同。</w:t>
      </w:r>
      <w:r>
        <w:rPr>
          <w:w w:val="99"/>
        </w:rPr>
        <w:t> </w:t>
      </w:r>
      <w:r>
        <w:rPr>
          <w:rFonts w:ascii="Times New Roman" w:hAnsi="Times New Roman" w:cs="Times New Roman" w:eastAsia="Times New Roman" w:hint="default"/>
        </w:rPr>
        <w:t>(3)</w:t>
      </w:r>
      <w:r>
        <w:rPr/>
        <w:t>截至资产负债表日，本公司没有使用寿命不确定的无形资产。</w:t>
      </w:r>
      <w:r>
        <w:rPr>
          <w:w w:val="99"/>
        </w:rPr>
        <w:t> </w:t>
      </w:r>
      <w:r>
        <w:rPr>
          <w:rFonts w:ascii="Times New Roman" w:hAnsi="Times New Roman" w:cs="Times New Roman" w:eastAsia="Times New Roman" w:hint="default"/>
        </w:rPr>
        <w:t>(4)</w:t>
      </w:r>
      <w:r>
        <w:rPr/>
        <w:t>划分研究阶段和开发阶段的具体标准</w:t>
      </w:r>
      <w:r>
        <w:rPr>
          <w:w w:val="99"/>
        </w:rPr>
        <w:t> </w:t>
      </w:r>
      <w:r>
        <w:rPr/>
        <w:t>公司内部研究开发项目的支出分为研究阶段支出和开发阶段支出。</w:t>
      </w:r>
      <w:r>
        <w:rPr>
          <w:w w:val="99"/>
        </w:rPr>
        <w:t> </w:t>
      </w:r>
      <w:r>
        <w:rPr>
          <w:spacing w:val="-2"/>
          <w:w w:val="95"/>
        </w:rPr>
        <w:t>研究阶段：为获取并理解新的科学或技术知识等而进行的独创性的有计划调查、研究活</w:t>
      </w:r>
      <w:r>
        <w:rPr>
          <w:spacing w:val="-2"/>
        </w:rPr>
      </w:r>
    </w:p>
    <w:p>
      <w:pPr>
        <w:pStyle w:val="Heading4"/>
        <w:spacing w:line="240" w:lineRule="auto" w:before="38"/>
        <w:ind w:left="137" w:right="0"/>
        <w:jc w:val="both"/>
      </w:pPr>
      <w:r>
        <w:rPr/>
        <w:t>动的阶段。</w:t>
      </w:r>
    </w:p>
    <w:p>
      <w:pPr>
        <w:pStyle w:val="Heading4"/>
        <w:spacing w:line="357" w:lineRule="auto" w:before="133"/>
        <w:ind w:left="137" w:right="969" w:firstLine="422"/>
        <w:jc w:val="left"/>
      </w:pPr>
      <w:r>
        <w:rPr>
          <w:spacing w:val="-5"/>
          <w:w w:val="99"/>
        </w:rPr>
        <w:t>开发阶段：在进行商业性生产或使用前，将研究成果或其他知识应用于某项计划或设计，</w:t>
      </w:r>
      <w:r>
        <w:rPr>
          <w:w w:val="99"/>
        </w:rPr>
        <w:t> </w:t>
      </w:r>
      <w:r>
        <w:rPr/>
        <w:t>以生产出新的或具有实质性改进的材料、装置、产品等活动的阶段。</w:t>
      </w:r>
    </w:p>
    <w:p>
      <w:pPr>
        <w:pStyle w:val="Heading4"/>
        <w:spacing w:line="336" w:lineRule="auto" w:before="30"/>
        <w:ind w:left="540" w:right="969" w:firstLine="16"/>
        <w:jc w:val="left"/>
      </w:pPr>
      <w:r>
        <w:rPr>
          <w:rFonts w:ascii="Times New Roman" w:hAnsi="Times New Roman" w:cs="Times New Roman" w:eastAsia="Times New Roman" w:hint="default"/>
        </w:rPr>
        <w:t>(5)</w:t>
      </w:r>
      <w:r>
        <w:rPr/>
        <w:t>开发阶段支出符合资本化的具体条件</w:t>
      </w:r>
      <w:r>
        <w:rPr>
          <w:w w:val="99"/>
        </w:rPr>
        <w:t> </w:t>
      </w:r>
      <w:r>
        <w:rPr>
          <w:w w:val="95"/>
        </w:rPr>
        <w:t>内部研究开发项目开发阶段的支出，同时满足下列条件时确认为无形资产：</w:t>
      </w:r>
      <w:r>
        <w:rPr/>
      </w:r>
    </w:p>
    <w:p>
      <w:pPr>
        <w:pStyle w:val="Heading4"/>
        <w:spacing w:line="240" w:lineRule="auto" w:before="49"/>
        <w:ind w:left="540" w:right="969"/>
        <w:jc w:val="left"/>
      </w:pPr>
      <w:r>
        <w:rPr/>
        <w:t>①完成该无形资产以使其能够使用或出售在技术上具有可行性。</w:t>
      </w:r>
    </w:p>
    <w:p>
      <w:pPr>
        <w:pStyle w:val="Heading4"/>
        <w:spacing w:line="240" w:lineRule="auto" w:before="135"/>
        <w:ind w:left="560" w:right="969"/>
        <w:jc w:val="left"/>
      </w:pPr>
      <w:r>
        <w:rPr/>
        <w:t>②具有完成该无形资产并使用或出售的意图。</w:t>
      </w:r>
    </w:p>
    <w:p>
      <w:pPr>
        <w:pStyle w:val="Heading4"/>
        <w:spacing w:line="355" w:lineRule="auto" w:before="133"/>
        <w:ind w:left="137" w:right="969" w:firstLine="420"/>
        <w:jc w:val="left"/>
      </w:pPr>
      <w:r>
        <w:rPr>
          <w:spacing w:val="-2"/>
          <w:w w:val="99"/>
        </w:rPr>
        <w:t>③无形资产产生经济利益的方式，包括能够证明运用该无形资产生产的产品存在市场或</w:t>
      </w:r>
      <w:r>
        <w:rPr>
          <w:w w:val="99"/>
        </w:rPr>
        <w:t> </w:t>
      </w:r>
      <w:r>
        <w:rPr/>
        <w:t>无形资产自身存在市场，无形资产将在内部使用的，能够证明其有用性。</w:t>
      </w:r>
    </w:p>
    <w:p>
      <w:pPr>
        <w:pStyle w:val="Heading4"/>
        <w:spacing w:line="355" w:lineRule="auto"/>
        <w:ind w:left="137" w:right="969" w:firstLine="420"/>
        <w:jc w:val="left"/>
      </w:pPr>
      <w:r>
        <w:rPr>
          <w:spacing w:val="-2"/>
          <w:w w:val="95"/>
        </w:rPr>
        <w:t>④有足够的技术、财务资源和其他资源支持，以完成该无形资产的开发，并有能力使用</w:t>
      </w:r>
      <w:r>
        <w:rPr>
          <w:w w:val="99"/>
        </w:rPr>
        <w:t> </w:t>
      </w:r>
      <w:r>
        <w:rPr/>
        <w:t>或出售该无形资产。</w:t>
      </w:r>
    </w:p>
    <w:p>
      <w:pPr>
        <w:pStyle w:val="Heading4"/>
        <w:spacing w:line="357" w:lineRule="auto"/>
        <w:ind w:left="560" w:right="969" w:hanging="3"/>
        <w:jc w:val="left"/>
      </w:pPr>
      <w:r>
        <w:rPr/>
        <w:t>⑤归属于该无形资产开发阶段的支出能够可靠地计量。</w:t>
      </w:r>
      <w:r>
        <w:rPr>
          <w:w w:val="99"/>
        </w:rPr>
        <w:t> </w:t>
      </w:r>
      <w:r>
        <w:rPr>
          <w:spacing w:val="-2"/>
          <w:w w:val="95"/>
        </w:rPr>
        <w:t>开发阶段的支出，若不满足上列条件的，于发生时计入当期损益。研究阶段的支出，在</w:t>
      </w:r>
      <w:r>
        <w:rPr>
          <w:spacing w:val="-2"/>
        </w:rPr>
      </w:r>
    </w:p>
    <w:p>
      <w:pPr>
        <w:pStyle w:val="Heading4"/>
        <w:spacing w:line="240" w:lineRule="auto" w:before="30"/>
        <w:ind w:left="137" w:right="0"/>
        <w:jc w:val="both"/>
      </w:pPr>
      <w:r>
        <w:rPr/>
        <w:t>发生时计入当期损益。</w:t>
      </w:r>
    </w:p>
    <w:p>
      <w:pPr>
        <w:spacing w:line="345" w:lineRule="auto" w:before="133"/>
        <w:ind w:left="562" w:right="969" w:hanging="425"/>
        <w:jc w:val="left"/>
        <w:rPr>
          <w:rFonts w:ascii="宋体" w:hAnsi="宋体" w:cs="宋体" w:eastAsia="宋体" w:hint="default"/>
          <w:sz w:val="21"/>
          <w:szCs w:val="21"/>
        </w:rPr>
      </w:pPr>
      <w:bookmarkStart w:name="19、长期资产减值" w:id="194"/>
      <w:bookmarkEnd w:id="194"/>
      <w:r>
        <w:rPr/>
      </w:r>
      <w:r>
        <w:rPr>
          <w:rFonts w:ascii="Times New Roman" w:hAnsi="Times New Roman" w:cs="Times New Roman" w:eastAsia="Times New Roman" w:hint="default"/>
          <w:b/>
          <w:bCs/>
          <w:sz w:val="18"/>
          <w:szCs w:val="18"/>
        </w:rPr>
        <w:t>19</w:t>
      </w:r>
      <w:r>
        <w:rPr>
          <w:rFonts w:ascii="宋体" w:hAnsi="宋体" w:cs="宋体" w:eastAsia="宋体" w:hint="default"/>
          <w:b/>
          <w:bCs/>
          <w:sz w:val="21"/>
          <w:szCs w:val="21"/>
        </w:rPr>
        <w:t>、长期资产减值</w:t>
      </w:r>
      <w:r>
        <w:rPr>
          <w:rFonts w:ascii="宋体" w:hAnsi="宋体" w:cs="宋体" w:eastAsia="宋体" w:hint="default"/>
          <w:b/>
          <w:bCs/>
          <w:w w:val="99"/>
          <w:sz w:val="21"/>
          <w:szCs w:val="21"/>
        </w:rPr>
        <w:t> </w:t>
      </w:r>
      <w:r>
        <w:rPr>
          <w:rFonts w:ascii="宋体" w:hAnsi="宋体" w:cs="宋体" w:eastAsia="宋体" w:hint="default"/>
          <w:spacing w:val="-2"/>
          <w:w w:val="95"/>
          <w:sz w:val="21"/>
          <w:szCs w:val="21"/>
        </w:rPr>
        <w:t>长期股权投资、采用成本模式计量的投资性房地产、固定资产、在建工程、无形资产等</w:t>
      </w:r>
      <w:r>
        <w:rPr>
          <w:rFonts w:ascii="宋体" w:hAnsi="宋体" w:cs="宋体" w:eastAsia="宋体" w:hint="default"/>
          <w:spacing w:val="-2"/>
          <w:sz w:val="21"/>
          <w:szCs w:val="21"/>
        </w:rPr>
      </w:r>
    </w:p>
    <w:p>
      <w:pPr>
        <w:pStyle w:val="Heading4"/>
        <w:spacing w:line="357" w:lineRule="auto" w:before="43"/>
        <w:ind w:left="137" w:right="1796"/>
        <w:jc w:val="both"/>
      </w:pPr>
      <w:r>
        <w:rPr>
          <w:spacing w:val="-2"/>
          <w:w w:val="95"/>
        </w:rPr>
        <w:t>长期资产，于资产负债表日存在减值迹象的，进行减值测试。减值测试结果表明资产的可收</w:t>
      </w:r>
      <w:r>
        <w:rPr>
          <w:spacing w:val="93"/>
          <w:w w:val="95"/>
        </w:rPr>
        <w:t> </w:t>
      </w:r>
      <w:r>
        <w:rPr>
          <w:spacing w:val="93"/>
          <w:w w:val="95"/>
        </w:rPr>
      </w:r>
      <w:r>
        <w:rPr>
          <w:spacing w:val="-2"/>
          <w:w w:val="95"/>
        </w:rPr>
        <w:t>回金额低于其账面价值的，按其差额计提减值准备并计入减值损失。可收回金额为资产的公</w:t>
      </w:r>
      <w:r>
        <w:rPr>
          <w:spacing w:val="92"/>
          <w:w w:val="95"/>
        </w:rPr>
        <w:t> </w:t>
      </w:r>
      <w:r>
        <w:rPr>
          <w:spacing w:val="92"/>
          <w:w w:val="95"/>
        </w:rPr>
      </w:r>
      <w:r>
        <w:rPr>
          <w:spacing w:val="-2"/>
          <w:w w:val="99"/>
        </w:rPr>
        <w:t>允价值减去处置费用后的净额与资产预计未来现金流量的现值两者之间的较高者。资产减值</w:t>
      </w:r>
      <w:r>
        <w:rPr>
          <w:spacing w:val="-95"/>
          <w:w w:val="99"/>
        </w:rPr>
        <w:t> </w:t>
      </w:r>
      <w:r>
        <w:rPr>
          <w:spacing w:val="-95"/>
          <w:w w:val="99"/>
        </w:rPr>
      </w:r>
      <w:r>
        <w:rPr>
          <w:spacing w:val="-2"/>
          <w:w w:val="95"/>
        </w:rPr>
        <w:t>准备按单项资产为基础计算并确认，如果难以对单项资产的可收回金额进行估计的，以该资</w:t>
      </w:r>
      <w:r>
        <w:rPr>
          <w:spacing w:val="92"/>
          <w:w w:val="95"/>
        </w:rPr>
        <w:t> </w:t>
      </w:r>
      <w:r>
        <w:rPr>
          <w:spacing w:val="92"/>
          <w:w w:val="95"/>
        </w:rPr>
      </w:r>
      <w:r>
        <w:rPr>
          <w:spacing w:val="3"/>
        </w:rPr>
        <w:t>产所属的资产组确定资产组的可收回金额。资产组是能够独立产生现金流入的最小资产组</w:t>
      </w:r>
      <w:r>
        <w:rPr>
          <w:w w:val="99"/>
        </w:rPr>
        <w:t> </w:t>
      </w:r>
      <w:r>
        <w:rPr/>
        <w:t>合。</w:t>
      </w:r>
    </w:p>
    <w:p>
      <w:pPr>
        <w:pStyle w:val="Heading4"/>
        <w:spacing w:line="355" w:lineRule="auto" w:before="30"/>
        <w:ind w:left="562" w:right="969"/>
        <w:jc w:val="left"/>
      </w:pPr>
      <w:r>
        <w:rPr/>
        <w:t>商誉至少在每年年度终了进行减值测试。</w:t>
      </w:r>
      <w:r>
        <w:rPr>
          <w:w w:val="99"/>
        </w:rPr>
        <w:t> </w:t>
      </w:r>
      <w:r>
        <w:rPr>
          <w:spacing w:val="-2"/>
          <w:w w:val="95"/>
        </w:rPr>
        <w:t>本公司进行商誉减值测试，对于因企业合并形成的商誉的账面价值，自购买日起按照合</w:t>
      </w:r>
      <w:r>
        <w:rPr>
          <w:spacing w:val="-2"/>
        </w:rPr>
      </w:r>
    </w:p>
    <w:p>
      <w:pPr>
        <w:spacing w:after="0" w:line="355" w:lineRule="auto"/>
        <w:jc w:val="left"/>
        <w:sectPr>
          <w:pgSz w:w="11910" w:h="16840"/>
          <w:pgMar w:header="712" w:footer="1264" w:top="980" w:bottom="1460" w:left="1660" w:right="0"/>
        </w:sectPr>
      </w:pPr>
    </w:p>
    <w:p>
      <w:pPr>
        <w:spacing w:line="240" w:lineRule="auto" w:before="9"/>
        <w:rPr>
          <w:rFonts w:ascii="宋体" w:hAnsi="宋体" w:cs="宋体" w:eastAsia="宋体" w:hint="default"/>
          <w:sz w:val="29"/>
          <w:szCs w:val="29"/>
        </w:rPr>
      </w:pPr>
    </w:p>
    <w:p>
      <w:pPr>
        <w:pStyle w:val="Heading4"/>
        <w:spacing w:line="357" w:lineRule="auto" w:before="34"/>
        <w:ind w:right="1603"/>
        <w:jc w:val="left"/>
      </w:pPr>
      <w:r>
        <w:rPr>
          <w:spacing w:val="-5"/>
          <w:w w:val="99"/>
        </w:rPr>
        <w:t>理的方法分摊至相关的资产组；难以分摊至相关的资产组的，将其分摊至相关的资产组组合。</w:t>
      </w:r>
      <w:r>
        <w:rPr>
          <w:spacing w:val="-72"/>
          <w:w w:val="99"/>
        </w:rPr>
        <w:t> </w:t>
      </w:r>
      <w:r>
        <w:rPr>
          <w:spacing w:val="-72"/>
          <w:w w:val="99"/>
        </w:rPr>
      </w:r>
      <w:r>
        <w:rPr>
          <w:spacing w:val="-2"/>
          <w:w w:val="99"/>
        </w:rPr>
        <w:t>在将商誉的账面价值分摊至相关的资产组或者资产组组合时，按照各资产组或者资产组组合</w:t>
      </w:r>
      <w:r>
        <w:rPr>
          <w:spacing w:val="-93"/>
          <w:w w:val="99"/>
        </w:rPr>
        <w:t> </w:t>
      </w:r>
      <w:r>
        <w:rPr>
          <w:spacing w:val="-93"/>
          <w:w w:val="99"/>
        </w:rPr>
      </w:r>
      <w:r>
        <w:rPr>
          <w:spacing w:val="-2"/>
          <w:w w:val="99"/>
        </w:rPr>
        <w:t>的公允价值占相关资产组或者资产组组合公允价值总额的比例进行分摊。公允价值难以可靠</w:t>
      </w:r>
      <w:r>
        <w:rPr>
          <w:spacing w:val="-95"/>
          <w:w w:val="99"/>
        </w:rPr>
        <w:t> </w:t>
      </w:r>
      <w:r>
        <w:rPr>
          <w:spacing w:val="-95"/>
          <w:w w:val="99"/>
        </w:rPr>
      </w:r>
      <w:r>
        <w:rPr>
          <w:spacing w:val="-2"/>
          <w:w w:val="99"/>
        </w:rPr>
        <w:t>计量的，按照各资产组或者资产组组合的账面价值占相关资产组或者资产组组合账面价值总</w:t>
      </w:r>
      <w:r>
        <w:rPr>
          <w:spacing w:val="-96"/>
          <w:w w:val="99"/>
        </w:rPr>
        <w:t> </w:t>
      </w:r>
      <w:r>
        <w:rPr>
          <w:spacing w:val="-96"/>
          <w:w w:val="99"/>
        </w:rPr>
      </w:r>
      <w:r>
        <w:rPr/>
        <w:t>额的比例进行分摊。</w:t>
      </w:r>
    </w:p>
    <w:p>
      <w:pPr>
        <w:pStyle w:val="Heading4"/>
        <w:spacing w:line="357" w:lineRule="auto" w:before="30"/>
        <w:ind w:right="1797" w:firstLine="420"/>
        <w:jc w:val="both"/>
      </w:pPr>
      <w:r>
        <w:rPr>
          <w:spacing w:val="-2"/>
          <w:w w:val="99"/>
        </w:rPr>
        <w:t>在对包含商誉的相关资产组或者资产组组合进行减值测试时，如与商誉相关的资产组或</w:t>
      </w:r>
      <w:r>
        <w:rPr>
          <w:w w:val="99"/>
        </w:rPr>
        <w:t> </w:t>
      </w:r>
      <w:r>
        <w:rPr>
          <w:spacing w:val="-2"/>
          <w:w w:val="95"/>
        </w:rPr>
        <w:t>者资产组组合存在减值迹象的，先对不包含商誉的资产组或者资产组组合进行减值测试，计</w:t>
      </w:r>
      <w:r>
        <w:rPr>
          <w:spacing w:val="92"/>
          <w:w w:val="95"/>
        </w:rPr>
        <w:t> </w:t>
      </w:r>
      <w:r>
        <w:rPr>
          <w:spacing w:val="92"/>
          <w:w w:val="95"/>
        </w:rPr>
      </w:r>
      <w:r>
        <w:rPr>
          <w:spacing w:val="-2"/>
          <w:w w:val="95"/>
        </w:rPr>
        <w:t>算可收回金额，并与相关账面价值相比较，确认相应的减值损失。再对包含商誉的资产组或</w:t>
      </w:r>
      <w:r>
        <w:rPr>
          <w:spacing w:val="94"/>
          <w:w w:val="95"/>
        </w:rPr>
        <w:t> </w:t>
      </w:r>
      <w:r>
        <w:rPr>
          <w:spacing w:val="94"/>
          <w:w w:val="95"/>
        </w:rPr>
      </w:r>
      <w:r>
        <w:rPr>
          <w:spacing w:val="-2"/>
          <w:w w:val="95"/>
        </w:rPr>
        <w:t>者资产组组合进行减值测试，比较这些相关资产组或者资产组组合的账面价值（包括所分摊</w:t>
      </w:r>
      <w:r>
        <w:rPr>
          <w:spacing w:val="92"/>
          <w:w w:val="95"/>
        </w:rPr>
        <w:t> </w:t>
      </w:r>
      <w:r>
        <w:rPr>
          <w:spacing w:val="92"/>
          <w:w w:val="95"/>
        </w:rPr>
      </w:r>
      <w:r>
        <w:rPr>
          <w:spacing w:val="-2"/>
          <w:w w:val="95"/>
        </w:rPr>
        <w:t>的商誉的账面价值部分）与其可收回金额，如相关资产组或者资产组组合的可收回金额低于</w:t>
      </w:r>
      <w:r>
        <w:rPr>
          <w:spacing w:val="92"/>
          <w:w w:val="95"/>
        </w:rPr>
        <w:t> </w:t>
      </w:r>
      <w:r>
        <w:rPr>
          <w:spacing w:val="92"/>
          <w:w w:val="95"/>
        </w:rPr>
      </w:r>
      <w:r>
        <w:rPr/>
        <w:t>其账面价值的，确认商誉的减值损失。</w:t>
      </w:r>
    </w:p>
    <w:p>
      <w:pPr>
        <w:pStyle w:val="Heading4"/>
        <w:spacing w:line="240" w:lineRule="auto" w:before="30"/>
        <w:ind w:left="537" w:right="1603"/>
        <w:jc w:val="left"/>
      </w:pPr>
      <w:r>
        <w:rPr/>
        <w:t>上述资产减值损失一经确认，在以后会计期间不予转回。</w:t>
      </w:r>
    </w:p>
    <w:p>
      <w:pPr>
        <w:spacing w:line="345" w:lineRule="auto" w:before="133"/>
        <w:ind w:left="537" w:right="1789" w:hanging="420"/>
        <w:jc w:val="left"/>
        <w:rPr>
          <w:rFonts w:ascii="宋体" w:hAnsi="宋体" w:cs="宋体" w:eastAsia="宋体" w:hint="default"/>
          <w:sz w:val="21"/>
          <w:szCs w:val="21"/>
        </w:rPr>
      </w:pPr>
      <w:bookmarkStart w:name="20、长期待摊费用" w:id="195"/>
      <w:bookmarkEnd w:id="195"/>
      <w:r>
        <w:rPr/>
      </w:r>
      <w:r>
        <w:rPr>
          <w:rFonts w:ascii="Times New Roman" w:hAnsi="Times New Roman" w:cs="Times New Roman" w:eastAsia="Times New Roman" w:hint="default"/>
          <w:b/>
          <w:bCs/>
          <w:sz w:val="18"/>
          <w:szCs w:val="18"/>
        </w:rPr>
        <w:t>20</w:t>
      </w:r>
      <w:r>
        <w:rPr>
          <w:rFonts w:ascii="宋体" w:hAnsi="宋体" w:cs="宋体" w:eastAsia="宋体" w:hint="default"/>
          <w:b/>
          <w:bCs/>
          <w:sz w:val="21"/>
          <w:szCs w:val="21"/>
        </w:rPr>
        <w:t>、长期待摊费用</w:t>
      </w:r>
      <w:r>
        <w:rPr>
          <w:rFonts w:ascii="宋体" w:hAnsi="宋体" w:cs="宋体" w:eastAsia="宋体" w:hint="default"/>
          <w:b/>
          <w:bCs/>
          <w:w w:val="99"/>
          <w:sz w:val="21"/>
          <w:szCs w:val="21"/>
        </w:rPr>
        <w:t> </w:t>
      </w:r>
      <w:r>
        <w:rPr>
          <w:rFonts w:ascii="宋体" w:hAnsi="宋体" w:cs="宋体" w:eastAsia="宋体" w:hint="default"/>
          <w:spacing w:val="3"/>
          <w:sz w:val="21"/>
          <w:szCs w:val="21"/>
        </w:rPr>
        <w:t>长期待摊费用为已经发生但应由本期和以后各期负担的分摊期限在一年以上的各项费</w:t>
      </w:r>
    </w:p>
    <w:p>
      <w:pPr>
        <w:pStyle w:val="Heading4"/>
        <w:spacing w:line="240" w:lineRule="auto" w:before="40"/>
        <w:ind w:right="1603"/>
        <w:jc w:val="left"/>
      </w:pPr>
      <w:r>
        <w:rPr/>
        <w:t>用。</w:t>
      </w:r>
    </w:p>
    <w:p>
      <w:pPr>
        <w:pStyle w:val="Heading4"/>
        <w:spacing w:line="240" w:lineRule="auto" w:before="133"/>
        <w:ind w:left="537" w:right="1603"/>
        <w:jc w:val="left"/>
      </w:pPr>
      <w:r>
        <w:rPr/>
        <w:t>长期待摊费用在受益期内平均摊销。</w:t>
      </w:r>
    </w:p>
    <w:p>
      <w:pPr>
        <w:spacing w:line="240" w:lineRule="auto" w:before="10"/>
        <w:rPr>
          <w:rFonts w:ascii="宋体" w:hAnsi="宋体" w:cs="宋体" w:eastAsia="宋体" w:hint="default"/>
          <w:sz w:val="7"/>
          <w:szCs w:val="7"/>
        </w:rPr>
      </w:pPr>
    </w:p>
    <w:p>
      <w:pPr>
        <w:spacing w:before="34"/>
        <w:ind w:left="117" w:right="1603" w:firstLine="0"/>
        <w:jc w:val="left"/>
        <w:rPr>
          <w:rFonts w:ascii="宋体" w:hAnsi="宋体" w:cs="宋体" w:eastAsia="宋体" w:hint="default"/>
          <w:sz w:val="21"/>
          <w:szCs w:val="21"/>
        </w:rPr>
      </w:pPr>
      <w:bookmarkStart w:name="21、职工薪酬" w:id="196"/>
      <w:bookmarkEnd w:id="196"/>
      <w:r>
        <w:rPr/>
      </w:r>
      <w:r>
        <w:rPr>
          <w:rFonts w:ascii="Times New Roman" w:hAnsi="Times New Roman" w:cs="Times New Roman" w:eastAsia="Times New Roman" w:hint="default"/>
          <w:b/>
          <w:bCs/>
          <w:sz w:val="18"/>
          <w:szCs w:val="18"/>
        </w:rPr>
        <w:t>21</w:t>
      </w:r>
      <w:r>
        <w:rPr>
          <w:rFonts w:ascii="宋体" w:hAnsi="宋体" w:cs="宋体" w:eastAsia="宋体" w:hint="default"/>
          <w:b/>
          <w:bCs/>
          <w:sz w:val="21"/>
          <w:szCs w:val="21"/>
        </w:rPr>
        <w:t>、职工薪酬</w:t>
      </w:r>
      <w:r>
        <w:rPr>
          <w:rFonts w:ascii="宋体" w:hAnsi="宋体" w:cs="宋体" w:eastAsia="宋体" w:hint="default"/>
          <w:sz w:val="21"/>
          <w:szCs w:val="21"/>
        </w:rPr>
      </w:r>
    </w:p>
    <w:p>
      <w:pPr>
        <w:pStyle w:val="Heading4"/>
        <w:spacing w:line="336" w:lineRule="auto" w:before="123"/>
        <w:ind w:left="537" w:right="1603" w:hanging="106"/>
        <w:jc w:val="left"/>
      </w:pPr>
      <w:r>
        <w:rPr/>
        <w:t>（</w:t>
      </w:r>
      <w:r>
        <w:rPr>
          <w:rFonts w:ascii="Times New Roman" w:hAnsi="Times New Roman" w:cs="Times New Roman" w:eastAsia="Times New Roman" w:hint="default"/>
        </w:rPr>
        <w:t>1</w:t>
      </w:r>
      <w:r>
        <w:rPr/>
        <w:t>）短期薪酬的会计处理方法</w:t>
      </w:r>
      <w:r>
        <w:rPr>
          <w:w w:val="99"/>
        </w:rPr>
        <w:t> </w:t>
      </w:r>
      <w:r>
        <w:rPr>
          <w:spacing w:val="-2"/>
          <w:w w:val="95"/>
        </w:rPr>
        <w:t>本公司在职工为本公司提供服务的会计期间，将实际发生的短期薪酬确认为负债，并计</w:t>
      </w:r>
      <w:r>
        <w:rPr>
          <w:spacing w:val="-2"/>
        </w:rPr>
      </w:r>
    </w:p>
    <w:p>
      <w:pPr>
        <w:pStyle w:val="Heading4"/>
        <w:spacing w:line="357" w:lineRule="auto" w:before="49"/>
        <w:ind w:left="537" w:right="1603" w:hanging="420"/>
        <w:jc w:val="left"/>
      </w:pPr>
      <w:r>
        <w:rPr/>
        <w:t>入当期损益或相关资产成本。</w:t>
      </w:r>
      <w:r>
        <w:rPr>
          <w:w w:val="99"/>
        </w:rPr>
        <w:t> </w:t>
      </w:r>
      <w:r>
        <w:rPr>
          <w:spacing w:val="-2"/>
          <w:w w:val="99"/>
        </w:rPr>
        <w:t>本公司为职工缴纳的社会保险费和住房公积金，以及按规定提取的工会经费和职工教育</w:t>
      </w:r>
      <w:r>
        <w:rPr>
          <w:spacing w:val="-2"/>
        </w:rPr>
      </w:r>
    </w:p>
    <w:p>
      <w:pPr>
        <w:pStyle w:val="Heading4"/>
        <w:spacing w:line="355" w:lineRule="auto" w:before="30"/>
        <w:ind w:right="1603"/>
        <w:jc w:val="left"/>
      </w:pPr>
      <w:r>
        <w:rPr>
          <w:spacing w:val="-2"/>
          <w:w w:val="95"/>
        </w:rPr>
        <w:t>经费，在职工为本公司提供服务的会计期间，根据规定的计提基础和计提比例计算确定相应</w:t>
      </w:r>
      <w:r>
        <w:rPr>
          <w:spacing w:val="92"/>
          <w:w w:val="95"/>
        </w:rPr>
        <w:t> </w:t>
      </w:r>
      <w:r>
        <w:rPr>
          <w:spacing w:val="92"/>
          <w:w w:val="95"/>
        </w:rPr>
      </w:r>
      <w:r>
        <w:rPr/>
        <w:t>的职工薪酬金额。</w:t>
      </w:r>
    </w:p>
    <w:p>
      <w:pPr>
        <w:pStyle w:val="Heading4"/>
        <w:spacing w:line="240" w:lineRule="auto"/>
        <w:ind w:left="537" w:right="1603"/>
        <w:jc w:val="left"/>
      </w:pPr>
      <w:r>
        <w:rPr/>
        <w:t>职工福利费为非货币性福利的，如能够可靠计量的，按照公允价值计量。</w:t>
      </w:r>
    </w:p>
    <w:p>
      <w:pPr>
        <w:pStyle w:val="Heading4"/>
        <w:spacing w:line="336" w:lineRule="auto" w:before="133"/>
        <w:ind w:left="537" w:right="6731" w:hanging="106"/>
        <w:jc w:val="left"/>
      </w:pPr>
      <w:r>
        <w:rPr/>
        <w:t>（</w:t>
      </w:r>
      <w:r>
        <w:rPr>
          <w:rFonts w:ascii="Times New Roman" w:hAnsi="Times New Roman" w:cs="Times New Roman" w:eastAsia="Times New Roman" w:hint="default"/>
        </w:rPr>
        <w:t>2</w:t>
      </w:r>
      <w:r>
        <w:rPr/>
        <w:t>）离职后福利的会计处理方法</w:t>
      </w:r>
      <w:r>
        <w:rPr>
          <w:w w:val="99"/>
        </w:rPr>
        <w:t> </w:t>
      </w:r>
      <w:r>
        <w:rPr/>
        <w:t>设定提存计划</w:t>
      </w:r>
    </w:p>
    <w:p>
      <w:pPr>
        <w:pStyle w:val="Heading4"/>
        <w:spacing w:line="355" w:lineRule="auto" w:before="51"/>
        <w:ind w:right="1796" w:firstLine="420"/>
        <w:jc w:val="both"/>
      </w:pPr>
      <w:r>
        <w:rPr>
          <w:spacing w:val="-2"/>
          <w:w w:val="99"/>
        </w:rPr>
        <w:t>本公司按当地政府的相关规定为职工缴纳基本养老保险和失业保险，在职工为本公司提</w:t>
      </w:r>
      <w:r>
        <w:rPr>
          <w:w w:val="99"/>
        </w:rPr>
        <w:t> </w:t>
      </w:r>
      <w:r>
        <w:rPr>
          <w:spacing w:val="-2"/>
          <w:w w:val="95"/>
        </w:rPr>
        <w:t>供服务的会计期间，按以当地规定的缴纳基数和比例计算应缴纳金额，确认为负债，并计入</w:t>
      </w:r>
      <w:r>
        <w:rPr>
          <w:spacing w:val="94"/>
          <w:w w:val="95"/>
        </w:rPr>
        <w:t> </w:t>
      </w:r>
      <w:r>
        <w:rPr>
          <w:spacing w:val="94"/>
          <w:w w:val="95"/>
        </w:rPr>
      </w:r>
      <w:r>
        <w:rPr/>
        <w:t>当期损益或相关资产成本。</w:t>
      </w:r>
    </w:p>
    <w:p>
      <w:pPr>
        <w:pStyle w:val="Heading4"/>
        <w:spacing w:line="338" w:lineRule="auto"/>
        <w:ind w:left="537" w:right="1603"/>
        <w:jc w:val="left"/>
      </w:pPr>
      <w:r>
        <w:rPr/>
        <w:t>（</w:t>
      </w:r>
      <w:r>
        <w:rPr>
          <w:rFonts w:ascii="Times New Roman" w:hAnsi="Times New Roman" w:cs="Times New Roman" w:eastAsia="Times New Roman" w:hint="default"/>
        </w:rPr>
        <w:t>3</w:t>
      </w:r>
      <w:r>
        <w:rPr/>
        <w:t>）辞退福利的会计处理方法</w:t>
      </w:r>
      <w:r>
        <w:rPr>
          <w:w w:val="99"/>
        </w:rPr>
        <w:t> </w:t>
      </w:r>
      <w:r>
        <w:rPr>
          <w:spacing w:val="-2"/>
          <w:w w:val="99"/>
        </w:rPr>
        <w:t>本公司在不能单方面撤回因解除劳动关系计划或裁减建议所提供的辞退福利时，或确认</w:t>
      </w:r>
      <w:r>
        <w:rPr>
          <w:spacing w:val="-2"/>
        </w:rPr>
      </w:r>
    </w:p>
    <w:p>
      <w:pPr>
        <w:pStyle w:val="Heading4"/>
        <w:spacing w:line="355" w:lineRule="auto" w:before="47"/>
        <w:ind w:right="1603"/>
        <w:jc w:val="left"/>
      </w:pPr>
      <w:r>
        <w:rPr>
          <w:spacing w:val="-2"/>
          <w:w w:val="95"/>
        </w:rPr>
        <w:t>与涉及支付辞退福利的重组相关的成本或费用时（两者孰早），确认辞退福利产生的职工薪</w:t>
      </w:r>
      <w:r>
        <w:rPr>
          <w:spacing w:val="91"/>
          <w:w w:val="95"/>
        </w:rPr>
        <w:t> </w:t>
      </w:r>
      <w:r>
        <w:rPr>
          <w:spacing w:val="91"/>
          <w:w w:val="95"/>
        </w:rPr>
      </w:r>
      <w:r>
        <w:rPr/>
        <w:t>酬负债，并计入当期损益。</w:t>
      </w:r>
    </w:p>
    <w:p>
      <w:pPr>
        <w:spacing w:after="0" w:line="355" w:lineRule="auto"/>
        <w:jc w:val="left"/>
        <w:sectPr>
          <w:footerReference w:type="default" r:id="rId45"/>
          <w:pgSz w:w="11910" w:h="16840"/>
          <w:pgMar w:footer="1264" w:header="712" w:top="980" w:bottom="1460" w:left="1680" w:right="0"/>
          <w:pgNumType w:start="130"/>
        </w:sectPr>
      </w:pPr>
    </w:p>
    <w:p>
      <w:pPr>
        <w:spacing w:line="240" w:lineRule="auto" w:before="9"/>
        <w:rPr>
          <w:rFonts w:ascii="宋体" w:hAnsi="宋体" w:cs="宋体" w:eastAsia="宋体" w:hint="default"/>
          <w:sz w:val="29"/>
          <w:szCs w:val="29"/>
        </w:rPr>
      </w:pPr>
    </w:p>
    <w:p>
      <w:pPr>
        <w:spacing w:before="34"/>
        <w:ind w:left="117" w:right="0" w:firstLine="0"/>
        <w:jc w:val="both"/>
        <w:rPr>
          <w:rFonts w:ascii="宋体" w:hAnsi="宋体" w:cs="宋体" w:eastAsia="宋体" w:hint="default"/>
          <w:sz w:val="21"/>
          <w:szCs w:val="21"/>
        </w:rPr>
      </w:pPr>
      <w:bookmarkStart w:name="22、收入" w:id="197"/>
      <w:bookmarkEnd w:id="197"/>
      <w:r>
        <w:rPr/>
      </w:r>
      <w:r>
        <w:rPr>
          <w:rFonts w:ascii="Times New Roman" w:hAnsi="Times New Roman" w:cs="Times New Roman" w:eastAsia="Times New Roman" w:hint="default"/>
          <w:b/>
          <w:bCs/>
          <w:sz w:val="18"/>
          <w:szCs w:val="18"/>
        </w:rPr>
        <w:t>22</w:t>
      </w:r>
      <w:r>
        <w:rPr>
          <w:rFonts w:ascii="宋体" w:hAnsi="宋体" w:cs="宋体" w:eastAsia="宋体" w:hint="default"/>
          <w:b/>
          <w:bCs/>
          <w:sz w:val="21"/>
          <w:szCs w:val="21"/>
        </w:rPr>
        <w:t>、收入</w:t>
      </w:r>
      <w:r>
        <w:rPr>
          <w:rFonts w:ascii="宋体" w:hAnsi="宋体" w:cs="宋体" w:eastAsia="宋体" w:hint="default"/>
          <w:sz w:val="21"/>
          <w:szCs w:val="21"/>
        </w:rPr>
      </w:r>
    </w:p>
    <w:p>
      <w:pPr>
        <w:pStyle w:val="Heading4"/>
        <w:spacing w:line="240" w:lineRule="auto" w:before="123"/>
        <w:ind w:left="540" w:right="1603"/>
        <w:jc w:val="left"/>
      </w:pPr>
      <w:r>
        <w:rPr>
          <w:rFonts w:ascii="Times New Roman" w:hAnsi="Times New Roman" w:cs="Times New Roman" w:eastAsia="Times New Roman" w:hint="default"/>
        </w:rPr>
        <w:t>(1)</w:t>
      </w:r>
      <w:r>
        <w:rPr/>
        <w:t>销售商品收入确认和计量原则</w:t>
      </w:r>
    </w:p>
    <w:p>
      <w:pPr>
        <w:pStyle w:val="Heading4"/>
        <w:spacing w:line="355" w:lineRule="auto" w:before="119"/>
        <w:ind w:left="537" w:right="1603" w:hanging="34"/>
        <w:jc w:val="left"/>
      </w:pPr>
      <w:r>
        <w:rPr/>
        <w:t>①销售商品收入确认和计量的总体原则</w:t>
      </w:r>
      <w:r>
        <w:rPr>
          <w:w w:val="99"/>
        </w:rPr>
        <w:t> </w:t>
      </w:r>
      <w:r>
        <w:rPr>
          <w:spacing w:val="-2"/>
          <w:w w:val="99"/>
        </w:rPr>
        <w:t>公司已将商品所有权上的主要风险和报酬转移给购买方；公司既没有保留与所有权相联</w:t>
      </w:r>
      <w:r>
        <w:rPr>
          <w:spacing w:val="-2"/>
        </w:rPr>
      </w:r>
    </w:p>
    <w:p>
      <w:pPr>
        <w:pStyle w:val="Heading4"/>
        <w:spacing w:line="357" w:lineRule="auto"/>
        <w:ind w:right="1796"/>
        <w:jc w:val="both"/>
      </w:pPr>
      <w:r>
        <w:rPr>
          <w:spacing w:val="-2"/>
          <w:w w:val="95"/>
        </w:rPr>
        <w:t>系的继续管理权，也没有对已售出的商品实施有效控制；收入的金额能够可靠地计量；相关</w:t>
      </w:r>
      <w:r>
        <w:rPr>
          <w:spacing w:val="90"/>
          <w:w w:val="95"/>
        </w:rPr>
        <w:t> </w:t>
      </w:r>
      <w:r>
        <w:rPr>
          <w:spacing w:val="90"/>
          <w:w w:val="95"/>
        </w:rPr>
      </w:r>
      <w:r>
        <w:rPr>
          <w:spacing w:val="-2"/>
          <w:w w:val="95"/>
        </w:rPr>
        <w:t>的经济利益很可能流入企业；相关的已发生或将发生的成本能够可靠地计量时，确认商品销</w:t>
      </w:r>
      <w:r>
        <w:rPr>
          <w:spacing w:val="92"/>
          <w:w w:val="95"/>
        </w:rPr>
        <w:t> </w:t>
      </w:r>
      <w:r>
        <w:rPr>
          <w:spacing w:val="92"/>
          <w:w w:val="95"/>
        </w:rPr>
      </w:r>
      <w:r>
        <w:rPr/>
        <w:t>售收入实现。</w:t>
      </w:r>
    </w:p>
    <w:p>
      <w:pPr>
        <w:pStyle w:val="Heading4"/>
        <w:spacing w:line="355" w:lineRule="auto" w:before="30"/>
        <w:ind w:left="537" w:right="1603" w:hanging="34"/>
        <w:jc w:val="left"/>
      </w:pPr>
      <w:r>
        <w:rPr/>
        <w:t>②本公司销售商品收入确认的确认标准及收入确认时间的具体判断标准</w:t>
      </w:r>
      <w:r>
        <w:rPr>
          <w:w w:val="99"/>
        </w:rPr>
        <w:t> </w:t>
      </w:r>
      <w:r>
        <w:rPr>
          <w:spacing w:val="-2"/>
          <w:w w:val="99"/>
        </w:rPr>
        <w:t>考虑公司相关业务流程，本公司货币自动处理设备的销售收入以取得购买方确认后的到</w:t>
      </w:r>
      <w:r>
        <w:rPr>
          <w:spacing w:val="-2"/>
        </w:rPr>
      </w:r>
    </w:p>
    <w:p>
      <w:pPr>
        <w:pStyle w:val="Heading4"/>
        <w:spacing w:line="357" w:lineRule="auto"/>
        <w:ind w:left="537" w:right="1603" w:hanging="420"/>
        <w:jc w:val="left"/>
      </w:pPr>
      <w:r>
        <w:rPr/>
        <w:t>货签收表作为收入确认的时点。</w:t>
      </w:r>
      <w:r>
        <w:rPr>
          <w:w w:val="99"/>
        </w:rPr>
        <w:t> </w:t>
      </w:r>
      <w:r>
        <w:rPr>
          <w:spacing w:val="-2"/>
          <w:w w:val="95"/>
        </w:rPr>
        <w:t>本公司销售房产，在房屋完工并验收合格，签订了销售合同，并办理完成商品房实物移</w:t>
      </w:r>
      <w:r>
        <w:rPr>
          <w:spacing w:val="-2"/>
        </w:rPr>
      </w:r>
    </w:p>
    <w:p>
      <w:pPr>
        <w:pStyle w:val="Heading4"/>
        <w:spacing w:line="355" w:lineRule="auto" w:before="30"/>
        <w:ind w:right="1797"/>
        <w:jc w:val="both"/>
      </w:pPr>
      <w:r>
        <w:rPr>
          <w:spacing w:val="-2"/>
          <w:w w:val="95"/>
        </w:rPr>
        <w:t>交手续时，确认收入的实现。对公司已通知买方在规定时间内办理商品房实物移交手续，而</w:t>
      </w:r>
      <w:r>
        <w:rPr>
          <w:spacing w:val="94"/>
          <w:w w:val="95"/>
        </w:rPr>
        <w:t> </w:t>
      </w:r>
      <w:r>
        <w:rPr>
          <w:spacing w:val="94"/>
          <w:w w:val="95"/>
        </w:rPr>
      </w:r>
      <w:r>
        <w:rPr>
          <w:spacing w:val="-2"/>
          <w:w w:val="99"/>
        </w:rPr>
        <w:t>买方未在规定时间内办理完成商品房实物移交手续且无正当理由的，在其他条件符合的情况</w:t>
      </w:r>
      <w:r>
        <w:rPr>
          <w:spacing w:val="-95"/>
          <w:w w:val="99"/>
        </w:rPr>
        <w:t> </w:t>
      </w:r>
      <w:r>
        <w:rPr>
          <w:spacing w:val="-95"/>
          <w:w w:val="99"/>
        </w:rPr>
      </w:r>
      <w:r>
        <w:rPr/>
        <w:t>下，公司在通知所规定的时限结束后即确认收入的实现。</w:t>
      </w:r>
    </w:p>
    <w:p>
      <w:pPr>
        <w:pStyle w:val="Heading4"/>
        <w:spacing w:line="240" w:lineRule="auto"/>
        <w:ind w:left="523" w:right="1603"/>
        <w:jc w:val="left"/>
      </w:pPr>
      <w:r>
        <w:rPr>
          <w:rFonts w:ascii="Times New Roman" w:hAnsi="Times New Roman" w:cs="Times New Roman" w:eastAsia="Times New Roman" w:hint="default"/>
        </w:rPr>
        <w:t>(2)</w:t>
      </w:r>
      <w:r>
        <w:rPr/>
        <w:t>让渡资产使用权收入的确认和计量原则</w:t>
      </w:r>
    </w:p>
    <w:p>
      <w:pPr>
        <w:pStyle w:val="Heading4"/>
        <w:spacing w:line="357" w:lineRule="auto" w:before="117"/>
        <w:ind w:left="537" w:right="1603" w:hanging="34"/>
        <w:jc w:val="left"/>
      </w:pPr>
      <w:r>
        <w:rPr/>
        <w:t>①让渡资产使用权收入确认和计量的总体原则</w:t>
      </w:r>
      <w:r>
        <w:rPr>
          <w:w w:val="99"/>
        </w:rPr>
        <w:t> </w:t>
      </w:r>
      <w:r>
        <w:rPr>
          <w:spacing w:val="-2"/>
          <w:w w:val="95"/>
        </w:rPr>
        <w:t>与交易相关的经济利益很可能流入企业，收入的金额能够可靠地计量时。分别下列情况</w:t>
      </w:r>
      <w:r>
        <w:rPr>
          <w:spacing w:val="-2"/>
        </w:rPr>
      </w:r>
    </w:p>
    <w:p>
      <w:pPr>
        <w:pStyle w:val="Heading4"/>
        <w:spacing w:line="355" w:lineRule="auto" w:before="30"/>
        <w:ind w:left="537" w:right="1603" w:hanging="420"/>
        <w:jc w:val="left"/>
      </w:pPr>
      <w:r>
        <w:rPr/>
        <w:t>确定让渡资产使用权收入金额：</w:t>
      </w:r>
      <w:r>
        <w:rPr>
          <w:w w:val="99"/>
        </w:rPr>
        <w:t> </w:t>
      </w:r>
      <w:r>
        <w:rPr>
          <w:w w:val="95"/>
        </w:rPr>
        <w:t>利息收入金额，按照他人使用本企业货币资金的时间和实际利率计算确定。</w:t>
      </w:r>
      <w:r>
        <w:rPr>
          <w:w w:val="99"/>
        </w:rPr>
        <w:t> </w:t>
      </w:r>
      <w:r>
        <w:rPr/>
        <w:t>使用费收入金额，按照有关合同或协议约定的收费时间和方法计算确定。</w:t>
      </w:r>
    </w:p>
    <w:p>
      <w:pPr>
        <w:pStyle w:val="Heading4"/>
        <w:spacing w:line="240" w:lineRule="auto" w:before="35"/>
        <w:ind w:left="607" w:right="1603"/>
        <w:jc w:val="left"/>
      </w:pPr>
      <w:r>
        <w:rPr/>
        <w:t>②本公司确认让渡资产使用权收入的依据</w:t>
      </w:r>
    </w:p>
    <w:p>
      <w:pPr>
        <w:pStyle w:val="Heading4"/>
        <w:spacing w:line="345" w:lineRule="auto" w:before="133"/>
        <w:ind w:right="1793" w:firstLine="420"/>
        <w:jc w:val="both"/>
      </w:pPr>
      <w:r>
        <w:rPr>
          <w:rFonts w:ascii="Times New Roman" w:hAnsi="Times New Roman" w:cs="Times New Roman" w:eastAsia="Times New Roman" w:hint="default"/>
          <w:spacing w:val="2"/>
        </w:rPr>
        <w:t>ATM</w:t>
      </w:r>
      <w:r>
        <w:rPr>
          <w:spacing w:val="2"/>
        </w:rPr>
        <w:t>服务收入金额，按照收入的金额能够可靠地计量；相关的经济利益很可能流入企</w:t>
      </w:r>
      <w:r>
        <w:rPr>
          <w:w w:val="99"/>
        </w:rPr>
        <w:t> </w:t>
      </w:r>
      <w:r>
        <w:rPr>
          <w:spacing w:val="-2"/>
          <w:w w:val="95"/>
        </w:rPr>
        <w:t>业时确认收入。考虑服务的特殊性，收入确认时点为公司已提供服务、接受服务方已确认所</w:t>
      </w:r>
      <w:r>
        <w:rPr>
          <w:spacing w:val="93"/>
          <w:w w:val="95"/>
        </w:rPr>
        <w:t> </w:t>
      </w:r>
      <w:r>
        <w:rPr>
          <w:spacing w:val="93"/>
          <w:w w:val="95"/>
        </w:rPr>
      </w:r>
      <w:r>
        <w:rPr/>
        <w:t>提供的服务。</w:t>
      </w:r>
    </w:p>
    <w:p>
      <w:pPr>
        <w:pStyle w:val="Heading4"/>
        <w:spacing w:line="348" w:lineRule="auto" w:before="40"/>
        <w:ind w:left="523" w:right="1603" w:firstLine="14"/>
        <w:jc w:val="left"/>
      </w:pPr>
      <w:r>
        <w:rPr/>
        <w:t>经营收入金额，按照有关合同或协议约定的收费时间和方法计算确定。</w:t>
      </w:r>
      <w:r>
        <w:rPr>
          <w:w w:val="99"/>
        </w:rPr>
        <w:t> </w:t>
      </w:r>
      <w:r>
        <w:rPr>
          <w:rFonts w:ascii="Times New Roman" w:hAnsi="Times New Roman" w:cs="Times New Roman" w:eastAsia="Times New Roman" w:hint="default"/>
        </w:rPr>
        <w:t>(3)</w:t>
      </w:r>
      <w:r>
        <w:rPr/>
        <w:t>确认物业管理费收入的判断标准</w:t>
      </w:r>
      <w:r>
        <w:rPr>
          <w:w w:val="99"/>
        </w:rPr>
        <w:t> </w:t>
      </w:r>
      <w:r>
        <w:rPr>
          <w:spacing w:val="-2"/>
          <w:w w:val="95"/>
        </w:rPr>
        <w:t>本公司在物业管理服务已经提供，与物业管理服务相关的经济利益能够流入企业，与物</w:t>
      </w:r>
      <w:r>
        <w:rPr>
          <w:spacing w:val="-2"/>
        </w:rPr>
      </w:r>
    </w:p>
    <w:p>
      <w:pPr>
        <w:pStyle w:val="Heading4"/>
        <w:spacing w:line="240" w:lineRule="auto" w:before="38"/>
        <w:ind w:right="0"/>
        <w:jc w:val="both"/>
      </w:pPr>
      <w:r>
        <w:rPr/>
        <w:t>业管理服务相关的成本能够可靠计量时，确认物业管理收入的实现。</w:t>
      </w:r>
    </w:p>
    <w:p>
      <w:pPr>
        <w:pStyle w:val="Heading4"/>
        <w:spacing w:line="240" w:lineRule="auto" w:before="133"/>
        <w:ind w:left="573" w:right="1603"/>
        <w:jc w:val="left"/>
      </w:pPr>
      <w:r>
        <w:rPr>
          <w:rFonts w:ascii="Times New Roman" w:hAnsi="Times New Roman" w:cs="Times New Roman" w:eastAsia="Times New Roman" w:hint="default"/>
        </w:rPr>
        <w:t>(4)</w:t>
      </w:r>
      <w:r>
        <w:rPr/>
        <w:t>劳务收入的确认和计量原则</w:t>
      </w:r>
    </w:p>
    <w:p>
      <w:pPr>
        <w:pStyle w:val="Heading4"/>
        <w:spacing w:line="357" w:lineRule="auto" w:before="117"/>
        <w:ind w:left="537" w:right="1603" w:firstLine="69"/>
        <w:jc w:val="left"/>
      </w:pPr>
      <w:r>
        <w:rPr/>
        <w:t>①劳务收入确认和计量的总体原则</w:t>
      </w:r>
      <w:r>
        <w:rPr>
          <w:w w:val="99"/>
        </w:rPr>
        <w:t> </w:t>
      </w:r>
      <w:r>
        <w:rPr>
          <w:spacing w:val="-2"/>
          <w:w w:val="99"/>
        </w:rPr>
        <w:t>本公司在资产负债表日提供劳务交易的结果能够可靠估计的，应当采用完工百分比法确</w:t>
      </w:r>
      <w:r>
        <w:rPr>
          <w:spacing w:val="-2"/>
        </w:rPr>
      </w:r>
    </w:p>
    <w:p>
      <w:pPr>
        <w:pStyle w:val="Heading4"/>
        <w:spacing w:line="240" w:lineRule="auto" w:before="30"/>
        <w:ind w:right="0"/>
        <w:jc w:val="both"/>
      </w:pPr>
      <w:r>
        <w:rPr/>
        <w:t>认劳务收入。</w:t>
      </w:r>
    </w:p>
    <w:p>
      <w:pPr>
        <w:pStyle w:val="Heading4"/>
        <w:spacing w:line="357" w:lineRule="auto" w:before="133"/>
        <w:ind w:left="537" w:right="1603"/>
        <w:jc w:val="left"/>
      </w:pPr>
      <w:r>
        <w:rPr/>
        <w:t>提供劳务交易的结果能够可靠估计，是指同时满足列列条件：</w:t>
      </w:r>
      <w:r>
        <w:rPr>
          <w:w w:val="99"/>
        </w:rPr>
        <w:t> </w:t>
      </w:r>
      <w:r>
        <w:rPr>
          <w:spacing w:val="-2"/>
          <w:w w:val="95"/>
        </w:rPr>
        <w:t>与交易相关的经济利益很可能流入企业，收入的金额能够可靠地计量；交易的完工进度</w:t>
      </w:r>
      <w:r>
        <w:rPr>
          <w:spacing w:val="-2"/>
        </w:rPr>
      </w:r>
    </w:p>
    <w:p>
      <w:pPr>
        <w:spacing w:after="0" w:line="357" w:lineRule="auto"/>
        <w:jc w:val="left"/>
        <w:sectPr>
          <w:pgSz w:w="11910" w:h="16840"/>
          <w:pgMar w:header="712" w:footer="1264" w:top="980" w:bottom="1460" w:left="1680" w:right="0"/>
        </w:sectPr>
      </w:pPr>
    </w:p>
    <w:p>
      <w:pPr>
        <w:spacing w:line="240" w:lineRule="auto" w:before="9"/>
        <w:rPr>
          <w:rFonts w:ascii="宋体" w:hAnsi="宋体" w:cs="宋体" w:eastAsia="宋体" w:hint="default"/>
          <w:sz w:val="29"/>
          <w:szCs w:val="29"/>
        </w:rPr>
      </w:pPr>
    </w:p>
    <w:p>
      <w:pPr>
        <w:pStyle w:val="Heading4"/>
        <w:spacing w:line="357" w:lineRule="auto" w:before="34"/>
        <w:ind w:left="537" w:right="2560" w:hanging="420"/>
        <w:jc w:val="left"/>
      </w:pPr>
      <w:r>
        <w:rPr>
          <w:w w:val="95"/>
        </w:rPr>
        <w:t>能够可靠地确定；交易中已发生和将发生的成本能够可靠地计量。</w:t>
      </w:r>
      <w:r>
        <w:rPr>
          <w:spacing w:val="89"/>
          <w:w w:val="95"/>
        </w:rPr>
        <w:t> </w:t>
      </w:r>
      <w:r>
        <w:rPr>
          <w:spacing w:val="89"/>
          <w:w w:val="95"/>
        </w:rPr>
      </w:r>
      <w:r>
        <w:rPr/>
        <w:t>本公司确定提供劳务交易的完工进度，可以选用下列方法：</w:t>
      </w:r>
      <w:r>
        <w:rPr>
          <w:w w:val="99"/>
        </w:rPr>
        <w:t> </w:t>
      </w:r>
      <w:r>
        <w:rPr>
          <w:rFonts w:ascii="Times New Roman" w:hAnsi="Times New Roman" w:cs="Times New Roman" w:eastAsia="Times New Roman" w:hint="default"/>
        </w:rPr>
        <w:t>1.</w:t>
      </w:r>
      <w:r>
        <w:rPr/>
        <w:t>已完工作的测量。</w:t>
      </w:r>
    </w:p>
    <w:p>
      <w:pPr>
        <w:pStyle w:val="Heading4"/>
        <w:spacing w:line="240" w:lineRule="auto" w:before="3"/>
        <w:ind w:left="537" w:right="1603"/>
        <w:jc w:val="left"/>
      </w:pPr>
      <w:r>
        <w:rPr>
          <w:rFonts w:ascii="Times New Roman" w:hAnsi="Times New Roman" w:cs="Times New Roman" w:eastAsia="Times New Roman" w:hint="default"/>
        </w:rPr>
        <w:t>2.</w:t>
      </w:r>
      <w:r>
        <w:rPr/>
        <w:t>已经提供的劳务占应提供劳务总量的比例。</w:t>
      </w:r>
    </w:p>
    <w:p>
      <w:pPr>
        <w:pStyle w:val="Heading4"/>
        <w:spacing w:line="336" w:lineRule="auto" w:before="117"/>
        <w:ind w:left="537" w:right="1603"/>
        <w:jc w:val="left"/>
      </w:pPr>
      <w:r>
        <w:rPr>
          <w:rFonts w:ascii="Times New Roman" w:hAnsi="Times New Roman" w:cs="Times New Roman" w:eastAsia="Times New Roman" w:hint="default"/>
        </w:rPr>
        <w:t>3.</w:t>
      </w:r>
      <w:r>
        <w:rPr/>
        <w:t>已经发生的成本点估计总成本的比例。</w:t>
      </w:r>
      <w:r>
        <w:rPr>
          <w:w w:val="99"/>
        </w:rPr>
        <w:t> </w:t>
      </w:r>
      <w:r>
        <w:rPr>
          <w:spacing w:val="-2"/>
          <w:w w:val="99"/>
        </w:rPr>
        <w:t>公司应当按从接受劳务方已收或应收的合同或协议价款确定提供劳务收入总额，但已收</w:t>
      </w:r>
      <w:r>
        <w:rPr>
          <w:spacing w:val="-2"/>
        </w:rPr>
      </w:r>
    </w:p>
    <w:p>
      <w:pPr>
        <w:pStyle w:val="Heading4"/>
        <w:spacing w:line="355" w:lineRule="auto" w:before="51"/>
        <w:ind w:left="540" w:right="1786" w:hanging="423"/>
        <w:jc w:val="left"/>
      </w:pPr>
      <w:r>
        <w:rPr/>
        <w:t>或应收的合同或协议款不公允的除外。</w:t>
      </w:r>
      <w:r>
        <w:rPr>
          <w:w w:val="99"/>
        </w:rPr>
        <w:t> </w:t>
      </w:r>
      <w:r>
        <w:rPr>
          <w:spacing w:val="3"/>
        </w:rPr>
        <w:t>公司在资产负债表日按照提供劳务收入总额乘以完工进度扣除以前会计期间累计已确</w:t>
      </w:r>
    </w:p>
    <w:p>
      <w:pPr>
        <w:pStyle w:val="Heading4"/>
        <w:spacing w:line="355" w:lineRule="auto"/>
        <w:ind w:right="1603"/>
        <w:jc w:val="left"/>
      </w:pPr>
      <w:r>
        <w:rPr>
          <w:spacing w:val="-2"/>
          <w:w w:val="95"/>
        </w:rPr>
        <w:t>认提供劳务收入后的金额，确认当期提供劳务收入；同时，按照提供劳务估计总成本乘以完</w:t>
      </w:r>
      <w:r>
        <w:rPr>
          <w:spacing w:val="90"/>
          <w:w w:val="95"/>
        </w:rPr>
        <w:t> </w:t>
      </w:r>
      <w:r>
        <w:rPr>
          <w:spacing w:val="90"/>
          <w:w w:val="95"/>
        </w:rPr>
      </w:r>
      <w:r>
        <w:rPr/>
        <w:t>工进度扣除以前会计期间累计已确认劳务成本后的金额，结转当期劳务成本。</w:t>
      </w:r>
    </w:p>
    <w:p>
      <w:pPr>
        <w:pStyle w:val="Heading4"/>
        <w:spacing w:line="240" w:lineRule="auto" w:before="34"/>
        <w:ind w:left="542" w:right="1603"/>
        <w:jc w:val="left"/>
      </w:pPr>
      <w:r>
        <w:rPr/>
        <w:t>公司在资产负债表日提供劳务交易结果不能够可靠估计的，应当分别下列情况处理：</w:t>
      </w:r>
    </w:p>
    <w:p>
      <w:pPr>
        <w:pStyle w:val="Heading4"/>
        <w:spacing w:line="336" w:lineRule="auto" w:before="133"/>
        <w:ind w:right="1603" w:firstLine="422"/>
        <w:jc w:val="left"/>
      </w:pPr>
      <w:r>
        <w:rPr>
          <w:rFonts w:ascii="Times New Roman" w:hAnsi="Times New Roman" w:cs="Times New Roman" w:eastAsia="Times New Roman" w:hint="default"/>
          <w:spacing w:val="-1"/>
          <w:w w:val="95"/>
        </w:rPr>
        <w:t>1.</w:t>
      </w:r>
      <w:r>
        <w:rPr>
          <w:spacing w:val="-1"/>
          <w:w w:val="95"/>
        </w:rPr>
        <w:t>已经发生的劳务成本预计能够得到补偿的，按照已经发生的劳务成本金额确认提供劳</w:t>
      </w:r>
      <w:r>
        <w:rPr>
          <w:w w:val="99"/>
        </w:rPr>
        <w:t> </w:t>
      </w:r>
      <w:r>
        <w:rPr/>
        <w:t>务收入，并按相同金额结转劳务成本。</w:t>
      </w:r>
    </w:p>
    <w:p>
      <w:pPr>
        <w:pStyle w:val="Heading4"/>
        <w:spacing w:line="336" w:lineRule="auto" w:before="49"/>
        <w:ind w:right="1603" w:firstLine="422"/>
        <w:jc w:val="left"/>
      </w:pPr>
      <w:r>
        <w:rPr>
          <w:rFonts w:ascii="Times New Roman" w:hAnsi="Times New Roman" w:cs="Times New Roman" w:eastAsia="Times New Roman" w:hint="default"/>
          <w:spacing w:val="-1"/>
          <w:w w:val="95"/>
        </w:rPr>
        <w:t>2.</w:t>
      </w:r>
      <w:r>
        <w:rPr>
          <w:spacing w:val="-1"/>
          <w:w w:val="95"/>
        </w:rPr>
        <w:t>已经发生的劳务成本预计不能够得到补偿的，应当将已经发生的劳务成本计入当期损</w:t>
      </w:r>
      <w:r>
        <w:rPr>
          <w:w w:val="99"/>
        </w:rPr>
        <w:t> </w:t>
      </w:r>
      <w:r>
        <w:rPr/>
        <w:t>益，不确认提供劳务收入。</w:t>
      </w:r>
    </w:p>
    <w:p>
      <w:pPr>
        <w:pStyle w:val="Heading4"/>
        <w:spacing w:line="357" w:lineRule="auto" w:before="49"/>
        <w:ind w:right="1796" w:firstLine="422"/>
        <w:jc w:val="both"/>
      </w:pPr>
      <w:r>
        <w:rPr>
          <w:spacing w:val="-2"/>
          <w:w w:val="99"/>
        </w:rPr>
        <w:t>公司与其他企业签订的合同或协议包括销售商品和提供劳务时，销售商品部分和提供劳</w:t>
      </w:r>
      <w:r>
        <w:rPr>
          <w:w w:val="99"/>
        </w:rPr>
        <w:t> </w:t>
      </w:r>
      <w:r>
        <w:rPr>
          <w:spacing w:val="-2"/>
          <w:w w:val="95"/>
        </w:rPr>
        <w:t>务部分能够区分且能够单独计量的，应当将销售商品的部分作为销售商品处理，将提供劳务</w:t>
      </w:r>
      <w:r>
        <w:rPr>
          <w:spacing w:val="92"/>
          <w:w w:val="95"/>
        </w:rPr>
        <w:t> </w:t>
      </w:r>
      <w:r>
        <w:rPr>
          <w:spacing w:val="92"/>
          <w:w w:val="95"/>
        </w:rPr>
      </w:r>
      <w:r>
        <w:rPr/>
        <w:t>的部分作为提供劳务处理。</w:t>
      </w:r>
    </w:p>
    <w:p>
      <w:pPr>
        <w:pStyle w:val="Heading4"/>
        <w:spacing w:line="355" w:lineRule="auto" w:before="30"/>
        <w:ind w:right="1603" w:firstLine="422"/>
        <w:jc w:val="left"/>
      </w:pPr>
      <w:r>
        <w:rPr>
          <w:spacing w:val="-2"/>
          <w:w w:val="95"/>
        </w:rPr>
        <w:t>销售商品部分和提供劳务部分不能够区分，或虽能区分但不能够单独计量的，应当将销</w:t>
      </w:r>
      <w:r>
        <w:rPr>
          <w:w w:val="99"/>
        </w:rPr>
        <w:t> </w:t>
      </w:r>
      <w:r>
        <w:rPr/>
        <w:t>售商品部分和提供劳务部分全部作为销售商品处理。</w:t>
      </w:r>
    </w:p>
    <w:p>
      <w:pPr>
        <w:pStyle w:val="Heading4"/>
        <w:spacing w:line="355" w:lineRule="auto" w:before="35"/>
        <w:ind w:left="540" w:right="1603"/>
        <w:jc w:val="left"/>
      </w:pPr>
      <w:r>
        <w:rPr/>
        <w:t>②本公司确认让劳务收入的依据</w:t>
      </w:r>
      <w:r>
        <w:rPr>
          <w:w w:val="99"/>
        </w:rPr>
        <w:t> </w:t>
      </w:r>
      <w:r>
        <w:rPr>
          <w:spacing w:val="-2"/>
          <w:w w:val="99"/>
        </w:rPr>
        <w:t>确认进度收入时，取得对方的阶段任务完成确认书或阶段工作量确认书为进度收入确认</w:t>
      </w:r>
      <w:r>
        <w:rPr>
          <w:spacing w:val="-2"/>
        </w:rPr>
      </w:r>
    </w:p>
    <w:p>
      <w:pPr>
        <w:pStyle w:val="Heading4"/>
        <w:spacing w:line="240" w:lineRule="auto"/>
        <w:ind w:right="1603"/>
        <w:jc w:val="left"/>
      </w:pPr>
      <w:r>
        <w:rPr/>
        <w:t>的时点。</w:t>
      </w:r>
    </w:p>
    <w:p>
      <w:pPr>
        <w:pStyle w:val="Heading4"/>
        <w:spacing w:line="240" w:lineRule="auto" w:before="133"/>
        <w:ind w:left="540" w:right="1603"/>
        <w:jc w:val="left"/>
      </w:pPr>
      <w:r>
        <w:rPr/>
        <w:t>项目完成时，取得对方签收的系统验收报告为综验收入确认的时点。</w:t>
      </w:r>
    </w:p>
    <w:p>
      <w:pPr>
        <w:spacing w:before="133"/>
        <w:ind w:left="117" w:right="1603" w:firstLine="0"/>
        <w:jc w:val="left"/>
        <w:rPr>
          <w:rFonts w:ascii="宋体" w:hAnsi="宋体" w:cs="宋体" w:eastAsia="宋体" w:hint="default"/>
          <w:sz w:val="21"/>
          <w:szCs w:val="21"/>
        </w:rPr>
      </w:pPr>
      <w:bookmarkStart w:name="23、政府补助" w:id="198"/>
      <w:bookmarkEnd w:id="198"/>
      <w:r>
        <w:rPr/>
      </w:r>
      <w:r>
        <w:rPr>
          <w:rFonts w:ascii="Times New Roman" w:hAnsi="Times New Roman" w:cs="Times New Roman" w:eastAsia="Times New Roman" w:hint="default"/>
          <w:b/>
          <w:bCs/>
          <w:sz w:val="18"/>
          <w:szCs w:val="18"/>
        </w:rPr>
        <w:t>23</w:t>
      </w:r>
      <w:r>
        <w:rPr>
          <w:rFonts w:ascii="宋体" w:hAnsi="宋体" w:cs="宋体" w:eastAsia="宋体" w:hint="default"/>
          <w:b/>
          <w:bCs/>
          <w:sz w:val="21"/>
          <w:szCs w:val="21"/>
        </w:rPr>
        <w:t>、政府补助</w:t>
      </w:r>
      <w:r>
        <w:rPr>
          <w:rFonts w:ascii="宋体" w:hAnsi="宋体" w:cs="宋体" w:eastAsia="宋体" w:hint="default"/>
          <w:sz w:val="21"/>
          <w:szCs w:val="21"/>
        </w:rPr>
      </w:r>
    </w:p>
    <w:p>
      <w:pPr>
        <w:pStyle w:val="Heading4"/>
        <w:spacing w:line="338" w:lineRule="auto" w:before="123"/>
        <w:ind w:left="540" w:right="1603" w:hanging="3"/>
        <w:jc w:val="left"/>
      </w:pPr>
      <w:r>
        <w:rPr/>
        <w:t>（</w:t>
      </w:r>
      <w:r>
        <w:rPr>
          <w:rFonts w:ascii="Times New Roman" w:hAnsi="Times New Roman" w:cs="Times New Roman" w:eastAsia="Times New Roman" w:hint="default"/>
        </w:rPr>
        <w:t>1</w:t>
      </w:r>
      <w:r>
        <w:rPr/>
        <w:t>）类型</w:t>
      </w:r>
      <w:r>
        <w:rPr>
          <w:w w:val="99"/>
        </w:rPr>
        <w:t> </w:t>
      </w:r>
      <w:r>
        <w:rPr>
          <w:spacing w:val="-2"/>
          <w:w w:val="95"/>
        </w:rPr>
        <w:t>政府补助，是本公司从政府无偿取得的货币性资产与非货币性资产。分为与资产相关的</w:t>
      </w:r>
      <w:r>
        <w:rPr>
          <w:spacing w:val="-2"/>
        </w:rPr>
      </w:r>
    </w:p>
    <w:p>
      <w:pPr>
        <w:pStyle w:val="Heading4"/>
        <w:spacing w:line="355" w:lineRule="auto" w:before="47"/>
        <w:ind w:left="540" w:right="1603" w:hanging="423"/>
        <w:jc w:val="left"/>
      </w:pPr>
      <w:r>
        <w:rPr/>
        <w:t>政府补助和与收益相关的政府补助。</w:t>
      </w:r>
      <w:r>
        <w:rPr>
          <w:w w:val="99"/>
        </w:rPr>
        <w:t> </w:t>
      </w:r>
      <w:r>
        <w:rPr>
          <w:spacing w:val="-2"/>
          <w:w w:val="95"/>
        </w:rPr>
        <w:t>与资产相关的政府补助，是指企业取得的、用于购建或以其他方式形成长期资产的政府</w:t>
      </w:r>
      <w:r>
        <w:rPr>
          <w:spacing w:val="-2"/>
        </w:rPr>
      </w:r>
    </w:p>
    <w:p>
      <w:pPr>
        <w:pStyle w:val="Heading4"/>
        <w:spacing w:line="357" w:lineRule="auto"/>
        <w:ind w:right="1603"/>
        <w:jc w:val="left"/>
      </w:pPr>
      <w:r>
        <w:rPr>
          <w:spacing w:val="-2"/>
          <w:w w:val="95"/>
        </w:rPr>
        <w:t>补助，包括购买固定资产或无形资产的财政拨款、固定资产专项借款的财政贴息等。与收益</w:t>
      </w:r>
      <w:r>
        <w:rPr>
          <w:spacing w:val="93"/>
          <w:w w:val="95"/>
        </w:rPr>
        <w:t> </w:t>
      </w:r>
      <w:r>
        <w:rPr>
          <w:spacing w:val="93"/>
          <w:w w:val="95"/>
        </w:rPr>
      </w:r>
      <w:r>
        <w:rPr/>
        <w:t>相关的政府补助，是指除与资产相关的政府补助之外的政府补助。</w:t>
      </w:r>
    </w:p>
    <w:p>
      <w:pPr>
        <w:pStyle w:val="Heading4"/>
        <w:spacing w:line="355" w:lineRule="auto" w:before="30"/>
        <w:ind w:right="1603" w:firstLine="422"/>
        <w:jc w:val="left"/>
      </w:pPr>
      <w:r>
        <w:rPr>
          <w:spacing w:val="-2"/>
          <w:w w:val="99"/>
        </w:rPr>
        <w:t>本公司将政府补助划分为与资产相关的具体标准为：本公司取得的政府补助用于购建或</w:t>
      </w:r>
      <w:r>
        <w:rPr>
          <w:w w:val="99"/>
        </w:rPr>
        <w:t> </w:t>
      </w:r>
      <w:r>
        <w:rPr/>
        <w:t>以其他方式形成长期资产的作为与资产相关的政府补助。</w:t>
      </w:r>
    </w:p>
    <w:p>
      <w:pPr>
        <w:pStyle w:val="Heading4"/>
        <w:spacing w:line="240" w:lineRule="auto" w:before="34"/>
        <w:ind w:left="540" w:right="1603"/>
        <w:jc w:val="left"/>
      </w:pPr>
      <w:r>
        <w:rPr>
          <w:spacing w:val="-1"/>
          <w:w w:val="99"/>
        </w:rPr>
        <w:t>本</w:t>
      </w:r>
      <w:r>
        <w:rPr>
          <w:spacing w:val="2"/>
          <w:w w:val="99"/>
        </w:rPr>
        <w:t>公</w:t>
      </w:r>
      <w:r>
        <w:rPr>
          <w:spacing w:val="-1"/>
          <w:w w:val="99"/>
        </w:rPr>
        <w:t>司</w:t>
      </w:r>
      <w:r>
        <w:rPr>
          <w:spacing w:val="2"/>
          <w:w w:val="99"/>
        </w:rPr>
        <w:t>将</w:t>
      </w:r>
      <w:r>
        <w:rPr>
          <w:spacing w:val="-1"/>
          <w:w w:val="99"/>
        </w:rPr>
        <w:t>政</w:t>
      </w:r>
      <w:r>
        <w:rPr>
          <w:spacing w:val="2"/>
          <w:w w:val="99"/>
        </w:rPr>
        <w:t>府</w:t>
      </w:r>
      <w:r>
        <w:rPr>
          <w:spacing w:val="-1"/>
          <w:w w:val="99"/>
        </w:rPr>
        <w:t>补</w:t>
      </w:r>
      <w:r>
        <w:rPr>
          <w:spacing w:val="2"/>
          <w:w w:val="99"/>
        </w:rPr>
        <w:t>助</w:t>
      </w:r>
      <w:r>
        <w:rPr>
          <w:spacing w:val="-1"/>
          <w:w w:val="99"/>
        </w:rPr>
        <w:t>划</w:t>
      </w:r>
      <w:r>
        <w:rPr>
          <w:spacing w:val="2"/>
          <w:w w:val="99"/>
        </w:rPr>
        <w:t>分</w:t>
      </w:r>
      <w:r>
        <w:rPr>
          <w:spacing w:val="-1"/>
          <w:w w:val="99"/>
        </w:rPr>
        <w:t>为</w:t>
      </w:r>
      <w:r>
        <w:rPr>
          <w:spacing w:val="2"/>
          <w:w w:val="99"/>
        </w:rPr>
        <w:t>与</w:t>
      </w:r>
      <w:r>
        <w:rPr>
          <w:spacing w:val="-1"/>
          <w:w w:val="99"/>
        </w:rPr>
        <w:t>收</w:t>
      </w:r>
      <w:r>
        <w:rPr>
          <w:spacing w:val="2"/>
          <w:w w:val="99"/>
        </w:rPr>
        <w:t>益</w:t>
      </w:r>
      <w:r>
        <w:rPr>
          <w:spacing w:val="-1"/>
          <w:w w:val="99"/>
        </w:rPr>
        <w:t>相</w:t>
      </w:r>
      <w:r>
        <w:rPr>
          <w:spacing w:val="2"/>
          <w:w w:val="99"/>
        </w:rPr>
        <w:t>关</w:t>
      </w:r>
      <w:r>
        <w:rPr>
          <w:spacing w:val="-1"/>
          <w:w w:val="99"/>
        </w:rPr>
        <w:t>的</w:t>
      </w:r>
      <w:r>
        <w:rPr>
          <w:spacing w:val="2"/>
          <w:w w:val="99"/>
        </w:rPr>
        <w:t>具</w:t>
      </w:r>
      <w:r>
        <w:rPr>
          <w:spacing w:val="-1"/>
          <w:w w:val="99"/>
        </w:rPr>
        <w:t>体</w:t>
      </w:r>
      <w:r>
        <w:rPr>
          <w:spacing w:val="2"/>
          <w:w w:val="99"/>
        </w:rPr>
        <w:t>标</w:t>
      </w:r>
      <w:r>
        <w:rPr>
          <w:spacing w:val="-1"/>
          <w:w w:val="99"/>
        </w:rPr>
        <w:t>准</w:t>
      </w:r>
      <w:r>
        <w:rPr>
          <w:spacing w:val="2"/>
          <w:w w:val="99"/>
        </w:rPr>
        <w:t>为</w:t>
      </w:r>
      <w:r>
        <w:rPr>
          <w:spacing w:val="-89"/>
          <w:w w:val="99"/>
        </w:rPr>
        <w:t>：</w:t>
      </w:r>
      <w:r>
        <w:rPr>
          <w:spacing w:val="-1"/>
          <w:w w:val="99"/>
        </w:rPr>
        <w:t>除</w:t>
      </w:r>
      <w:r>
        <w:rPr>
          <w:spacing w:val="2"/>
          <w:w w:val="99"/>
        </w:rPr>
        <w:t>与</w:t>
      </w:r>
      <w:r>
        <w:rPr>
          <w:spacing w:val="-1"/>
          <w:w w:val="99"/>
        </w:rPr>
        <w:t>资</w:t>
      </w:r>
      <w:r>
        <w:rPr>
          <w:spacing w:val="2"/>
          <w:w w:val="99"/>
        </w:rPr>
        <w:t>产</w:t>
      </w:r>
      <w:r>
        <w:rPr>
          <w:spacing w:val="-1"/>
          <w:w w:val="99"/>
        </w:rPr>
        <w:t>相</w:t>
      </w:r>
      <w:r>
        <w:rPr>
          <w:spacing w:val="2"/>
          <w:w w:val="99"/>
        </w:rPr>
        <w:t>关</w:t>
      </w:r>
      <w:r>
        <w:rPr>
          <w:spacing w:val="-1"/>
          <w:w w:val="99"/>
        </w:rPr>
        <w:t>的</w:t>
      </w:r>
      <w:r>
        <w:rPr>
          <w:spacing w:val="2"/>
          <w:w w:val="99"/>
        </w:rPr>
        <w:t>政</w:t>
      </w:r>
      <w:r>
        <w:rPr>
          <w:spacing w:val="-1"/>
          <w:w w:val="99"/>
        </w:rPr>
        <w:t>府</w:t>
      </w:r>
      <w:r>
        <w:rPr>
          <w:spacing w:val="2"/>
          <w:w w:val="99"/>
        </w:rPr>
        <w:t>补</w:t>
      </w:r>
      <w:r>
        <w:rPr>
          <w:spacing w:val="-1"/>
          <w:w w:val="99"/>
        </w:rPr>
        <w:t>助</w:t>
      </w:r>
      <w:r>
        <w:rPr>
          <w:spacing w:val="2"/>
          <w:w w:val="99"/>
        </w:rPr>
        <w:t>之</w:t>
      </w:r>
      <w:r>
        <w:rPr>
          <w:spacing w:val="-1"/>
          <w:w w:val="99"/>
        </w:rPr>
        <w:t>外</w:t>
      </w:r>
      <w:r>
        <w:rPr>
          <w:spacing w:val="2"/>
          <w:w w:val="99"/>
        </w:rPr>
        <w:t>的</w:t>
      </w:r>
      <w:r>
        <w:rPr>
          <w:w w:val="99"/>
        </w:rPr>
        <w:t>政</w:t>
      </w:r>
      <w:r>
        <w:rPr/>
      </w:r>
    </w:p>
    <w:p>
      <w:pPr>
        <w:spacing w:after="0" w:line="240" w:lineRule="auto"/>
        <w:jc w:val="left"/>
        <w:sectPr>
          <w:pgSz w:w="11910" w:h="16840"/>
          <w:pgMar w:header="712" w:footer="1264" w:top="980" w:bottom="1460" w:left="1680" w:right="0"/>
        </w:sectPr>
      </w:pPr>
    </w:p>
    <w:p>
      <w:pPr>
        <w:spacing w:line="240" w:lineRule="auto" w:before="9"/>
        <w:rPr>
          <w:rFonts w:ascii="宋体" w:hAnsi="宋体" w:cs="宋体" w:eastAsia="宋体" w:hint="default"/>
          <w:sz w:val="29"/>
          <w:szCs w:val="29"/>
        </w:rPr>
      </w:pPr>
    </w:p>
    <w:p>
      <w:pPr>
        <w:pStyle w:val="Heading4"/>
        <w:spacing w:line="355" w:lineRule="auto" w:before="34"/>
        <w:ind w:left="540" w:right="1603" w:hanging="423"/>
        <w:jc w:val="left"/>
      </w:pPr>
      <w:r>
        <w:rPr/>
        <w:t>府补助，作为与收益相关的政府补助。</w:t>
      </w:r>
      <w:r>
        <w:rPr>
          <w:w w:val="99"/>
        </w:rPr>
        <w:t> </w:t>
      </w:r>
      <w:r>
        <w:rPr>
          <w:spacing w:val="-2"/>
          <w:w w:val="99"/>
        </w:rPr>
        <w:t>对于政府文件未明确规定补助对象的，本公司将该政府补助划分为与资产相关或与收益</w:t>
      </w:r>
      <w:r>
        <w:rPr>
          <w:spacing w:val="-2"/>
        </w:rPr>
      </w:r>
    </w:p>
    <w:p>
      <w:pPr>
        <w:pStyle w:val="Heading4"/>
        <w:spacing w:line="355" w:lineRule="auto" w:before="34"/>
        <w:ind w:right="1796"/>
        <w:jc w:val="both"/>
        <w:rPr>
          <w:rFonts w:ascii="宋体" w:hAnsi="宋体" w:cs="宋体" w:eastAsia="宋体" w:hint="default"/>
        </w:rPr>
      </w:pPr>
      <w:r>
        <w:rPr>
          <w:spacing w:val="-2"/>
          <w:w w:val="95"/>
        </w:rPr>
        <w:t>相关的判断依据为：对于政府文件未明确规定补助对象的，能够形成长期资产的，与资产价</w:t>
      </w:r>
      <w:r>
        <w:rPr>
          <w:spacing w:val="90"/>
          <w:w w:val="95"/>
        </w:rPr>
        <w:t> </w:t>
      </w:r>
      <w:r>
        <w:rPr>
          <w:spacing w:val="90"/>
          <w:w w:val="95"/>
        </w:rPr>
      </w:r>
      <w:r>
        <w:rPr>
          <w:spacing w:val="3"/>
        </w:rPr>
        <w:t>值相对应的政府补助部分作为与资产相关的政府补助，其余部分作为与收益相关的政府补</w:t>
      </w:r>
      <w:r>
        <w:rPr>
          <w:w w:val="99"/>
        </w:rPr>
        <w:t> </w:t>
      </w:r>
      <w:r>
        <w:rPr/>
        <w:t>助；难以区分的，将政府补助整体作为与收益相关的政府补助</w:t>
      </w:r>
      <w:r>
        <w:rPr>
          <w:rFonts w:ascii="宋体" w:hAnsi="宋体" w:cs="宋体" w:eastAsia="宋体" w:hint="default"/>
          <w:b/>
          <w:bCs/>
        </w:rPr>
        <w:t>。</w:t>
      </w:r>
      <w:r>
        <w:rPr>
          <w:rFonts w:ascii="宋体" w:hAnsi="宋体" w:cs="宋体" w:eastAsia="宋体" w:hint="default"/>
        </w:rPr>
      </w:r>
    </w:p>
    <w:p>
      <w:pPr>
        <w:pStyle w:val="Heading4"/>
        <w:spacing w:line="338" w:lineRule="auto"/>
        <w:ind w:left="540" w:right="1603" w:hanging="3"/>
        <w:jc w:val="left"/>
      </w:pPr>
      <w:r>
        <w:rPr/>
        <w:t>（</w:t>
      </w:r>
      <w:r>
        <w:rPr>
          <w:rFonts w:ascii="Times New Roman" w:hAnsi="Times New Roman" w:cs="Times New Roman" w:eastAsia="Times New Roman" w:hint="default"/>
        </w:rPr>
        <w:t>2</w:t>
      </w:r>
      <w:r>
        <w:rPr/>
        <w:t>）确认时点</w:t>
      </w:r>
      <w:r>
        <w:rPr>
          <w:w w:val="99"/>
        </w:rPr>
        <w:t> </w:t>
      </w:r>
      <w:r>
        <w:rPr>
          <w:spacing w:val="-2"/>
          <w:w w:val="95"/>
        </w:rPr>
        <w:t>与资产相关的政府补助，在收到政府补助时确认为递延收益，并在所建造或购买的资产</w:t>
      </w:r>
      <w:r>
        <w:rPr>
          <w:spacing w:val="-2"/>
        </w:rPr>
      </w:r>
    </w:p>
    <w:p>
      <w:pPr>
        <w:pStyle w:val="Heading4"/>
        <w:spacing w:line="355" w:lineRule="auto" w:before="47"/>
        <w:ind w:right="1797"/>
        <w:jc w:val="both"/>
      </w:pPr>
      <w:r>
        <w:rPr>
          <w:spacing w:val="-2"/>
          <w:w w:val="95"/>
        </w:rPr>
        <w:t>投入使用后，在相关资产使用期限内平均分配，计入当期损益。与收益相关的政府补助，如</w:t>
      </w:r>
      <w:r>
        <w:rPr>
          <w:spacing w:val="92"/>
          <w:w w:val="95"/>
        </w:rPr>
        <w:t> </w:t>
      </w:r>
      <w:r>
        <w:rPr>
          <w:spacing w:val="92"/>
          <w:w w:val="95"/>
        </w:rPr>
      </w:r>
      <w:r>
        <w:rPr>
          <w:spacing w:val="-2"/>
          <w:w w:val="95"/>
        </w:rPr>
        <w:t>果用于补偿已发生的相关费用或损失，则在收到时计入当期损益；如果用于补偿以后期间的</w:t>
      </w:r>
      <w:r>
        <w:rPr>
          <w:spacing w:val="92"/>
          <w:w w:val="95"/>
        </w:rPr>
        <w:t> </w:t>
      </w:r>
      <w:r>
        <w:rPr>
          <w:spacing w:val="92"/>
          <w:w w:val="95"/>
        </w:rPr>
      </w:r>
      <w:r>
        <w:rPr/>
        <w:t>相关费用或损失，则在收到时计入递延收益，于费用确认期间计入当期损益。</w:t>
      </w:r>
    </w:p>
    <w:p>
      <w:pPr>
        <w:pStyle w:val="Heading4"/>
        <w:spacing w:line="336" w:lineRule="auto" w:before="34"/>
        <w:ind w:left="540" w:right="1603" w:hanging="3"/>
        <w:jc w:val="left"/>
      </w:pPr>
      <w:r>
        <w:rPr/>
        <w:t>（</w:t>
      </w:r>
      <w:r>
        <w:rPr>
          <w:rFonts w:ascii="Times New Roman" w:hAnsi="Times New Roman" w:cs="Times New Roman" w:eastAsia="Times New Roman" w:hint="default"/>
        </w:rPr>
        <w:t>3</w:t>
      </w:r>
      <w:r>
        <w:rPr/>
        <w:t>）会计处理</w:t>
      </w:r>
      <w:r>
        <w:rPr>
          <w:w w:val="99"/>
        </w:rPr>
        <w:t> </w:t>
      </w:r>
      <w:r>
        <w:rPr>
          <w:spacing w:val="-2"/>
          <w:w w:val="95"/>
        </w:rPr>
        <w:t>与资产相关的政府补助，确认为递延收益，按照所建造或购买的资产使用年限分期计入</w:t>
      </w:r>
      <w:r>
        <w:rPr>
          <w:spacing w:val="-2"/>
        </w:rPr>
      </w:r>
    </w:p>
    <w:p>
      <w:pPr>
        <w:pStyle w:val="Heading4"/>
        <w:spacing w:line="240" w:lineRule="auto" w:before="49"/>
        <w:ind w:right="0"/>
        <w:jc w:val="both"/>
      </w:pPr>
      <w:r>
        <w:rPr/>
        <w:t>当期损益。</w:t>
      </w:r>
    </w:p>
    <w:p>
      <w:pPr>
        <w:pStyle w:val="Heading4"/>
        <w:spacing w:line="355" w:lineRule="auto" w:before="133"/>
        <w:ind w:right="1603" w:firstLine="422"/>
        <w:jc w:val="left"/>
      </w:pPr>
      <w:r>
        <w:rPr>
          <w:w w:val="95"/>
        </w:rPr>
        <w:t>与收益相关的政府补助，用于补偿企业以后期间的相关费用或损失的，取得时确认为递</w:t>
      </w:r>
      <w:r>
        <w:rPr>
          <w:w w:val="99"/>
        </w:rPr>
        <w:t> </w:t>
      </w:r>
      <w:r>
        <w:rPr>
          <w:w w:val="95"/>
        </w:rPr>
        <w:t>延收益，在确认相关费用的期间计入当期损益；用于补偿企业已发生的相关费用或损失的，</w:t>
      </w:r>
      <w:r>
        <w:rPr>
          <w:spacing w:val="99"/>
          <w:w w:val="95"/>
        </w:rPr>
        <w:t> </w:t>
      </w:r>
      <w:r>
        <w:rPr>
          <w:spacing w:val="99"/>
          <w:w w:val="95"/>
        </w:rPr>
      </w:r>
      <w:r>
        <w:rPr/>
        <w:t>取得时直接计入当期损益。</w:t>
      </w:r>
    </w:p>
    <w:p>
      <w:pPr>
        <w:spacing w:line="336" w:lineRule="auto" w:before="34"/>
        <w:ind w:left="540" w:right="1603" w:hanging="423"/>
        <w:jc w:val="left"/>
        <w:rPr>
          <w:rFonts w:ascii="宋体" w:hAnsi="宋体" w:cs="宋体" w:eastAsia="宋体" w:hint="default"/>
          <w:sz w:val="21"/>
          <w:szCs w:val="21"/>
        </w:rPr>
      </w:pPr>
      <w:bookmarkStart w:name="24、递延所得税资产/递延所得税负债" w:id="199"/>
      <w:bookmarkEnd w:id="199"/>
      <w:r>
        <w:rPr/>
      </w:r>
      <w:r>
        <w:rPr>
          <w:rFonts w:ascii="Times New Roman" w:hAnsi="Times New Roman" w:cs="Times New Roman" w:eastAsia="Times New Roman" w:hint="default"/>
          <w:b/>
          <w:bCs/>
          <w:sz w:val="18"/>
          <w:szCs w:val="18"/>
        </w:rPr>
        <w:t>24</w:t>
      </w:r>
      <w:r>
        <w:rPr>
          <w:rFonts w:ascii="宋体" w:hAnsi="宋体" w:cs="宋体" w:eastAsia="宋体" w:hint="default"/>
          <w:b/>
          <w:bCs/>
          <w:sz w:val="21"/>
          <w:szCs w:val="21"/>
        </w:rPr>
        <w:t>、递延所得税资产</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递延所得税负债</w:t>
      </w:r>
      <w:r>
        <w:rPr>
          <w:rFonts w:ascii="宋体" w:hAnsi="宋体" w:cs="宋体" w:eastAsia="宋体" w:hint="default"/>
          <w:b/>
          <w:bCs/>
          <w:w w:val="99"/>
          <w:sz w:val="21"/>
          <w:szCs w:val="21"/>
        </w:rPr>
        <w:t> </w:t>
      </w:r>
      <w:r>
        <w:rPr>
          <w:rFonts w:ascii="宋体" w:hAnsi="宋体" w:cs="宋体" w:eastAsia="宋体" w:hint="default"/>
          <w:spacing w:val="-2"/>
          <w:w w:val="99"/>
          <w:sz w:val="21"/>
          <w:szCs w:val="21"/>
        </w:rPr>
        <w:t>对于可抵扣暂时性差异确认递延所得税资产，以未来期间很可能取得的用来抵扣可抵扣</w:t>
      </w:r>
      <w:r>
        <w:rPr>
          <w:rFonts w:ascii="宋体" w:hAnsi="宋体" w:cs="宋体" w:eastAsia="宋体" w:hint="default"/>
          <w:spacing w:val="-2"/>
          <w:sz w:val="21"/>
          <w:szCs w:val="21"/>
        </w:rPr>
      </w:r>
    </w:p>
    <w:p>
      <w:pPr>
        <w:pStyle w:val="Heading4"/>
        <w:spacing w:line="357" w:lineRule="auto" w:before="49"/>
        <w:ind w:right="1796"/>
        <w:jc w:val="both"/>
      </w:pPr>
      <w:r>
        <w:rPr>
          <w:spacing w:val="-2"/>
          <w:w w:val="95"/>
        </w:rPr>
        <w:t>暂时性差异的应纳税所得额为限。对于能够结转以后年度的可抵扣亏损和税款抵减，以很可</w:t>
      </w:r>
      <w:r>
        <w:rPr>
          <w:spacing w:val="92"/>
          <w:w w:val="95"/>
        </w:rPr>
        <w:t> </w:t>
      </w:r>
      <w:r>
        <w:rPr>
          <w:spacing w:val="92"/>
          <w:w w:val="95"/>
        </w:rPr>
      </w:r>
      <w:r>
        <w:rPr>
          <w:spacing w:val="-2"/>
          <w:w w:val="99"/>
        </w:rPr>
        <w:t>能获得用来抵扣可抵扣亏损和税款抵减的未来应纳税所得额为限，确认相应的递延所得税资</w:t>
      </w:r>
      <w:r>
        <w:rPr>
          <w:spacing w:val="-93"/>
          <w:w w:val="99"/>
        </w:rPr>
        <w:t> </w:t>
      </w:r>
      <w:r>
        <w:rPr>
          <w:spacing w:val="-93"/>
          <w:w w:val="99"/>
        </w:rPr>
      </w:r>
      <w:r>
        <w:rPr/>
        <w:t>产。</w:t>
      </w:r>
    </w:p>
    <w:p>
      <w:pPr>
        <w:pStyle w:val="Heading4"/>
        <w:spacing w:line="355" w:lineRule="auto" w:before="30"/>
        <w:ind w:left="540" w:right="1603" w:firstLine="2"/>
        <w:jc w:val="left"/>
      </w:pPr>
      <w:r>
        <w:rPr/>
        <w:t>对于应纳税暂时性差异，除特殊情况外，确认递延所得税负债。</w:t>
      </w:r>
      <w:r>
        <w:rPr>
          <w:w w:val="99"/>
        </w:rPr>
        <w:t> </w:t>
      </w:r>
      <w:r>
        <w:rPr>
          <w:spacing w:val="-2"/>
          <w:w w:val="95"/>
        </w:rPr>
        <w:t>不确认递延所得税资产或递延所得税负债的特殊情况包括：商誉的初始确认；除企业合</w:t>
      </w:r>
      <w:r>
        <w:rPr>
          <w:spacing w:val="-2"/>
        </w:rPr>
      </w:r>
    </w:p>
    <w:p>
      <w:pPr>
        <w:pStyle w:val="Heading4"/>
        <w:spacing w:line="355" w:lineRule="auto"/>
        <w:ind w:right="1811"/>
        <w:jc w:val="left"/>
      </w:pPr>
      <w:r>
        <w:rPr>
          <w:spacing w:val="-2"/>
          <w:w w:val="95"/>
        </w:rPr>
        <w:t>并以外的发生时既不影响会计利润也不影响应纳税所得额（或可抵扣亏损）的其他交易或事</w:t>
      </w:r>
      <w:r>
        <w:rPr>
          <w:w w:val="95"/>
        </w:rPr>
        <w:t>  </w:t>
      </w:r>
      <w:r>
        <w:rPr>
          <w:spacing w:val="92"/>
          <w:w w:val="95"/>
        </w:rPr>
        <w:t> </w:t>
      </w:r>
      <w:r>
        <w:rPr>
          <w:spacing w:val="92"/>
          <w:w w:val="95"/>
        </w:rPr>
      </w:r>
      <w:r>
        <w:rPr/>
        <w:t>项。</w:t>
      </w:r>
    </w:p>
    <w:p>
      <w:pPr>
        <w:pStyle w:val="Heading4"/>
        <w:spacing w:line="357" w:lineRule="auto"/>
        <w:ind w:right="1704" w:firstLine="422"/>
        <w:jc w:val="both"/>
      </w:pPr>
      <w:r>
        <w:rPr>
          <w:w w:val="95"/>
        </w:rPr>
        <w:t>当拥有以净额结算的法定权利，且意图以净额结算或取得资产、清偿负债同时进行时，</w:t>
      </w:r>
      <w:r>
        <w:rPr>
          <w:w w:val="99"/>
        </w:rPr>
        <w:t> </w:t>
      </w:r>
      <w:r>
        <w:rPr/>
        <w:t>本公司当期所得税资产及当期所得税负债以抵销后的净额列报。</w:t>
      </w:r>
    </w:p>
    <w:p>
      <w:pPr>
        <w:pStyle w:val="Heading4"/>
        <w:spacing w:line="357" w:lineRule="auto" w:before="30"/>
        <w:ind w:right="1796" w:firstLine="420"/>
        <w:jc w:val="both"/>
      </w:pPr>
      <w:r>
        <w:rPr>
          <w:spacing w:val="-2"/>
          <w:w w:val="99"/>
        </w:rPr>
        <w:t>当拥有以净额结算当期所得税资产及当期所得税负债的法定权利，且递延所得税资产及</w:t>
      </w:r>
      <w:r>
        <w:rPr>
          <w:w w:val="99"/>
        </w:rPr>
        <w:t> </w:t>
      </w:r>
      <w:r>
        <w:rPr>
          <w:spacing w:val="3"/>
        </w:rPr>
        <w:t>递延所得税负债是与同一税收征管部门对同一纳税主体征收的所得税相关或者是对不同的</w:t>
      </w:r>
      <w:r>
        <w:rPr>
          <w:w w:val="99"/>
        </w:rPr>
        <w:t> </w:t>
      </w:r>
      <w:r>
        <w:rPr>
          <w:spacing w:val="-2"/>
          <w:w w:val="95"/>
        </w:rPr>
        <w:t>纳税主体相关，但在未来每一具有重要性的递延所得税资产及负债转回的期间内，涉及的纳</w:t>
      </w:r>
      <w:r>
        <w:rPr>
          <w:spacing w:val="93"/>
          <w:w w:val="95"/>
        </w:rPr>
        <w:t> </w:t>
      </w:r>
      <w:r>
        <w:rPr>
          <w:spacing w:val="93"/>
          <w:w w:val="95"/>
        </w:rPr>
      </w:r>
      <w:r>
        <w:rPr>
          <w:spacing w:val="-2"/>
          <w:w w:val="95"/>
        </w:rPr>
        <w:t>税主体意图以净额结算当期所得税资产和负债或是同时取得资产、清偿负债时，本公司递延</w:t>
      </w:r>
      <w:r>
        <w:rPr>
          <w:spacing w:val="93"/>
          <w:w w:val="95"/>
        </w:rPr>
        <w:t> </w:t>
      </w:r>
      <w:r>
        <w:rPr>
          <w:spacing w:val="93"/>
          <w:w w:val="95"/>
        </w:rPr>
      </w:r>
      <w:r>
        <w:rPr/>
        <w:t>所得税资产及递延所得税负债以抵销后的净额列报。</w:t>
      </w:r>
    </w:p>
    <w:p>
      <w:pPr>
        <w:spacing w:before="30"/>
        <w:ind w:left="117" w:right="1603" w:firstLine="0"/>
        <w:jc w:val="left"/>
        <w:rPr>
          <w:rFonts w:ascii="宋体" w:hAnsi="宋体" w:cs="宋体" w:eastAsia="宋体" w:hint="default"/>
          <w:sz w:val="21"/>
          <w:szCs w:val="21"/>
        </w:rPr>
      </w:pPr>
      <w:bookmarkStart w:name="25、租赁" w:id="200"/>
      <w:bookmarkEnd w:id="200"/>
      <w:r>
        <w:rPr/>
      </w:r>
      <w:r>
        <w:rPr>
          <w:rFonts w:ascii="Times New Roman" w:hAnsi="Times New Roman" w:cs="Times New Roman" w:eastAsia="Times New Roman" w:hint="default"/>
          <w:b/>
          <w:bCs/>
          <w:sz w:val="18"/>
          <w:szCs w:val="18"/>
        </w:rPr>
        <w:t>25</w:t>
      </w:r>
      <w:r>
        <w:rPr>
          <w:rFonts w:ascii="宋体" w:hAnsi="宋体" w:cs="宋体" w:eastAsia="宋体" w:hint="default"/>
          <w:b/>
          <w:bCs/>
          <w:sz w:val="21"/>
          <w:szCs w:val="21"/>
        </w:rPr>
        <w:t>、租赁</w:t>
      </w:r>
      <w:r>
        <w:rPr>
          <w:rFonts w:ascii="宋体" w:hAnsi="宋体" w:cs="宋体" w:eastAsia="宋体" w:hint="default"/>
          <w:sz w:val="21"/>
          <w:szCs w:val="21"/>
        </w:rPr>
      </w:r>
    </w:p>
    <w:p>
      <w:pPr>
        <w:pStyle w:val="Heading4"/>
        <w:spacing w:line="240" w:lineRule="auto" w:before="126"/>
        <w:ind w:left="431" w:right="1603"/>
        <w:jc w:val="left"/>
      </w:pPr>
      <w:r>
        <w:rPr/>
        <w:t>（</w:t>
      </w:r>
      <w:r>
        <w:rPr>
          <w:rFonts w:ascii="Times New Roman" w:hAnsi="Times New Roman" w:cs="Times New Roman" w:eastAsia="Times New Roman" w:hint="default"/>
        </w:rPr>
        <w:t>1</w:t>
      </w:r>
      <w:r>
        <w:rPr/>
        <w:t>）经营租赁的会计处理方法</w:t>
      </w:r>
    </w:p>
    <w:p>
      <w:pPr>
        <w:spacing w:after="0" w:line="240" w:lineRule="auto"/>
        <w:jc w:val="left"/>
        <w:sectPr>
          <w:pgSz w:w="11910" w:h="16840"/>
          <w:pgMar w:header="712" w:footer="1264" w:top="980" w:bottom="1460" w:left="1680" w:right="0"/>
        </w:sectPr>
      </w:pPr>
    </w:p>
    <w:p>
      <w:pPr>
        <w:spacing w:line="240" w:lineRule="auto" w:before="9"/>
        <w:rPr>
          <w:rFonts w:ascii="宋体" w:hAnsi="宋体" w:cs="宋体" w:eastAsia="宋体" w:hint="default"/>
          <w:sz w:val="29"/>
          <w:szCs w:val="29"/>
        </w:rPr>
      </w:pPr>
    </w:p>
    <w:p>
      <w:pPr>
        <w:pStyle w:val="Heading4"/>
        <w:spacing w:line="355" w:lineRule="auto" w:before="34"/>
        <w:ind w:left="257" w:right="0" w:firstLine="420"/>
        <w:jc w:val="left"/>
      </w:pPr>
      <w:r>
        <w:rPr>
          <w:spacing w:val="-5"/>
          <w:w w:val="99"/>
        </w:rPr>
        <w:t>①公司租入资产所支付的租赁费，在不扣除免租期的整个租赁期内，按直线法进行分摊，</w:t>
      </w:r>
      <w:r>
        <w:rPr>
          <w:w w:val="99"/>
        </w:rPr>
        <w:t> </w:t>
      </w:r>
      <w:r>
        <w:rPr/>
        <w:t>计入当期费用。公司支付的与租赁交易相关的初始直接费用，计入当期费用。</w:t>
      </w:r>
    </w:p>
    <w:p>
      <w:pPr>
        <w:pStyle w:val="Heading4"/>
        <w:spacing w:line="355" w:lineRule="auto" w:before="34"/>
        <w:ind w:left="291" w:right="1796" w:firstLine="420"/>
        <w:jc w:val="both"/>
      </w:pPr>
      <w:r>
        <w:rPr>
          <w:spacing w:val="2"/>
        </w:rPr>
        <w:t>资产出租方承担了应由公司承担的与租赁相关的费用时，公司将该部分费用从租金总</w:t>
      </w:r>
      <w:r>
        <w:rPr>
          <w:w w:val="99"/>
        </w:rPr>
        <w:t> </w:t>
      </w:r>
      <w:r>
        <w:rPr/>
        <w:t>额中扣除，按扣除后的租金费用在租赁期内分摊，计入当期费用。</w:t>
      </w:r>
    </w:p>
    <w:p>
      <w:pPr>
        <w:pStyle w:val="Heading4"/>
        <w:spacing w:line="357" w:lineRule="auto"/>
        <w:ind w:left="291" w:right="1796" w:firstLine="420"/>
        <w:jc w:val="both"/>
      </w:pPr>
      <w:r>
        <w:rPr>
          <w:spacing w:val="2"/>
        </w:rPr>
        <w:t>②公司出租资产所收取的租赁费，在不扣除免租期的整个租赁期内，按直线法进行分</w:t>
      </w:r>
      <w:r>
        <w:rPr>
          <w:w w:val="99"/>
        </w:rPr>
        <w:t> </w:t>
      </w:r>
      <w:r>
        <w:rPr>
          <w:spacing w:val="2"/>
        </w:rPr>
        <w:t>摊，确认为租赁相关收入。公司支付的与租赁交易相关的初始直接费用，计入当期费用；</w:t>
      </w:r>
      <w:r>
        <w:rPr>
          <w:w w:val="99"/>
        </w:rPr>
        <w:t> </w:t>
      </w:r>
      <w:r>
        <w:rPr>
          <w:spacing w:val="2"/>
        </w:rPr>
        <w:t>如金额较大的，则予以资本化，在整个租赁期间内按照与租赁收入确认相同的基础分期计</w:t>
      </w:r>
      <w:r>
        <w:rPr>
          <w:w w:val="99"/>
        </w:rPr>
        <w:t> </w:t>
      </w:r>
      <w:r>
        <w:rPr/>
        <w:t>入当期收益。</w:t>
      </w:r>
    </w:p>
    <w:p>
      <w:pPr>
        <w:pStyle w:val="Heading4"/>
        <w:spacing w:line="355" w:lineRule="auto" w:before="30"/>
        <w:ind w:left="291" w:right="1796" w:firstLine="420"/>
        <w:jc w:val="both"/>
      </w:pPr>
      <w:r>
        <w:rPr>
          <w:spacing w:val="2"/>
        </w:rPr>
        <w:t>公司承担了应由承租方承担的与租赁相关的费用时，公司将该部分费用从租金收入总</w:t>
      </w:r>
      <w:r>
        <w:rPr>
          <w:w w:val="99"/>
        </w:rPr>
        <w:t> </w:t>
      </w:r>
      <w:r>
        <w:rPr/>
        <w:t>额中扣除，按扣除后的租金费用在租赁期内分配。</w:t>
      </w:r>
    </w:p>
    <w:p>
      <w:pPr>
        <w:spacing w:line="240" w:lineRule="auto" w:before="8"/>
        <w:rPr>
          <w:rFonts w:ascii="宋体" w:hAnsi="宋体" w:cs="宋体" w:eastAsia="宋体" w:hint="default"/>
          <w:sz w:val="25"/>
          <w:szCs w:val="25"/>
        </w:rPr>
      </w:pPr>
    </w:p>
    <w:p>
      <w:pPr>
        <w:pStyle w:val="Heading3"/>
        <w:spacing w:line="240" w:lineRule="auto" w:before="0"/>
        <w:ind w:left="257" w:right="0"/>
        <w:jc w:val="left"/>
        <w:rPr>
          <w:b w:val="0"/>
          <w:bCs w:val="0"/>
        </w:rPr>
      </w:pPr>
      <w:bookmarkStart w:name="26、重要会计政策和会计估计变更" w:id="201"/>
      <w:bookmarkEnd w:id="201"/>
      <w:r>
        <w:rPr>
          <w:b w:val="0"/>
          <w:bCs w:val="0"/>
        </w:rPr>
      </w:r>
      <w:r>
        <w:rPr>
          <w:rFonts w:ascii="Times New Roman" w:hAnsi="Times New Roman" w:cs="Times New Roman" w:eastAsia="Times New Roman" w:hint="default"/>
        </w:rPr>
        <w:t>26</w:t>
      </w:r>
      <w:r>
        <w:rPr/>
        <w:t>、重要会计政策和会计估计变更</w:t>
      </w:r>
      <w:r>
        <w:rPr>
          <w:b w:val="0"/>
          <w:bCs w:val="0"/>
        </w:rPr>
      </w:r>
    </w:p>
    <w:p>
      <w:pPr>
        <w:spacing w:line="240" w:lineRule="auto" w:before="6"/>
        <w:rPr>
          <w:rFonts w:ascii="宋体" w:hAnsi="宋体" w:cs="宋体" w:eastAsia="宋体" w:hint="default"/>
          <w:b/>
          <w:bCs/>
          <w:sz w:val="21"/>
          <w:szCs w:val="21"/>
        </w:rPr>
      </w:pPr>
    </w:p>
    <w:p>
      <w:pPr>
        <w:pStyle w:val="Heading3"/>
        <w:spacing w:line="240" w:lineRule="auto" w:before="0"/>
        <w:ind w:left="257" w:right="0"/>
        <w:jc w:val="left"/>
        <w:rPr>
          <w:b w:val="0"/>
          <w:bCs w:val="0"/>
        </w:rPr>
      </w:pPr>
      <w:bookmarkStart w:name="（1）重要会计政策变更" w:id="202"/>
      <w:bookmarkEnd w:id="202"/>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8"/>
        <w:rPr>
          <w:rFonts w:ascii="宋体" w:hAnsi="宋体" w:cs="宋体" w:eastAsia="宋体" w:hint="default"/>
          <w:b/>
          <w:bCs/>
          <w:sz w:val="21"/>
          <w:szCs w:val="21"/>
        </w:rPr>
      </w:pPr>
    </w:p>
    <w:p>
      <w:pPr>
        <w:pStyle w:val="Heading4"/>
        <w:spacing w:line="336" w:lineRule="auto" w:before="0"/>
        <w:ind w:left="291" w:right="1796" w:firstLine="420"/>
        <w:jc w:val="both"/>
      </w:pPr>
      <w:r>
        <w:rPr>
          <w:spacing w:val="2"/>
        </w:rPr>
        <w:t>①执行《财政部关于修订印发</w:t>
      </w:r>
      <w:r>
        <w:rPr>
          <w:rFonts w:ascii="Times New Roman" w:hAnsi="Times New Roman" w:cs="Times New Roman" w:eastAsia="Times New Roman" w:hint="default"/>
          <w:spacing w:val="2"/>
        </w:rPr>
        <w:t>2019</w:t>
      </w:r>
      <w:r>
        <w:rPr>
          <w:spacing w:val="2"/>
        </w:rPr>
        <w:t>年度一般企业财务报表格式的通知》和《关于修订</w:t>
      </w:r>
      <w:r>
        <w:rPr>
          <w:w w:val="99"/>
        </w:rPr>
        <w:t> </w:t>
      </w:r>
      <w:r>
        <w:rPr/>
        <w:t>印发合并财务报表格式（</w:t>
      </w:r>
      <w:r>
        <w:rPr>
          <w:rFonts w:ascii="Times New Roman" w:hAnsi="Times New Roman" w:cs="Times New Roman" w:eastAsia="Times New Roman" w:hint="default"/>
        </w:rPr>
        <w:t>2019</w:t>
      </w:r>
      <w:r>
        <w:rPr/>
        <w:t>版）的通知》</w:t>
      </w:r>
    </w:p>
    <w:p>
      <w:pPr>
        <w:pStyle w:val="Heading4"/>
        <w:spacing w:line="336" w:lineRule="auto" w:before="26"/>
        <w:ind w:left="291" w:right="1790" w:firstLine="420"/>
        <w:jc w:val="both"/>
      </w:pPr>
      <w:r>
        <w:rPr/>
        <w:t>财政部分别于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30</w:t>
      </w:r>
      <w:r>
        <w:rPr/>
        <w:t>日和</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19</w:t>
      </w:r>
      <w:r>
        <w:rPr/>
        <w:t>日</w:t>
      </w:r>
      <w:r>
        <w:rPr>
          <w:spacing w:val="-28"/>
        </w:rPr>
        <w:t> </w:t>
      </w:r>
      <w:r>
        <w:rPr/>
        <w:t>发布了《关于修订印发</w:t>
      </w:r>
      <w:r>
        <w:rPr>
          <w:rFonts w:ascii="Times New Roman" w:hAnsi="Times New Roman" w:cs="Times New Roman" w:eastAsia="Times New Roman" w:hint="default"/>
        </w:rPr>
        <w:t>2019</w:t>
      </w:r>
      <w:r>
        <w:rPr/>
        <w:t>年度一般企</w:t>
      </w:r>
      <w:r>
        <w:rPr>
          <w:w w:val="99"/>
        </w:rPr>
        <w:t> </w:t>
      </w:r>
      <w:r>
        <w:rPr>
          <w:w w:val="95"/>
        </w:rPr>
        <w:t>业财务报表格式的通知》（财会（</w:t>
      </w:r>
      <w:r>
        <w:rPr>
          <w:rFonts w:ascii="Times New Roman" w:hAnsi="Times New Roman" w:cs="Times New Roman" w:eastAsia="Times New Roman" w:hint="default"/>
          <w:w w:val="95"/>
        </w:rPr>
        <w:t>2019</w:t>
      </w:r>
      <w:r>
        <w:rPr>
          <w:w w:val="95"/>
        </w:rPr>
        <w:t>）</w:t>
      </w:r>
      <w:r>
        <w:rPr>
          <w:rFonts w:ascii="Times New Roman" w:hAnsi="Times New Roman" w:cs="Times New Roman" w:eastAsia="Times New Roman" w:hint="default"/>
          <w:w w:val="95"/>
        </w:rPr>
        <w:t>6</w:t>
      </w:r>
      <w:r>
        <w:rPr>
          <w:w w:val="95"/>
        </w:rPr>
        <w:t>号）和《关于修订印发合并财务报表格式（</w:t>
      </w:r>
      <w:r>
        <w:rPr>
          <w:rFonts w:ascii="Times New Roman" w:hAnsi="Times New Roman" w:cs="Times New Roman" w:eastAsia="Times New Roman" w:hint="default"/>
          <w:w w:val="95"/>
        </w:rPr>
        <w:t>2019</w:t>
      </w:r>
      <w:r>
        <w:rPr>
          <w:rFonts w:ascii="Times New Roman" w:hAnsi="Times New Roman" w:cs="Times New Roman" w:eastAsia="Times New Roman" w:hint="default"/>
          <w:spacing w:val="34"/>
          <w:w w:val="95"/>
        </w:rPr>
        <w:t> </w:t>
      </w:r>
      <w:r>
        <w:rPr>
          <w:rFonts w:ascii="Times New Roman" w:hAnsi="Times New Roman" w:cs="Times New Roman" w:eastAsia="Times New Roman" w:hint="default"/>
          <w:spacing w:val="34"/>
          <w:w w:val="95"/>
        </w:rPr>
      </w:r>
      <w:r>
        <w:rPr/>
        <w:t>版）的通知》（财会（</w:t>
      </w:r>
      <w:r>
        <w:rPr>
          <w:rFonts w:ascii="Times New Roman" w:hAnsi="Times New Roman" w:cs="Times New Roman" w:eastAsia="Times New Roman" w:hint="default"/>
        </w:rPr>
        <w:t>2019</w:t>
      </w:r>
      <w:r>
        <w:rPr/>
        <w:t>）</w:t>
      </w:r>
      <w:r>
        <w:rPr>
          <w:rFonts w:ascii="Times New Roman" w:hAnsi="Times New Roman" w:cs="Times New Roman" w:eastAsia="Times New Roman" w:hint="default"/>
        </w:rPr>
        <w:t>16</w:t>
      </w:r>
      <w:r>
        <w:rPr/>
        <w:t>号），对一般企业财务报表格式进行了修订。</w:t>
      </w:r>
      <w:r>
        <w:rPr>
          <w:spacing w:val="-29"/>
        </w:rPr>
        <w:t> </w:t>
      </w:r>
      <w:r>
        <w:rPr/>
        <w:t>本公司执行</w:t>
      </w:r>
      <w:r>
        <w:rPr>
          <w:w w:val="99"/>
        </w:rPr>
        <w:t> </w:t>
      </w:r>
      <w:r>
        <w:rPr/>
        <w:t>上述规定的主要影响如下：</w:t>
      </w:r>
    </w:p>
    <w:p>
      <w:pPr>
        <w:spacing w:line="240" w:lineRule="auto" w:before="7"/>
        <w:rPr>
          <w:rFonts w:ascii="宋体" w:hAnsi="宋体" w:cs="宋体" w:eastAsia="宋体" w:hint="default"/>
          <w:sz w:val="6"/>
          <w:szCs w:val="6"/>
        </w:rPr>
      </w:pPr>
    </w:p>
    <w:tbl>
      <w:tblPr>
        <w:tblW w:w="0" w:type="auto"/>
        <w:jc w:val="left"/>
        <w:tblInd w:w="100" w:type="dxa"/>
        <w:tblLayout w:type="fixed"/>
        <w:tblCellMar>
          <w:top w:w="0" w:type="dxa"/>
          <w:left w:w="0" w:type="dxa"/>
          <w:bottom w:w="0" w:type="dxa"/>
          <w:right w:w="0" w:type="dxa"/>
        </w:tblCellMar>
        <w:tblLook w:val="01E0"/>
      </w:tblPr>
      <w:tblGrid>
        <w:gridCol w:w="2552"/>
        <w:gridCol w:w="1559"/>
        <w:gridCol w:w="2554"/>
        <w:gridCol w:w="2410"/>
      </w:tblGrid>
      <w:tr>
        <w:trPr>
          <w:trHeight w:val="420" w:hRule="exact"/>
        </w:trPr>
        <w:tc>
          <w:tcPr>
            <w:tcW w:w="2552" w:type="dxa"/>
            <w:vMerge w:val="restart"/>
            <w:tcBorders>
              <w:top w:val="single" w:sz="12" w:space="0" w:color="000000"/>
              <w:left w:val="nil" w:sz="6" w:space="0" w:color="auto"/>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1559" w:type="dxa"/>
            <w:vMerge w:val="restart"/>
            <w:tcBorders>
              <w:top w:val="single" w:sz="12" w:space="0" w:color="000000"/>
              <w:left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left="413" w:right="0"/>
              <w:jc w:val="left"/>
              <w:rPr>
                <w:rFonts w:ascii="宋体" w:hAnsi="宋体" w:cs="宋体" w:eastAsia="宋体" w:hint="default"/>
                <w:sz w:val="18"/>
                <w:szCs w:val="18"/>
              </w:rPr>
            </w:pPr>
            <w:r>
              <w:rPr>
                <w:rFonts w:ascii="宋体" w:hAnsi="宋体" w:cs="宋体" w:eastAsia="宋体" w:hint="default"/>
                <w:sz w:val="18"/>
                <w:szCs w:val="18"/>
              </w:rPr>
              <w:t>审批程序</w:t>
            </w:r>
          </w:p>
        </w:tc>
        <w:tc>
          <w:tcPr>
            <w:tcW w:w="4964" w:type="dxa"/>
            <w:gridSpan w:val="2"/>
            <w:tcBorders>
              <w:top w:val="single" w:sz="12" w:space="0" w:color="000000"/>
              <w:left w:val="dotted" w:sz="4" w:space="0" w:color="000000"/>
              <w:bottom w:val="dotted" w:sz="4" w:space="0" w:color="000000"/>
              <w:right w:val="nil" w:sz="6" w:space="0" w:color="auto"/>
            </w:tcBorders>
          </w:tcPr>
          <w:p>
            <w:pPr>
              <w:pStyle w:val="TableParagraph"/>
              <w:spacing w:line="240" w:lineRule="auto" w:before="87"/>
              <w:ind w:left="1306" w:right="0"/>
              <w:jc w:val="left"/>
              <w:rPr>
                <w:rFonts w:ascii="宋体" w:hAnsi="宋体" w:cs="宋体" w:eastAsia="宋体" w:hint="default"/>
                <w:sz w:val="18"/>
                <w:szCs w:val="18"/>
              </w:rPr>
            </w:pPr>
            <w:r>
              <w:rPr>
                <w:rFonts w:ascii="宋体" w:hAnsi="宋体" w:cs="宋体" w:eastAsia="宋体" w:hint="default"/>
                <w:sz w:val="18"/>
                <w:szCs w:val="18"/>
              </w:rPr>
              <w:t>受影响的报表项目名称和金额</w:t>
            </w:r>
          </w:p>
        </w:tc>
      </w:tr>
      <w:tr>
        <w:trPr>
          <w:trHeight w:val="410" w:hRule="exact"/>
        </w:trPr>
        <w:tc>
          <w:tcPr>
            <w:tcW w:w="2552" w:type="dxa"/>
            <w:vMerge/>
            <w:tcBorders>
              <w:left w:val="nil" w:sz="6" w:space="0" w:color="auto"/>
              <w:bottom w:val="dotted" w:sz="4" w:space="0" w:color="000000"/>
              <w:right w:val="dotted" w:sz="4" w:space="0" w:color="000000"/>
            </w:tcBorders>
          </w:tcPr>
          <w:p>
            <w:pPr/>
          </w:p>
        </w:tc>
        <w:tc>
          <w:tcPr>
            <w:tcW w:w="1559" w:type="dxa"/>
            <w:vMerge/>
            <w:tcBorders>
              <w:left w:val="dotted" w:sz="4" w:space="0" w:color="000000"/>
              <w:bottom w:val="dotted" w:sz="4" w:space="0" w:color="000000"/>
              <w:right w:val="dotted" w:sz="4" w:space="0" w:color="000000"/>
            </w:tcBorders>
          </w:tcPr>
          <w:p>
            <w:pPr/>
          </w:p>
        </w:tc>
        <w:tc>
          <w:tcPr>
            <w:tcW w:w="255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7"/>
              <w:ind w:left="2"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241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7"/>
              <w:ind w:right="5"/>
              <w:jc w:val="center"/>
              <w:rPr>
                <w:rFonts w:ascii="宋体" w:hAnsi="宋体" w:cs="宋体" w:eastAsia="宋体" w:hint="default"/>
                <w:sz w:val="18"/>
                <w:szCs w:val="18"/>
              </w:rPr>
            </w:pPr>
            <w:r>
              <w:rPr>
                <w:rFonts w:ascii="宋体" w:hAnsi="宋体" w:cs="宋体" w:eastAsia="宋体" w:hint="default"/>
                <w:sz w:val="18"/>
                <w:szCs w:val="18"/>
              </w:rPr>
              <w:t>母公司</w:t>
            </w:r>
          </w:p>
        </w:tc>
      </w:tr>
      <w:tr>
        <w:trPr>
          <w:trHeight w:val="398" w:hRule="exact"/>
        </w:trPr>
        <w:tc>
          <w:tcPr>
            <w:tcW w:w="2552" w:type="dxa"/>
            <w:tcBorders>
              <w:top w:val="dotted" w:sz="4" w:space="0" w:color="000000"/>
              <w:left w:val="nil" w:sz="6" w:space="0" w:color="auto"/>
              <w:bottom w:val="nil" w:sz="6" w:space="0" w:color="auto"/>
              <w:right w:val="dotted" w:sz="4" w:space="0" w:color="000000"/>
            </w:tcBorders>
          </w:tcPr>
          <w:p>
            <w:pPr/>
          </w:p>
        </w:tc>
        <w:tc>
          <w:tcPr>
            <w:tcW w:w="1559" w:type="dxa"/>
            <w:tcBorders>
              <w:top w:val="dotted" w:sz="4" w:space="0" w:color="000000"/>
              <w:left w:val="dotted" w:sz="4" w:space="0" w:color="000000"/>
              <w:bottom w:val="nil" w:sz="6" w:space="0" w:color="auto"/>
              <w:right w:val="dotted" w:sz="4" w:space="0" w:color="000000"/>
            </w:tcBorders>
          </w:tcPr>
          <w:p>
            <w:pPr/>
          </w:p>
        </w:tc>
        <w:tc>
          <w:tcPr>
            <w:tcW w:w="2554" w:type="dxa"/>
            <w:tcBorders>
              <w:top w:val="dotted" w:sz="4" w:space="0" w:color="000000"/>
              <w:left w:val="dotted" w:sz="4" w:space="0" w:color="000000"/>
              <w:bottom w:val="nil" w:sz="6" w:space="0" w:color="auto"/>
              <w:right w:val="dotted" w:sz="4" w:space="0" w:color="000000"/>
            </w:tcBorders>
          </w:tcPr>
          <w:p>
            <w:pPr>
              <w:pStyle w:val="TableParagraph"/>
              <w:spacing w:line="240" w:lineRule="auto" w:before="87"/>
              <w:ind w:left="101" w:right="0"/>
              <w:jc w:val="left"/>
              <w:rPr>
                <w:rFonts w:ascii="宋体" w:hAnsi="宋体" w:cs="宋体" w:eastAsia="宋体" w:hint="default"/>
                <w:sz w:val="18"/>
                <w:szCs w:val="18"/>
              </w:rPr>
            </w:pPr>
            <w:r>
              <w:rPr>
                <w:rFonts w:ascii="宋体" w:hAnsi="宋体" w:cs="宋体" w:eastAsia="宋体" w:hint="default"/>
                <w:sz w:val="18"/>
                <w:szCs w:val="18"/>
              </w:rPr>
              <w:t>“应收票据及应收账款”拆分</w:t>
            </w:r>
          </w:p>
        </w:tc>
        <w:tc>
          <w:tcPr>
            <w:tcW w:w="2410" w:type="dxa"/>
            <w:tcBorders>
              <w:top w:val="dotted" w:sz="4" w:space="0" w:color="000000"/>
              <w:left w:val="dotted" w:sz="4" w:space="0" w:color="000000"/>
              <w:bottom w:val="nil" w:sz="6" w:space="0" w:color="auto"/>
              <w:right w:val="nil" w:sz="6" w:space="0" w:color="auto"/>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“应收票据及应收账款”拆</w:t>
            </w:r>
          </w:p>
        </w:tc>
      </w:tr>
      <w:tr>
        <w:trPr>
          <w:trHeight w:val="319" w:hRule="exact"/>
        </w:trPr>
        <w:tc>
          <w:tcPr>
            <w:tcW w:w="2552" w:type="dxa"/>
            <w:tcBorders>
              <w:top w:val="nil" w:sz="6" w:space="0" w:color="auto"/>
              <w:left w:val="nil" w:sz="6" w:space="0" w:color="auto"/>
              <w:bottom w:val="nil" w:sz="6" w:space="0" w:color="auto"/>
              <w:right w:val="dotted" w:sz="4" w:space="0" w:color="000000"/>
            </w:tcBorders>
          </w:tcPr>
          <w:p>
            <w:pPr/>
          </w:p>
        </w:tc>
        <w:tc>
          <w:tcPr>
            <w:tcW w:w="1559" w:type="dxa"/>
            <w:tcBorders>
              <w:top w:val="nil" w:sz="6" w:space="0" w:color="auto"/>
              <w:left w:val="dotted" w:sz="4" w:space="0" w:color="000000"/>
              <w:bottom w:val="nil" w:sz="6" w:space="0" w:color="auto"/>
              <w:right w:val="dotted" w:sz="4" w:space="0" w:color="000000"/>
            </w:tcBorders>
          </w:tcPr>
          <w:p>
            <w:pPr/>
          </w:p>
        </w:tc>
        <w:tc>
          <w:tcPr>
            <w:tcW w:w="2554" w:type="dxa"/>
            <w:tcBorders>
              <w:top w:val="nil" w:sz="6" w:space="0" w:color="auto"/>
              <w:left w:val="dotted" w:sz="4" w:space="0" w:color="000000"/>
              <w:bottom w:val="nil" w:sz="6" w:space="0" w:color="auto"/>
              <w:right w:val="dotted" w:sz="4" w:space="0" w:color="000000"/>
            </w:tcBorders>
          </w:tcPr>
          <w:p>
            <w:pPr>
              <w:pStyle w:val="TableParagraph"/>
              <w:spacing w:line="240" w:lineRule="auto" w:before="14"/>
              <w:ind w:left="101" w:right="0"/>
              <w:jc w:val="left"/>
              <w:rPr>
                <w:rFonts w:ascii="宋体" w:hAnsi="宋体" w:cs="宋体" w:eastAsia="宋体" w:hint="default"/>
                <w:sz w:val="18"/>
                <w:szCs w:val="18"/>
              </w:rPr>
            </w:pPr>
            <w:r>
              <w:rPr>
                <w:rFonts w:ascii="宋体" w:hAnsi="宋体" w:cs="宋体" w:eastAsia="宋体" w:hint="default"/>
                <w:spacing w:val="-58"/>
                <w:sz w:val="18"/>
                <w:szCs w:val="18"/>
              </w:rPr>
              <w:t>为</w:t>
            </w:r>
            <w:r>
              <w:rPr>
                <w:rFonts w:ascii="宋体" w:hAnsi="宋体" w:cs="宋体" w:eastAsia="宋体" w:hint="default"/>
                <w:spacing w:val="-3"/>
                <w:sz w:val="18"/>
                <w:szCs w:val="18"/>
              </w:rPr>
              <w:t>“</w:t>
            </w:r>
            <w:r>
              <w:rPr>
                <w:rFonts w:ascii="宋体" w:hAnsi="宋体" w:cs="宋体" w:eastAsia="宋体" w:hint="default"/>
                <w:sz w:val="18"/>
                <w:szCs w:val="18"/>
              </w:rPr>
              <w:t>应收票据</w:t>
            </w:r>
            <w:r>
              <w:rPr>
                <w:rFonts w:ascii="宋体" w:hAnsi="宋体" w:cs="宋体" w:eastAsia="宋体" w:hint="default"/>
                <w:spacing w:val="-60"/>
                <w:sz w:val="18"/>
                <w:szCs w:val="18"/>
              </w:rPr>
              <w:t>”和</w:t>
            </w:r>
            <w:r>
              <w:rPr>
                <w:rFonts w:ascii="宋体" w:hAnsi="宋体" w:cs="宋体" w:eastAsia="宋体" w:hint="default"/>
                <w:sz w:val="18"/>
                <w:szCs w:val="18"/>
              </w:rPr>
              <w:t>“应收账款</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2410" w:type="dxa"/>
            <w:tcBorders>
              <w:top w:val="nil" w:sz="6" w:space="0" w:color="auto"/>
              <w:left w:val="dotted" w:sz="4" w:space="0" w:color="000000"/>
              <w:bottom w:val="nil" w:sz="6" w:space="0" w:color="auto"/>
              <w:right w:val="nil" w:sz="6" w:space="0" w:color="auto"/>
            </w:tcBorders>
          </w:tcPr>
          <w:p>
            <w:pPr>
              <w:pStyle w:val="TableParagraph"/>
              <w:spacing w:line="240" w:lineRule="auto" w:before="14"/>
              <w:ind w:right="1"/>
              <w:jc w:val="center"/>
              <w:rPr>
                <w:rFonts w:ascii="宋体" w:hAnsi="宋体" w:cs="宋体" w:eastAsia="宋体" w:hint="default"/>
                <w:sz w:val="18"/>
                <w:szCs w:val="18"/>
              </w:rPr>
            </w:pPr>
            <w:r>
              <w:rPr>
                <w:rFonts w:ascii="宋体" w:hAnsi="宋体" w:cs="宋体" w:eastAsia="宋体" w:hint="default"/>
                <w:sz w:val="18"/>
                <w:szCs w:val="18"/>
              </w:rPr>
              <w:t>分为“应收票据”和“应收</w:t>
            </w:r>
          </w:p>
        </w:tc>
      </w:tr>
      <w:tr>
        <w:trPr>
          <w:trHeight w:val="320" w:hRule="exact"/>
        </w:trPr>
        <w:tc>
          <w:tcPr>
            <w:tcW w:w="2552" w:type="dxa"/>
            <w:tcBorders>
              <w:top w:val="nil" w:sz="6" w:space="0" w:color="auto"/>
              <w:left w:val="nil" w:sz="6" w:space="0" w:color="auto"/>
              <w:bottom w:val="nil" w:sz="6" w:space="0" w:color="auto"/>
              <w:right w:val="dotted" w:sz="4" w:space="0" w:color="000000"/>
            </w:tcBorders>
          </w:tcPr>
          <w:p>
            <w:pPr/>
          </w:p>
        </w:tc>
        <w:tc>
          <w:tcPr>
            <w:tcW w:w="1559" w:type="dxa"/>
            <w:tcBorders>
              <w:top w:val="nil" w:sz="6" w:space="0" w:color="auto"/>
              <w:left w:val="dotted" w:sz="4" w:space="0" w:color="000000"/>
              <w:bottom w:val="nil" w:sz="6" w:space="0" w:color="auto"/>
              <w:right w:val="dotted" w:sz="4" w:space="0" w:color="000000"/>
            </w:tcBorders>
          </w:tcPr>
          <w:p>
            <w:pPr/>
          </w:p>
        </w:tc>
        <w:tc>
          <w:tcPr>
            <w:tcW w:w="2554" w:type="dxa"/>
            <w:tcBorders>
              <w:top w:val="nil" w:sz="6" w:space="0" w:color="auto"/>
              <w:left w:val="dotted" w:sz="4" w:space="0" w:color="000000"/>
              <w:bottom w:val="nil" w:sz="6" w:space="0" w:color="auto"/>
              <w:right w:val="dotted" w:sz="4" w:space="0" w:color="000000"/>
            </w:tcBorders>
          </w:tcPr>
          <w:p>
            <w:pPr>
              <w:pStyle w:val="TableParagraph"/>
              <w:spacing w:line="240" w:lineRule="auto" w:before="14"/>
              <w:ind w:left="193" w:right="0"/>
              <w:jc w:val="left"/>
              <w:rPr>
                <w:rFonts w:ascii="宋体" w:hAnsi="宋体" w:cs="宋体" w:eastAsia="宋体" w:hint="default"/>
                <w:sz w:val="18"/>
                <w:szCs w:val="18"/>
              </w:rPr>
            </w:pPr>
            <w:r>
              <w:rPr>
                <w:rFonts w:ascii="宋体" w:hAnsi="宋体" w:cs="宋体" w:eastAsia="宋体" w:hint="default"/>
                <w:sz w:val="18"/>
                <w:szCs w:val="18"/>
              </w:rPr>
              <w:t>“应收票据”上年年末余额</w:t>
            </w:r>
          </w:p>
        </w:tc>
        <w:tc>
          <w:tcPr>
            <w:tcW w:w="2410" w:type="dxa"/>
            <w:tcBorders>
              <w:top w:val="nil" w:sz="6" w:space="0" w:color="auto"/>
              <w:left w:val="dotted" w:sz="4" w:space="0" w:color="000000"/>
              <w:bottom w:val="nil" w:sz="6" w:space="0" w:color="auto"/>
              <w:right w:val="nil" w:sz="6" w:space="0" w:color="auto"/>
            </w:tcBorders>
          </w:tcPr>
          <w:p>
            <w:pPr>
              <w:pStyle w:val="TableParagraph"/>
              <w:spacing w:line="240" w:lineRule="auto" w:before="14"/>
              <w:ind w:right="1"/>
              <w:jc w:val="center"/>
              <w:rPr>
                <w:rFonts w:ascii="宋体" w:hAnsi="宋体" w:cs="宋体" w:eastAsia="宋体" w:hint="default"/>
                <w:sz w:val="18"/>
                <w:szCs w:val="18"/>
              </w:rPr>
            </w:pPr>
            <w:r>
              <w:rPr>
                <w:rFonts w:ascii="宋体" w:hAnsi="宋体" w:cs="宋体" w:eastAsia="宋体" w:hint="default"/>
                <w:sz w:val="18"/>
                <w:szCs w:val="18"/>
              </w:rPr>
              <w:t>账款”，“应收票据”上年</w:t>
            </w:r>
          </w:p>
        </w:tc>
      </w:tr>
      <w:tr>
        <w:trPr>
          <w:trHeight w:val="335" w:hRule="exact"/>
        </w:trPr>
        <w:tc>
          <w:tcPr>
            <w:tcW w:w="2552" w:type="dxa"/>
            <w:tcBorders>
              <w:top w:val="nil" w:sz="6" w:space="0" w:color="auto"/>
              <w:left w:val="nil" w:sz="6" w:space="0" w:color="auto"/>
              <w:bottom w:val="nil" w:sz="6" w:space="0" w:color="auto"/>
              <w:right w:val="dotted" w:sz="4" w:space="0" w:color="000000"/>
            </w:tcBorders>
          </w:tcPr>
          <w:p>
            <w:pPr>
              <w:pStyle w:val="TableParagraph"/>
              <w:spacing w:line="240" w:lineRule="auto" w:before="34"/>
              <w:ind w:left="109" w:right="0"/>
              <w:jc w:val="left"/>
              <w:rPr>
                <w:rFonts w:ascii="宋体" w:hAnsi="宋体" w:cs="宋体" w:eastAsia="宋体" w:hint="default"/>
                <w:sz w:val="18"/>
                <w:szCs w:val="18"/>
              </w:rPr>
            </w:pP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）资产负债表中“应收票</w:t>
            </w:r>
          </w:p>
        </w:tc>
        <w:tc>
          <w:tcPr>
            <w:tcW w:w="1559" w:type="dxa"/>
            <w:tcBorders>
              <w:top w:val="nil" w:sz="6" w:space="0" w:color="auto"/>
              <w:left w:val="dotted" w:sz="4" w:space="0" w:color="000000"/>
              <w:bottom w:val="nil" w:sz="6" w:space="0" w:color="auto"/>
              <w:right w:val="dotted" w:sz="4" w:space="0" w:color="000000"/>
            </w:tcBorders>
          </w:tcPr>
          <w:p>
            <w:pPr/>
          </w:p>
        </w:tc>
        <w:tc>
          <w:tcPr>
            <w:tcW w:w="2554" w:type="dxa"/>
            <w:tcBorders>
              <w:top w:val="nil" w:sz="6" w:space="0" w:color="auto"/>
              <w:left w:val="dotted" w:sz="4" w:space="0" w:color="000000"/>
              <w:bottom w:val="nil" w:sz="6" w:space="0" w:color="auto"/>
              <w:right w:val="dotted" w:sz="4" w:space="0" w:color="000000"/>
            </w:tcBorders>
          </w:tcPr>
          <w:p>
            <w:pPr>
              <w:pStyle w:val="TableParagraph"/>
              <w:spacing w:line="240" w:lineRule="auto" w:before="15"/>
              <w:ind w:left="14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41,882,197.77 </w:t>
            </w:r>
            <w:r>
              <w:rPr>
                <w:rFonts w:ascii="宋体" w:hAnsi="宋体" w:cs="宋体" w:eastAsia="宋体" w:hint="default"/>
                <w:sz w:val="18"/>
                <w:szCs w:val="18"/>
              </w:rPr>
              <w:t>元，</w:t>
            </w:r>
            <w:r>
              <w:rPr>
                <w:rFonts w:ascii="宋体" w:hAnsi="宋体" w:cs="宋体" w:eastAsia="宋体" w:hint="default"/>
                <w:spacing w:val="-8"/>
                <w:sz w:val="18"/>
                <w:szCs w:val="18"/>
              </w:rPr>
              <w:t> </w:t>
            </w:r>
            <w:r>
              <w:rPr>
                <w:rFonts w:ascii="宋体" w:hAnsi="宋体" w:cs="宋体" w:eastAsia="宋体" w:hint="default"/>
                <w:sz w:val="18"/>
                <w:szCs w:val="18"/>
              </w:rPr>
              <w:t>“应收账</w:t>
            </w:r>
          </w:p>
        </w:tc>
        <w:tc>
          <w:tcPr>
            <w:tcW w:w="2410" w:type="dxa"/>
            <w:tcBorders>
              <w:top w:val="nil" w:sz="6" w:space="0" w:color="auto"/>
              <w:left w:val="dotted" w:sz="4" w:space="0" w:color="000000"/>
              <w:bottom w:val="nil" w:sz="6" w:space="0" w:color="auto"/>
              <w:right w:val="nil" w:sz="6" w:space="0" w:color="auto"/>
            </w:tcBorders>
          </w:tcPr>
          <w:p>
            <w:pPr>
              <w:pStyle w:val="TableParagraph"/>
              <w:spacing w:line="240" w:lineRule="auto" w:before="15"/>
              <w:ind w:right="4"/>
              <w:jc w:val="center"/>
              <w:rPr>
                <w:rFonts w:ascii="宋体" w:hAnsi="宋体" w:cs="宋体" w:eastAsia="宋体" w:hint="default"/>
                <w:sz w:val="18"/>
                <w:szCs w:val="18"/>
              </w:rPr>
            </w:pPr>
            <w:r>
              <w:rPr>
                <w:rFonts w:ascii="宋体" w:hAnsi="宋体" w:cs="宋体" w:eastAsia="宋体" w:hint="default"/>
                <w:sz w:val="18"/>
                <w:szCs w:val="18"/>
              </w:rPr>
              <w:t>年末余额</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3,456,776.00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w:t>
            </w:r>
          </w:p>
        </w:tc>
      </w:tr>
      <w:tr>
        <w:trPr>
          <w:trHeight w:val="314" w:hRule="exact"/>
        </w:trPr>
        <w:tc>
          <w:tcPr>
            <w:tcW w:w="2552" w:type="dxa"/>
            <w:tcBorders>
              <w:top w:val="nil" w:sz="6" w:space="0" w:color="auto"/>
              <w:left w:val="nil" w:sz="6" w:space="0" w:color="auto"/>
              <w:bottom w:val="nil" w:sz="6" w:space="0" w:color="auto"/>
              <w:right w:val="dotted" w:sz="4" w:space="0" w:color="000000"/>
            </w:tcBorders>
          </w:tcPr>
          <w:p>
            <w:pPr>
              <w:pStyle w:val="TableParagraph"/>
              <w:spacing w:line="240" w:lineRule="auto" w:before="18"/>
              <w:ind w:left="109" w:right="0"/>
              <w:jc w:val="left"/>
              <w:rPr>
                <w:rFonts w:ascii="宋体" w:hAnsi="宋体" w:cs="宋体" w:eastAsia="宋体" w:hint="default"/>
                <w:sz w:val="18"/>
                <w:szCs w:val="18"/>
              </w:rPr>
            </w:pPr>
            <w:r>
              <w:rPr>
                <w:rFonts w:ascii="宋体" w:hAnsi="宋体" w:cs="宋体" w:eastAsia="宋体" w:hint="default"/>
                <w:sz w:val="18"/>
                <w:szCs w:val="18"/>
              </w:rPr>
              <w:t>据及应收账款”拆分为“应收</w:t>
            </w:r>
          </w:p>
        </w:tc>
        <w:tc>
          <w:tcPr>
            <w:tcW w:w="1559" w:type="dxa"/>
            <w:tcBorders>
              <w:top w:val="nil" w:sz="6" w:space="0" w:color="auto"/>
              <w:left w:val="dotted" w:sz="4" w:space="0" w:color="000000"/>
              <w:bottom w:val="nil" w:sz="6" w:space="0" w:color="auto"/>
              <w:right w:val="dotted" w:sz="4" w:space="0" w:color="000000"/>
            </w:tcBorders>
          </w:tcPr>
          <w:p>
            <w:pPr/>
          </w:p>
        </w:tc>
        <w:tc>
          <w:tcPr>
            <w:tcW w:w="2554" w:type="dxa"/>
            <w:tcBorders>
              <w:top w:val="nil" w:sz="6" w:space="0" w:color="auto"/>
              <w:left w:val="dotted" w:sz="4" w:space="0" w:color="000000"/>
              <w:bottom w:val="nil" w:sz="6" w:space="0" w:color="auto"/>
              <w:right w:val="dotted" w:sz="4" w:space="0" w:color="000000"/>
            </w:tcBorders>
          </w:tcPr>
          <w:p>
            <w:pPr>
              <w:pStyle w:val="TableParagraph"/>
              <w:spacing w:line="235" w:lineRule="exact"/>
              <w:ind w:left="553" w:right="0"/>
              <w:jc w:val="left"/>
              <w:rPr>
                <w:rFonts w:ascii="宋体" w:hAnsi="宋体" w:cs="宋体" w:eastAsia="宋体" w:hint="default"/>
                <w:sz w:val="18"/>
                <w:szCs w:val="18"/>
              </w:rPr>
            </w:pPr>
            <w:r>
              <w:rPr>
                <w:rFonts w:ascii="宋体" w:hAnsi="宋体" w:cs="宋体" w:eastAsia="宋体" w:hint="default"/>
                <w:sz w:val="18"/>
                <w:szCs w:val="18"/>
              </w:rPr>
              <w:t>款”上年年末余额</w:t>
            </w:r>
          </w:p>
        </w:tc>
        <w:tc>
          <w:tcPr>
            <w:tcW w:w="2410" w:type="dxa"/>
            <w:tcBorders>
              <w:top w:val="nil" w:sz="6" w:space="0" w:color="auto"/>
              <w:left w:val="dotted" w:sz="4" w:space="0" w:color="000000"/>
              <w:bottom w:val="nil" w:sz="6" w:space="0" w:color="auto"/>
              <w:right w:val="nil" w:sz="6" w:space="0" w:color="auto"/>
            </w:tcBorders>
          </w:tcPr>
          <w:p>
            <w:pPr>
              <w:pStyle w:val="TableParagraph"/>
              <w:spacing w:line="235" w:lineRule="exact"/>
              <w:ind w:right="35"/>
              <w:jc w:val="center"/>
              <w:rPr>
                <w:rFonts w:ascii="宋体" w:hAnsi="宋体" w:cs="宋体" w:eastAsia="宋体" w:hint="default"/>
                <w:sz w:val="18"/>
                <w:szCs w:val="18"/>
              </w:rPr>
            </w:pPr>
            <w:r>
              <w:rPr>
                <w:rFonts w:ascii="宋体" w:hAnsi="宋体" w:cs="宋体" w:eastAsia="宋体" w:hint="default"/>
                <w:sz w:val="18"/>
                <w:szCs w:val="18"/>
              </w:rPr>
              <w:t>“应收账款”上年年末余额</w:t>
            </w:r>
          </w:p>
        </w:tc>
      </w:tr>
      <w:tr>
        <w:trPr>
          <w:trHeight w:val="660" w:hRule="exact"/>
        </w:trPr>
        <w:tc>
          <w:tcPr>
            <w:tcW w:w="2552" w:type="dxa"/>
            <w:tcBorders>
              <w:top w:val="nil" w:sz="6" w:space="0" w:color="auto"/>
              <w:left w:val="nil" w:sz="6" w:space="0" w:color="auto"/>
              <w:bottom w:val="nil" w:sz="6" w:space="0" w:color="auto"/>
              <w:right w:val="dotted" w:sz="4" w:space="0" w:color="000000"/>
            </w:tcBorders>
          </w:tcPr>
          <w:p>
            <w:pPr>
              <w:pStyle w:val="TableParagraph"/>
              <w:spacing w:line="326" w:lineRule="auto" w:before="26"/>
              <w:ind w:left="109" w:right="96"/>
              <w:jc w:val="left"/>
              <w:rPr>
                <w:rFonts w:ascii="宋体" w:hAnsi="宋体" w:cs="宋体" w:eastAsia="宋体" w:hint="default"/>
                <w:sz w:val="18"/>
                <w:szCs w:val="18"/>
              </w:rPr>
            </w:pPr>
            <w:r>
              <w:rPr>
                <w:rFonts w:ascii="宋体" w:hAnsi="宋体" w:cs="宋体" w:eastAsia="宋体" w:hint="default"/>
                <w:sz w:val="18"/>
                <w:szCs w:val="18"/>
              </w:rPr>
              <w:t>票据”和“应收账款”列示； “应付票据及应付账款”拆分</w:t>
            </w:r>
          </w:p>
        </w:tc>
        <w:tc>
          <w:tcPr>
            <w:tcW w:w="1559" w:type="dxa"/>
            <w:tcBorders>
              <w:top w:val="nil" w:sz="6" w:space="0" w:color="auto"/>
              <w:left w:val="dotted" w:sz="4" w:space="0" w:color="000000"/>
              <w:bottom w:val="nil" w:sz="6" w:space="0" w:color="auto"/>
              <w:right w:val="dotted"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24" w:right="0"/>
              <w:jc w:val="left"/>
              <w:rPr>
                <w:rFonts w:ascii="宋体" w:hAnsi="宋体" w:cs="宋体" w:eastAsia="宋体" w:hint="default"/>
                <w:sz w:val="18"/>
                <w:szCs w:val="18"/>
              </w:rPr>
            </w:pPr>
            <w:r>
              <w:rPr>
                <w:rFonts w:ascii="宋体" w:hAnsi="宋体" w:cs="宋体" w:eastAsia="宋体" w:hint="default"/>
                <w:sz w:val="18"/>
                <w:szCs w:val="18"/>
              </w:rPr>
              <w:t>董事会决议</w:t>
            </w:r>
          </w:p>
        </w:tc>
        <w:tc>
          <w:tcPr>
            <w:tcW w:w="2554" w:type="dxa"/>
            <w:tcBorders>
              <w:top w:val="nil" w:sz="6" w:space="0" w:color="auto"/>
              <w:left w:val="dotted" w:sz="4" w:space="0" w:color="000000"/>
              <w:bottom w:val="nil" w:sz="6" w:space="0" w:color="auto"/>
              <w:right w:val="dotted" w:sz="4" w:space="0" w:color="000000"/>
            </w:tcBorders>
          </w:tcPr>
          <w:p>
            <w:pPr>
              <w:pStyle w:val="TableParagraph"/>
              <w:spacing w:line="240" w:lineRule="auto" w:before="4"/>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1,311,545,965.04</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元。</w:t>
            </w:r>
          </w:p>
          <w:p>
            <w:pPr>
              <w:pStyle w:val="TableParagraph"/>
              <w:spacing w:line="240" w:lineRule="auto" w:before="111"/>
              <w:ind w:right="0"/>
              <w:jc w:val="center"/>
              <w:rPr>
                <w:rFonts w:ascii="宋体" w:hAnsi="宋体" w:cs="宋体" w:eastAsia="宋体" w:hint="default"/>
                <w:sz w:val="18"/>
                <w:szCs w:val="18"/>
              </w:rPr>
            </w:pPr>
            <w:r>
              <w:rPr>
                <w:rFonts w:ascii="宋体" w:hAnsi="宋体" w:cs="宋体" w:eastAsia="宋体" w:hint="default"/>
                <w:sz w:val="18"/>
                <w:szCs w:val="18"/>
              </w:rPr>
              <w:t>“应付票据及应付账款”拆分</w:t>
            </w:r>
          </w:p>
        </w:tc>
        <w:tc>
          <w:tcPr>
            <w:tcW w:w="2410" w:type="dxa"/>
            <w:tcBorders>
              <w:top w:val="nil" w:sz="6" w:space="0" w:color="auto"/>
              <w:left w:val="dotted" w:sz="4" w:space="0" w:color="000000"/>
              <w:bottom w:val="nil" w:sz="6" w:space="0" w:color="auto"/>
              <w:right w:val="nil" w:sz="6" w:space="0" w:color="auto"/>
            </w:tcBorders>
          </w:tcPr>
          <w:p>
            <w:pPr>
              <w:pStyle w:val="TableParagraph"/>
              <w:spacing w:line="240" w:lineRule="auto" w:before="4"/>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515,238,201.29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元。</w:t>
            </w:r>
          </w:p>
          <w:p>
            <w:pPr>
              <w:pStyle w:val="TableParagraph"/>
              <w:spacing w:line="240" w:lineRule="auto" w:before="111"/>
              <w:ind w:right="1"/>
              <w:jc w:val="center"/>
              <w:rPr>
                <w:rFonts w:ascii="宋体" w:hAnsi="宋体" w:cs="宋体" w:eastAsia="宋体" w:hint="default"/>
                <w:sz w:val="18"/>
                <w:szCs w:val="18"/>
              </w:rPr>
            </w:pPr>
            <w:r>
              <w:rPr>
                <w:rFonts w:ascii="宋体" w:hAnsi="宋体" w:cs="宋体" w:eastAsia="宋体" w:hint="default"/>
                <w:sz w:val="18"/>
                <w:szCs w:val="18"/>
              </w:rPr>
              <w:t>“应付票据及应付账款”拆</w:t>
            </w:r>
          </w:p>
        </w:tc>
      </w:tr>
      <w:tr>
        <w:trPr>
          <w:trHeight w:val="322" w:hRule="exact"/>
        </w:trPr>
        <w:tc>
          <w:tcPr>
            <w:tcW w:w="2552" w:type="dxa"/>
            <w:tcBorders>
              <w:top w:val="nil" w:sz="6" w:space="0" w:color="auto"/>
              <w:left w:val="nil" w:sz="6" w:space="0" w:color="auto"/>
              <w:bottom w:val="nil" w:sz="6" w:space="0" w:color="auto"/>
              <w:right w:val="dotted" w:sz="4" w:space="0" w:color="000000"/>
            </w:tcBorders>
          </w:tcPr>
          <w:p>
            <w:pPr>
              <w:pStyle w:val="TableParagraph"/>
              <w:spacing w:line="240" w:lineRule="auto" w:before="4"/>
              <w:ind w:left="109" w:right="0"/>
              <w:jc w:val="left"/>
              <w:rPr>
                <w:rFonts w:ascii="宋体" w:hAnsi="宋体" w:cs="宋体" w:eastAsia="宋体" w:hint="default"/>
                <w:sz w:val="18"/>
                <w:szCs w:val="18"/>
              </w:rPr>
            </w:pPr>
            <w:r>
              <w:rPr>
                <w:rFonts w:ascii="宋体" w:hAnsi="宋体" w:cs="宋体" w:eastAsia="宋体" w:hint="default"/>
                <w:spacing w:val="-7"/>
                <w:sz w:val="18"/>
                <w:szCs w:val="18"/>
              </w:rPr>
              <w:t>为“应付票据”和“应付账款”</w:t>
            </w:r>
          </w:p>
        </w:tc>
        <w:tc>
          <w:tcPr>
            <w:tcW w:w="1559" w:type="dxa"/>
            <w:tcBorders>
              <w:top w:val="nil" w:sz="6" w:space="0" w:color="auto"/>
              <w:left w:val="dotted" w:sz="4" w:space="0" w:color="000000"/>
              <w:bottom w:val="nil" w:sz="6" w:space="0" w:color="auto"/>
              <w:right w:val="dotted" w:sz="4" w:space="0" w:color="000000"/>
            </w:tcBorders>
          </w:tcPr>
          <w:p>
            <w:pPr/>
          </w:p>
        </w:tc>
        <w:tc>
          <w:tcPr>
            <w:tcW w:w="2554" w:type="dxa"/>
            <w:tcBorders>
              <w:top w:val="nil" w:sz="6" w:space="0" w:color="auto"/>
              <w:left w:val="dotted" w:sz="4" w:space="0" w:color="000000"/>
              <w:bottom w:val="nil" w:sz="6" w:space="0" w:color="auto"/>
              <w:right w:val="dotted" w:sz="4" w:space="0" w:color="000000"/>
            </w:tcBorders>
          </w:tcPr>
          <w:p>
            <w:pPr>
              <w:pStyle w:val="TableParagraph"/>
              <w:spacing w:line="240" w:lineRule="auto" w:before="26"/>
              <w:ind w:left="101" w:right="0"/>
              <w:jc w:val="left"/>
              <w:rPr>
                <w:rFonts w:ascii="宋体" w:hAnsi="宋体" w:cs="宋体" w:eastAsia="宋体" w:hint="default"/>
                <w:sz w:val="18"/>
                <w:szCs w:val="18"/>
              </w:rPr>
            </w:pPr>
            <w:r>
              <w:rPr>
                <w:rFonts w:ascii="宋体" w:hAnsi="宋体" w:cs="宋体" w:eastAsia="宋体" w:hint="default"/>
                <w:spacing w:val="-58"/>
                <w:sz w:val="18"/>
                <w:szCs w:val="18"/>
              </w:rPr>
              <w:t>为</w:t>
            </w:r>
            <w:r>
              <w:rPr>
                <w:rFonts w:ascii="宋体" w:hAnsi="宋体" w:cs="宋体" w:eastAsia="宋体" w:hint="default"/>
                <w:spacing w:val="-3"/>
                <w:sz w:val="18"/>
                <w:szCs w:val="18"/>
              </w:rPr>
              <w:t>“</w:t>
            </w:r>
            <w:r>
              <w:rPr>
                <w:rFonts w:ascii="宋体" w:hAnsi="宋体" w:cs="宋体" w:eastAsia="宋体" w:hint="default"/>
                <w:sz w:val="18"/>
                <w:szCs w:val="18"/>
              </w:rPr>
              <w:t>应付票据</w:t>
            </w:r>
            <w:r>
              <w:rPr>
                <w:rFonts w:ascii="宋体" w:hAnsi="宋体" w:cs="宋体" w:eastAsia="宋体" w:hint="default"/>
                <w:spacing w:val="-60"/>
                <w:sz w:val="18"/>
                <w:szCs w:val="18"/>
              </w:rPr>
              <w:t>”和</w:t>
            </w:r>
            <w:r>
              <w:rPr>
                <w:rFonts w:ascii="宋体" w:hAnsi="宋体" w:cs="宋体" w:eastAsia="宋体" w:hint="default"/>
                <w:sz w:val="18"/>
                <w:szCs w:val="18"/>
              </w:rPr>
              <w:t>“应付账款</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2410" w:type="dxa"/>
            <w:tcBorders>
              <w:top w:val="nil" w:sz="6" w:space="0" w:color="auto"/>
              <w:left w:val="dotted" w:sz="4" w:space="0" w:color="000000"/>
              <w:bottom w:val="nil" w:sz="6" w:space="0" w:color="auto"/>
              <w:right w:val="nil" w:sz="6" w:space="0" w:color="auto"/>
            </w:tcBorders>
          </w:tcPr>
          <w:p>
            <w:pPr>
              <w:pStyle w:val="TableParagraph"/>
              <w:spacing w:line="240" w:lineRule="auto" w:before="26"/>
              <w:ind w:right="1"/>
              <w:jc w:val="center"/>
              <w:rPr>
                <w:rFonts w:ascii="宋体" w:hAnsi="宋体" w:cs="宋体" w:eastAsia="宋体" w:hint="default"/>
                <w:sz w:val="18"/>
                <w:szCs w:val="18"/>
              </w:rPr>
            </w:pPr>
            <w:r>
              <w:rPr>
                <w:rFonts w:ascii="宋体" w:hAnsi="宋体" w:cs="宋体" w:eastAsia="宋体" w:hint="default"/>
                <w:sz w:val="18"/>
                <w:szCs w:val="18"/>
              </w:rPr>
              <w:t>分为“应付票据”和“应付</w:t>
            </w:r>
          </w:p>
        </w:tc>
      </w:tr>
      <w:tr>
        <w:trPr>
          <w:trHeight w:val="329" w:hRule="exact"/>
        </w:trPr>
        <w:tc>
          <w:tcPr>
            <w:tcW w:w="2552" w:type="dxa"/>
            <w:tcBorders>
              <w:top w:val="nil" w:sz="6" w:space="0" w:color="auto"/>
              <w:left w:val="nil" w:sz="6" w:space="0" w:color="auto"/>
              <w:bottom w:val="nil" w:sz="6" w:space="0" w:color="auto"/>
              <w:right w:val="dotted" w:sz="4" w:space="0" w:color="000000"/>
            </w:tcBorders>
          </w:tcPr>
          <w:p>
            <w:pPr>
              <w:pStyle w:val="TableParagraph"/>
              <w:spacing w:line="240" w:lineRule="auto" w:before="4"/>
              <w:ind w:left="109" w:right="0"/>
              <w:jc w:val="left"/>
              <w:rPr>
                <w:rFonts w:ascii="宋体" w:hAnsi="宋体" w:cs="宋体" w:eastAsia="宋体" w:hint="default"/>
                <w:sz w:val="18"/>
                <w:szCs w:val="18"/>
              </w:rPr>
            </w:pPr>
            <w:r>
              <w:rPr>
                <w:rFonts w:ascii="宋体" w:hAnsi="宋体" w:cs="宋体" w:eastAsia="宋体" w:hint="default"/>
                <w:sz w:val="18"/>
                <w:szCs w:val="18"/>
              </w:rPr>
              <w:t>列示；比较数据相应调整。</w:t>
            </w:r>
          </w:p>
        </w:tc>
        <w:tc>
          <w:tcPr>
            <w:tcW w:w="1559" w:type="dxa"/>
            <w:tcBorders>
              <w:top w:val="nil" w:sz="6" w:space="0" w:color="auto"/>
              <w:left w:val="dotted" w:sz="4" w:space="0" w:color="000000"/>
              <w:bottom w:val="nil" w:sz="6" w:space="0" w:color="auto"/>
              <w:right w:val="dotted" w:sz="4" w:space="0" w:color="000000"/>
            </w:tcBorders>
          </w:tcPr>
          <w:p>
            <w:pPr/>
          </w:p>
        </w:tc>
        <w:tc>
          <w:tcPr>
            <w:tcW w:w="2554" w:type="dxa"/>
            <w:tcBorders>
              <w:top w:val="nil" w:sz="6" w:space="0" w:color="auto"/>
              <w:left w:val="dotted" w:sz="4" w:space="0" w:color="000000"/>
              <w:bottom w:val="nil" w:sz="6" w:space="0" w:color="auto"/>
              <w:right w:val="dotted" w:sz="4" w:space="0" w:color="000000"/>
            </w:tcBorders>
          </w:tcPr>
          <w:p>
            <w:pPr>
              <w:pStyle w:val="TableParagraph"/>
              <w:spacing w:line="240" w:lineRule="auto" w:before="23"/>
              <w:ind w:left="193" w:right="0"/>
              <w:jc w:val="left"/>
              <w:rPr>
                <w:rFonts w:ascii="宋体" w:hAnsi="宋体" w:cs="宋体" w:eastAsia="宋体" w:hint="default"/>
                <w:sz w:val="18"/>
                <w:szCs w:val="18"/>
              </w:rPr>
            </w:pPr>
            <w:r>
              <w:rPr>
                <w:rFonts w:ascii="宋体" w:hAnsi="宋体" w:cs="宋体" w:eastAsia="宋体" w:hint="default"/>
                <w:sz w:val="18"/>
                <w:szCs w:val="18"/>
              </w:rPr>
              <w:t>“应付票据”上年年末余额</w:t>
            </w:r>
          </w:p>
        </w:tc>
        <w:tc>
          <w:tcPr>
            <w:tcW w:w="2410" w:type="dxa"/>
            <w:tcBorders>
              <w:top w:val="nil" w:sz="6" w:space="0" w:color="auto"/>
              <w:left w:val="dotted" w:sz="4" w:space="0" w:color="000000"/>
              <w:bottom w:val="nil" w:sz="6" w:space="0" w:color="auto"/>
              <w:right w:val="nil" w:sz="6" w:space="0" w:color="auto"/>
            </w:tcBorders>
          </w:tcPr>
          <w:p>
            <w:pPr>
              <w:pStyle w:val="TableParagraph"/>
              <w:spacing w:line="240" w:lineRule="auto" w:before="23"/>
              <w:ind w:right="1"/>
              <w:jc w:val="center"/>
              <w:rPr>
                <w:rFonts w:ascii="宋体" w:hAnsi="宋体" w:cs="宋体" w:eastAsia="宋体" w:hint="default"/>
                <w:sz w:val="18"/>
                <w:szCs w:val="18"/>
              </w:rPr>
            </w:pPr>
            <w:r>
              <w:rPr>
                <w:rFonts w:ascii="宋体" w:hAnsi="宋体" w:cs="宋体" w:eastAsia="宋体" w:hint="default"/>
                <w:sz w:val="18"/>
                <w:szCs w:val="18"/>
              </w:rPr>
              <w:t>账款”，“应付票据”上年</w:t>
            </w:r>
          </w:p>
        </w:tc>
      </w:tr>
      <w:tr>
        <w:trPr>
          <w:trHeight w:val="325" w:hRule="exact"/>
        </w:trPr>
        <w:tc>
          <w:tcPr>
            <w:tcW w:w="2552" w:type="dxa"/>
            <w:tcBorders>
              <w:top w:val="nil" w:sz="6" w:space="0" w:color="auto"/>
              <w:left w:val="nil" w:sz="6" w:space="0" w:color="auto"/>
              <w:bottom w:val="nil" w:sz="6" w:space="0" w:color="auto"/>
              <w:right w:val="dotted" w:sz="4" w:space="0" w:color="000000"/>
            </w:tcBorders>
          </w:tcPr>
          <w:p>
            <w:pPr/>
          </w:p>
        </w:tc>
        <w:tc>
          <w:tcPr>
            <w:tcW w:w="1559" w:type="dxa"/>
            <w:tcBorders>
              <w:top w:val="nil" w:sz="6" w:space="0" w:color="auto"/>
              <w:left w:val="dotted" w:sz="4" w:space="0" w:color="000000"/>
              <w:bottom w:val="nil" w:sz="6" w:space="0" w:color="auto"/>
              <w:right w:val="dotted" w:sz="4" w:space="0" w:color="000000"/>
            </w:tcBorders>
          </w:tcPr>
          <w:p>
            <w:pPr/>
          </w:p>
        </w:tc>
        <w:tc>
          <w:tcPr>
            <w:tcW w:w="2554" w:type="dxa"/>
            <w:tcBorders>
              <w:top w:val="nil" w:sz="6" w:space="0" w:color="auto"/>
              <w:left w:val="dotted" w:sz="4" w:space="0" w:color="000000"/>
              <w:bottom w:val="nil" w:sz="6" w:space="0" w:color="auto"/>
              <w:right w:val="dotted" w:sz="4" w:space="0" w:color="000000"/>
            </w:tcBorders>
          </w:tcPr>
          <w:p>
            <w:pPr>
              <w:pStyle w:val="TableParagraph"/>
              <w:spacing w:line="240" w:lineRule="auto" w:before="14"/>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106,681,293.96 </w:t>
            </w:r>
            <w:r>
              <w:rPr>
                <w:rFonts w:ascii="宋体" w:hAnsi="宋体" w:cs="宋体" w:eastAsia="宋体" w:hint="default"/>
                <w:sz w:val="18"/>
                <w:szCs w:val="18"/>
              </w:rPr>
              <w:t>元，</w:t>
            </w:r>
            <w:r>
              <w:rPr>
                <w:rFonts w:ascii="宋体" w:hAnsi="宋体" w:cs="宋体" w:eastAsia="宋体" w:hint="default"/>
                <w:spacing w:val="-8"/>
                <w:sz w:val="18"/>
                <w:szCs w:val="18"/>
              </w:rPr>
              <w:t> </w:t>
            </w:r>
            <w:r>
              <w:rPr>
                <w:rFonts w:ascii="宋体" w:hAnsi="宋体" w:cs="宋体" w:eastAsia="宋体" w:hint="default"/>
                <w:sz w:val="18"/>
                <w:szCs w:val="18"/>
              </w:rPr>
              <w:t>“应付账</w:t>
            </w:r>
          </w:p>
        </w:tc>
        <w:tc>
          <w:tcPr>
            <w:tcW w:w="2410" w:type="dxa"/>
            <w:tcBorders>
              <w:top w:val="nil" w:sz="6" w:space="0" w:color="auto"/>
              <w:left w:val="dotted" w:sz="4" w:space="0" w:color="000000"/>
              <w:bottom w:val="nil" w:sz="6" w:space="0" w:color="auto"/>
              <w:right w:val="nil" w:sz="6" w:space="0" w:color="auto"/>
            </w:tcBorders>
          </w:tcPr>
          <w:p>
            <w:pPr>
              <w:pStyle w:val="TableParagraph"/>
              <w:spacing w:line="240" w:lineRule="auto" w:before="14"/>
              <w:ind w:left="6" w:right="0"/>
              <w:jc w:val="center"/>
              <w:rPr>
                <w:rFonts w:ascii="宋体" w:hAnsi="宋体" w:cs="宋体" w:eastAsia="宋体" w:hint="default"/>
                <w:sz w:val="18"/>
                <w:szCs w:val="18"/>
              </w:rPr>
            </w:pPr>
            <w:r>
              <w:rPr>
                <w:rFonts w:ascii="宋体" w:hAnsi="宋体" w:cs="宋体" w:eastAsia="宋体" w:hint="default"/>
                <w:sz w:val="18"/>
                <w:szCs w:val="18"/>
              </w:rPr>
              <w:t>年末余额</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64,773,731.96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w:t>
            </w:r>
          </w:p>
        </w:tc>
      </w:tr>
      <w:tr>
        <w:trPr>
          <w:trHeight w:val="315" w:hRule="exact"/>
        </w:trPr>
        <w:tc>
          <w:tcPr>
            <w:tcW w:w="2552" w:type="dxa"/>
            <w:tcBorders>
              <w:top w:val="nil" w:sz="6" w:space="0" w:color="auto"/>
              <w:left w:val="nil" w:sz="6" w:space="0" w:color="auto"/>
              <w:bottom w:val="nil" w:sz="6" w:space="0" w:color="auto"/>
              <w:right w:val="dotted" w:sz="4" w:space="0" w:color="000000"/>
            </w:tcBorders>
          </w:tcPr>
          <w:p>
            <w:pPr/>
          </w:p>
        </w:tc>
        <w:tc>
          <w:tcPr>
            <w:tcW w:w="1559" w:type="dxa"/>
            <w:tcBorders>
              <w:top w:val="nil" w:sz="6" w:space="0" w:color="auto"/>
              <w:left w:val="dotted" w:sz="4" w:space="0" w:color="000000"/>
              <w:bottom w:val="nil" w:sz="6" w:space="0" w:color="auto"/>
              <w:right w:val="dotted" w:sz="4" w:space="0" w:color="000000"/>
            </w:tcBorders>
          </w:tcPr>
          <w:p>
            <w:pPr/>
          </w:p>
        </w:tc>
        <w:tc>
          <w:tcPr>
            <w:tcW w:w="2554" w:type="dxa"/>
            <w:tcBorders>
              <w:top w:val="nil" w:sz="6" w:space="0" w:color="auto"/>
              <w:left w:val="dotted" w:sz="4" w:space="0" w:color="000000"/>
              <w:bottom w:val="nil" w:sz="6" w:space="0" w:color="auto"/>
              <w:right w:val="dotted" w:sz="4" w:space="0" w:color="000000"/>
            </w:tcBorders>
          </w:tcPr>
          <w:p>
            <w:pPr>
              <w:pStyle w:val="TableParagraph"/>
              <w:spacing w:line="240" w:lineRule="auto" w:before="10"/>
              <w:ind w:left="553" w:right="0"/>
              <w:jc w:val="left"/>
              <w:rPr>
                <w:rFonts w:ascii="宋体" w:hAnsi="宋体" w:cs="宋体" w:eastAsia="宋体" w:hint="default"/>
                <w:sz w:val="18"/>
                <w:szCs w:val="18"/>
              </w:rPr>
            </w:pPr>
            <w:r>
              <w:rPr>
                <w:rFonts w:ascii="宋体" w:hAnsi="宋体" w:cs="宋体" w:eastAsia="宋体" w:hint="default"/>
                <w:sz w:val="18"/>
                <w:szCs w:val="18"/>
              </w:rPr>
              <w:t>款”上年年末余额</w:t>
            </w:r>
          </w:p>
        </w:tc>
        <w:tc>
          <w:tcPr>
            <w:tcW w:w="2410" w:type="dxa"/>
            <w:tcBorders>
              <w:top w:val="nil" w:sz="6" w:space="0" w:color="auto"/>
              <w:left w:val="dotted" w:sz="4" w:space="0" w:color="000000"/>
              <w:bottom w:val="nil" w:sz="6" w:space="0" w:color="auto"/>
              <w:right w:val="nil" w:sz="6" w:space="0" w:color="auto"/>
            </w:tcBorders>
          </w:tcPr>
          <w:p>
            <w:pPr>
              <w:pStyle w:val="TableParagraph"/>
              <w:spacing w:line="240" w:lineRule="auto" w:before="10"/>
              <w:ind w:right="35"/>
              <w:jc w:val="center"/>
              <w:rPr>
                <w:rFonts w:ascii="宋体" w:hAnsi="宋体" w:cs="宋体" w:eastAsia="宋体" w:hint="default"/>
                <w:sz w:val="18"/>
                <w:szCs w:val="18"/>
              </w:rPr>
            </w:pPr>
            <w:r>
              <w:rPr>
                <w:rFonts w:ascii="宋体" w:hAnsi="宋体" w:cs="宋体" w:eastAsia="宋体" w:hint="default"/>
                <w:sz w:val="18"/>
                <w:szCs w:val="18"/>
              </w:rPr>
              <w:t>“应付账款”上年年末余额</w:t>
            </w:r>
          </w:p>
        </w:tc>
      </w:tr>
      <w:tr>
        <w:trPr>
          <w:trHeight w:val="342" w:hRule="exact"/>
        </w:trPr>
        <w:tc>
          <w:tcPr>
            <w:tcW w:w="2552" w:type="dxa"/>
            <w:tcBorders>
              <w:top w:val="nil" w:sz="6" w:space="0" w:color="auto"/>
              <w:left w:val="nil" w:sz="6" w:space="0" w:color="auto"/>
              <w:bottom w:val="single" w:sz="12" w:space="0" w:color="000000"/>
              <w:right w:val="dotted" w:sz="4" w:space="0" w:color="000000"/>
            </w:tcBorders>
          </w:tcPr>
          <w:p>
            <w:pPr/>
          </w:p>
        </w:tc>
        <w:tc>
          <w:tcPr>
            <w:tcW w:w="1559" w:type="dxa"/>
            <w:tcBorders>
              <w:top w:val="nil" w:sz="6" w:space="0" w:color="auto"/>
              <w:left w:val="dotted" w:sz="4" w:space="0" w:color="000000"/>
              <w:bottom w:val="single" w:sz="12" w:space="0" w:color="000000"/>
              <w:right w:val="dotted" w:sz="4" w:space="0" w:color="000000"/>
            </w:tcBorders>
          </w:tcPr>
          <w:p>
            <w:pPr/>
          </w:p>
        </w:tc>
        <w:tc>
          <w:tcPr>
            <w:tcW w:w="2554" w:type="dxa"/>
            <w:tcBorders>
              <w:top w:val="nil" w:sz="6" w:space="0" w:color="auto"/>
              <w:left w:val="dotted" w:sz="4" w:space="0" w:color="000000"/>
              <w:bottom w:val="single" w:sz="12" w:space="0" w:color="000000"/>
              <w:right w:val="dotted" w:sz="4" w:space="0" w:color="000000"/>
            </w:tcBorders>
          </w:tcPr>
          <w:p>
            <w:pPr>
              <w:pStyle w:val="TableParagraph"/>
              <w:spacing w:line="240" w:lineRule="auto" w:before="14"/>
              <w:ind w:left="5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823,555,261.61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元。</w:t>
            </w:r>
          </w:p>
        </w:tc>
        <w:tc>
          <w:tcPr>
            <w:tcW w:w="2410" w:type="dxa"/>
            <w:tcBorders>
              <w:top w:val="nil" w:sz="6" w:space="0" w:color="auto"/>
              <w:left w:val="dotted" w:sz="4" w:space="0" w:color="000000"/>
              <w:bottom w:val="single" w:sz="12" w:space="0" w:color="000000"/>
              <w:right w:val="nil" w:sz="6" w:space="0" w:color="auto"/>
            </w:tcBorders>
          </w:tcPr>
          <w:p>
            <w:pPr>
              <w:pStyle w:val="TableParagraph"/>
              <w:spacing w:line="240" w:lineRule="auto" w:before="14"/>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608,393,323.78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元。</w:t>
            </w:r>
          </w:p>
        </w:tc>
      </w:tr>
    </w:tbl>
    <w:p>
      <w:pPr>
        <w:pStyle w:val="Heading4"/>
        <w:spacing w:line="257" w:lineRule="exact" w:before="0"/>
        <w:ind w:left="711" w:right="0"/>
        <w:jc w:val="left"/>
      </w:pPr>
      <w:r>
        <w:rPr>
          <w:spacing w:val="2"/>
        </w:rPr>
        <w:t>②执行《企业会计准则第</w:t>
      </w:r>
      <w:r>
        <w:rPr>
          <w:rFonts w:ascii="Times New Roman" w:hAnsi="Times New Roman" w:cs="Times New Roman" w:eastAsia="Times New Roman" w:hint="default"/>
          <w:spacing w:val="2"/>
        </w:rPr>
        <w:t>22</w:t>
      </w:r>
      <w:r>
        <w:rPr>
          <w:spacing w:val="2"/>
        </w:rPr>
        <w:t>号——金融工具确认和计量》、《企业会计准则第</w:t>
      </w:r>
      <w:r>
        <w:rPr>
          <w:rFonts w:ascii="Times New Roman" w:hAnsi="Times New Roman" w:cs="Times New Roman" w:eastAsia="Times New Roman" w:hint="default"/>
          <w:spacing w:val="2"/>
        </w:rPr>
        <w:t>23</w:t>
      </w:r>
      <w:r>
        <w:rPr>
          <w:spacing w:val="2"/>
        </w:rPr>
        <w:t>号—</w:t>
      </w:r>
    </w:p>
    <w:p>
      <w:pPr>
        <w:pStyle w:val="Heading4"/>
        <w:spacing w:line="240" w:lineRule="auto" w:before="117"/>
        <w:ind w:left="291" w:right="0"/>
        <w:jc w:val="left"/>
      </w:pPr>
      <w:r>
        <w:rPr>
          <w:spacing w:val="2"/>
        </w:rPr>
        <w:t>—金融资产转移》、《企业会计准则第</w:t>
      </w:r>
      <w:r>
        <w:rPr>
          <w:rFonts w:ascii="Times New Roman" w:hAnsi="Times New Roman" w:cs="Times New Roman" w:eastAsia="Times New Roman" w:hint="default"/>
          <w:spacing w:val="2"/>
        </w:rPr>
        <w:t>24</w:t>
      </w:r>
      <w:r>
        <w:rPr>
          <w:spacing w:val="2"/>
        </w:rPr>
        <w:t>号——套期会计》和《企业会计准则第</w:t>
      </w:r>
      <w:r>
        <w:rPr>
          <w:rFonts w:ascii="Times New Roman" w:hAnsi="Times New Roman" w:cs="Times New Roman" w:eastAsia="Times New Roman" w:hint="default"/>
          <w:spacing w:val="2"/>
        </w:rPr>
        <w:t>37</w:t>
      </w:r>
      <w:r>
        <w:rPr>
          <w:spacing w:val="2"/>
        </w:rPr>
        <w:t>号——</w:t>
      </w:r>
    </w:p>
    <w:p>
      <w:pPr>
        <w:spacing w:after="0" w:line="240" w:lineRule="auto"/>
        <w:jc w:val="left"/>
        <w:sectPr>
          <w:pgSz w:w="11910" w:h="16840"/>
          <w:pgMar w:header="712" w:footer="1264" w:top="980" w:bottom="1460" w:left="1540" w:right="0"/>
        </w:sectPr>
      </w:pPr>
    </w:p>
    <w:p>
      <w:pPr>
        <w:spacing w:line="240" w:lineRule="auto" w:before="9"/>
        <w:rPr>
          <w:rFonts w:ascii="宋体" w:hAnsi="宋体" w:cs="宋体" w:eastAsia="宋体" w:hint="default"/>
          <w:sz w:val="29"/>
          <w:szCs w:val="29"/>
        </w:rPr>
      </w:pPr>
    </w:p>
    <w:p>
      <w:pPr>
        <w:pStyle w:val="Heading4"/>
        <w:spacing w:line="336" w:lineRule="auto" w:before="34"/>
        <w:ind w:left="571" w:right="1786" w:hanging="420"/>
        <w:jc w:val="left"/>
      </w:pPr>
      <w:r>
        <w:rPr/>
        <w:t>金融工具列报》（</w:t>
      </w:r>
      <w:r>
        <w:rPr>
          <w:rFonts w:ascii="Times New Roman" w:hAnsi="Times New Roman" w:cs="Times New Roman" w:eastAsia="Times New Roman" w:hint="default"/>
        </w:rPr>
        <w:t>2017</w:t>
      </w:r>
      <w:r>
        <w:rPr/>
        <w:t>年修订）</w:t>
      </w:r>
      <w:r>
        <w:rPr>
          <w:w w:val="99"/>
        </w:rPr>
        <w:t> </w:t>
      </w:r>
      <w:r>
        <w:rPr>
          <w:spacing w:val="2"/>
        </w:rPr>
        <w:t>财政部于</w:t>
      </w:r>
      <w:r>
        <w:rPr>
          <w:rFonts w:ascii="Times New Roman" w:hAnsi="Times New Roman" w:cs="Times New Roman" w:eastAsia="Times New Roman" w:hint="default"/>
          <w:spacing w:val="2"/>
        </w:rPr>
        <w:t>2017</w:t>
      </w:r>
      <w:r>
        <w:rPr>
          <w:spacing w:val="2"/>
        </w:rPr>
        <w:t>年度修订了《企业会计准则第</w:t>
      </w:r>
      <w:r>
        <w:rPr>
          <w:rFonts w:ascii="Times New Roman" w:hAnsi="Times New Roman" w:cs="Times New Roman" w:eastAsia="Times New Roman" w:hint="default"/>
          <w:spacing w:val="2"/>
        </w:rPr>
        <w:t>22</w:t>
      </w:r>
      <w:r>
        <w:rPr>
          <w:spacing w:val="2"/>
        </w:rPr>
        <w:t>号——金融工具确认和计量》、《企业</w:t>
      </w:r>
    </w:p>
    <w:p>
      <w:pPr>
        <w:pStyle w:val="Heading4"/>
        <w:spacing w:line="348" w:lineRule="auto" w:before="26"/>
        <w:ind w:left="151" w:right="1796"/>
        <w:jc w:val="both"/>
      </w:pPr>
      <w:r>
        <w:rPr>
          <w:spacing w:val="2"/>
        </w:rPr>
        <w:t>会计准则第</w:t>
      </w:r>
      <w:r>
        <w:rPr>
          <w:rFonts w:ascii="Times New Roman" w:hAnsi="Times New Roman" w:cs="Times New Roman" w:eastAsia="Times New Roman" w:hint="default"/>
          <w:spacing w:val="2"/>
        </w:rPr>
        <w:t>23</w:t>
      </w:r>
      <w:r>
        <w:rPr>
          <w:spacing w:val="2"/>
        </w:rPr>
        <w:t>号——金融资产转移》、《企业会计准则第</w:t>
      </w:r>
      <w:r>
        <w:rPr>
          <w:rFonts w:ascii="Times New Roman" w:hAnsi="Times New Roman" w:cs="Times New Roman" w:eastAsia="Times New Roman" w:hint="default"/>
          <w:spacing w:val="2"/>
        </w:rPr>
        <w:t>24</w:t>
      </w:r>
      <w:r>
        <w:rPr>
          <w:spacing w:val="2"/>
        </w:rPr>
        <w:t>号——套期会计》和《企业会</w:t>
      </w:r>
      <w:r>
        <w:rPr>
          <w:w w:val="99"/>
        </w:rPr>
        <w:t> </w:t>
      </w:r>
      <w:r>
        <w:rPr>
          <w:spacing w:val="2"/>
        </w:rPr>
        <w:t>计准则第</w:t>
      </w:r>
      <w:r>
        <w:rPr>
          <w:rFonts w:ascii="Times New Roman" w:hAnsi="Times New Roman" w:cs="Times New Roman" w:eastAsia="Times New Roman" w:hint="default"/>
          <w:spacing w:val="2"/>
        </w:rPr>
        <w:t>37</w:t>
      </w:r>
      <w:r>
        <w:rPr>
          <w:spacing w:val="2"/>
        </w:rPr>
        <w:t>号——金融工具列报》。修订后的准则规定，对于首次执行日尚未终止确认的</w:t>
      </w:r>
      <w:r>
        <w:rPr>
          <w:w w:val="99"/>
        </w:rPr>
        <w:t> </w:t>
      </w:r>
      <w:r>
        <w:rPr>
          <w:spacing w:val="2"/>
        </w:rPr>
        <w:t>金融工具，之前的确认和计量与修订后的准则要求不一致的，应当追溯调整。涉及前期比</w:t>
      </w:r>
      <w:r>
        <w:rPr>
          <w:w w:val="99"/>
        </w:rPr>
        <w:t> </w:t>
      </w:r>
      <w:r>
        <w:rPr>
          <w:spacing w:val="2"/>
        </w:rPr>
        <w:t>较财务报表数据与修订后的准则要求不一致的，无需调整。本公司将因追溯调整产生的累</w:t>
      </w:r>
      <w:r>
        <w:rPr>
          <w:w w:val="99"/>
        </w:rPr>
        <w:t> </w:t>
      </w:r>
      <w:r>
        <w:rPr/>
        <w:t>积影响数调整当年年初留存收益和其他综合收益。</w:t>
      </w:r>
    </w:p>
    <w:p>
      <w:pPr>
        <w:pStyle w:val="Heading4"/>
        <w:spacing w:line="336" w:lineRule="auto" w:before="38"/>
        <w:ind w:left="151" w:right="1603" w:firstLine="420"/>
        <w:jc w:val="left"/>
      </w:pPr>
      <w:r>
        <w:rPr>
          <w:w w:val="95"/>
        </w:rPr>
        <w:t>以按照财会〔</w:t>
      </w:r>
      <w:r>
        <w:rPr>
          <w:rFonts w:ascii="Times New Roman" w:hAnsi="Times New Roman" w:cs="Times New Roman" w:eastAsia="Times New Roman" w:hint="default"/>
          <w:w w:val="95"/>
        </w:rPr>
        <w:t>2019</w:t>
      </w:r>
      <w:r>
        <w:rPr>
          <w:w w:val="95"/>
        </w:rPr>
        <w:t>〕</w:t>
      </w:r>
      <w:r>
        <w:rPr>
          <w:rFonts w:ascii="Times New Roman" w:hAnsi="Times New Roman" w:cs="Times New Roman" w:eastAsia="Times New Roman" w:hint="default"/>
          <w:w w:val="95"/>
        </w:rPr>
        <w:t>6</w:t>
      </w:r>
      <w:r>
        <w:rPr>
          <w:w w:val="95"/>
        </w:rPr>
        <w:t>号和财会〔</w:t>
      </w:r>
      <w:r>
        <w:rPr>
          <w:rFonts w:ascii="Times New Roman" w:hAnsi="Times New Roman" w:cs="Times New Roman" w:eastAsia="Times New Roman" w:hint="default"/>
          <w:w w:val="95"/>
        </w:rPr>
        <w:t>2019</w:t>
      </w:r>
      <w:r>
        <w:rPr>
          <w:w w:val="95"/>
        </w:rPr>
        <w:t>〕</w:t>
      </w:r>
      <w:r>
        <w:rPr>
          <w:rFonts w:ascii="Times New Roman" w:hAnsi="Times New Roman" w:cs="Times New Roman" w:eastAsia="Times New Roman" w:hint="default"/>
          <w:w w:val="95"/>
        </w:rPr>
        <w:t>16</w:t>
      </w:r>
      <w:r>
        <w:rPr>
          <w:w w:val="95"/>
        </w:rPr>
        <w:t>号的规定调整后的上年年末余额为基础，执</w:t>
      </w:r>
      <w:r>
        <w:rPr>
          <w:w w:val="99"/>
        </w:rPr>
        <w:t> </w:t>
      </w:r>
      <w:r>
        <w:rPr/>
        <w:t>行上述新金融工具准则的主要影响如下：</w:t>
      </w:r>
    </w:p>
    <w:p>
      <w:pPr>
        <w:spacing w:line="240" w:lineRule="auto" w:before="6"/>
        <w:rPr>
          <w:rFonts w:ascii="宋体" w:hAnsi="宋体" w:cs="宋体" w:eastAsia="宋体" w:hint="default"/>
          <w:sz w:val="6"/>
          <w:szCs w:val="6"/>
        </w:rPr>
      </w:pPr>
    </w:p>
    <w:tbl>
      <w:tblPr>
        <w:tblW w:w="0" w:type="auto"/>
        <w:jc w:val="left"/>
        <w:tblInd w:w="102" w:type="dxa"/>
        <w:tblLayout w:type="fixed"/>
        <w:tblCellMar>
          <w:top w:w="0" w:type="dxa"/>
          <w:left w:w="0" w:type="dxa"/>
          <w:bottom w:w="0" w:type="dxa"/>
          <w:right w:w="0" w:type="dxa"/>
        </w:tblCellMar>
        <w:tblLook w:val="01E0"/>
      </w:tblPr>
      <w:tblGrid>
        <w:gridCol w:w="2835"/>
        <w:gridCol w:w="1415"/>
        <w:gridCol w:w="2363"/>
        <w:gridCol w:w="2602"/>
      </w:tblGrid>
      <w:tr>
        <w:trPr>
          <w:trHeight w:val="420" w:hRule="exact"/>
        </w:trPr>
        <w:tc>
          <w:tcPr>
            <w:tcW w:w="2835" w:type="dxa"/>
            <w:vMerge w:val="restart"/>
            <w:tcBorders>
              <w:top w:val="single" w:sz="12" w:space="0" w:color="000000"/>
              <w:left w:val="nil" w:sz="6" w:space="0" w:color="auto"/>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left="336"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1415" w:type="dxa"/>
            <w:vMerge w:val="restart"/>
            <w:tcBorders>
              <w:top w:val="single" w:sz="12" w:space="0" w:color="000000"/>
              <w:left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审批程序</w:t>
            </w:r>
          </w:p>
        </w:tc>
        <w:tc>
          <w:tcPr>
            <w:tcW w:w="4965" w:type="dxa"/>
            <w:gridSpan w:val="2"/>
            <w:tcBorders>
              <w:top w:val="single" w:sz="12" w:space="0" w:color="000000"/>
              <w:left w:val="dotted" w:sz="4" w:space="0" w:color="000000"/>
              <w:bottom w:val="dotted" w:sz="4" w:space="0" w:color="000000"/>
              <w:right w:val="nil" w:sz="6" w:space="0" w:color="auto"/>
            </w:tcBorders>
          </w:tcPr>
          <w:p>
            <w:pPr>
              <w:pStyle w:val="TableParagraph"/>
              <w:spacing w:line="240" w:lineRule="auto" w:before="85"/>
              <w:ind w:left="1306" w:right="0"/>
              <w:jc w:val="left"/>
              <w:rPr>
                <w:rFonts w:ascii="宋体" w:hAnsi="宋体" w:cs="宋体" w:eastAsia="宋体" w:hint="default"/>
                <w:sz w:val="18"/>
                <w:szCs w:val="18"/>
              </w:rPr>
            </w:pPr>
            <w:r>
              <w:rPr>
                <w:rFonts w:ascii="宋体" w:hAnsi="宋体" w:cs="宋体" w:eastAsia="宋体" w:hint="default"/>
                <w:sz w:val="18"/>
                <w:szCs w:val="18"/>
              </w:rPr>
              <w:t>受影响的报表项目名称和金额</w:t>
            </w:r>
          </w:p>
        </w:tc>
      </w:tr>
      <w:tr>
        <w:trPr>
          <w:trHeight w:val="410" w:hRule="exact"/>
        </w:trPr>
        <w:tc>
          <w:tcPr>
            <w:tcW w:w="2835" w:type="dxa"/>
            <w:vMerge/>
            <w:tcBorders>
              <w:left w:val="nil" w:sz="6" w:space="0" w:color="auto"/>
              <w:bottom w:val="dotted" w:sz="4" w:space="0" w:color="000000"/>
              <w:right w:val="dotted" w:sz="4" w:space="0" w:color="000000"/>
            </w:tcBorders>
          </w:tcPr>
          <w:p>
            <w:pPr/>
          </w:p>
        </w:tc>
        <w:tc>
          <w:tcPr>
            <w:tcW w:w="1415" w:type="dxa"/>
            <w:vMerge/>
            <w:tcBorders>
              <w:left w:val="dotted" w:sz="4" w:space="0" w:color="000000"/>
              <w:bottom w:val="dotted" w:sz="4" w:space="0" w:color="000000"/>
              <w:right w:val="dotted" w:sz="4" w:space="0" w:color="000000"/>
            </w:tcBorders>
          </w:tcPr>
          <w:p>
            <w:pPr/>
          </w:p>
        </w:tc>
        <w:tc>
          <w:tcPr>
            <w:tcW w:w="236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260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5"/>
              <w:ind w:right="1"/>
              <w:jc w:val="center"/>
              <w:rPr>
                <w:rFonts w:ascii="宋体" w:hAnsi="宋体" w:cs="宋体" w:eastAsia="宋体" w:hint="default"/>
                <w:sz w:val="18"/>
                <w:szCs w:val="18"/>
              </w:rPr>
            </w:pPr>
            <w:r>
              <w:rPr>
                <w:rFonts w:ascii="宋体" w:hAnsi="宋体" w:cs="宋体" w:eastAsia="宋体" w:hint="default"/>
                <w:sz w:val="18"/>
                <w:szCs w:val="18"/>
              </w:rPr>
              <w:t>母公司</w:t>
            </w:r>
          </w:p>
        </w:tc>
      </w:tr>
      <w:tr>
        <w:trPr>
          <w:trHeight w:val="326" w:hRule="exact"/>
        </w:trPr>
        <w:tc>
          <w:tcPr>
            <w:tcW w:w="2835" w:type="dxa"/>
            <w:tcBorders>
              <w:top w:val="dotted" w:sz="4" w:space="0" w:color="000000"/>
              <w:left w:val="nil" w:sz="6" w:space="0" w:color="auto"/>
              <w:bottom w:val="nil" w:sz="6" w:space="0" w:color="auto"/>
              <w:right w:val="dotted" w:sz="4" w:space="0" w:color="000000"/>
            </w:tcBorders>
          </w:tcPr>
          <w:p>
            <w:pPr/>
          </w:p>
        </w:tc>
        <w:tc>
          <w:tcPr>
            <w:tcW w:w="1415" w:type="dxa"/>
            <w:tcBorders>
              <w:top w:val="dotted" w:sz="4" w:space="0" w:color="000000"/>
              <w:left w:val="dotted" w:sz="4" w:space="0" w:color="000000"/>
              <w:bottom w:val="nil" w:sz="6" w:space="0" w:color="auto"/>
              <w:right w:val="dotted" w:sz="4" w:space="0" w:color="000000"/>
            </w:tcBorders>
          </w:tcPr>
          <w:p>
            <w:pPr/>
          </w:p>
        </w:tc>
        <w:tc>
          <w:tcPr>
            <w:tcW w:w="2363" w:type="dxa"/>
            <w:tcBorders>
              <w:top w:val="dotted" w:sz="4" w:space="0" w:color="000000"/>
              <w:left w:val="dotted" w:sz="4" w:space="0" w:color="000000"/>
              <w:bottom w:val="nil" w:sz="6" w:space="0" w:color="auto"/>
              <w:right w:val="dotted" w:sz="4" w:space="0" w:color="000000"/>
            </w:tcBorders>
          </w:tcPr>
          <w:p>
            <w:pPr>
              <w:pStyle w:val="TableParagraph"/>
              <w:spacing w:line="240" w:lineRule="auto" w:before="85"/>
              <w:ind w:right="1"/>
              <w:jc w:val="center"/>
              <w:rPr>
                <w:rFonts w:ascii="宋体" w:hAnsi="宋体" w:cs="宋体" w:eastAsia="宋体" w:hint="default"/>
                <w:sz w:val="18"/>
                <w:szCs w:val="18"/>
              </w:rPr>
            </w:pPr>
            <w:r>
              <w:rPr>
                <w:rFonts w:ascii="宋体" w:hAnsi="宋体" w:cs="宋体" w:eastAsia="宋体" w:hint="default"/>
                <w:sz w:val="18"/>
                <w:szCs w:val="18"/>
              </w:rPr>
              <w:t>其他流动资产：减少</w:t>
            </w:r>
          </w:p>
        </w:tc>
        <w:tc>
          <w:tcPr>
            <w:tcW w:w="2602" w:type="dxa"/>
            <w:tcBorders>
              <w:top w:val="dotted" w:sz="4" w:space="0" w:color="000000"/>
              <w:left w:val="dotted" w:sz="4" w:space="0" w:color="000000"/>
              <w:bottom w:val="nil" w:sz="6" w:space="0" w:color="auto"/>
              <w:right w:val="nil" w:sz="6" w:space="0" w:color="auto"/>
            </w:tcBorders>
          </w:tcPr>
          <w:p>
            <w:pPr/>
          </w:p>
        </w:tc>
      </w:tr>
      <w:tr>
        <w:trPr>
          <w:trHeight w:val="499" w:hRule="exact"/>
        </w:trPr>
        <w:tc>
          <w:tcPr>
            <w:tcW w:w="2835" w:type="dxa"/>
            <w:tcBorders>
              <w:top w:val="nil" w:sz="6" w:space="0" w:color="auto"/>
              <w:left w:val="nil" w:sz="6" w:space="0" w:color="auto"/>
              <w:bottom w:val="nil" w:sz="6" w:space="0" w:color="auto"/>
              <w:right w:val="dotted" w:sz="4" w:space="0" w:color="000000"/>
            </w:tcBorders>
          </w:tcPr>
          <w:p>
            <w:pPr>
              <w:pStyle w:val="TableParagraph"/>
              <w:spacing w:line="194" w:lineRule="exact"/>
              <w:ind w:left="108"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pacing w:val="-2"/>
                <w:sz w:val="18"/>
                <w:szCs w:val="18"/>
              </w:rPr>
              <w:t>1</w:t>
            </w:r>
            <w:r>
              <w:rPr>
                <w:rFonts w:ascii="宋体" w:hAnsi="宋体" w:cs="宋体" w:eastAsia="宋体" w:hint="default"/>
                <w:spacing w:val="-87"/>
                <w:sz w:val="18"/>
                <w:szCs w:val="18"/>
              </w:rPr>
              <w:t>）</w:t>
            </w:r>
            <w:r>
              <w:rPr>
                <w:rFonts w:ascii="宋体" w:hAnsi="宋体" w:cs="宋体" w:eastAsia="宋体" w:hint="default"/>
                <w:sz w:val="18"/>
                <w:szCs w:val="18"/>
              </w:rPr>
              <w:t>持有至到期投资重分类</w:t>
            </w:r>
            <w:r>
              <w:rPr>
                <w:rFonts w:ascii="宋体" w:hAnsi="宋体" w:cs="宋体" w:eastAsia="宋体" w:hint="default"/>
                <w:spacing w:val="-84"/>
                <w:sz w:val="18"/>
                <w:szCs w:val="18"/>
              </w:rPr>
              <w:t>为</w:t>
            </w:r>
            <w:r>
              <w:rPr>
                <w:rFonts w:ascii="宋体" w:hAnsi="宋体" w:cs="宋体" w:eastAsia="宋体" w:hint="default"/>
                <w:sz w:val="18"/>
                <w:szCs w:val="18"/>
              </w:rPr>
              <w:t>“以</w:t>
            </w:r>
          </w:p>
          <w:p>
            <w:pPr>
              <w:pStyle w:val="TableParagraph"/>
              <w:spacing w:line="240" w:lineRule="auto" w:before="70"/>
              <w:ind w:left="108" w:right="0"/>
              <w:jc w:val="left"/>
              <w:rPr>
                <w:rFonts w:ascii="宋体" w:hAnsi="宋体" w:cs="宋体" w:eastAsia="宋体" w:hint="default"/>
                <w:sz w:val="18"/>
                <w:szCs w:val="18"/>
              </w:rPr>
            </w:pPr>
            <w:r>
              <w:rPr>
                <w:rFonts w:ascii="宋体" w:hAnsi="宋体" w:cs="宋体" w:eastAsia="宋体" w:hint="default"/>
                <w:spacing w:val="6"/>
                <w:sz w:val="18"/>
                <w:szCs w:val="18"/>
              </w:rPr>
              <w:t>公允价值计量且其变动计入当期</w:t>
            </w:r>
          </w:p>
        </w:tc>
        <w:tc>
          <w:tcPr>
            <w:tcW w:w="1415" w:type="dxa"/>
            <w:tcBorders>
              <w:top w:val="nil" w:sz="6" w:space="0" w:color="auto"/>
              <w:left w:val="dotted" w:sz="4" w:space="0" w:color="000000"/>
              <w:bottom w:val="nil" w:sz="6" w:space="0" w:color="auto"/>
              <w:right w:val="dotted"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251" w:right="0"/>
              <w:jc w:val="left"/>
              <w:rPr>
                <w:rFonts w:ascii="宋体" w:hAnsi="宋体" w:cs="宋体" w:eastAsia="宋体" w:hint="default"/>
                <w:sz w:val="18"/>
                <w:szCs w:val="18"/>
              </w:rPr>
            </w:pPr>
            <w:r>
              <w:rPr>
                <w:rFonts w:ascii="宋体" w:hAnsi="宋体" w:cs="宋体" w:eastAsia="宋体" w:hint="default"/>
                <w:sz w:val="18"/>
                <w:szCs w:val="18"/>
              </w:rPr>
              <w:t>董事会审议</w:t>
            </w:r>
          </w:p>
        </w:tc>
        <w:tc>
          <w:tcPr>
            <w:tcW w:w="2363" w:type="dxa"/>
            <w:tcBorders>
              <w:top w:val="nil" w:sz="6" w:space="0" w:color="auto"/>
              <w:left w:val="dotted" w:sz="4" w:space="0" w:color="000000"/>
              <w:bottom w:val="nil" w:sz="6" w:space="0" w:color="auto"/>
              <w:right w:val="dotted" w:sz="4" w:space="0" w:color="000000"/>
            </w:tcBorders>
          </w:tcPr>
          <w:p>
            <w:pPr>
              <w:pStyle w:val="TableParagraph"/>
              <w:spacing w:line="240" w:lineRule="auto" w:before="8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1,570,929,605.39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元。</w:t>
            </w:r>
          </w:p>
        </w:tc>
        <w:tc>
          <w:tcPr>
            <w:tcW w:w="2602" w:type="dxa"/>
            <w:tcBorders>
              <w:top w:val="nil" w:sz="6" w:space="0" w:color="auto"/>
              <w:left w:val="dotted" w:sz="4" w:space="0" w:color="000000"/>
              <w:bottom w:val="nil" w:sz="6" w:space="0" w:color="auto"/>
              <w:right w:val="nil" w:sz="6" w:space="0" w:color="auto"/>
            </w:tcBorders>
          </w:tcPr>
          <w:p>
            <w:pPr>
              <w:pStyle w:val="TableParagraph"/>
              <w:spacing w:line="240" w:lineRule="auto" w:before="83"/>
              <w:ind w:right="4"/>
              <w:jc w:val="center"/>
              <w:rPr>
                <w:rFonts w:ascii="宋体" w:hAnsi="宋体" w:cs="宋体" w:eastAsia="宋体" w:hint="default"/>
                <w:sz w:val="18"/>
                <w:szCs w:val="18"/>
              </w:rPr>
            </w:pPr>
            <w:r>
              <w:rPr>
                <w:rFonts w:ascii="宋体" w:hAnsi="宋体" w:cs="宋体" w:eastAsia="宋体" w:hint="default"/>
                <w:sz w:val="18"/>
                <w:szCs w:val="18"/>
              </w:rPr>
              <w:t>其他流动资产：减少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tc>
      </w:tr>
      <w:tr>
        <w:trPr>
          <w:trHeight w:val="322" w:hRule="exact"/>
        </w:trPr>
        <w:tc>
          <w:tcPr>
            <w:tcW w:w="2835" w:type="dxa"/>
            <w:tcBorders>
              <w:top w:val="nil" w:sz="6" w:space="0" w:color="auto"/>
              <w:left w:val="nil" w:sz="6" w:space="0" w:color="auto"/>
              <w:bottom w:val="nil" w:sz="6" w:space="0" w:color="auto"/>
              <w:right w:val="dotted" w:sz="4" w:space="0" w:color="000000"/>
            </w:tcBorders>
          </w:tcPr>
          <w:p>
            <w:pPr>
              <w:pStyle w:val="TableParagraph"/>
              <w:spacing w:line="240" w:lineRule="auto" w:before="86"/>
              <w:ind w:left="108" w:right="0"/>
              <w:jc w:val="left"/>
              <w:rPr>
                <w:rFonts w:ascii="宋体" w:hAnsi="宋体" w:cs="宋体" w:eastAsia="宋体" w:hint="default"/>
                <w:sz w:val="18"/>
                <w:szCs w:val="18"/>
              </w:rPr>
            </w:pPr>
            <w:r>
              <w:rPr>
                <w:rFonts w:ascii="宋体" w:hAnsi="宋体" w:cs="宋体" w:eastAsia="宋体" w:hint="default"/>
                <w:sz w:val="18"/>
                <w:szCs w:val="18"/>
              </w:rPr>
              <w:t>损益的金融资产”。</w:t>
            </w:r>
          </w:p>
        </w:tc>
        <w:tc>
          <w:tcPr>
            <w:tcW w:w="1415" w:type="dxa"/>
            <w:tcBorders>
              <w:top w:val="nil" w:sz="6" w:space="0" w:color="auto"/>
              <w:left w:val="dotted" w:sz="4" w:space="0" w:color="000000"/>
              <w:bottom w:val="nil" w:sz="6" w:space="0" w:color="auto"/>
              <w:right w:val="dotted" w:sz="4" w:space="0" w:color="000000"/>
            </w:tcBorders>
          </w:tcPr>
          <w:p>
            <w:pPr/>
          </w:p>
        </w:tc>
        <w:tc>
          <w:tcPr>
            <w:tcW w:w="2363" w:type="dxa"/>
            <w:tcBorders>
              <w:top w:val="nil" w:sz="6" w:space="0" w:color="auto"/>
              <w:left w:val="dotted" w:sz="4" w:space="0" w:color="000000"/>
              <w:bottom w:val="nil" w:sz="6" w:space="0" w:color="auto"/>
              <w:right w:val="dotted" w:sz="4" w:space="0" w:color="000000"/>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交易性金融资产：增加</w:t>
            </w:r>
          </w:p>
        </w:tc>
        <w:tc>
          <w:tcPr>
            <w:tcW w:w="2602" w:type="dxa"/>
            <w:tcBorders>
              <w:top w:val="nil" w:sz="6" w:space="0" w:color="auto"/>
              <w:left w:val="dotted" w:sz="4" w:space="0" w:color="000000"/>
              <w:bottom w:val="nil" w:sz="6" w:space="0" w:color="auto"/>
              <w:right w:val="nil" w:sz="6" w:space="0" w:color="auto"/>
            </w:tcBorders>
          </w:tcPr>
          <w:p>
            <w:pPr>
              <w:pStyle w:val="TableParagraph"/>
              <w:spacing w:line="194" w:lineRule="exact"/>
              <w:ind w:right="4"/>
              <w:jc w:val="center"/>
              <w:rPr>
                <w:rFonts w:ascii="宋体" w:hAnsi="宋体" w:cs="宋体" w:eastAsia="宋体" w:hint="default"/>
                <w:sz w:val="18"/>
                <w:szCs w:val="18"/>
              </w:rPr>
            </w:pPr>
            <w:r>
              <w:rPr>
                <w:rFonts w:ascii="宋体" w:hAnsi="宋体" w:cs="宋体" w:eastAsia="宋体" w:hint="default"/>
                <w:sz w:val="18"/>
                <w:szCs w:val="18"/>
              </w:rPr>
              <w:t>交易性金融资产：增加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tc>
      </w:tr>
      <w:tr>
        <w:trPr>
          <w:trHeight w:val="263" w:hRule="exact"/>
        </w:trPr>
        <w:tc>
          <w:tcPr>
            <w:tcW w:w="2835" w:type="dxa"/>
            <w:tcBorders>
              <w:top w:val="nil" w:sz="6" w:space="0" w:color="auto"/>
              <w:left w:val="nil" w:sz="6" w:space="0" w:color="auto"/>
              <w:bottom w:val="dotted" w:sz="4" w:space="0" w:color="000000"/>
              <w:right w:val="dotted" w:sz="4" w:space="0" w:color="000000"/>
            </w:tcBorders>
          </w:tcPr>
          <w:p>
            <w:pPr/>
          </w:p>
        </w:tc>
        <w:tc>
          <w:tcPr>
            <w:tcW w:w="1415" w:type="dxa"/>
            <w:tcBorders>
              <w:top w:val="nil" w:sz="6" w:space="0" w:color="auto"/>
              <w:left w:val="dotted" w:sz="4" w:space="0" w:color="000000"/>
              <w:bottom w:val="dotted" w:sz="4" w:space="0" w:color="000000"/>
              <w:right w:val="dotted" w:sz="4" w:space="0" w:color="000000"/>
            </w:tcBorders>
          </w:tcPr>
          <w:p>
            <w:pPr/>
          </w:p>
        </w:tc>
        <w:tc>
          <w:tcPr>
            <w:tcW w:w="2363" w:type="dxa"/>
            <w:tcBorders>
              <w:top w:val="nil" w:sz="6" w:space="0" w:color="auto"/>
              <w:left w:val="dotted" w:sz="4" w:space="0" w:color="000000"/>
              <w:bottom w:val="dotted" w:sz="4" w:space="0" w:color="000000"/>
              <w:right w:val="dotted" w:sz="4" w:space="0" w:color="000000"/>
            </w:tcBorders>
          </w:tcPr>
          <w:p>
            <w:pPr>
              <w:pStyle w:val="TableParagraph"/>
              <w:spacing w:line="194"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1,570,929,605.39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元。</w:t>
            </w:r>
          </w:p>
        </w:tc>
        <w:tc>
          <w:tcPr>
            <w:tcW w:w="2602" w:type="dxa"/>
            <w:tcBorders>
              <w:top w:val="nil" w:sz="6" w:space="0" w:color="auto"/>
              <w:left w:val="dotted" w:sz="4" w:space="0" w:color="000000"/>
              <w:bottom w:val="dotted" w:sz="4" w:space="0" w:color="000000"/>
              <w:right w:val="nil" w:sz="6" w:space="0" w:color="auto"/>
            </w:tcBorders>
          </w:tcPr>
          <w:p>
            <w:pPr/>
          </w:p>
        </w:tc>
      </w:tr>
      <w:tr>
        <w:trPr>
          <w:trHeight w:val="411" w:hRule="exact"/>
        </w:trPr>
        <w:tc>
          <w:tcPr>
            <w:tcW w:w="2835" w:type="dxa"/>
            <w:tcBorders>
              <w:top w:val="dotted" w:sz="4" w:space="0" w:color="000000"/>
              <w:left w:val="nil" w:sz="6" w:space="0" w:color="auto"/>
              <w:bottom w:val="nil" w:sz="6" w:space="0" w:color="auto"/>
              <w:right w:val="dotted" w:sz="4" w:space="0" w:color="000000"/>
            </w:tcBorders>
          </w:tcPr>
          <w:p>
            <w:pPr>
              <w:pStyle w:val="TableParagraph"/>
              <w:spacing w:line="240" w:lineRule="auto" w:before="106"/>
              <w:ind w:left="108"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）非交易性的可供出售权益工</w:t>
            </w:r>
          </w:p>
        </w:tc>
        <w:tc>
          <w:tcPr>
            <w:tcW w:w="1415" w:type="dxa"/>
            <w:tcBorders>
              <w:top w:val="dotted" w:sz="4" w:space="0" w:color="000000"/>
              <w:left w:val="dotted" w:sz="4" w:space="0" w:color="000000"/>
              <w:bottom w:val="nil" w:sz="6" w:space="0" w:color="auto"/>
              <w:right w:val="dotted" w:sz="4" w:space="0" w:color="000000"/>
            </w:tcBorders>
          </w:tcPr>
          <w:p>
            <w:pPr/>
          </w:p>
        </w:tc>
        <w:tc>
          <w:tcPr>
            <w:tcW w:w="2363" w:type="dxa"/>
            <w:tcBorders>
              <w:top w:val="dotted" w:sz="4" w:space="0" w:color="000000"/>
              <w:left w:val="dotted" w:sz="4" w:space="0" w:color="000000"/>
              <w:bottom w:val="nil" w:sz="6" w:space="0" w:color="auto"/>
              <w:right w:val="dotted"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可供出售金融资产：减少</w:t>
            </w:r>
          </w:p>
        </w:tc>
        <w:tc>
          <w:tcPr>
            <w:tcW w:w="2602" w:type="dxa"/>
            <w:tcBorders>
              <w:top w:val="dotted" w:sz="4" w:space="0" w:color="000000"/>
              <w:left w:val="dotted" w:sz="4" w:space="0" w:color="000000"/>
              <w:bottom w:val="nil" w:sz="6" w:space="0" w:color="auto"/>
              <w:right w:val="nil" w:sz="6" w:space="0" w:color="auto"/>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可供出售金融资产：减少</w:t>
            </w:r>
          </w:p>
        </w:tc>
      </w:tr>
      <w:tr>
        <w:trPr>
          <w:trHeight w:val="655" w:hRule="exact"/>
        </w:trPr>
        <w:tc>
          <w:tcPr>
            <w:tcW w:w="2835" w:type="dxa"/>
            <w:tcBorders>
              <w:top w:val="nil" w:sz="6" w:space="0" w:color="auto"/>
              <w:left w:val="nil" w:sz="6" w:space="0" w:color="auto"/>
              <w:bottom w:val="nil" w:sz="6" w:space="0" w:color="auto"/>
              <w:right w:val="dotted" w:sz="4" w:space="0" w:color="000000"/>
            </w:tcBorders>
          </w:tcPr>
          <w:p>
            <w:pPr>
              <w:pStyle w:val="TableParagraph"/>
              <w:spacing w:line="328" w:lineRule="auto" w:before="18"/>
              <w:ind w:left="108" w:right="101"/>
              <w:jc w:val="left"/>
              <w:rPr>
                <w:rFonts w:ascii="宋体" w:hAnsi="宋体" w:cs="宋体" w:eastAsia="宋体" w:hint="default"/>
                <w:sz w:val="18"/>
                <w:szCs w:val="18"/>
              </w:rPr>
            </w:pPr>
            <w:r>
              <w:rPr>
                <w:rFonts w:ascii="宋体" w:hAnsi="宋体" w:cs="宋体" w:eastAsia="宋体" w:hint="default"/>
                <w:spacing w:val="-6"/>
                <w:sz w:val="18"/>
                <w:szCs w:val="18"/>
              </w:rPr>
              <w:t>具投资指定为“以公允价值计量且</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6"/>
                <w:sz w:val="18"/>
                <w:szCs w:val="18"/>
              </w:rPr>
              <w:t>其变动计入其他综合收益的金融</w:t>
            </w:r>
          </w:p>
        </w:tc>
        <w:tc>
          <w:tcPr>
            <w:tcW w:w="1415" w:type="dxa"/>
            <w:tcBorders>
              <w:top w:val="nil" w:sz="6" w:space="0" w:color="auto"/>
              <w:left w:val="dotted" w:sz="4" w:space="0" w:color="000000"/>
              <w:bottom w:val="nil" w:sz="6" w:space="0" w:color="auto"/>
              <w:right w:val="dotted"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251" w:right="0"/>
              <w:jc w:val="left"/>
              <w:rPr>
                <w:rFonts w:ascii="宋体" w:hAnsi="宋体" w:cs="宋体" w:eastAsia="宋体" w:hint="default"/>
                <w:sz w:val="18"/>
                <w:szCs w:val="18"/>
              </w:rPr>
            </w:pPr>
            <w:r>
              <w:rPr>
                <w:rFonts w:ascii="宋体" w:hAnsi="宋体" w:cs="宋体" w:eastAsia="宋体" w:hint="default"/>
                <w:sz w:val="18"/>
                <w:szCs w:val="18"/>
              </w:rPr>
              <w:t>董事会审议</w:t>
            </w:r>
          </w:p>
        </w:tc>
        <w:tc>
          <w:tcPr>
            <w:tcW w:w="2363" w:type="dxa"/>
            <w:tcBorders>
              <w:top w:val="nil" w:sz="6" w:space="0" w:color="auto"/>
              <w:left w:val="dotted" w:sz="4" w:space="0" w:color="000000"/>
              <w:bottom w:val="nil" w:sz="6" w:space="0" w:color="auto"/>
              <w:right w:val="dotted" w:sz="4" w:space="0" w:color="000000"/>
            </w:tcBorders>
          </w:tcPr>
          <w:p>
            <w:pPr>
              <w:pStyle w:val="TableParagraph"/>
              <w:spacing w:line="249"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906,570,668.31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元，</w:t>
            </w:r>
          </w:p>
          <w:p>
            <w:pPr>
              <w:pStyle w:val="TableParagraph"/>
              <w:spacing w:line="240" w:lineRule="auto" w:before="111"/>
              <w:ind w:right="1"/>
              <w:jc w:val="center"/>
              <w:rPr>
                <w:rFonts w:ascii="宋体" w:hAnsi="宋体" w:cs="宋体" w:eastAsia="宋体" w:hint="default"/>
                <w:sz w:val="18"/>
                <w:szCs w:val="18"/>
              </w:rPr>
            </w:pPr>
            <w:r>
              <w:rPr>
                <w:rFonts w:ascii="宋体" w:hAnsi="宋体" w:cs="宋体" w:eastAsia="宋体" w:hint="default"/>
                <w:sz w:val="18"/>
                <w:szCs w:val="18"/>
              </w:rPr>
              <w:t>其他权益工具投资：增加</w:t>
            </w:r>
          </w:p>
        </w:tc>
        <w:tc>
          <w:tcPr>
            <w:tcW w:w="2602" w:type="dxa"/>
            <w:tcBorders>
              <w:top w:val="nil" w:sz="6" w:space="0" w:color="auto"/>
              <w:left w:val="dotted" w:sz="4" w:space="0" w:color="000000"/>
              <w:bottom w:val="nil" w:sz="6" w:space="0" w:color="auto"/>
              <w:right w:val="nil" w:sz="6" w:space="0" w:color="auto"/>
            </w:tcBorders>
          </w:tcPr>
          <w:p>
            <w:pPr>
              <w:pStyle w:val="TableParagraph"/>
              <w:spacing w:line="249" w:lineRule="exact"/>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873,326,585.40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元，</w:t>
            </w:r>
          </w:p>
          <w:p>
            <w:pPr>
              <w:pStyle w:val="TableParagraph"/>
              <w:spacing w:line="240" w:lineRule="auto" w:before="111"/>
              <w:ind w:right="1"/>
              <w:jc w:val="center"/>
              <w:rPr>
                <w:rFonts w:ascii="宋体" w:hAnsi="宋体" w:cs="宋体" w:eastAsia="宋体" w:hint="default"/>
                <w:sz w:val="18"/>
                <w:szCs w:val="18"/>
              </w:rPr>
            </w:pPr>
            <w:r>
              <w:rPr>
                <w:rFonts w:ascii="宋体" w:hAnsi="宋体" w:cs="宋体" w:eastAsia="宋体" w:hint="default"/>
                <w:sz w:val="18"/>
                <w:szCs w:val="18"/>
              </w:rPr>
              <w:t>其他权益工具投资：增加</w:t>
            </w:r>
          </w:p>
        </w:tc>
      </w:tr>
      <w:tr>
        <w:trPr>
          <w:trHeight w:val="353" w:hRule="exact"/>
        </w:trPr>
        <w:tc>
          <w:tcPr>
            <w:tcW w:w="2835" w:type="dxa"/>
            <w:tcBorders>
              <w:top w:val="nil" w:sz="6" w:space="0" w:color="auto"/>
              <w:left w:val="nil" w:sz="6" w:space="0" w:color="auto"/>
              <w:bottom w:val="single" w:sz="12" w:space="0" w:color="000000"/>
              <w:right w:val="dotted" w:sz="4" w:space="0" w:color="000000"/>
            </w:tcBorders>
          </w:tcPr>
          <w:p>
            <w:pPr>
              <w:pStyle w:val="TableParagraph"/>
              <w:spacing w:line="240" w:lineRule="auto" w:before="4"/>
              <w:ind w:left="108"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1415" w:type="dxa"/>
            <w:tcBorders>
              <w:top w:val="nil" w:sz="6" w:space="0" w:color="auto"/>
              <w:left w:val="dotted" w:sz="4" w:space="0" w:color="000000"/>
              <w:bottom w:val="single" w:sz="12" w:space="0" w:color="000000"/>
              <w:right w:val="dotted" w:sz="4" w:space="0" w:color="000000"/>
            </w:tcBorders>
          </w:tcPr>
          <w:p>
            <w:pPr/>
          </w:p>
        </w:tc>
        <w:tc>
          <w:tcPr>
            <w:tcW w:w="2363" w:type="dxa"/>
            <w:tcBorders>
              <w:top w:val="nil" w:sz="6" w:space="0" w:color="auto"/>
              <w:left w:val="dotted" w:sz="4" w:space="0" w:color="000000"/>
              <w:bottom w:val="single" w:sz="12" w:space="0" w:color="000000"/>
              <w:right w:val="dotted" w:sz="4" w:space="0" w:color="000000"/>
            </w:tcBorders>
          </w:tcPr>
          <w:p>
            <w:pPr>
              <w:pStyle w:val="TableParagraph"/>
              <w:spacing w:line="240" w:lineRule="auto" w:before="23"/>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906,570,668.31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元。</w:t>
            </w:r>
          </w:p>
        </w:tc>
        <w:tc>
          <w:tcPr>
            <w:tcW w:w="2602" w:type="dxa"/>
            <w:tcBorders>
              <w:top w:val="nil" w:sz="6" w:space="0" w:color="auto"/>
              <w:left w:val="dotted" w:sz="4" w:space="0" w:color="000000"/>
              <w:bottom w:val="single" w:sz="12" w:space="0" w:color="000000"/>
              <w:right w:val="nil" w:sz="6" w:space="0" w:color="auto"/>
            </w:tcBorders>
          </w:tcPr>
          <w:p>
            <w:pPr>
              <w:pStyle w:val="TableParagraph"/>
              <w:spacing w:line="240" w:lineRule="auto" w:before="23"/>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873,326,585.40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元。</w:t>
            </w:r>
          </w:p>
        </w:tc>
      </w:tr>
    </w:tbl>
    <w:p>
      <w:pPr>
        <w:spacing w:after="0" w:line="240" w:lineRule="auto"/>
        <w:jc w:val="center"/>
        <w:rPr>
          <w:rFonts w:ascii="宋体" w:hAnsi="宋体" w:cs="宋体" w:eastAsia="宋体" w:hint="default"/>
          <w:sz w:val="18"/>
          <w:szCs w:val="18"/>
        </w:rPr>
        <w:sectPr>
          <w:pgSz w:w="11910" w:h="16840"/>
          <w:pgMar w:header="712" w:footer="1264" w:top="980" w:bottom="1460" w:left="1680" w:right="0"/>
        </w:sectPr>
      </w:pPr>
    </w:p>
    <w:p>
      <w:pPr>
        <w:spacing w:line="240" w:lineRule="auto" w:before="9"/>
        <w:rPr>
          <w:rFonts w:ascii="宋体" w:hAnsi="宋体" w:cs="宋体" w:eastAsia="宋体" w:hint="default"/>
          <w:sz w:val="27"/>
          <w:szCs w:val="27"/>
        </w:rPr>
      </w:pPr>
    </w:p>
    <w:p>
      <w:pPr>
        <w:pStyle w:val="Heading4"/>
        <w:spacing w:line="331" w:lineRule="auto" w:before="34"/>
        <w:ind w:left="540" w:right="1125" w:firstLine="420"/>
        <w:jc w:val="left"/>
      </w:pPr>
      <w:r>
        <w:rPr/>
        <w:t>以按照财会〔</w:t>
      </w:r>
      <w:r>
        <w:rPr>
          <w:rFonts w:ascii="Times New Roman" w:hAnsi="Times New Roman" w:cs="Times New Roman" w:eastAsia="Times New Roman" w:hint="default"/>
        </w:rPr>
        <w:t>2019</w:t>
      </w:r>
      <w:r>
        <w:rPr/>
        <w:t>〕</w:t>
      </w:r>
      <w:r>
        <w:rPr>
          <w:rFonts w:ascii="Times New Roman" w:hAnsi="Times New Roman" w:cs="Times New Roman" w:eastAsia="Times New Roman" w:hint="default"/>
        </w:rPr>
        <w:t>6 </w:t>
      </w:r>
      <w:r>
        <w:rPr/>
        <w:t>号和财会〔</w:t>
      </w:r>
      <w:r>
        <w:rPr>
          <w:rFonts w:ascii="Times New Roman" w:hAnsi="Times New Roman" w:cs="Times New Roman" w:eastAsia="Times New Roman" w:hint="default"/>
        </w:rPr>
        <w:t>2019</w:t>
      </w:r>
      <w:r>
        <w:rPr/>
        <w:t>〕</w:t>
      </w:r>
      <w:r>
        <w:rPr>
          <w:rFonts w:ascii="Times New Roman" w:hAnsi="Times New Roman" w:cs="Times New Roman" w:eastAsia="Times New Roman" w:hint="default"/>
        </w:rPr>
        <w:t>16</w:t>
      </w:r>
      <w:r>
        <w:rPr>
          <w:rFonts w:ascii="Times New Roman" w:hAnsi="Times New Roman" w:cs="Times New Roman" w:eastAsia="Times New Roman" w:hint="default"/>
          <w:spacing w:val="-39"/>
        </w:rPr>
        <w:t> </w:t>
      </w:r>
      <w:r>
        <w:rPr/>
        <w:t>号的规定调整后的上年年末余额为基础，各项金融资</w:t>
      </w:r>
      <w:r>
        <w:rPr>
          <w:w w:val="99"/>
        </w:rPr>
        <w:t> </w:t>
      </w:r>
      <w:r>
        <w:rPr/>
        <w:t>产和金融负债按照修订前后金融工具确认计量准则的规定进行分类和计量结果对比如下：</w:t>
      </w:r>
    </w:p>
    <w:p>
      <w:pPr>
        <w:pStyle w:val="Heading3"/>
        <w:spacing w:line="240" w:lineRule="auto" w:before="43"/>
        <w:ind w:left="1100" w:right="1040"/>
        <w:jc w:val="center"/>
        <w:rPr>
          <w:b w:val="0"/>
          <w:bCs w:val="0"/>
        </w:rPr>
      </w:pPr>
      <w:r>
        <w:rPr/>
        <w:t>合并</w:t>
      </w:r>
      <w:r>
        <w:rPr>
          <w:b w:val="0"/>
          <w:bCs w:val="0"/>
        </w:rPr>
      </w:r>
    </w:p>
    <w:p>
      <w:pPr>
        <w:spacing w:line="240" w:lineRule="auto" w:before="12"/>
        <w:rPr>
          <w:rFonts w:ascii="宋体" w:hAnsi="宋体" w:cs="宋体" w:eastAsia="宋体" w:hint="default"/>
          <w:b/>
          <w:bCs/>
          <w:sz w:val="3"/>
          <w:szCs w:val="3"/>
        </w:rPr>
      </w:pPr>
    </w:p>
    <w:tbl>
      <w:tblPr>
        <w:tblW w:w="0" w:type="auto"/>
        <w:jc w:val="left"/>
        <w:tblInd w:w="383" w:type="dxa"/>
        <w:tblLayout w:type="fixed"/>
        <w:tblCellMar>
          <w:top w:w="0" w:type="dxa"/>
          <w:left w:w="0" w:type="dxa"/>
          <w:bottom w:w="0" w:type="dxa"/>
          <w:right w:w="0" w:type="dxa"/>
        </w:tblCellMar>
        <w:tblLook w:val="01E0"/>
      </w:tblPr>
      <w:tblGrid>
        <w:gridCol w:w="1131"/>
        <w:gridCol w:w="1421"/>
        <w:gridCol w:w="1559"/>
        <w:gridCol w:w="1843"/>
        <w:gridCol w:w="2410"/>
        <w:gridCol w:w="1490"/>
      </w:tblGrid>
      <w:tr>
        <w:trPr>
          <w:trHeight w:val="380" w:hRule="exact"/>
        </w:trPr>
        <w:tc>
          <w:tcPr>
            <w:tcW w:w="4111" w:type="dxa"/>
            <w:gridSpan w:val="3"/>
            <w:tcBorders>
              <w:top w:val="single" w:sz="12" w:space="0" w:color="000000"/>
              <w:left w:val="nil" w:sz="6" w:space="0" w:color="auto"/>
              <w:bottom w:val="dotted" w:sz="4" w:space="0" w:color="000000"/>
              <w:right w:val="dotted" w:sz="4" w:space="0" w:color="000000"/>
            </w:tcBorders>
          </w:tcPr>
          <w:p>
            <w:pPr>
              <w:pStyle w:val="TableParagraph"/>
              <w:spacing w:line="240" w:lineRule="auto" w:before="54"/>
              <w:ind w:left="5" w:right="0"/>
              <w:jc w:val="center"/>
              <w:rPr>
                <w:rFonts w:ascii="宋体" w:hAnsi="宋体" w:cs="宋体" w:eastAsia="宋体" w:hint="default"/>
                <w:sz w:val="18"/>
                <w:szCs w:val="18"/>
              </w:rPr>
            </w:pPr>
            <w:r>
              <w:rPr>
                <w:rFonts w:ascii="宋体" w:hAnsi="宋体" w:cs="宋体" w:eastAsia="宋体" w:hint="default"/>
                <w:sz w:val="18"/>
                <w:szCs w:val="18"/>
              </w:rPr>
              <w:t>原金融工具准则</w:t>
            </w:r>
          </w:p>
        </w:tc>
        <w:tc>
          <w:tcPr>
            <w:tcW w:w="5743" w:type="dxa"/>
            <w:gridSpan w:val="3"/>
            <w:tcBorders>
              <w:top w:val="single" w:sz="12" w:space="0" w:color="000000"/>
              <w:left w:val="dotted" w:sz="4" w:space="0" w:color="000000"/>
              <w:bottom w:val="dotted" w:sz="4" w:space="0" w:color="000000"/>
              <w:right w:val="nil" w:sz="6" w:space="0" w:color="auto"/>
            </w:tcBorders>
          </w:tcPr>
          <w:p>
            <w:pPr>
              <w:pStyle w:val="TableParagraph"/>
              <w:spacing w:line="240" w:lineRule="auto" w:before="54"/>
              <w:ind w:left="73" w:right="0"/>
              <w:jc w:val="center"/>
              <w:rPr>
                <w:rFonts w:ascii="宋体" w:hAnsi="宋体" w:cs="宋体" w:eastAsia="宋体" w:hint="default"/>
                <w:sz w:val="18"/>
                <w:szCs w:val="18"/>
              </w:rPr>
            </w:pPr>
            <w:r>
              <w:rPr>
                <w:rFonts w:ascii="宋体" w:hAnsi="宋体" w:cs="宋体" w:eastAsia="宋体" w:hint="default"/>
                <w:sz w:val="18"/>
                <w:szCs w:val="18"/>
              </w:rPr>
              <w:t>新金融工具准则</w:t>
            </w:r>
          </w:p>
        </w:tc>
      </w:tr>
      <w:tr>
        <w:trPr>
          <w:trHeight w:val="370" w:hRule="exact"/>
        </w:trPr>
        <w:tc>
          <w:tcPr>
            <w:tcW w:w="113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6"/>
              <w:ind w:left="2" w:right="0"/>
              <w:jc w:val="center"/>
              <w:rPr>
                <w:rFonts w:ascii="宋体" w:hAnsi="宋体" w:cs="宋体" w:eastAsia="宋体" w:hint="default"/>
                <w:sz w:val="18"/>
                <w:szCs w:val="18"/>
              </w:rPr>
            </w:pPr>
            <w:r>
              <w:rPr>
                <w:rFonts w:ascii="宋体" w:hAnsi="宋体" w:cs="宋体" w:eastAsia="宋体" w:hint="default"/>
                <w:sz w:val="18"/>
                <w:szCs w:val="18"/>
              </w:rPr>
              <w:t>列报项目</w:t>
            </w:r>
          </w:p>
        </w:tc>
        <w:tc>
          <w:tcPr>
            <w:tcW w:w="14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6"/>
              <w:ind w:left="345" w:right="0"/>
              <w:jc w:val="left"/>
              <w:rPr>
                <w:rFonts w:ascii="宋体" w:hAnsi="宋体" w:cs="宋体" w:eastAsia="宋体" w:hint="default"/>
                <w:sz w:val="18"/>
                <w:szCs w:val="18"/>
              </w:rPr>
            </w:pPr>
            <w:r>
              <w:rPr>
                <w:rFonts w:ascii="宋体" w:hAnsi="宋体" w:cs="宋体" w:eastAsia="宋体" w:hint="default"/>
                <w:sz w:val="18"/>
                <w:szCs w:val="18"/>
              </w:rPr>
              <w:t>计量类别</w:t>
            </w:r>
          </w:p>
        </w:tc>
        <w:tc>
          <w:tcPr>
            <w:tcW w:w="155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6"/>
              <w:ind w:left="414"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84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列报项目</w:t>
            </w:r>
          </w:p>
        </w:tc>
        <w:tc>
          <w:tcPr>
            <w:tcW w:w="241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6"/>
              <w:ind w:right="837"/>
              <w:jc w:val="right"/>
              <w:rPr>
                <w:rFonts w:ascii="宋体" w:hAnsi="宋体" w:cs="宋体" w:eastAsia="宋体" w:hint="default"/>
                <w:sz w:val="18"/>
                <w:szCs w:val="18"/>
              </w:rPr>
            </w:pPr>
            <w:r>
              <w:rPr>
                <w:rFonts w:ascii="宋体" w:hAnsi="宋体" w:cs="宋体" w:eastAsia="宋体" w:hint="default"/>
                <w:sz w:val="18"/>
                <w:szCs w:val="18"/>
              </w:rPr>
              <w:t>计量类别</w:t>
            </w:r>
          </w:p>
        </w:tc>
        <w:tc>
          <w:tcPr>
            <w:tcW w:w="149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6"/>
              <w:ind w:left="37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490" w:hRule="exact"/>
        </w:trPr>
        <w:tc>
          <w:tcPr>
            <w:tcW w:w="1131" w:type="dxa"/>
            <w:tcBorders>
              <w:top w:val="dotted" w:sz="4" w:space="0" w:color="000000"/>
              <w:left w:val="nil" w:sz="6" w:space="0" w:color="auto"/>
              <w:bottom w:val="dotted" w:sz="4" w:space="0" w:color="000000"/>
              <w:right w:val="dotted" w:sz="4" w:space="0" w:color="000000"/>
            </w:tcBorders>
          </w:tcPr>
          <w:p>
            <w:pPr>
              <w:pStyle w:val="TableParagraph"/>
              <w:spacing w:line="285" w:lineRule="auto" w:before="55"/>
              <w:ind w:left="108" w:right="101"/>
              <w:jc w:val="both"/>
              <w:rPr>
                <w:rFonts w:ascii="宋体" w:hAnsi="宋体" w:cs="宋体" w:eastAsia="宋体" w:hint="default"/>
                <w:sz w:val="18"/>
                <w:szCs w:val="18"/>
              </w:rPr>
            </w:pPr>
            <w:r>
              <w:rPr>
                <w:rFonts w:ascii="宋体" w:hAnsi="宋体" w:cs="宋体" w:eastAsia="宋体" w:hint="default"/>
                <w:spacing w:val="2"/>
                <w:sz w:val="18"/>
                <w:szCs w:val="18"/>
              </w:rPr>
              <w:t>以公允价值</w:t>
            </w:r>
            <w:r>
              <w:rPr>
                <w:rFonts w:ascii="宋体" w:hAnsi="宋体" w:cs="宋体" w:eastAsia="宋体" w:hint="default"/>
                <w:sz w:val="18"/>
                <w:szCs w:val="18"/>
              </w:rPr>
              <w:t> </w:t>
            </w:r>
            <w:r>
              <w:rPr>
                <w:rFonts w:ascii="宋体" w:hAnsi="宋体" w:cs="宋体" w:eastAsia="宋体" w:hint="default"/>
                <w:spacing w:val="2"/>
                <w:sz w:val="18"/>
                <w:szCs w:val="18"/>
              </w:rPr>
              <w:t>计量且其变</w:t>
            </w:r>
            <w:r>
              <w:rPr>
                <w:rFonts w:ascii="宋体" w:hAnsi="宋体" w:cs="宋体" w:eastAsia="宋体" w:hint="default"/>
                <w:sz w:val="18"/>
                <w:szCs w:val="18"/>
              </w:rPr>
              <w:t> </w:t>
            </w:r>
            <w:r>
              <w:rPr>
                <w:rFonts w:ascii="宋体" w:hAnsi="宋体" w:cs="宋体" w:eastAsia="宋体" w:hint="default"/>
                <w:spacing w:val="2"/>
                <w:sz w:val="18"/>
                <w:szCs w:val="18"/>
              </w:rPr>
              <w:t>动计入当期</w:t>
            </w:r>
            <w:r>
              <w:rPr>
                <w:rFonts w:ascii="宋体" w:hAnsi="宋体" w:cs="宋体" w:eastAsia="宋体" w:hint="default"/>
                <w:sz w:val="18"/>
                <w:szCs w:val="18"/>
              </w:rPr>
              <w:t> </w:t>
            </w:r>
            <w:r>
              <w:rPr>
                <w:rFonts w:ascii="宋体" w:hAnsi="宋体" w:cs="宋体" w:eastAsia="宋体" w:hint="default"/>
                <w:spacing w:val="2"/>
                <w:sz w:val="18"/>
                <w:szCs w:val="18"/>
              </w:rPr>
              <w:t>损益的金融</w:t>
            </w:r>
            <w:r>
              <w:rPr>
                <w:rFonts w:ascii="宋体" w:hAnsi="宋体" w:cs="宋体" w:eastAsia="宋体" w:hint="default"/>
                <w:sz w:val="18"/>
                <w:szCs w:val="18"/>
              </w:rPr>
              <w:t> 资产</w:t>
            </w:r>
          </w:p>
        </w:tc>
        <w:tc>
          <w:tcPr>
            <w:tcW w:w="14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25"/>
                <w:szCs w:val="25"/>
              </w:rPr>
            </w:pPr>
          </w:p>
          <w:p>
            <w:pPr>
              <w:pStyle w:val="TableParagraph"/>
              <w:spacing w:line="285" w:lineRule="auto"/>
              <w:ind w:left="165" w:right="164"/>
              <w:jc w:val="both"/>
              <w:rPr>
                <w:rFonts w:ascii="宋体" w:hAnsi="宋体" w:cs="宋体" w:eastAsia="宋体" w:hint="default"/>
                <w:sz w:val="18"/>
                <w:szCs w:val="18"/>
              </w:rPr>
            </w:pPr>
            <w:r>
              <w:rPr>
                <w:rFonts w:ascii="宋体" w:hAnsi="宋体" w:cs="宋体" w:eastAsia="宋体" w:hint="default"/>
                <w:sz w:val="18"/>
                <w:szCs w:val="18"/>
              </w:rPr>
              <w:t>以公允价值计 量且其变动计 入当期损益</w:t>
            </w:r>
          </w:p>
        </w:tc>
        <w:tc>
          <w:tcPr>
            <w:tcW w:w="1559" w:type="dxa"/>
            <w:tcBorders>
              <w:top w:val="dotted" w:sz="4" w:space="0" w:color="000000"/>
              <w:left w:val="dotted" w:sz="4" w:space="0" w:color="000000"/>
              <w:bottom w:val="dotted" w:sz="4" w:space="0" w:color="000000"/>
              <w:right w:val="dotted" w:sz="4" w:space="0" w:color="000000"/>
            </w:tcBorders>
          </w:tcPr>
          <w:p>
            <w:pPr/>
          </w:p>
        </w:tc>
        <w:tc>
          <w:tcPr>
            <w:tcW w:w="184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3"/>
              <w:ind w:right="0"/>
              <w:jc w:val="center"/>
              <w:rPr>
                <w:rFonts w:ascii="宋体" w:hAnsi="宋体" w:cs="宋体" w:eastAsia="宋体" w:hint="default"/>
                <w:sz w:val="18"/>
                <w:szCs w:val="18"/>
              </w:rPr>
            </w:pPr>
            <w:r>
              <w:rPr>
                <w:rFonts w:ascii="宋体" w:hAnsi="宋体" w:cs="宋体" w:eastAsia="宋体" w:hint="default"/>
                <w:sz w:val="18"/>
                <w:szCs w:val="18"/>
              </w:rPr>
              <w:t>交易性金融资产</w:t>
            </w:r>
          </w:p>
        </w:tc>
        <w:tc>
          <w:tcPr>
            <w:tcW w:w="241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18"/>
                <w:szCs w:val="18"/>
              </w:rPr>
            </w:pPr>
          </w:p>
          <w:p>
            <w:pPr>
              <w:pStyle w:val="TableParagraph"/>
              <w:spacing w:line="283" w:lineRule="auto"/>
              <w:ind w:left="749" w:right="117" w:hanging="629"/>
              <w:jc w:val="left"/>
              <w:rPr>
                <w:rFonts w:ascii="宋体" w:hAnsi="宋体" w:cs="宋体" w:eastAsia="宋体" w:hint="default"/>
                <w:sz w:val="18"/>
                <w:szCs w:val="18"/>
              </w:rPr>
            </w:pPr>
            <w:r>
              <w:rPr>
                <w:rFonts w:ascii="宋体" w:hAnsi="宋体" w:cs="宋体" w:eastAsia="宋体" w:hint="default"/>
                <w:sz w:val="18"/>
                <w:szCs w:val="18"/>
              </w:rPr>
              <w:t>以公允价值计量且其变动计 入当期损益</w:t>
            </w:r>
          </w:p>
        </w:tc>
        <w:tc>
          <w:tcPr>
            <w:tcW w:w="1490"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1,570,929,605.39</w:t>
            </w:r>
          </w:p>
        </w:tc>
      </w:tr>
      <w:tr>
        <w:trPr>
          <w:trHeight w:val="370" w:hRule="exact"/>
        </w:trPr>
        <w:tc>
          <w:tcPr>
            <w:tcW w:w="1131" w:type="dxa"/>
            <w:vMerge w:val="restart"/>
            <w:tcBorders>
              <w:top w:val="dotted" w:sz="4" w:space="0" w:color="000000"/>
              <w:left w:val="nil" w:sz="6" w:space="0" w:color="auto"/>
              <w:right w:val="dotted"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4"/>
              <w:ind w:left="108"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421" w:type="dxa"/>
            <w:vMerge w:val="restart"/>
            <w:tcBorders>
              <w:top w:val="dotted" w:sz="4" w:space="0" w:color="000000"/>
              <w:left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4"/>
              <w:ind w:left="345"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559" w:type="dxa"/>
            <w:vMerge w:val="restart"/>
            <w:tcBorders>
              <w:top w:val="dotted" w:sz="4" w:space="0" w:color="000000"/>
              <w:left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left="410" w:right="0"/>
              <w:jc w:val="left"/>
              <w:rPr>
                <w:rFonts w:ascii="Times New Roman" w:hAnsi="Times New Roman" w:cs="Times New Roman" w:eastAsia="Times New Roman" w:hint="default"/>
                <w:sz w:val="18"/>
                <w:szCs w:val="18"/>
              </w:rPr>
            </w:pPr>
            <w:r>
              <w:rPr>
                <w:rFonts w:ascii="Times New Roman"/>
                <w:sz w:val="18"/>
              </w:rPr>
              <w:t>41,882,197.77</w:t>
            </w:r>
          </w:p>
        </w:tc>
        <w:tc>
          <w:tcPr>
            <w:tcW w:w="184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应收票据</w:t>
            </w:r>
          </w:p>
        </w:tc>
        <w:tc>
          <w:tcPr>
            <w:tcW w:w="241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6"/>
              <w:ind w:right="837"/>
              <w:jc w:val="right"/>
              <w:rPr>
                <w:rFonts w:ascii="宋体" w:hAnsi="宋体" w:cs="宋体" w:eastAsia="宋体" w:hint="default"/>
                <w:sz w:val="18"/>
                <w:szCs w:val="18"/>
              </w:rPr>
            </w:pPr>
            <w:r>
              <w:rPr>
                <w:rFonts w:ascii="宋体" w:hAnsi="宋体" w:cs="宋体" w:eastAsia="宋体" w:hint="default"/>
                <w:sz w:val="18"/>
                <w:szCs w:val="18"/>
              </w:rPr>
              <w:t>摊余成本</w:t>
            </w:r>
          </w:p>
        </w:tc>
        <w:tc>
          <w:tcPr>
            <w:tcW w:w="149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5"/>
              <w:ind w:right="106"/>
              <w:jc w:val="right"/>
              <w:rPr>
                <w:rFonts w:ascii="Times New Roman" w:hAnsi="Times New Roman" w:cs="Times New Roman" w:eastAsia="Times New Roman" w:hint="default"/>
                <w:sz w:val="18"/>
                <w:szCs w:val="18"/>
              </w:rPr>
            </w:pPr>
            <w:r>
              <w:rPr>
                <w:rFonts w:ascii="Times New Roman"/>
                <w:spacing w:val="-1"/>
                <w:sz w:val="18"/>
              </w:rPr>
              <w:t>41,882,197.77</w:t>
            </w:r>
          </w:p>
        </w:tc>
      </w:tr>
      <w:tr>
        <w:trPr>
          <w:trHeight w:val="650" w:hRule="exact"/>
        </w:trPr>
        <w:tc>
          <w:tcPr>
            <w:tcW w:w="1131" w:type="dxa"/>
            <w:vMerge/>
            <w:tcBorders>
              <w:left w:val="nil" w:sz="6" w:space="0" w:color="auto"/>
              <w:bottom w:val="dotted" w:sz="4" w:space="0" w:color="000000"/>
              <w:right w:val="dotted" w:sz="4" w:space="0" w:color="000000"/>
            </w:tcBorders>
          </w:tcPr>
          <w:p>
            <w:pPr/>
          </w:p>
        </w:tc>
        <w:tc>
          <w:tcPr>
            <w:tcW w:w="1421" w:type="dxa"/>
            <w:vMerge/>
            <w:tcBorders>
              <w:left w:val="dotted" w:sz="4" w:space="0" w:color="000000"/>
              <w:bottom w:val="dotted" w:sz="4" w:space="0" w:color="000000"/>
              <w:right w:val="dotted" w:sz="4" w:space="0" w:color="000000"/>
            </w:tcBorders>
          </w:tcPr>
          <w:p>
            <w:pPr/>
          </w:p>
        </w:tc>
        <w:tc>
          <w:tcPr>
            <w:tcW w:w="1559" w:type="dxa"/>
            <w:vMerge/>
            <w:tcBorders>
              <w:left w:val="dotted" w:sz="4" w:space="0" w:color="000000"/>
              <w:bottom w:val="dotted" w:sz="4" w:space="0" w:color="000000"/>
              <w:right w:val="dotted" w:sz="4" w:space="0" w:color="000000"/>
            </w:tcBorders>
          </w:tcPr>
          <w:p>
            <w:pPr/>
          </w:p>
        </w:tc>
        <w:tc>
          <w:tcPr>
            <w:tcW w:w="184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应收款项融资</w:t>
            </w:r>
          </w:p>
        </w:tc>
        <w:tc>
          <w:tcPr>
            <w:tcW w:w="2410" w:type="dxa"/>
            <w:tcBorders>
              <w:top w:val="dotted" w:sz="4" w:space="0" w:color="000000"/>
              <w:left w:val="dotted" w:sz="4" w:space="0" w:color="000000"/>
              <w:bottom w:val="dotted" w:sz="4" w:space="0" w:color="000000"/>
              <w:right w:val="dotted" w:sz="4" w:space="0" w:color="000000"/>
            </w:tcBorders>
          </w:tcPr>
          <w:p>
            <w:pPr>
              <w:pStyle w:val="TableParagraph"/>
              <w:spacing w:line="283" w:lineRule="auto" w:before="55"/>
              <w:ind w:left="569" w:right="117" w:hanging="449"/>
              <w:jc w:val="left"/>
              <w:rPr>
                <w:rFonts w:ascii="宋体" w:hAnsi="宋体" w:cs="宋体" w:eastAsia="宋体" w:hint="default"/>
                <w:sz w:val="18"/>
                <w:szCs w:val="18"/>
              </w:rPr>
            </w:pPr>
            <w:r>
              <w:rPr>
                <w:rFonts w:ascii="宋体" w:hAnsi="宋体" w:cs="宋体" w:eastAsia="宋体" w:hint="default"/>
                <w:sz w:val="18"/>
                <w:szCs w:val="18"/>
              </w:rPr>
              <w:t>以公允价值计量且其变动计 入其他综合收益</w:t>
            </w:r>
          </w:p>
        </w:tc>
        <w:tc>
          <w:tcPr>
            <w:tcW w:w="1490" w:type="dxa"/>
            <w:tcBorders>
              <w:top w:val="dotted" w:sz="4" w:space="0" w:color="000000"/>
              <w:left w:val="dotted" w:sz="4" w:space="0" w:color="000000"/>
              <w:bottom w:val="dotted" w:sz="4" w:space="0" w:color="000000"/>
              <w:right w:val="nil" w:sz="6" w:space="0" w:color="auto"/>
            </w:tcBorders>
          </w:tcPr>
          <w:p>
            <w:pPr/>
          </w:p>
        </w:tc>
      </w:tr>
      <w:tr>
        <w:trPr>
          <w:trHeight w:val="370" w:hRule="exact"/>
        </w:trPr>
        <w:tc>
          <w:tcPr>
            <w:tcW w:w="1131" w:type="dxa"/>
            <w:vMerge w:val="restart"/>
            <w:tcBorders>
              <w:top w:val="dotted" w:sz="4" w:space="0" w:color="000000"/>
              <w:left w:val="nil" w:sz="6" w:space="0" w:color="auto"/>
              <w:right w:val="dotted"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4"/>
              <w:ind w:left="108"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421" w:type="dxa"/>
            <w:vMerge w:val="restart"/>
            <w:tcBorders>
              <w:top w:val="dotted" w:sz="4" w:space="0" w:color="000000"/>
              <w:left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4"/>
              <w:ind w:left="345"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559" w:type="dxa"/>
            <w:vMerge w:val="restart"/>
            <w:tcBorders>
              <w:top w:val="dotted" w:sz="4" w:space="0" w:color="000000"/>
              <w:left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left="193" w:right="0"/>
              <w:jc w:val="left"/>
              <w:rPr>
                <w:rFonts w:ascii="Times New Roman" w:hAnsi="Times New Roman" w:cs="Times New Roman" w:eastAsia="Times New Roman" w:hint="default"/>
                <w:sz w:val="18"/>
                <w:szCs w:val="18"/>
              </w:rPr>
            </w:pPr>
            <w:r>
              <w:rPr>
                <w:rFonts w:ascii="Times New Roman"/>
                <w:sz w:val="18"/>
              </w:rPr>
              <w:t>1,311,545,965.04</w:t>
            </w:r>
          </w:p>
        </w:tc>
        <w:tc>
          <w:tcPr>
            <w:tcW w:w="184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41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6"/>
              <w:ind w:right="837"/>
              <w:jc w:val="right"/>
              <w:rPr>
                <w:rFonts w:ascii="宋体" w:hAnsi="宋体" w:cs="宋体" w:eastAsia="宋体" w:hint="default"/>
                <w:sz w:val="18"/>
                <w:szCs w:val="18"/>
              </w:rPr>
            </w:pPr>
            <w:r>
              <w:rPr>
                <w:rFonts w:ascii="宋体" w:hAnsi="宋体" w:cs="宋体" w:eastAsia="宋体" w:hint="default"/>
                <w:sz w:val="18"/>
                <w:szCs w:val="18"/>
              </w:rPr>
              <w:t>摊余成本</w:t>
            </w:r>
          </w:p>
        </w:tc>
        <w:tc>
          <w:tcPr>
            <w:tcW w:w="149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5"/>
              <w:ind w:right="104"/>
              <w:jc w:val="right"/>
              <w:rPr>
                <w:rFonts w:ascii="Times New Roman" w:hAnsi="Times New Roman" w:cs="Times New Roman" w:eastAsia="Times New Roman" w:hint="default"/>
                <w:sz w:val="18"/>
                <w:szCs w:val="18"/>
              </w:rPr>
            </w:pPr>
            <w:r>
              <w:rPr>
                <w:rFonts w:ascii="Times New Roman"/>
                <w:spacing w:val="-1"/>
                <w:sz w:val="18"/>
              </w:rPr>
              <w:t>1,311,545,965.04</w:t>
            </w:r>
          </w:p>
        </w:tc>
      </w:tr>
      <w:tr>
        <w:trPr>
          <w:trHeight w:val="650" w:hRule="exact"/>
        </w:trPr>
        <w:tc>
          <w:tcPr>
            <w:tcW w:w="1131" w:type="dxa"/>
            <w:vMerge/>
            <w:tcBorders>
              <w:left w:val="nil" w:sz="6" w:space="0" w:color="auto"/>
              <w:bottom w:val="dotted" w:sz="4" w:space="0" w:color="000000"/>
              <w:right w:val="dotted" w:sz="4" w:space="0" w:color="000000"/>
            </w:tcBorders>
          </w:tcPr>
          <w:p>
            <w:pPr/>
          </w:p>
        </w:tc>
        <w:tc>
          <w:tcPr>
            <w:tcW w:w="1421" w:type="dxa"/>
            <w:vMerge/>
            <w:tcBorders>
              <w:left w:val="dotted" w:sz="4" w:space="0" w:color="000000"/>
              <w:bottom w:val="dotted" w:sz="4" w:space="0" w:color="000000"/>
              <w:right w:val="dotted" w:sz="4" w:space="0" w:color="000000"/>
            </w:tcBorders>
          </w:tcPr>
          <w:p>
            <w:pPr/>
          </w:p>
        </w:tc>
        <w:tc>
          <w:tcPr>
            <w:tcW w:w="1559" w:type="dxa"/>
            <w:vMerge/>
            <w:tcBorders>
              <w:left w:val="dotted" w:sz="4" w:space="0" w:color="000000"/>
              <w:bottom w:val="dotted" w:sz="4" w:space="0" w:color="000000"/>
              <w:right w:val="dotted" w:sz="4" w:space="0" w:color="000000"/>
            </w:tcBorders>
          </w:tcPr>
          <w:p>
            <w:pPr/>
          </w:p>
        </w:tc>
        <w:tc>
          <w:tcPr>
            <w:tcW w:w="184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应收款项融资</w:t>
            </w:r>
          </w:p>
        </w:tc>
        <w:tc>
          <w:tcPr>
            <w:tcW w:w="2410" w:type="dxa"/>
            <w:tcBorders>
              <w:top w:val="dotted" w:sz="4" w:space="0" w:color="000000"/>
              <w:left w:val="dotted" w:sz="4" w:space="0" w:color="000000"/>
              <w:bottom w:val="dotted" w:sz="4" w:space="0" w:color="000000"/>
              <w:right w:val="dotted" w:sz="4" w:space="0" w:color="000000"/>
            </w:tcBorders>
          </w:tcPr>
          <w:p>
            <w:pPr>
              <w:pStyle w:val="TableParagraph"/>
              <w:spacing w:line="283" w:lineRule="auto" w:before="55"/>
              <w:ind w:left="569" w:right="117" w:hanging="449"/>
              <w:jc w:val="left"/>
              <w:rPr>
                <w:rFonts w:ascii="宋体" w:hAnsi="宋体" w:cs="宋体" w:eastAsia="宋体" w:hint="default"/>
                <w:sz w:val="18"/>
                <w:szCs w:val="18"/>
              </w:rPr>
            </w:pPr>
            <w:r>
              <w:rPr>
                <w:rFonts w:ascii="宋体" w:hAnsi="宋体" w:cs="宋体" w:eastAsia="宋体" w:hint="default"/>
                <w:sz w:val="18"/>
                <w:szCs w:val="18"/>
              </w:rPr>
              <w:t>以公允价值计量且其变动计 入其他综合收益</w:t>
            </w:r>
          </w:p>
        </w:tc>
        <w:tc>
          <w:tcPr>
            <w:tcW w:w="1490" w:type="dxa"/>
            <w:tcBorders>
              <w:top w:val="dotted" w:sz="4" w:space="0" w:color="000000"/>
              <w:left w:val="dotted" w:sz="4" w:space="0" w:color="000000"/>
              <w:bottom w:val="dotted" w:sz="4" w:space="0" w:color="000000"/>
              <w:right w:val="nil" w:sz="6" w:space="0" w:color="auto"/>
            </w:tcBorders>
          </w:tcPr>
          <w:p>
            <w:pPr/>
          </w:p>
        </w:tc>
      </w:tr>
      <w:tr>
        <w:trPr>
          <w:trHeight w:val="370" w:hRule="exact"/>
        </w:trPr>
        <w:tc>
          <w:tcPr>
            <w:tcW w:w="113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6"/>
              <w:ind w:right="7"/>
              <w:jc w:val="center"/>
              <w:rPr>
                <w:rFonts w:ascii="宋体" w:hAnsi="宋体" w:cs="宋体" w:eastAsia="宋体" w:hint="default"/>
                <w:sz w:val="18"/>
                <w:szCs w:val="18"/>
              </w:rPr>
            </w:pPr>
            <w:r>
              <w:rPr>
                <w:rFonts w:ascii="宋体" w:hAnsi="宋体" w:cs="宋体" w:eastAsia="宋体" w:hint="default"/>
                <w:sz w:val="18"/>
                <w:szCs w:val="18"/>
              </w:rPr>
              <w:t>其他应收款</w:t>
            </w:r>
          </w:p>
        </w:tc>
        <w:tc>
          <w:tcPr>
            <w:tcW w:w="14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6"/>
              <w:ind w:left="345"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55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5"/>
              <w:ind w:right="99"/>
              <w:jc w:val="right"/>
              <w:rPr>
                <w:rFonts w:ascii="Times New Roman" w:hAnsi="Times New Roman" w:cs="Times New Roman" w:eastAsia="Times New Roman" w:hint="default"/>
                <w:sz w:val="18"/>
                <w:szCs w:val="18"/>
              </w:rPr>
            </w:pPr>
            <w:r>
              <w:rPr>
                <w:rFonts w:ascii="Times New Roman"/>
                <w:spacing w:val="-1"/>
                <w:sz w:val="18"/>
              </w:rPr>
              <w:t>109,691,755.92</w:t>
            </w:r>
          </w:p>
        </w:tc>
        <w:tc>
          <w:tcPr>
            <w:tcW w:w="184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其他应收款</w:t>
            </w:r>
          </w:p>
        </w:tc>
        <w:tc>
          <w:tcPr>
            <w:tcW w:w="241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6"/>
              <w:ind w:right="837"/>
              <w:jc w:val="right"/>
              <w:rPr>
                <w:rFonts w:ascii="宋体" w:hAnsi="宋体" w:cs="宋体" w:eastAsia="宋体" w:hint="default"/>
                <w:sz w:val="18"/>
                <w:szCs w:val="18"/>
              </w:rPr>
            </w:pPr>
            <w:r>
              <w:rPr>
                <w:rFonts w:ascii="宋体" w:hAnsi="宋体" w:cs="宋体" w:eastAsia="宋体" w:hint="default"/>
                <w:sz w:val="18"/>
                <w:szCs w:val="18"/>
              </w:rPr>
              <w:t>摊余成本</w:t>
            </w:r>
          </w:p>
        </w:tc>
        <w:tc>
          <w:tcPr>
            <w:tcW w:w="149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5"/>
              <w:ind w:right="104"/>
              <w:jc w:val="right"/>
              <w:rPr>
                <w:rFonts w:ascii="Times New Roman" w:hAnsi="Times New Roman" w:cs="Times New Roman" w:eastAsia="Times New Roman" w:hint="default"/>
                <w:sz w:val="18"/>
                <w:szCs w:val="18"/>
              </w:rPr>
            </w:pPr>
            <w:r>
              <w:rPr>
                <w:rFonts w:ascii="Times New Roman"/>
                <w:spacing w:val="-1"/>
                <w:sz w:val="18"/>
              </w:rPr>
              <w:t>109,691,755.92</w:t>
            </w:r>
          </w:p>
        </w:tc>
      </w:tr>
      <w:tr>
        <w:trPr>
          <w:trHeight w:val="1250" w:hRule="exact"/>
        </w:trPr>
        <w:tc>
          <w:tcPr>
            <w:tcW w:w="1131" w:type="dxa"/>
            <w:tcBorders>
              <w:top w:val="dotted" w:sz="4" w:space="0" w:color="000000"/>
              <w:left w:val="nil" w:sz="6" w:space="0" w:color="auto"/>
              <w:bottom w:val="dotted" w:sz="4" w:space="0" w:color="000000"/>
              <w:right w:val="dotted" w:sz="4" w:space="0" w:color="000000"/>
            </w:tcBorders>
          </w:tcPr>
          <w:p>
            <w:pPr>
              <w:pStyle w:val="TableParagraph"/>
              <w:spacing w:line="283" w:lineRule="auto" w:before="55"/>
              <w:ind w:left="108" w:right="101"/>
              <w:jc w:val="left"/>
              <w:rPr>
                <w:rFonts w:ascii="宋体" w:hAnsi="宋体" w:cs="宋体" w:eastAsia="宋体" w:hint="default"/>
                <w:sz w:val="18"/>
                <w:szCs w:val="18"/>
              </w:rPr>
            </w:pPr>
            <w:r>
              <w:rPr>
                <w:rFonts w:ascii="宋体" w:hAnsi="宋体" w:cs="宋体" w:eastAsia="宋体" w:hint="default"/>
                <w:spacing w:val="2"/>
                <w:sz w:val="18"/>
                <w:szCs w:val="18"/>
              </w:rPr>
              <w:t>持有至到期</w:t>
            </w:r>
            <w:r>
              <w:rPr>
                <w:rFonts w:ascii="宋体" w:hAnsi="宋体" w:cs="宋体" w:eastAsia="宋体" w:hint="default"/>
                <w:sz w:val="18"/>
                <w:szCs w:val="18"/>
              </w:rPr>
              <w:t> 投资</w:t>
            </w:r>
          </w:p>
          <w:p>
            <w:pPr>
              <w:pStyle w:val="TableParagraph"/>
              <w:spacing w:line="268" w:lineRule="auto" w:before="53"/>
              <w:ind w:left="108" w:right="101"/>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含</w:t>
            </w:r>
            <w:r>
              <w:rPr>
                <w:rFonts w:ascii="宋体" w:hAnsi="宋体" w:cs="宋体" w:eastAsia="宋体" w:hint="default"/>
                <w:spacing w:val="-57"/>
                <w:sz w:val="18"/>
                <w:szCs w:val="18"/>
              </w:rPr>
              <w:t> </w:t>
            </w:r>
            <w:r>
              <w:rPr>
                <w:rFonts w:ascii="宋体" w:hAnsi="宋体" w:cs="宋体" w:eastAsia="宋体" w:hint="default"/>
                <w:sz w:val="18"/>
                <w:szCs w:val="18"/>
              </w:rPr>
              <w:t>其</w:t>
            </w:r>
            <w:r>
              <w:rPr>
                <w:rFonts w:ascii="宋体" w:hAnsi="宋体" w:cs="宋体" w:eastAsia="宋体" w:hint="default"/>
                <w:spacing w:val="-57"/>
                <w:sz w:val="18"/>
                <w:szCs w:val="18"/>
              </w:rPr>
              <w:t> </w:t>
            </w:r>
            <w:r>
              <w:rPr>
                <w:rFonts w:ascii="宋体" w:hAnsi="宋体" w:cs="宋体" w:eastAsia="宋体" w:hint="default"/>
                <w:sz w:val="18"/>
                <w:szCs w:val="18"/>
              </w:rPr>
              <w:t>他</w:t>
            </w:r>
            <w:r>
              <w:rPr>
                <w:rFonts w:ascii="宋体" w:hAnsi="宋体" w:cs="宋体" w:eastAsia="宋体" w:hint="default"/>
                <w:spacing w:val="-57"/>
                <w:sz w:val="18"/>
                <w:szCs w:val="18"/>
              </w:rPr>
              <w:t> </w:t>
            </w:r>
            <w:r>
              <w:rPr>
                <w:rFonts w:ascii="宋体" w:hAnsi="宋体" w:cs="宋体" w:eastAsia="宋体" w:hint="default"/>
                <w:sz w:val="18"/>
                <w:szCs w:val="18"/>
              </w:rPr>
              <w:t>流</w:t>
            </w:r>
            <w:r>
              <w:rPr>
                <w:rFonts w:ascii="宋体" w:hAnsi="宋体" w:cs="宋体" w:eastAsia="宋体" w:hint="default"/>
                <w:w w:val="99"/>
                <w:sz w:val="18"/>
                <w:szCs w:val="18"/>
              </w:rPr>
              <w:t> </w:t>
            </w:r>
            <w:r>
              <w:rPr>
                <w:rFonts w:ascii="宋体" w:hAnsi="宋体" w:cs="宋体" w:eastAsia="宋体" w:hint="default"/>
                <w:sz w:val="18"/>
                <w:szCs w:val="18"/>
              </w:rPr>
              <w:t>动资产</w:t>
            </w:r>
            <w:r>
              <w:rPr>
                <w:rFonts w:ascii="Times New Roman" w:hAnsi="Times New Roman" w:cs="Times New Roman" w:eastAsia="Times New Roman" w:hint="default"/>
                <w:sz w:val="18"/>
                <w:szCs w:val="18"/>
              </w:rPr>
              <w:t>)</w:t>
            </w:r>
          </w:p>
        </w:tc>
        <w:tc>
          <w:tcPr>
            <w:tcW w:w="14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55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23"/>
                <w:szCs w:val="23"/>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1,570,929,605.39</w:t>
            </w:r>
          </w:p>
        </w:tc>
        <w:tc>
          <w:tcPr>
            <w:tcW w:w="184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债权投资</w:t>
            </w:r>
          </w:p>
          <w:p>
            <w:pPr>
              <w:pStyle w:val="TableParagraph"/>
              <w:spacing w:line="240" w:lineRule="auto" w:before="86"/>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含其他流动资产</w:t>
            </w:r>
            <w:r>
              <w:rPr>
                <w:rFonts w:ascii="Times New Roman" w:hAnsi="Times New Roman" w:cs="Times New Roman" w:eastAsia="Times New Roman" w:hint="default"/>
                <w:sz w:val="18"/>
                <w:szCs w:val="18"/>
              </w:rPr>
              <w:t>)</w:t>
            </w:r>
          </w:p>
        </w:tc>
        <w:tc>
          <w:tcPr>
            <w:tcW w:w="241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right="837"/>
              <w:jc w:val="right"/>
              <w:rPr>
                <w:rFonts w:ascii="宋体" w:hAnsi="宋体" w:cs="宋体" w:eastAsia="宋体" w:hint="default"/>
                <w:sz w:val="18"/>
                <w:szCs w:val="18"/>
              </w:rPr>
            </w:pPr>
            <w:r>
              <w:rPr>
                <w:rFonts w:ascii="宋体" w:hAnsi="宋体" w:cs="宋体" w:eastAsia="宋体" w:hint="default"/>
                <w:sz w:val="18"/>
                <w:szCs w:val="18"/>
              </w:rPr>
              <w:t>摊余成本</w:t>
            </w:r>
          </w:p>
        </w:tc>
        <w:tc>
          <w:tcPr>
            <w:tcW w:w="1490" w:type="dxa"/>
            <w:tcBorders>
              <w:top w:val="dotted" w:sz="4" w:space="0" w:color="000000"/>
              <w:left w:val="dotted" w:sz="4" w:space="0" w:color="000000"/>
              <w:bottom w:val="dotted" w:sz="4" w:space="0" w:color="000000"/>
              <w:right w:val="nil" w:sz="6" w:space="0" w:color="auto"/>
            </w:tcBorders>
          </w:tcPr>
          <w:p>
            <w:pPr/>
          </w:p>
        </w:tc>
      </w:tr>
      <w:tr>
        <w:trPr>
          <w:trHeight w:val="690" w:hRule="exact"/>
        </w:trPr>
        <w:tc>
          <w:tcPr>
            <w:tcW w:w="1131" w:type="dxa"/>
            <w:vMerge w:val="restart"/>
            <w:tcBorders>
              <w:top w:val="dotted" w:sz="4" w:space="0" w:color="000000"/>
              <w:left w:val="nil" w:sz="6" w:space="0" w:color="auto"/>
              <w:right w:val="dotted"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25"/>
                <w:szCs w:val="25"/>
              </w:rPr>
            </w:pPr>
          </w:p>
          <w:p>
            <w:pPr>
              <w:pStyle w:val="TableParagraph"/>
              <w:spacing w:line="285" w:lineRule="auto"/>
              <w:ind w:left="108" w:right="101"/>
              <w:jc w:val="left"/>
              <w:rPr>
                <w:rFonts w:ascii="宋体" w:hAnsi="宋体" w:cs="宋体" w:eastAsia="宋体" w:hint="default"/>
                <w:sz w:val="18"/>
                <w:szCs w:val="18"/>
              </w:rPr>
            </w:pPr>
            <w:r>
              <w:rPr>
                <w:rFonts w:ascii="宋体" w:hAnsi="宋体" w:cs="宋体" w:eastAsia="宋体" w:hint="default"/>
                <w:spacing w:val="2"/>
                <w:sz w:val="18"/>
                <w:szCs w:val="18"/>
              </w:rPr>
              <w:t>可供出售金</w:t>
            </w:r>
            <w:r>
              <w:rPr>
                <w:rFonts w:ascii="宋体" w:hAnsi="宋体" w:cs="宋体" w:eastAsia="宋体" w:hint="default"/>
                <w:sz w:val="18"/>
                <w:szCs w:val="18"/>
              </w:rPr>
              <w:t> 融资产</w:t>
            </w:r>
          </w:p>
          <w:p>
            <w:pPr>
              <w:pStyle w:val="TableParagraph"/>
              <w:spacing w:line="271" w:lineRule="auto" w:before="49"/>
              <w:ind w:left="108" w:right="101"/>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含</w:t>
            </w:r>
            <w:r>
              <w:rPr>
                <w:rFonts w:ascii="宋体" w:hAnsi="宋体" w:cs="宋体" w:eastAsia="宋体" w:hint="default"/>
                <w:spacing w:val="-57"/>
                <w:sz w:val="18"/>
                <w:szCs w:val="18"/>
              </w:rPr>
              <w:t> </w:t>
            </w:r>
            <w:r>
              <w:rPr>
                <w:rFonts w:ascii="宋体" w:hAnsi="宋体" w:cs="宋体" w:eastAsia="宋体" w:hint="default"/>
                <w:sz w:val="18"/>
                <w:szCs w:val="18"/>
              </w:rPr>
              <w:t>其</w:t>
            </w:r>
            <w:r>
              <w:rPr>
                <w:rFonts w:ascii="宋体" w:hAnsi="宋体" w:cs="宋体" w:eastAsia="宋体" w:hint="default"/>
                <w:spacing w:val="-57"/>
                <w:sz w:val="18"/>
                <w:szCs w:val="18"/>
              </w:rPr>
              <w:t> </w:t>
            </w:r>
            <w:r>
              <w:rPr>
                <w:rFonts w:ascii="宋体" w:hAnsi="宋体" w:cs="宋体" w:eastAsia="宋体" w:hint="default"/>
                <w:sz w:val="18"/>
                <w:szCs w:val="18"/>
              </w:rPr>
              <w:t>他</w:t>
            </w:r>
            <w:r>
              <w:rPr>
                <w:rFonts w:ascii="宋体" w:hAnsi="宋体" w:cs="宋体" w:eastAsia="宋体" w:hint="default"/>
                <w:spacing w:val="-57"/>
                <w:sz w:val="18"/>
                <w:szCs w:val="18"/>
              </w:rPr>
              <w:t> </w:t>
            </w:r>
            <w:r>
              <w:rPr>
                <w:rFonts w:ascii="宋体" w:hAnsi="宋体" w:cs="宋体" w:eastAsia="宋体" w:hint="default"/>
                <w:sz w:val="18"/>
                <w:szCs w:val="18"/>
              </w:rPr>
              <w:t>流</w:t>
            </w:r>
            <w:r>
              <w:rPr>
                <w:rFonts w:ascii="宋体" w:hAnsi="宋体" w:cs="宋体" w:eastAsia="宋体" w:hint="default"/>
                <w:w w:val="99"/>
                <w:sz w:val="18"/>
                <w:szCs w:val="18"/>
              </w:rPr>
              <w:t> </w:t>
            </w:r>
            <w:r>
              <w:rPr>
                <w:rFonts w:ascii="宋体" w:hAnsi="宋体" w:cs="宋体" w:eastAsia="宋体" w:hint="default"/>
                <w:sz w:val="18"/>
                <w:szCs w:val="18"/>
              </w:rPr>
              <w:t>动资产</w:t>
            </w:r>
            <w:r>
              <w:rPr>
                <w:rFonts w:ascii="Times New Roman" w:hAnsi="Times New Roman" w:cs="Times New Roman" w:eastAsia="Times New Roman" w:hint="default"/>
                <w:sz w:val="18"/>
                <w:szCs w:val="18"/>
              </w:rPr>
              <w:t>)</w:t>
            </w:r>
          </w:p>
        </w:tc>
        <w:tc>
          <w:tcPr>
            <w:tcW w:w="1421" w:type="dxa"/>
            <w:vMerge w:val="restart"/>
            <w:tcBorders>
              <w:top w:val="dotted" w:sz="4" w:space="0" w:color="000000"/>
              <w:left w:val="dotted" w:sz="4" w:space="0" w:color="000000"/>
              <w:right w:val="dotted" w:sz="4" w:space="0" w:color="000000"/>
            </w:tcBorders>
          </w:tcPr>
          <w:p>
            <w:pPr>
              <w:pStyle w:val="TableParagraph"/>
              <w:spacing w:line="285" w:lineRule="auto" w:before="140"/>
              <w:ind w:left="165" w:right="164"/>
              <w:jc w:val="both"/>
              <w:rPr>
                <w:rFonts w:ascii="Times New Roman" w:hAnsi="Times New Roman" w:cs="Times New Roman" w:eastAsia="Times New Roman" w:hint="default"/>
                <w:sz w:val="18"/>
                <w:szCs w:val="18"/>
              </w:rPr>
            </w:pPr>
            <w:r>
              <w:rPr>
                <w:rFonts w:ascii="宋体" w:hAnsi="宋体" w:cs="宋体" w:eastAsia="宋体" w:hint="default"/>
                <w:sz w:val="18"/>
                <w:szCs w:val="18"/>
              </w:rPr>
              <w:t>以公允价值计 量且其变动计 入其他综合收 益</w:t>
            </w:r>
            <w:r>
              <w:rPr>
                <w:rFonts w:ascii="Times New Roman" w:hAnsi="Times New Roman" w:cs="Times New Roman" w:eastAsia="Times New Roman" w:hint="default"/>
                <w:sz w:val="18"/>
                <w:szCs w:val="18"/>
              </w:rPr>
              <w:t>(</w:t>
            </w:r>
            <w:r>
              <w:rPr>
                <w:rFonts w:ascii="宋体" w:hAnsi="宋体" w:cs="宋体" w:eastAsia="宋体" w:hint="default"/>
                <w:sz w:val="18"/>
                <w:szCs w:val="18"/>
              </w:rPr>
              <w:t>债务工具</w:t>
            </w:r>
            <w:r>
              <w:rPr>
                <w:rFonts w:ascii="Times New Roman" w:hAnsi="Times New Roman" w:cs="Times New Roman" w:eastAsia="Times New Roman" w:hint="default"/>
                <w:sz w:val="18"/>
                <w:szCs w:val="18"/>
              </w:rPr>
              <w:t>)</w:t>
            </w:r>
          </w:p>
        </w:tc>
        <w:tc>
          <w:tcPr>
            <w:tcW w:w="1559" w:type="dxa"/>
            <w:vMerge w:val="restart"/>
            <w:tcBorders>
              <w:top w:val="dotted" w:sz="4" w:space="0" w:color="000000"/>
              <w:left w:val="dotted" w:sz="4" w:space="0" w:color="000000"/>
              <w:right w:val="dotted" w:sz="4" w:space="0" w:color="000000"/>
            </w:tcBorders>
          </w:tcPr>
          <w:p>
            <w:pPr/>
          </w:p>
        </w:tc>
        <w:tc>
          <w:tcPr>
            <w:tcW w:w="184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债权投资</w:t>
            </w:r>
          </w:p>
          <w:p>
            <w:pPr>
              <w:pStyle w:val="TableParagraph"/>
              <w:spacing w:line="240" w:lineRule="auto" w:before="83"/>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含其他流动资产</w:t>
            </w:r>
            <w:r>
              <w:rPr>
                <w:rFonts w:ascii="Times New Roman" w:hAnsi="Times New Roman" w:cs="Times New Roman" w:eastAsia="Times New Roman" w:hint="default"/>
                <w:sz w:val="18"/>
                <w:szCs w:val="18"/>
              </w:rPr>
              <w:t>)</w:t>
            </w:r>
          </w:p>
        </w:tc>
        <w:tc>
          <w:tcPr>
            <w:tcW w:w="241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b/>
                <w:bCs/>
                <w:sz w:val="16"/>
                <w:szCs w:val="16"/>
              </w:rPr>
            </w:pPr>
          </w:p>
          <w:p>
            <w:pPr>
              <w:pStyle w:val="TableParagraph"/>
              <w:spacing w:line="240" w:lineRule="auto"/>
              <w:ind w:right="837"/>
              <w:jc w:val="right"/>
              <w:rPr>
                <w:rFonts w:ascii="宋体" w:hAnsi="宋体" w:cs="宋体" w:eastAsia="宋体" w:hint="default"/>
                <w:sz w:val="18"/>
                <w:szCs w:val="18"/>
              </w:rPr>
            </w:pPr>
            <w:r>
              <w:rPr>
                <w:rFonts w:ascii="宋体" w:hAnsi="宋体" w:cs="宋体" w:eastAsia="宋体" w:hint="default"/>
                <w:sz w:val="18"/>
                <w:szCs w:val="18"/>
              </w:rPr>
              <w:t>摊余成本</w:t>
            </w:r>
          </w:p>
        </w:tc>
        <w:tc>
          <w:tcPr>
            <w:tcW w:w="1490" w:type="dxa"/>
            <w:tcBorders>
              <w:top w:val="dotted" w:sz="4" w:space="0" w:color="000000"/>
              <w:left w:val="dotted" w:sz="4" w:space="0" w:color="000000"/>
              <w:bottom w:val="dotted" w:sz="4" w:space="0" w:color="000000"/>
              <w:right w:val="nil" w:sz="6" w:space="0" w:color="auto"/>
            </w:tcBorders>
          </w:tcPr>
          <w:p>
            <w:pPr/>
          </w:p>
        </w:tc>
      </w:tr>
      <w:tr>
        <w:trPr>
          <w:trHeight w:val="690" w:hRule="exact"/>
        </w:trPr>
        <w:tc>
          <w:tcPr>
            <w:tcW w:w="1131" w:type="dxa"/>
            <w:vMerge/>
            <w:tcBorders>
              <w:left w:val="nil" w:sz="6" w:space="0" w:color="auto"/>
              <w:right w:val="dotted" w:sz="4" w:space="0" w:color="000000"/>
            </w:tcBorders>
          </w:tcPr>
          <w:p>
            <w:pPr/>
          </w:p>
        </w:tc>
        <w:tc>
          <w:tcPr>
            <w:tcW w:w="1421" w:type="dxa"/>
            <w:vMerge/>
            <w:tcBorders>
              <w:left w:val="dotted" w:sz="4" w:space="0" w:color="000000"/>
              <w:bottom w:val="dotted" w:sz="4" w:space="0" w:color="000000"/>
              <w:right w:val="dotted" w:sz="4" w:space="0" w:color="000000"/>
            </w:tcBorders>
          </w:tcPr>
          <w:p>
            <w:pPr/>
          </w:p>
        </w:tc>
        <w:tc>
          <w:tcPr>
            <w:tcW w:w="1559" w:type="dxa"/>
            <w:vMerge/>
            <w:tcBorders>
              <w:left w:val="dotted" w:sz="4" w:space="0" w:color="000000"/>
              <w:bottom w:val="dotted" w:sz="4" w:space="0" w:color="000000"/>
              <w:right w:val="dotted" w:sz="4" w:space="0" w:color="000000"/>
            </w:tcBorders>
          </w:tcPr>
          <w:p>
            <w:pPr/>
          </w:p>
        </w:tc>
        <w:tc>
          <w:tcPr>
            <w:tcW w:w="184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4"/>
              <w:ind w:right="1"/>
              <w:jc w:val="center"/>
              <w:rPr>
                <w:rFonts w:ascii="宋体" w:hAnsi="宋体" w:cs="宋体" w:eastAsia="宋体" w:hint="default"/>
                <w:sz w:val="18"/>
                <w:szCs w:val="18"/>
              </w:rPr>
            </w:pPr>
            <w:r>
              <w:rPr>
                <w:rFonts w:ascii="宋体" w:hAnsi="宋体" w:cs="宋体" w:eastAsia="宋体" w:hint="default"/>
                <w:sz w:val="18"/>
                <w:szCs w:val="18"/>
              </w:rPr>
              <w:t>其他债权投资</w:t>
            </w:r>
          </w:p>
          <w:p>
            <w:pPr>
              <w:pStyle w:val="TableParagraph"/>
              <w:spacing w:line="240" w:lineRule="auto" w:before="83"/>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含其他流动资产</w:t>
            </w:r>
            <w:r>
              <w:rPr>
                <w:rFonts w:ascii="Times New Roman" w:hAnsi="Times New Roman" w:cs="Times New Roman" w:eastAsia="Times New Roman" w:hint="default"/>
                <w:sz w:val="18"/>
                <w:szCs w:val="18"/>
              </w:rPr>
              <w:t>)</w:t>
            </w:r>
          </w:p>
        </w:tc>
        <w:tc>
          <w:tcPr>
            <w:tcW w:w="2410" w:type="dxa"/>
            <w:tcBorders>
              <w:top w:val="dotted" w:sz="4" w:space="0" w:color="000000"/>
              <w:left w:val="dotted" w:sz="4" w:space="0" w:color="000000"/>
              <w:bottom w:val="dotted" w:sz="4" w:space="0" w:color="000000"/>
              <w:right w:val="dotted" w:sz="4" w:space="0" w:color="000000"/>
            </w:tcBorders>
          </w:tcPr>
          <w:p>
            <w:pPr>
              <w:pStyle w:val="TableParagraph"/>
              <w:spacing w:line="285" w:lineRule="auto" w:before="74"/>
              <w:ind w:left="569" w:right="117" w:hanging="449"/>
              <w:jc w:val="left"/>
              <w:rPr>
                <w:rFonts w:ascii="宋体" w:hAnsi="宋体" w:cs="宋体" w:eastAsia="宋体" w:hint="default"/>
                <w:sz w:val="18"/>
                <w:szCs w:val="18"/>
              </w:rPr>
            </w:pPr>
            <w:r>
              <w:rPr>
                <w:rFonts w:ascii="宋体" w:hAnsi="宋体" w:cs="宋体" w:eastAsia="宋体" w:hint="default"/>
                <w:sz w:val="18"/>
                <w:szCs w:val="18"/>
              </w:rPr>
              <w:t>以公允价值计量且其变动计 入其他综合收益</w:t>
            </w:r>
          </w:p>
        </w:tc>
        <w:tc>
          <w:tcPr>
            <w:tcW w:w="1490" w:type="dxa"/>
            <w:tcBorders>
              <w:top w:val="dotted" w:sz="4" w:space="0" w:color="000000"/>
              <w:left w:val="dotted" w:sz="4" w:space="0" w:color="000000"/>
              <w:bottom w:val="dotted" w:sz="4" w:space="0" w:color="000000"/>
              <w:right w:val="nil" w:sz="6" w:space="0" w:color="auto"/>
            </w:tcBorders>
          </w:tcPr>
          <w:p>
            <w:pPr/>
          </w:p>
        </w:tc>
      </w:tr>
      <w:tr>
        <w:trPr>
          <w:trHeight w:val="370" w:hRule="exact"/>
        </w:trPr>
        <w:tc>
          <w:tcPr>
            <w:tcW w:w="1131" w:type="dxa"/>
            <w:vMerge/>
            <w:tcBorders>
              <w:left w:val="nil" w:sz="6" w:space="0" w:color="auto"/>
              <w:right w:val="dotted" w:sz="4" w:space="0" w:color="000000"/>
            </w:tcBorders>
          </w:tcPr>
          <w:p>
            <w:pPr/>
          </w:p>
        </w:tc>
        <w:tc>
          <w:tcPr>
            <w:tcW w:w="1421" w:type="dxa"/>
            <w:vMerge w:val="restart"/>
            <w:tcBorders>
              <w:top w:val="dotted" w:sz="4" w:space="0" w:color="000000"/>
              <w:left w:val="dotted" w:sz="4" w:space="0" w:color="000000"/>
              <w:right w:val="dotted" w:sz="4" w:space="0" w:color="000000"/>
            </w:tcBorders>
          </w:tcPr>
          <w:p>
            <w:pPr>
              <w:pStyle w:val="TableParagraph"/>
              <w:spacing w:line="285" w:lineRule="auto" w:before="144"/>
              <w:ind w:left="151" w:right="149" w:firstLine="14"/>
              <w:jc w:val="both"/>
              <w:rPr>
                <w:rFonts w:ascii="Times New Roman" w:hAnsi="Times New Roman" w:cs="Times New Roman" w:eastAsia="Times New Roman" w:hint="default"/>
                <w:sz w:val="18"/>
                <w:szCs w:val="18"/>
              </w:rPr>
            </w:pPr>
            <w:r>
              <w:rPr>
                <w:rFonts w:ascii="宋体" w:hAnsi="宋体" w:cs="宋体" w:eastAsia="宋体" w:hint="default"/>
                <w:sz w:val="18"/>
                <w:szCs w:val="18"/>
              </w:rPr>
              <w:t>以公允价值计 量且其变动计 入其他综合收 益</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权益工具</w:t>
            </w:r>
            <w:r>
              <w:rPr>
                <w:rFonts w:ascii="Times New Roman" w:hAnsi="Times New Roman" w:cs="Times New Roman" w:eastAsia="Times New Roman" w:hint="default"/>
                <w:sz w:val="18"/>
                <w:szCs w:val="18"/>
              </w:rPr>
              <w:t>)</w:t>
            </w:r>
          </w:p>
        </w:tc>
        <w:tc>
          <w:tcPr>
            <w:tcW w:w="1559" w:type="dxa"/>
            <w:vMerge w:val="restart"/>
            <w:tcBorders>
              <w:top w:val="dotted" w:sz="4" w:space="0" w:color="000000"/>
              <w:left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6"/>
              <w:ind w:left="321" w:right="0"/>
              <w:jc w:val="left"/>
              <w:rPr>
                <w:rFonts w:ascii="Times New Roman" w:hAnsi="Times New Roman" w:cs="Times New Roman" w:eastAsia="Times New Roman" w:hint="default"/>
                <w:sz w:val="18"/>
                <w:szCs w:val="18"/>
              </w:rPr>
            </w:pPr>
            <w:r>
              <w:rPr>
                <w:rFonts w:ascii="Times New Roman"/>
                <w:sz w:val="18"/>
              </w:rPr>
              <w:t>843,295,785.40</w:t>
            </w:r>
          </w:p>
        </w:tc>
        <w:tc>
          <w:tcPr>
            <w:tcW w:w="184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交易性金融资产</w:t>
            </w:r>
          </w:p>
        </w:tc>
        <w:tc>
          <w:tcPr>
            <w:tcW w:w="2410" w:type="dxa"/>
            <w:vMerge w:val="restart"/>
            <w:tcBorders>
              <w:top w:val="dotted" w:sz="4" w:space="0" w:color="000000"/>
              <w:left w:val="dotted" w:sz="4" w:space="0" w:color="000000"/>
              <w:right w:val="dotted" w:sz="4" w:space="0" w:color="000000"/>
            </w:tcBorders>
          </w:tcPr>
          <w:p>
            <w:pPr>
              <w:pStyle w:val="TableParagraph"/>
              <w:spacing w:line="285" w:lineRule="auto" w:before="99"/>
              <w:ind w:left="749" w:right="117" w:hanging="629"/>
              <w:jc w:val="left"/>
              <w:rPr>
                <w:rFonts w:ascii="宋体" w:hAnsi="宋体" w:cs="宋体" w:eastAsia="宋体" w:hint="default"/>
                <w:sz w:val="18"/>
                <w:szCs w:val="18"/>
              </w:rPr>
            </w:pPr>
            <w:r>
              <w:rPr>
                <w:rFonts w:ascii="宋体" w:hAnsi="宋体" w:cs="宋体" w:eastAsia="宋体" w:hint="default"/>
                <w:sz w:val="18"/>
                <w:szCs w:val="18"/>
              </w:rPr>
              <w:t>以公允价值计量且其变动计 入当期损益</w:t>
            </w:r>
          </w:p>
        </w:tc>
        <w:tc>
          <w:tcPr>
            <w:tcW w:w="1490" w:type="dxa"/>
            <w:tcBorders>
              <w:top w:val="dotted" w:sz="4" w:space="0" w:color="000000"/>
              <w:left w:val="dotted" w:sz="4" w:space="0" w:color="000000"/>
              <w:bottom w:val="dotted" w:sz="4" w:space="0" w:color="000000"/>
              <w:right w:val="nil" w:sz="6" w:space="0" w:color="auto"/>
            </w:tcBorders>
          </w:tcPr>
          <w:p>
            <w:pPr/>
          </w:p>
        </w:tc>
      </w:tr>
      <w:tr>
        <w:trPr>
          <w:trHeight w:val="370" w:hRule="exact"/>
        </w:trPr>
        <w:tc>
          <w:tcPr>
            <w:tcW w:w="1131" w:type="dxa"/>
            <w:vMerge/>
            <w:tcBorders>
              <w:left w:val="nil" w:sz="6" w:space="0" w:color="auto"/>
              <w:right w:val="dotted" w:sz="4" w:space="0" w:color="000000"/>
            </w:tcBorders>
          </w:tcPr>
          <w:p>
            <w:pPr/>
          </w:p>
        </w:tc>
        <w:tc>
          <w:tcPr>
            <w:tcW w:w="1421" w:type="dxa"/>
            <w:vMerge/>
            <w:tcBorders>
              <w:left w:val="dotted" w:sz="4" w:space="0" w:color="000000"/>
              <w:right w:val="dotted" w:sz="4" w:space="0" w:color="000000"/>
            </w:tcBorders>
          </w:tcPr>
          <w:p>
            <w:pPr/>
          </w:p>
        </w:tc>
        <w:tc>
          <w:tcPr>
            <w:tcW w:w="1559" w:type="dxa"/>
            <w:vMerge/>
            <w:tcBorders>
              <w:left w:val="dotted" w:sz="4" w:space="0" w:color="000000"/>
              <w:right w:val="dotted" w:sz="4" w:space="0" w:color="000000"/>
            </w:tcBorders>
          </w:tcPr>
          <w:p>
            <w:pPr/>
          </w:p>
        </w:tc>
        <w:tc>
          <w:tcPr>
            <w:tcW w:w="184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2410" w:type="dxa"/>
            <w:vMerge/>
            <w:tcBorders>
              <w:left w:val="dotted" w:sz="4" w:space="0" w:color="000000"/>
              <w:bottom w:val="dotted" w:sz="4" w:space="0" w:color="000000"/>
              <w:right w:val="dotted" w:sz="4" w:space="0" w:color="000000"/>
            </w:tcBorders>
          </w:tcPr>
          <w:p>
            <w:pPr/>
          </w:p>
        </w:tc>
        <w:tc>
          <w:tcPr>
            <w:tcW w:w="1490" w:type="dxa"/>
            <w:tcBorders>
              <w:top w:val="dotted" w:sz="4" w:space="0" w:color="000000"/>
              <w:left w:val="dotted" w:sz="4" w:space="0" w:color="000000"/>
              <w:bottom w:val="dotted" w:sz="4" w:space="0" w:color="000000"/>
              <w:right w:val="nil" w:sz="6" w:space="0" w:color="auto"/>
            </w:tcBorders>
          </w:tcPr>
          <w:p>
            <w:pPr/>
          </w:p>
        </w:tc>
      </w:tr>
      <w:tr>
        <w:trPr>
          <w:trHeight w:val="650" w:hRule="exact"/>
        </w:trPr>
        <w:tc>
          <w:tcPr>
            <w:tcW w:w="1131" w:type="dxa"/>
            <w:vMerge/>
            <w:tcBorders>
              <w:left w:val="nil" w:sz="6" w:space="0" w:color="auto"/>
              <w:right w:val="dotted" w:sz="4" w:space="0" w:color="000000"/>
            </w:tcBorders>
          </w:tcPr>
          <w:p>
            <w:pPr/>
          </w:p>
        </w:tc>
        <w:tc>
          <w:tcPr>
            <w:tcW w:w="1421" w:type="dxa"/>
            <w:vMerge/>
            <w:tcBorders>
              <w:left w:val="dotted" w:sz="4" w:space="0" w:color="000000"/>
              <w:bottom w:val="dotted" w:sz="4" w:space="0" w:color="000000"/>
              <w:right w:val="dotted" w:sz="4" w:space="0" w:color="000000"/>
            </w:tcBorders>
          </w:tcPr>
          <w:p>
            <w:pPr/>
          </w:p>
        </w:tc>
        <w:tc>
          <w:tcPr>
            <w:tcW w:w="1559" w:type="dxa"/>
            <w:vMerge/>
            <w:tcBorders>
              <w:left w:val="dotted" w:sz="4" w:space="0" w:color="000000"/>
              <w:bottom w:val="dotted" w:sz="4" w:space="0" w:color="000000"/>
              <w:right w:val="dotted" w:sz="4" w:space="0" w:color="000000"/>
            </w:tcBorders>
          </w:tcPr>
          <w:p>
            <w:pPr/>
          </w:p>
        </w:tc>
        <w:tc>
          <w:tcPr>
            <w:tcW w:w="184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410" w:type="dxa"/>
            <w:tcBorders>
              <w:top w:val="dotted" w:sz="4" w:space="0" w:color="000000"/>
              <w:left w:val="dotted" w:sz="4" w:space="0" w:color="000000"/>
              <w:bottom w:val="dotted" w:sz="4" w:space="0" w:color="000000"/>
              <w:right w:val="dotted" w:sz="4" w:space="0" w:color="000000"/>
            </w:tcBorders>
          </w:tcPr>
          <w:p>
            <w:pPr>
              <w:pStyle w:val="TableParagraph"/>
              <w:spacing w:line="285" w:lineRule="auto" w:before="55"/>
              <w:ind w:left="569" w:right="117" w:hanging="449"/>
              <w:jc w:val="left"/>
              <w:rPr>
                <w:rFonts w:ascii="宋体" w:hAnsi="宋体" w:cs="宋体" w:eastAsia="宋体" w:hint="default"/>
                <w:sz w:val="18"/>
                <w:szCs w:val="18"/>
              </w:rPr>
            </w:pPr>
            <w:r>
              <w:rPr>
                <w:rFonts w:ascii="宋体" w:hAnsi="宋体" w:cs="宋体" w:eastAsia="宋体" w:hint="default"/>
                <w:sz w:val="18"/>
                <w:szCs w:val="18"/>
              </w:rPr>
              <w:t>以公允价值计量且其变动计 入其他综合收益</w:t>
            </w:r>
          </w:p>
        </w:tc>
        <w:tc>
          <w:tcPr>
            <w:tcW w:w="149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843,295,785.40</w:t>
            </w:r>
          </w:p>
        </w:tc>
      </w:tr>
      <w:tr>
        <w:trPr>
          <w:trHeight w:val="370" w:hRule="exact"/>
        </w:trPr>
        <w:tc>
          <w:tcPr>
            <w:tcW w:w="1131" w:type="dxa"/>
            <w:vMerge/>
            <w:tcBorders>
              <w:left w:val="nil" w:sz="6" w:space="0" w:color="auto"/>
              <w:right w:val="dotted" w:sz="4" w:space="0" w:color="000000"/>
            </w:tcBorders>
          </w:tcPr>
          <w:p>
            <w:pPr/>
          </w:p>
        </w:tc>
        <w:tc>
          <w:tcPr>
            <w:tcW w:w="1421" w:type="dxa"/>
            <w:vMerge w:val="restart"/>
            <w:tcBorders>
              <w:top w:val="dotted" w:sz="4" w:space="0" w:color="000000"/>
              <w:left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4"/>
                <w:szCs w:val="14"/>
              </w:rPr>
            </w:pPr>
          </w:p>
          <w:p>
            <w:pPr>
              <w:pStyle w:val="TableParagraph"/>
              <w:spacing w:line="271" w:lineRule="auto"/>
              <w:ind w:left="405" w:right="135" w:hanging="269"/>
              <w:jc w:val="left"/>
              <w:rPr>
                <w:rFonts w:ascii="Times New Roman" w:hAnsi="Times New Roman" w:cs="Times New Roman" w:eastAsia="Times New Roman" w:hint="default"/>
                <w:sz w:val="18"/>
                <w:szCs w:val="18"/>
              </w:rPr>
            </w:pPr>
            <w:r>
              <w:rPr>
                <w:rFonts w:ascii="宋体" w:hAnsi="宋体" w:cs="宋体" w:eastAsia="宋体" w:hint="default"/>
                <w:sz w:val="18"/>
                <w:szCs w:val="18"/>
              </w:rPr>
              <w:t>以成本计量</w:t>
            </w:r>
            <w:r>
              <w:rPr>
                <w:rFonts w:ascii="Times New Roman" w:hAnsi="Times New Roman" w:cs="Times New Roman" w:eastAsia="Times New Roman" w:hint="default"/>
                <w:sz w:val="18"/>
                <w:szCs w:val="18"/>
              </w:rPr>
              <w:t>(</w:t>
            </w:r>
            <w:r>
              <w:rPr>
                <w:rFonts w:ascii="宋体" w:hAnsi="宋体" w:cs="宋体" w:eastAsia="宋体" w:hint="default"/>
                <w:sz w:val="18"/>
                <w:szCs w:val="18"/>
              </w:rPr>
              <w:t>权 益工具</w:t>
            </w:r>
            <w:r>
              <w:rPr>
                <w:rFonts w:ascii="Times New Roman" w:hAnsi="Times New Roman" w:cs="Times New Roman" w:eastAsia="Times New Roman" w:hint="default"/>
                <w:sz w:val="18"/>
                <w:szCs w:val="18"/>
              </w:rPr>
              <w:t>)</w:t>
            </w:r>
          </w:p>
        </w:tc>
        <w:tc>
          <w:tcPr>
            <w:tcW w:w="1559" w:type="dxa"/>
            <w:vMerge w:val="restart"/>
            <w:tcBorders>
              <w:top w:val="dotted" w:sz="4" w:space="0" w:color="000000"/>
              <w:left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5"/>
              <w:ind w:left="410" w:right="0"/>
              <w:jc w:val="left"/>
              <w:rPr>
                <w:rFonts w:ascii="Times New Roman" w:hAnsi="Times New Roman" w:cs="Times New Roman" w:eastAsia="Times New Roman" w:hint="default"/>
                <w:sz w:val="18"/>
                <w:szCs w:val="18"/>
              </w:rPr>
            </w:pPr>
            <w:r>
              <w:rPr>
                <w:rFonts w:ascii="Times New Roman"/>
                <w:sz w:val="18"/>
              </w:rPr>
              <w:t>63,274,882.91</w:t>
            </w:r>
          </w:p>
        </w:tc>
        <w:tc>
          <w:tcPr>
            <w:tcW w:w="184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交易性金融资产</w:t>
            </w:r>
          </w:p>
        </w:tc>
        <w:tc>
          <w:tcPr>
            <w:tcW w:w="2410" w:type="dxa"/>
            <w:vMerge w:val="restart"/>
            <w:tcBorders>
              <w:top w:val="dotted" w:sz="4" w:space="0" w:color="000000"/>
              <w:left w:val="dotted" w:sz="4" w:space="0" w:color="000000"/>
              <w:right w:val="dotted" w:sz="4" w:space="0" w:color="000000"/>
            </w:tcBorders>
          </w:tcPr>
          <w:p>
            <w:pPr>
              <w:pStyle w:val="TableParagraph"/>
              <w:spacing w:line="283" w:lineRule="auto" w:before="101"/>
              <w:ind w:left="749" w:right="117" w:hanging="629"/>
              <w:jc w:val="left"/>
              <w:rPr>
                <w:rFonts w:ascii="宋体" w:hAnsi="宋体" w:cs="宋体" w:eastAsia="宋体" w:hint="default"/>
                <w:sz w:val="18"/>
                <w:szCs w:val="18"/>
              </w:rPr>
            </w:pPr>
            <w:r>
              <w:rPr>
                <w:rFonts w:ascii="宋体" w:hAnsi="宋体" w:cs="宋体" w:eastAsia="宋体" w:hint="default"/>
                <w:sz w:val="18"/>
                <w:szCs w:val="18"/>
              </w:rPr>
              <w:t>以公允价值计量且其变动计 入当期损益</w:t>
            </w:r>
          </w:p>
        </w:tc>
        <w:tc>
          <w:tcPr>
            <w:tcW w:w="1490" w:type="dxa"/>
            <w:tcBorders>
              <w:top w:val="dotted" w:sz="4" w:space="0" w:color="000000"/>
              <w:left w:val="dotted" w:sz="4" w:space="0" w:color="000000"/>
              <w:bottom w:val="dotted" w:sz="4" w:space="0" w:color="000000"/>
              <w:right w:val="nil" w:sz="6" w:space="0" w:color="auto"/>
            </w:tcBorders>
          </w:tcPr>
          <w:p>
            <w:pPr/>
          </w:p>
        </w:tc>
      </w:tr>
      <w:tr>
        <w:trPr>
          <w:trHeight w:val="370" w:hRule="exact"/>
        </w:trPr>
        <w:tc>
          <w:tcPr>
            <w:tcW w:w="1131" w:type="dxa"/>
            <w:vMerge/>
            <w:tcBorders>
              <w:left w:val="nil" w:sz="6" w:space="0" w:color="auto"/>
              <w:right w:val="dotted" w:sz="4" w:space="0" w:color="000000"/>
            </w:tcBorders>
          </w:tcPr>
          <w:p>
            <w:pPr/>
          </w:p>
        </w:tc>
        <w:tc>
          <w:tcPr>
            <w:tcW w:w="1421" w:type="dxa"/>
            <w:vMerge/>
            <w:tcBorders>
              <w:left w:val="dotted" w:sz="4" w:space="0" w:color="000000"/>
              <w:right w:val="dotted" w:sz="4" w:space="0" w:color="000000"/>
            </w:tcBorders>
          </w:tcPr>
          <w:p>
            <w:pPr/>
          </w:p>
        </w:tc>
        <w:tc>
          <w:tcPr>
            <w:tcW w:w="1559" w:type="dxa"/>
            <w:vMerge/>
            <w:tcBorders>
              <w:left w:val="dotted" w:sz="4" w:space="0" w:color="000000"/>
              <w:right w:val="dotted" w:sz="4" w:space="0" w:color="000000"/>
            </w:tcBorders>
          </w:tcPr>
          <w:p>
            <w:pPr/>
          </w:p>
        </w:tc>
        <w:tc>
          <w:tcPr>
            <w:tcW w:w="184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2410" w:type="dxa"/>
            <w:vMerge/>
            <w:tcBorders>
              <w:left w:val="dotted" w:sz="4" w:space="0" w:color="000000"/>
              <w:bottom w:val="dotted" w:sz="4" w:space="0" w:color="000000"/>
              <w:right w:val="dotted" w:sz="4" w:space="0" w:color="000000"/>
            </w:tcBorders>
          </w:tcPr>
          <w:p>
            <w:pPr/>
          </w:p>
        </w:tc>
        <w:tc>
          <w:tcPr>
            <w:tcW w:w="1490" w:type="dxa"/>
            <w:tcBorders>
              <w:top w:val="dotted" w:sz="4" w:space="0" w:color="000000"/>
              <w:left w:val="dotted" w:sz="4" w:space="0" w:color="000000"/>
              <w:bottom w:val="dotted" w:sz="4" w:space="0" w:color="000000"/>
              <w:right w:val="nil" w:sz="6" w:space="0" w:color="auto"/>
            </w:tcBorders>
          </w:tcPr>
          <w:p>
            <w:pPr/>
          </w:p>
        </w:tc>
      </w:tr>
      <w:tr>
        <w:trPr>
          <w:trHeight w:val="650" w:hRule="exact"/>
        </w:trPr>
        <w:tc>
          <w:tcPr>
            <w:tcW w:w="1131" w:type="dxa"/>
            <w:vMerge/>
            <w:tcBorders>
              <w:left w:val="nil" w:sz="6" w:space="0" w:color="auto"/>
              <w:bottom w:val="dotted" w:sz="4" w:space="0" w:color="000000"/>
              <w:right w:val="dotted" w:sz="4" w:space="0" w:color="000000"/>
            </w:tcBorders>
          </w:tcPr>
          <w:p>
            <w:pPr/>
          </w:p>
        </w:tc>
        <w:tc>
          <w:tcPr>
            <w:tcW w:w="1421" w:type="dxa"/>
            <w:vMerge/>
            <w:tcBorders>
              <w:left w:val="dotted" w:sz="4" w:space="0" w:color="000000"/>
              <w:bottom w:val="dotted" w:sz="4" w:space="0" w:color="000000"/>
              <w:right w:val="dotted" w:sz="4" w:space="0" w:color="000000"/>
            </w:tcBorders>
          </w:tcPr>
          <w:p>
            <w:pPr/>
          </w:p>
        </w:tc>
        <w:tc>
          <w:tcPr>
            <w:tcW w:w="1559" w:type="dxa"/>
            <w:vMerge/>
            <w:tcBorders>
              <w:left w:val="dotted" w:sz="4" w:space="0" w:color="000000"/>
              <w:bottom w:val="dotted" w:sz="4" w:space="0" w:color="000000"/>
              <w:right w:val="dotted" w:sz="4" w:space="0" w:color="000000"/>
            </w:tcBorders>
          </w:tcPr>
          <w:p>
            <w:pPr/>
          </w:p>
        </w:tc>
        <w:tc>
          <w:tcPr>
            <w:tcW w:w="184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410" w:type="dxa"/>
            <w:tcBorders>
              <w:top w:val="dotted" w:sz="4" w:space="0" w:color="000000"/>
              <w:left w:val="dotted" w:sz="4" w:space="0" w:color="000000"/>
              <w:bottom w:val="dotted" w:sz="4" w:space="0" w:color="000000"/>
              <w:right w:val="dotted" w:sz="4" w:space="0" w:color="000000"/>
            </w:tcBorders>
          </w:tcPr>
          <w:p>
            <w:pPr>
              <w:pStyle w:val="TableParagraph"/>
              <w:spacing w:line="285" w:lineRule="auto" w:before="54"/>
              <w:ind w:left="569" w:right="117" w:hanging="449"/>
              <w:jc w:val="left"/>
              <w:rPr>
                <w:rFonts w:ascii="宋体" w:hAnsi="宋体" w:cs="宋体" w:eastAsia="宋体" w:hint="default"/>
                <w:sz w:val="18"/>
                <w:szCs w:val="18"/>
              </w:rPr>
            </w:pPr>
            <w:r>
              <w:rPr>
                <w:rFonts w:ascii="宋体" w:hAnsi="宋体" w:cs="宋体" w:eastAsia="宋体" w:hint="default"/>
                <w:sz w:val="18"/>
                <w:szCs w:val="18"/>
              </w:rPr>
              <w:t>以公允价值计量且其变动计 入其他综合收益</w:t>
            </w:r>
          </w:p>
        </w:tc>
        <w:tc>
          <w:tcPr>
            <w:tcW w:w="149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63,274,882.91</w:t>
            </w:r>
          </w:p>
        </w:tc>
      </w:tr>
      <w:tr>
        <w:trPr>
          <w:trHeight w:val="380" w:hRule="exact"/>
        </w:trPr>
        <w:tc>
          <w:tcPr>
            <w:tcW w:w="1131"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55"/>
              <w:ind w:right="7"/>
              <w:jc w:val="center"/>
              <w:rPr>
                <w:rFonts w:ascii="宋体" w:hAnsi="宋体" w:cs="宋体" w:eastAsia="宋体" w:hint="default"/>
                <w:sz w:val="18"/>
                <w:szCs w:val="18"/>
              </w:rPr>
            </w:pPr>
            <w:r>
              <w:rPr>
                <w:rFonts w:ascii="宋体" w:hAnsi="宋体" w:cs="宋体" w:eastAsia="宋体" w:hint="default"/>
                <w:sz w:val="18"/>
                <w:szCs w:val="18"/>
              </w:rPr>
              <w:t>长期应收款</w:t>
            </w:r>
          </w:p>
        </w:tc>
        <w:tc>
          <w:tcPr>
            <w:tcW w:w="142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55"/>
              <w:ind w:left="345"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559" w:type="dxa"/>
            <w:tcBorders>
              <w:top w:val="dotted" w:sz="4" w:space="0" w:color="000000"/>
              <w:left w:val="dotted" w:sz="4" w:space="0" w:color="000000"/>
              <w:bottom w:val="single" w:sz="12" w:space="0" w:color="000000"/>
              <w:right w:val="dotted" w:sz="4" w:space="0" w:color="000000"/>
            </w:tcBorders>
          </w:tcPr>
          <w:p>
            <w:pPr/>
          </w:p>
        </w:tc>
        <w:tc>
          <w:tcPr>
            <w:tcW w:w="184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长期应收款</w:t>
            </w:r>
          </w:p>
        </w:tc>
        <w:tc>
          <w:tcPr>
            <w:tcW w:w="241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55"/>
              <w:ind w:right="837"/>
              <w:jc w:val="right"/>
              <w:rPr>
                <w:rFonts w:ascii="宋体" w:hAnsi="宋体" w:cs="宋体" w:eastAsia="宋体" w:hint="default"/>
                <w:sz w:val="18"/>
                <w:szCs w:val="18"/>
              </w:rPr>
            </w:pPr>
            <w:r>
              <w:rPr>
                <w:rFonts w:ascii="宋体" w:hAnsi="宋体" w:cs="宋体" w:eastAsia="宋体" w:hint="default"/>
                <w:sz w:val="18"/>
                <w:szCs w:val="18"/>
              </w:rPr>
              <w:t>摊余成本</w:t>
            </w:r>
          </w:p>
        </w:tc>
        <w:tc>
          <w:tcPr>
            <w:tcW w:w="1490" w:type="dxa"/>
            <w:tcBorders>
              <w:top w:val="dotted" w:sz="4" w:space="0" w:color="000000"/>
              <w:left w:val="dotted" w:sz="4" w:space="0" w:color="000000"/>
              <w:bottom w:val="single" w:sz="12" w:space="0" w:color="000000"/>
              <w:right w:val="nil" w:sz="6" w:space="0" w:color="auto"/>
            </w:tcBorders>
          </w:tcPr>
          <w:p>
            <w:pPr/>
          </w:p>
        </w:tc>
      </w:tr>
    </w:tbl>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6"/>
          <w:szCs w:val="16"/>
        </w:rPr>
      </w:pPr>
    </w:p>
    <w:p>
      <w:pPr>
        <w:pStyle w:val="Heading3"/>
        <w:spacing w:line="240" w:lineRule="auto" w:before="0"/>
        <w:ind w:left="1100" w:right="1040"/>
        <w:jc w:val="center"/>
        <w:rPr>
          <w:b w:val="0"/>
          <w:bCs w:val="0"/>
        </w:rPr>
      </w:pPr>
      <w:r>
        <w:rPr/>
        <w:t>母公司</w:t>
      </w:r>
      <w:r>
        <w:rPr>
          <w:b w:val="0"/>
          <w:bCs w:val="0"/>
        </w:rPr>
      </w:r>
    </w:p>
    <w:p>
      <w:pPr>
        <w:spacing w:line="240" w:lineRule="auto" w:before="11"/>
        <w:rPr>
          <w:rFonts w:ascii="宋体" w:hAnsi="宋体" w:cs="宋体" w:eastAsia="宋体" w:hint="default"/>
          <w:b/>
          <w:bCs/>
          <w:sz w:val="3"/>
          <w:szCs w:val="3"/>
        </w:rPr>
      </w:pPr>
    </w:p>
    <w:tbl>
      <w:tblPr>
        <w:tblW w:w="0" w:type="auto"/>
        <w:jc w:val="left"/>
        <w:tblInd w:w="383" w:type="dxa"/>
        <w:tblLayout w:type="fixed"/>
        <w:tblCellMar>
          <w:top w:w="0" w:type="dxa"/>
          <w:left w:w="0" w:type="dxa"/>
          <w:bottom w:w="0" w:type="dxa"/>
          <w:right w:w="0" w:type="dxa"/>
        </w:tblCellMar>
        <w:tblLook w:val="01E0"/>
      </w:tblPr>
      <w:tblGrid>
        <w:gridCol w:w="1141"/>
        <w:gridCol w:w="1538"/>
        <w:gridCol w:w="1431"/>
        <w:gridCol w:w="1844"/>
        <w:gridCol w:w="2399"/>
        <w:gridCol w:w="1570"/>
      </w:tblGrid>
      <w:tr>
        <w:trPr>
          <w:trHeight w:val="420" w:hRule="exact"/>
        </w:trPr>
        <w:tc>
          <w:tcPr>
            <w:tcW w:w="4110" w:type="dxa"/>
            <w:gridSpan w:val="3"/>
            <w:tcBorders>
              <w:top w:val="single" w:sz="12" w:space="0" w:color="000000"/>
              <w:left w:val="nil" w:sz="6" w:space="0" w:color="auto"/>
              <w:bottom w:val="dotted" w:sz="4" w:space="0" w:color="000000"/>
              <w:right w:val="dotted" w:sz="4" w:space="0" w:color="000000"/>
            </w:tcBorders>
          </w:tcPr>
          <w:p>
            <w:pPr>
              <w:pStyle w:val="TableParagraph"/>
              <w:spacing w:line="240" w:lineRule="auto" w:before="88"/>
              <w:ind w:left="2145" w:right="0"/>
              <w:jc w:val="left"/>
              <w:rPr>
                <w:rFonts w:ascii="宋体" w:hAnsi="宋体" w:cs="宋体" w:eastAsia="宋体" w:hint="default"/>
                <w:sz w:val="18"/>
                <w:szCs w:val="18"/>
              </w:rPr>
            </w:pPr>
            <w:r>
              <w:rPr>
                <w:rFonts w:ascii="宋体" w:hAnsi="宋体" w:cs="宋体" w:eastAsia="宋体" w:hint="default"/>
                <w:sz w:val="18"/>
                <w:szCs w:val="18"/>
              </w:rPr>
              <w:t>原金融工具准则</w:t>
            </w:r>
          </w:p>
        </w:tc>
        <w:tc>
          <w:tcPr>
            <w:tcW w:w="5813" w:type="dxa"/>
            <w:gridSpan w:val="3"/>
            <w:tcBorders>
              <w:top w:val="single" w:sz="12" w:space="0" w:color="000000"/>
              <w:left w:val="dotted" w:sz="4" w:space="0" w:color="000000"/>
              <w:bottom w:val="dotted" w:sz="4" w:space="0" w:color="000000"/>
              <w:right w:val="nil" w:sz="6" w:space="0" w:color="auto"/>
            </w:tcBorders>
          </w:tcPr>
          <w:p>
            <w:pPr>
              <w:pStyle w:val="TableParagraph"/>
              <w:spacing w:line="240" w:lineRule="auto" w:before="88"/>
              <w:ind w:left="82" w:right="0"/>
              <w:jc w:val="center"/>
              <w:rPr>
                <w:rFonts w:ascii="宋体" w:hAnsi="宋体" w:cs="宋体" w:eastAsia="宋体" w:hint="default"/>
                <w:sz w:val="18"/>
                <w:szCs w:val="18"/>
              </w:rPr>
            </w:pPr>
            <w:r>
              <w:rPr>
                <w:rFonts w:ascii="宋体" w:hAnsi="宋体" w:cs="宋体" w:eastAsia="宋体" w:hint="default"/>
                <w:sz w:val="18"/>
                <w:szCs w:val="18"/>
              </w:rPr>
              <w:t>新金融工具准则</w:t>
            </w:r>
          </w:p>
        </w:tc>
      </w:tr>
      <w:tr>
        <w:trPr>
          <w:trHeight w:val="410" w:hRule="exact"/>
        </w:trPr>
        <w:tc>
          <w:tcPr>
            <w:tcW w:w="114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6"/>
              <w:ind w:left="158" w:right="0"/>
              <w:jc w:val="left"/>
              <w:rPr>
                <w:rFonts w:ascii="宋体" w:hAnsi="宋体" w:cs="宋体" w:eastAsia="宋体" w:hint="default"/>
                <w:sz w:val="18"/>
                <w:szCs w:val="18"/>
              </w:rPr>
            </w:pPr>
            <w:r>
              <w:rPr>
                <w:rFonts w:ascii="宋体" w:hAnsi="宋体" w:cs="宋体" w:eastAsia="宋体" w:hint="default"/>
                <w:sz w:val="18"/>
                <w:szCs w:val="18"/>
              </w:rPr>
              <w:t>列报项目</w:t>
            </w:r>
          </w:p>
        </w:tc>
        <w:tc>
          <w:tcPr>
            <w:tcW w:w="153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left="1" w:right="0"/>
              <w:jc w:val="center"/>
              <w:rPr>
                <w:rFonts w:ascii="宋体" w:hAnsi="宋体" w:cs="宋体" w:eastAsia="宋体" w:hint="default"/>
                <w:sz w:val="18"/>
                <w:szCs w:val="18"/>
              </w:rPr>
            </w:pPr>
            <w:r>
              <w:rPr>
                <w:rFonts w:ascii="宋体" w:hAnsi="宋体" w:cs="宋体" w:eastAsia="宋体" w:hint="default"/>
                <w:sz w:val="18"/>
                <w:szCs w:val="18"/>
              </w:rPr>
              <w:t>计量类别</w:t>
            </w:r>
          </w:p>
        </w:tc>
        <w:tc>
          <w:tcPr>
            <w:tcW w:w="14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left="35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8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列报项目</w:t>
            </w:r>
          </w:p>
        </w:tc>
        <w:tc>
          <w:tcPr>
            <w:tcW w:w="239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833"/>
              <w:jc w:val="right"/>
              <w:rPr>
                <w:rFonts w:ascii="宋体" w:hAnsi="宋体" w:cs="宋体" w:eastAsia="宋体" w:hint="default"/>
                <w:sz w:val="18"/>
                <w:szCs w:val="18"/>
              </w:rPr>
            </w:pPr>
            <w:r>
              <w:rPr>
                <w:rFonts w:ascii="宋体" w:hAnsi="宋体" w:cs="宋体" w:eastAsia="宋体" w:hint="default"/>
                <w:sz w:val="18"/>
                <w:szCs w:val="18"/>
              </w:rPr>
              <w:t>计量类别</w:t>
            </w:r>
          </w:p>
        </w:tc>
        <w:tc>
          <w:tcPr>
            <w:tcW w:w="157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6"/>
              <w:ind w:left="4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18" w:hRule="exact"/>
        </w:trPr>
        <w:tc>
          <w:tcPr>
            <w:tcW w:w="1141"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86"/>
              <w:ind w:left="105"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53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6"/>
              <w:ind w:left="1" w:right="0"/>
              <w:jc w:val="center"/>
              <w:rPr>
                <w:rFonts w:ascii="宋体" w:hAnsi="宋体" w:cs="宋体" w:eastAsia="宋体" w:hint="default"/>
                <w:sz w:val="18"/>
                <w:szCs w:val="18"/>
              </w:rPr>
            </w:pPr>
            <w:r>
              <w:rPr>
                <w:rFonts w:ascii="宋体" w:hAnsi="宋体" w:cs="宋体" w:eastAsia="宋体" w:hint="default"/>
                <w:sz w:val="18"/>
                <w:szCs w:val="18"/>
              </w:rPr>
              <w:t>摊余成本</w:t>
            </w:r>
          </w:p>
        </w:tc>
        <w:tc>
          <w:tcPr>
            <w:tcW w:w="143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28"/>
              <w:ind w:left="374" w:right="0"/>
              <w:jc w:val="left"/>
              <w:rPr>
                <w:rFonts w:ascii="Times New Roman" w:hAnsi="Times New Roman" w:cs="Times New Roman" w:eastAsia="Times New Roman" w:hint="default"/>
                <w:sz w:val="18"/>
                <w:szCs w:val="18"/>
              </w:rPr>
            </w:pPr>
            <w:r>
              <w:rPr>
                <w:rFonts w:ascii="Times New Roman"/>
                <w:sz w:val="18"/>
              </w:rPr>
              <w:t>3,456,776.00</w:t>
            </w:r>
          </w:p>
        </w:tc>
        <w:tc>
          <w:tcPr>
            <w:tcW w:w="184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应收票据</w:t>
            </w:r>
          </w:p>
        </w:tc>
        <w:tc>
          <w:tcPr>
            <w:tcW w:w="239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6"/>
              <w:ind w:right="833"/>
              <w:jc w:val="right"/>
              <w:rPr>
                <w:rFonts w:ascii="宋体" w:hAnsi="宋体" w:cs="宋体" w:eastAsia="宋体" w:hint="default"/>
                <w:sz w:val="18"/>
                <w:szCs w:val="18"/>
              </w:rPr>
            </w:pPr>
            <w:r>
              <w:rPr>
                <w:rFonts w:ascii="宋体" w:hAnsi="宋体" w:cs="宋体" w:eastAsia="宋体" w:hint="default"/>
                <w:sz w:val="18"/>
                <w:szCs w:val="18"/>
              </w:rPr>
              <w:t>摊余成本</w:t>
            </w:r>
          </w:p>
        </w:tc>
        <w:tc>
          <w:tcPr>
            <w:tcW w:w="1570"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28"/>
              <w:ind w:left="513" w:right="0"/>
              <w:jc w:val="left"/>
              <w:rPr>
                <w:rFonts w:ascii="Times New Roman" w:hAnsi="Times New Roman" w:cs="Times New Roman" w:eastAsia="Times New Roman" w:hint="default"/>
                <w:sz w:val="18"/>
                <w:szCs w:val="18"/>
              </w:rPr>
            </w:pPr>
            <w:r>
              <w:rPr>
                <w:rFonts w:ascii="Times New Roman"/>
                <w:sz w:val="18"/>
              </w:rPr>
              <w:t>3,456,776.00</w:t>
            </w:r>
          </w:p>
        </w:tc>
      </w:tr>
    </w:tbl>
    <w:p>
      <w:pPr>
        <w:spacing w:after="0" w:line="240" w:lineRule="auto"/>
        <w:jc w:val="left"/>
        <w:rPr>
          <w:rFonts w:ascii="Times New Roman" w:hAnsi="Times New Roman" w:cs="Times New Roman" w:eastAsia="Times New Roman" w:hint="default"/>
          <w:sz w:val="18"/>
          <w:szCs w:val="18"/>
        </w:rPr>
        <w:sectPr>
          <w:headerReference w:type="default" r:id="rId46"/>
          <w:footerReference w:type="default" r:id="rId47"/>
          <w:pgSz w:w="11910" w:h="16840"/>
          <w:pgMar w:header="878" w:footer="978" w:top="1100" w:bottom="1160" w:left="1020" w:right="0"/>
          <w:pgNumType w:start="136"/>
        </w:sectPr>
      </w:pPr>
    </w:p>
    <w:p>
      <w:pPr>
        <w:spacing w:line="240" w:lineRule="auto" w:before="8"/>
        <w:rPr>
          <w:rFonts w:ascii="宋体" w:hAnsi="宋体" w:cs="宋体" w:eastAsia="宋体" w:hint="default"/>
          <w:b/>
          <w:bCs/>
          <w:sz w:val="24"/>
          <w:szCs w:val="24"/>
        </w:rPr>
      </w:pPr>
    </w:p>
    <w:tbl>
      <w:tblPr>
        <w:tblW w:w="0" w:type="auto"/>
        <w:jc w:val="left"/>
        <w:tblInd w:w="383" w:type="dxa"/>
        <w:tblLayout w:type="fixed"/>
        <w:tblCellMar>
          <w:top w:w="0" w:type="dxa"/>
          <w:left w:w="0" w:type="dxa"/>
          <w:bottom w:w="0" w:type="dxa"/>
          <w:right w:w="0" w:type="dxa"/>
        </w:tblCellMar>
        <w:tblLook w:val="01E0"/>
      </w:tblPr>
      <w:tblGrid>
        <w:gridCol w:w="1141"/>
        <w:gridCol w:w="1538"/>
        <w:gridCol w:w="1431"/>
        <w:gridCol w:w="1844"/>
        <w:gridCol w:w="2399"/>
        <w:gridCol w:w="1570"/>
      </w:tblGrid>
      <w:tr>
        <w:trPr>
          <w:trHeight w:val="420" w:hRule="exact"/>
        </w:trPr>
        <w:tc>
          <w:tcPr>
            <w:tcW w:w="4110" w:type="dxa"/>
            <w:gridSpan w:val="3"/>
            <w:tcBorders>
              <w:top w:val="single" w:sz="12" w:space="0" w:color="000000"/>
              <w:left w:val="nil" w:sz="6" w:space="0" w:color="auto"/>
              <w:bottom w:val="dotted" w:sz="4" w:space="0" w:color="000000"/>
              <w:right w:val="dotted" w:sz="4" w:space="0" w:color="000000"/>
            </w:tcBorders>
          </w:tcPr>
          <w:p>
            <w:pPr>
              <w:pStyle w:val="TableParagraph"/>
              <w:spacing w:line="240" w:lineRule="auto" w:before="88"/>
              <w:ind w:left="2145" w:right="0"/>
              <w:jc w:val="left"/>
              <w:rPr>
                <w:rFonts w:ascii="宋体" w:hAnsi="宋体" w:cs="宋体" w:eastAsia="宋体" w:hint="default"/>
                <w:sz w:val="18"/>
                <w:szCs w:val="18"/>
              </w:rPr>
            </w:pPr>
            <w:r>
              <w:rPr>
                <w:rFonts w:ascii="宋体" w:hAnsi="宋体" w:cs="宋体" w:eastAsia="宋体" w:hint="default"/>
                <w:sz w:val="18"/>
                <w:szCs w:val="18"/>
              </w:rPr>
              <w:t>原金融工具准则</w:t>
            </w:r>
          </w:p>
        </w:tc>
        <w:tc>
          <w:tcPr>
            <w:tcW w:w="5813" w:type="dxa"/>
            <w:gridSpan w:val="3"/>
            <w:tcBorders>
              <w:top w:val="single" w:sz="12" w:space="0" w:color="000000"/>
              <w:left w:val="dotted" w:sz="4" w:space="0" w:color="000000"/>
              <w:bottom w:val="dotted" w:sz="4" w:space="0" w:color="000000"/>
              <w:right w:val="nil" w:sz="6" w:space="0" w:color="auto"/>
            </w:tcBorders>
          </w:tcPr>
          <w:p>
            <w:pPr>
              <w:pStyle w:val="TableParagraph"/>
              <w:spacing w:line="240" w:lineRule="auto" w:before="88"/>
              <w:ind w:left="82" w:right="0"/>
              <w:jc w:val="center"/>
              <w:rPr>
                <w:rFonts w:ascii="宋体" w:hAnsi="宋体" w:cs="宋体" w:eastAsia="宋体" w:hint="default"/>
                <w:sz w:val="18"/>
                <w:szCs w:val="18"/>
              </w:rPr>
            </w:pPr>
            <w:r>
              <w:rPr>
                <w:rFonts w:ascii="宋体" w:hAnsi="宋体" w:cs="宋体" w:eastAsia="宋体" w:hint="default"/>
                <w:sz w:val="18"/>
                <w:szCs w:val="18"/>
              </w:rPr>
              <w:t>新金融工具准则</w:t>
            </w:r>
          </w:p>
        </w:tc>
      </w:tr>
      <w:tr>
        <w:trPr>
          <w:trHeight w:val="410" w:hRule="exact"/>
        </w:trPr>
        <w:tc>
          <w:tcPr>
            <w:tcW w:w="114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8"/>
              <w:ind w:left="158" w:right="0"/>
              <w:jc w:val="left"/>
              <w:rPr>
                <w:rFonts w:ascii="宋体" w:hAnsi="宋体" w:cs="宋体" w:eastAsia="宋体" w:hint="default"/>
                <w:sz w:val="18"/>
                <w:szCs w:val="18"/>
              </w:rPr>
            </w:pPr>
            <w:r>
              <w:rPr>
                <w:rFonts w:ascii="宋体" w:hAnsi="宋体" w:cs="宋体" w:eastAsia="宋体" w:hint="default"/>
                <w:sz w:val="18"/>
                <w:szCs w:val="18"/>
              </w:rPr>
              <w:t>列报项目</w:t>
            </w:r>
          </w:p>
        </w:tc>
        <w:tc>
          <w:tcPr>
            <w:tcW w:w="153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left="1" w:right="0"/>
              <w:jc w:val="center"/>
              <w:rPr>
                <w:rFonts w:ascii="宋体" w:hAnsi="宋体" w:cs="宋体" w:eastAsia="宋体" w:hint="default"/>
                <w:sz w:val="18"/>
                <w:szCs w:val="18"/>
              </w:rPr>
            </w:pPr>
            <w:r>
              <w:rPr>
                <w:rFonts w:ascii="宋体" w:hAnsi="宋体" w:cs="宋体" w:eastAsia="宋体" w:hint="default"/>
                <w:sz w:val="18"/>
                <w:szCs w:val="18"/>
              </w:rPr>
              <w:t>计量类别</w:t>
            </w:r>
          </w:p>
        </w:tc>
        <w:tc>
          <w:tcPr>
            <w:tcW w:w="14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8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列报项目</w:t>
            </w:r>
          </w:p>
        </w:tc>
        <w:tc>
          <w:tcPr>
            <w:tcW w:w="239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833"/>
              <w:jc w:val="right"/>
              <w:rPr>
                <w:rFonts w:ascii="宋体" w:hAnsi="宋体" w:cs="宋体" w:eastAsia="宋体" w:hint="default"/>
                <w:sz w:val="18"/>
                <w:szCs w:val="18"/>
              </w:rPr>
            </w:pPr>
            <w:r>
              <w:rPr>
                <w:rFonts w:ascii="宋体" w:hAnsi="宋体" w:cs="宋体" w:eastAsia="宋体" w:hint="default"/>
                <w:sz w:val="18"/>
                <w:szCs w:val="18"/>
              </w:rPr>
              <w:t>计量类别</w:t>
            </w:r>
          </w:p>
        </w:tc>
        <w:tc>
          <w:tcPr>
            <w:tcW w:w="157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left="4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30" w:hRule="exact"/>
        </w:trPr>
        <w:tc>
          <w:tcPr>
            <w:tcW w:w="1141" w:type="dxa"/>
            <w:tcBorders>
              <w:top w:val="dotted" w:sz="4" w:space="0" w:color="000000"/>
              <w:left w:val="nil" w:sz="6" w:space="0" w:color="auto"/>
              <w:bottom w:val="dotted" w:sz="4" w:space="0" w:color="000000"/>
              <w:right w:val="dotted" w:sz="4" w:space="0" w:color="000000"/>
            </w:tcBorders>
          </w:tcPr>
          <w:p>
            <w:pPr/>
          </w:p>
        </w:tc>
        <w:tc>
          <w:tcPr>
            <w:tcW w:w="1538" w:type="dxa"/>
            <w:tcBorders>
              <w:top w:val="dotted" w:sz="4" w:space="0" w:color="000000"/>
              <w:left w:val="dotted" w:sz="4" w:space="0" w:color="000000"/>
              <w:bottom w:val="dotted" w:sz="4" w:space="0" w:color="000000"/>
              <w:right w:val="dotted" w:sz="4" w:space="0" w:color="000000"/>
            </w:tcBorders>
          </w:tcPr>
          <w:p>
            <w:pPr/>
          </w:p>
        </w:tc>
        <w:tc>
          <w:tcPr>
            <w:tcW w:w="1431" w:type="dxa"/>
            <w:tcBorders>
              <w:top w:val="dotted" w:sz="4" w:space="0" w:color="000000"/>
              <w:left w:val="dotted" w:sz="4" w:space="0" w:color="000000"/>
              <w:bottom w:val="dotted" w:sz="4" w:space="0" w:color="000000"/>
              <w:right w:val="dotted" w:sz="4" w:space="0" w:color="000000"/>
            </w:tcBorders>
          </w:tcPr>
          <w:p>
            <w:pPr/>
          </w:p>
        </w:tc>
        <w:tc>
          <w:tcPr>
            <w:tcW w:w="18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应收款项融资</w:t>
            </w:r>
          </w:p>
        </w:tc>
        <w:tc>
          <w:tcPr>
            <w:tcW w:w="2399" w:type="dxa"/>
            <w:tcBorders>
              <w:top w:val="dotted" w:sz="4" w:space="0" w:color="000000"/>
              <w:left w:val="dotted" w:sz="4" w:space="0" w:color="000000"/>
              <w:bottom w:val="dotted" w:sz="4" w:space="0" w:color="000000"/>
              <w:right w:val="dotted" w:sz="4" w:space="0" w:color="000000"/>
            </w:tcBorders>
          </w:tcPr>
          <w:p>
            <w:pPr>
              <w:pStyle w:val="TableParagraph"/>
              <w:spacing w:line="328" w:lineRule="auto" w:before="86"/>
              <w:ind w:left="564" w:right="113" w:hanging="452"/>
              <w:jc w:val="left"/>
              <w:rPr>
                <w:rFonts w:ascii="宋体" w:hAnsi="宋体" w:cs="宋体" w:eastAsia="宋体" w:hint="default"/>
                <w:sz w:val="18"/>
                <w:szCs w:val="18"/>
              </w:rPr>
            </w:pPr>
            <w:r>
              <w:rPr>
                <w:rFonts w:ascii="宋体" w:hAnsi="宋体" w:cs="宋体" w:eastAsia="宋体" w:hint="default"/>
                <w:sz w:val="18"/>
                <w:szCs w:val="18"/>
              </w:rPr>
              <w:t>以公允价值计量且其变动计 入其他综合收益</w:t>
            </w:r>
          </w:p>
        </w:tc>
        <w:tc>
          <w:tcPr>
            <w:tcW w:w="1570" w:type="dxa"/>
            <w:tcBorders>
              <w:top w:val="dotted" w:sz="4" w:space="0" w:color="000000"/>
              <w:left w:val="dotted" w:sz="4" w:space="0" w:color="000000"/>
              <w:bottom w:val="dotted" w:sz="4" w:space="0" w:color="000000"/>
              <w:right w:val="nil" w:sz="6" w:space="0" w:color="auto"/>
            </w:tcBorders>
          </w:tcPr>
          <w:p>
            <w:pPr/>
          </w:p>
        </w:tc>
      </w:tr>
      <w:tr>
        <w:trPr>
          <w:trHeight w:val="410" w:hRule="exact"/>
        </w:trPr>
        <w:tc>
          <w:tcPr>
            <w:tcW w:w="1141" w:type="dxa"/>
            <w:vMerge w:val="restart"/>
            <w:tcBorders>
              <w:top w:val="dotted" w:sz="4" w:space="0" w:color="000000"/>
              <w:left w:val="nil" w:sz="6" w:space="0" w:color="auto"/>
              <w:right w:val="dotted"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38" w:type="dxa"/>
            <w:vMerge w:val="restart"/>
            <w:tcBorders>
              <w:top w:val="dotted" w:sz="4" w:space="0" w:color="000000"/>
              <w:left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left="405"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431" w:type="dxa"/>
            <w:vMerge w:val="restart"/>
            <w:tcBorders>
              <w:top w:val="dotted" w:sz="4" w:space="0" w:color="000000"/>
              <w:left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9"/>
                <w:szCs w:val="19"/>
              </w:rPr>
            </w:pPr>
          </w:p>
          <w:p>
            <w:pPr>
              <w:pStyle w:val="TableParagraph"/>
              <w:spacing w:line="240" w:lineRule="auto"/>
              <w:ind w:left="194" w:right="0"/>
              <w:jc w:val="left"/>
              <w:rPr>
                <w:rFonts w:ascii="Times New Roman" w:hAnsi="Times New Roman" w:cs="Times New Roman" w:eastAsia="Times New Roman" w:hint="default"/>
                <w:sz w:val="18"/>
                <w:szCs w:val="18"/>
              </w:rPr>
            </w:pPr>
            <w:r>
              <w:rPr>
                <w:rFonts w:ascii="Times New Roman"/>
                <w:sz w:val="18"/>
              </w:rPr>
              <w:t>515,238,201.29</w:t>
            </w:r>
          </w:p>
        </w:tc>
        <w:tc>
          <w:tcPr>
            <w:tcW w:w="18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833"/>
              <w:jc w:val="right"/>
              <w:rPr>
                <w:rFonts w:ascii="宋体" w:hAnsi="宋体" w:cs="宋体" w:eastAsia="宋体" w:hint="default"/>
                <w:sz w:val="18"/>
                <w:szCs w:val="18"/>
              </w:rPr>
            </w:pPr>
            <w:r>
              <w:rPr>
                <w:rFonts w:ascii="宋体" w:hAnsi="宋体" w:cs="宋体" w:eastAsia="宋体" w:hint="default"/>
                <w:sz w:val="18"/>
                <w:szCs w:val="18"/>
              </w:rPr>
              <w:t>摊余成本</w:t>
            </w:r>
          </w:p>
        </w:tc>
        <w:tc>
          <w:tcPr>
            <w:tcW w:w="157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7"/>
              <w:ind w:right="105"/>
              <w:jc w:val="right"/>
              <w:rPr>
                <w:rFonts w:ascii="Times New Roman" w:hAnsi="Times New Roman" w:cs="Times New Roman" w:eastAsia="Times New Roman" w:hint="default"/>
                <w:sz w:val="18"/>
                <w:szCs w:val="18"/>
              </w:rPr>
            </w:pPr>
            <w:r>
              <w:rPr>
                <w:rFonts w:ascii="Times New Roman"/>
                <w:spacing w:val="-1"/>
                <w:sz w:val="18"/>
              </w:rPr>
              <w:t>515,238,201.29</w:t>
            </w:r>
          </w:p>
        </w:tc>
      </w:tr>
      <w:tr>
        <w:trPr>
          <w:trHeight w:val="730" w:hRule="exact"/>
        </w:trPr>
        <w:tc>
          <w:tcPr>
            <w:tcW w:w="1141" w:type="dxa"/>
            <w:vMerge/>
            <w:tcBorders>
              <w:left w:val="nil" w:sz="6" w:space="0" w:color="auto"/>
              <w:bottom w:val="dotted" w:sz="4" w:space="0" w:color="000000"/>
              <w:right w:val="dotted" w:sz="4" w:space="0" w:color="000000"/>
            </w:tcBorders>
          </w:tcPr>
          <w:p>
            <w:pPr/>
          </w:p>
        </w:tc>
        <w:tc>
          <w:tcPr>
            <w:tcW w:w="1538" w:type="dxa"/>
            <w:vMerge/>
            <w:tcBorders>
              <w:left w:val="dotted" w:sz="4" w:space="0" w:color="000000"/>
              <w:bottom w:val="dotted" w:sz="4" w:space="0" w:color="000000"/>
              <w:right w:val="dotted" w:sz="4" w:space="0" w:color="000000"/>
            </w:tcBorders>
          </w:tcPr>
          <w:p>
            <w:pPr/>
          </w:p>
        </w:tc>
        <w:tc>
          <w:tcPr>
            <w:tcW w:w="1431" w:type="dxa"/>
            <w:vMerge/>
            <w:tcBorders>
              <w:left w:val="dotted" w:sz="4" w:space="0" w:color="000000"/>
              <w:bottom w:val="dotted" w:sz="4" w:space="0" w:color="000000"/>
              <w:right w:val="dotted" w:sz="4" w:space="0" w:color="000000"/>
            </w:tcBorders>
          </w:tcPr>
          <w:p>
            <w:pPr/>
          </w:p>
        </w:tc>
        <w:tc>
          <w:tcPr>
            <w:tcW w:w="18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应收款项融资</w:t>
            </w:r>
          </w:p>
        </w:tc>
        <w:tc>
          <w:tcPr>
            <w:tcW w:w="2399" w:type="dxa"/>
            <w:tcBorders>
              <w:top w:val="dotted" w:sz="4" w:space="0" w:color="000000"/>
              <w:left w:val="dotted" w:sz="4" w:space="0" w:color="000000"/>
              <w:bottom w:val="dotted" w:sz="4" w:space="0" w:color="000000"/>
              <w:right w:val="dotted" w:sz="4" w:space="0" w:color="000000"/>
            </w:tcBorders>
          </w:tcPr>
          <w:p>
            <w:pPr>
              <w:pStyle w:val="TableParagraph"/>
              <w:spacing w:line="328" w:lineRule="auto" w:before="86"/>
              <w:ind w:left="564" w:right="113" w:hanging="452"/>
              <w:jc w:val="left"/>
              <w:rPr>
                <w:rFonts w:ascii="宋体" w:hAnsi="宋体" w:cs="宋体" w:eastAsia="宋体" w:hint="default"/>
                <w:sz w:val="18"/>
                <w:szCs w:val="18"/>
              </w:rPr>
            </w:pPr>
            <w:r>
              <w:rPr>
                <w:rFonts w:ascii="宋体" w:hAnsi="宋体" w:cs="宋体" w:eastAsia="宋体" w:hint="default"/>
                <w:sz w:val="18"/>
                <w:szCs w:val="18"/>
              </w:rPr>
              <w:t>以公允价值计量且其变动计 入其他综合收益</w:t>
            </w:r>
          </w:p>
        </w:tc>
        <w:tc>
          <w:tcPr>
            <w:tcW w:w="1570" w:type="dxa"/>
            <w:tcBorders>
              <w:top w:val="dotted" w:sz="4" w:space="0" w:color="000000"/>
              <w:left w:val="dotted" w:sz="4" w:space="0" w:color="000000"/>
              <w:bottom w:val="dotted" w:sz="4" w:space="0" w:color="000000"/>
              <w:right w:val="nil" w:sz="6" w:space="0" w:color="auto"/>
            </w:tcBorders>
          </w:tcPr>
          <w:p>
            <w:pPr/>
          </w:p>
        </w:tc>
      </w:tr>
      <w:tr>
        <w:trPr>
          <w:trHeight w:val="410" w:hRule="exact"/>
        </w:trPr>
        <w:tc>
          <w:tcPr>
            <w:tcW w:w="114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8"/>
              <w:ind w:left="10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3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left="1" w:right="0"/>
              <w:jc w:val="center"/>
              <w:rPr>
                <w:rFonts w:ascii="宋体" w:hAnsi="宋体" w:cs="宋体" w:eastAsia="宋体" w:hint="default"/>
                <w:sz w:val="18"/>
                <w:szCs w:val="18"/>
              </w:rPr>
            </w:pPr>
            <w:r>
              <w:rPr>
                <w:rFonts w:ascii="宋体" w:hAnsi="宋体" w:cs="宋体" w:eastAsia="宋体" w:hint="default"/>
                <w:sz w:val="18"/>
                <w:szCs w:val="18"/>
              </w:rPr>
              <w:t>摊余成本</w:t>
            </w:r>
          </w:p>
        </w:tc>
        <w:tc>
          <w:tcPr>
            <w:tcW w:w="14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7"/>
              <w:ind w:left="103" w:right="0"/>
              <w:jc w:val="center"/>
              <w:rPr>
                <w:rFonts w:ascii="Times New Roman" w:hAnsi="Times New Roman" w:cs="Times New Roman" w:eastAsia="Times New Roman" w:hint="default"/>
                <w:sz w:val="18"/>
                <w:szCs w:val="18"/>
              </w:rPr>
            </w:pPr>
            <w:r>
              <w:rPr>
                <w:rFonts w:ascii="Times New Roman"/>
                <w:sz w:val="18"/>
              </w:rPr>
              <w:t>111,928,330.69</w:t>
            </w:r>
          </w:p>
        </w:tc>
        <w:tc>
          <w:tcPr>
            <w:tcW w:w="18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其他应收款</w:t>
            </w:r>
          </w:p>
        </w:tc>
        <w:tc>
          <w:tcPr>
            <w:tcW w:w="239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833"/>
              <w:jc w:val="right"/>
              <w:rPr>
                <w:rFonts w:ascii="宋体" w:hAnsi="宋体" w:cs="宋体" w:eastAsia="宋体" w:hint="default"/>
                <w:sz w:val="18"/>
                <w:szCs w:val="18"/>
              </w:rPr>
            </w:pPr>
            <w:r>
              <w:rPr>
                <w:rFonts w:ascii="宋体" w:hAnsi="宋体" w:cs="宋体" w:eastAsia="宋体" w:hint="default"/>
                <w:sz w:val="18"/>
                <w:szCs w:val="18"/>
              </w:rPr>
              <w:t>摊余成本</w:t>
            </w:r>
          </w:p>
        </w:tc>
        <w:tc>
          <w:tcPr>
            <w:tcW w:w="157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7"/>
              <w:ind w:right="105"/>
              <w:jc w:val="right"/>
              <w:rPr>
                <w:rFonts w:ascii="Times New Roman" w:hAnsi="Times New Roman" w:cs="Times New Roman" w:eastAsia="Times New Roman" w:hint="default"/>
                <w:sz w:val="18"/>
                <w:szCs w:val="18"/>
              </w:rPr>
            </w:pPr>
            <w:r>
              <w:rPr>
                <w:rFonts w:ascii="Times New Roman"/>
                <w:spacing w:val="-2"/>
                <w:sz w:val="18"/>
              </w:rPr>
              <w:t>111,928,330.69</w:t>
            </w:r>
          </w:p>
        </w:tc>
      </w:tr>
      <w:tr>
        <w:trPr>
          <w:trHeight w:val="770" w:hRule="exact"/>
        </w:trPr>
        <w:tc>
          <w:tcPr>
            <w:tcW w:w="1141" w:type="dxa"/>
            <w:vMerge w:val="restart"/>
            <w:tcBorders>
              <w:top w:val="dotted" w:sz="4" w:space="0" w:color="000000"/>
              <w:left w:val="nil" w:sz="6" w:space="0" w:color="auto"/>
              <w:right w:val="dotted"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21"/>
                <w:szCs w:val="21"/>
              </w:rPr>
            </w:pPr>
          </w:p>
          <w:p>
            <w:pPr>
              <w:pStyle w:val="TableParagraph"/>
              <w:spacing w:line="328" w:lineRule="auto"/>
              <w:ind w:left="108" w:right="101"/>
              <w:jc w:val="left"/>
              <w:rPr>
                <w:rFonts w:ascii="宋体" w:hAnsi="宋体" w:cs="宋体" w:eastAsia="宋体" w:hint="default"/>
                <w:sz w:val="18"/>
                <w:szCs w:val="18"/>
              </w:rPr>
            </w:pPr>
            <w:r>
              <w:rPr>
                <w:rFonts w:ascii="宋体" w:hAnsi="宋体" w:cs="宋体" w:eastAsia="宋体" w:hint="default"/>
                <w:spacing w:val="4"/>
                <w:sz w:val="18"/>
                <w:szCs w:val="18"/>
              </w:rPr>
              <w:t>可供出售金</w:t>
            </w:r>
            <w:r>
              <w:rPr>
                <w:rFonts w:ascii="宋体" w:hAnsi="宋体" w:cs="宋体" w:eastAsia="宋体" w:hint="default"/>
                <w:sz w:val="18"/>
                <w:szCs w:val="18"/>
              </w:rPr>
              <w:t> 融资产</w:t>
            </w:r>
          </w:p>
          <w:p>
            <w:pPr>
              <w:pStyle w:val="TableParagraph"/>
              <w:spacing w:line="307" w:lineRule="auto" w:before="58"/>
              <w:ind w:left="2" w:right="5" w:firstLine="247"/>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含</w:t>
            </w:r>
            <w:r>
              <w:rPr>
                <w:rFonts w:ascii="宋体" w:hAnsi="宋体" w:cs="宋体" w:eastAsia="宋体" w:hint="default"/>
                <w:spacing w:val="-66"/>
                <w:sz w:val="18"/>
                <w:szCs w:val="18"/>
              </w:rPr>
              <w:t> </w:t>
            </w:r>
            <w:r>
              <w:rPr>
                <w:rFonts w:ascii="宋体" w:hAnsi="宋体" w:cs="宋体" w:eastAsia="宋体" w:hint="default"/>
                <w:sz w:val="18"/>
                <w:szCs w:val="18"/>
              </w:rPr>
              <w:t>其</w:t>
            </w:r>
            <w:r>
              <w:rPr>
                <w:rFonts w:ascii="宋体" w:hAnsi="宋体" w:cs="宋体" w:eastAsia="宋体" w:hint="default"/>
                <w:spacing w:val="-64"/>
                <w:sz w:val="18"/>
                <w:szCs w:val="18"/>
              </w:rPr>
              <w:t> </w:t>
            </w:r>
            <w:r>
              <w:rPr>
                <w:rFonts w:ascii="宋体" w:hAnsi="宋体" w:cs="宋体" w:eastAsia="宋体" w:hint="default"/>
                <w:sz w:val="18"/>
                <w:szCs w:val="18"/>
              </w:rPr>
              <w:t>他</w:t>
            </w:r>
            <w:r>
              <w:rPr>
                <w:rFonts w:ascii="宋体" w:hAnsi="宋体" w:cs="宋体" w:eastAsia="宋体" w:hint="default"/>
                <w:spacing w:val="-66"/>
                <w:sz w:val="18"/>
                <w:szCs w:val="18"/>
              </w:rPr>
              <w:t> </w:t>
            </w:r>
            <w:r>
              <w:rPr>
                <w:rFonts w:ascii="宋体" w:hAnsi="宋体" w:cs="宋体" w:eastAsia="宋体" w:hint="default"/>
                <w:sz w:val="18"/>
                <w:szCs w:val="18"/>
              </w:rPr>
              <w:t>流</w:t>
            </w:r>
            <w:r>
              <w:rPr>
                <w:rFonts w:ascii="宋体" w:hAnsi="宋体" w:cs="宋体" w:eastAsia="宋体" w:hint="default"/>
                <w:w w:val="99"/>
                <w:sz w:val="18"/>
                <w:szCs w:val="18"/>
              </w:rPr>
              <w:t> </w:t>
            </w:r>
            <w:r>
              <w:rPr>
                <w:rFonts w:ascii="宋体" w:hAnsi="宋体" w:cs="宋体" w:eastAsia="宋体" w:hint="default"/>
                <w:sz w:val="18"/>
                <w:szCs w:val="18"/>
              </w:rPr>
              <w:t>动资产</w:t>
            </w:r>
            <w:r>
              <w:rPr>
                <w:rFonts w:ascii="Times New Roman" w:hAnsi="Times New Roman" w:cs="Times New Roman" w:eastAsia="Times New Roman" w:hint="default"/>
                <w:sz w:val="18"/>
                <w:szCs w:val="18"/>
              </w:rPr>
              <w:t>)</w:t>
            </w:r>
          </w:p>
        </w:tc>
        <w:tc>
          <w:tcPr>
            <w:tcW w:w="1538" w:type="dxa"/>
            <w:vMerge w:val="restart"/>
            <w:tcBorders>
              <w:top w:val="dotted" w:sz="4" w:space="0" w:color="000000"/>
              <w:left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3"/>
                <w:szCs w:val="13"/>
              </w:rPr>
            </w:pPr>
          </w:p>
          <w:p>
            <w:pPr>
              <w:pStyle w:val="TableParagraph"/>
              <w:spacing w:line="319" w:lineRule="auto"/>
              <w:ind w:left="105" w:right="103"/>
              <w:jc w:val="center"/>
              <w:rPr>
                <w:rFonts w:ascii="Times New Roman" w:hAnsi="Times New Roman" w:cs="Times New Roman" w:eastAsia="Times New Roman" w:hint="default"/>
                <w:sz w:val="18"/>
                <w:szCs w:val="18"/>
              </w:rPr>
            </w:pPr>
            <w:r>
              <w:rPr>
                <w:rFonts w:ascii="宋体" w:hAnsi="宋体" w:cs="宋体" w:eastAsia="宋体" w:hint="default"/>
                <w:sz w:val="18"/>
                <w:szCs w:val="18"/>
              </w:rPr>
              <w:t>以公允价值计量 且其变动计入其 他综合收益</w:t>
            </w:r>
            <w:r>
              <w:rPr>
                <w:rFonts w:ascii="Times New Roman" w:hAnsi="Times New Roman" w:cs="Times New Roman" w:eastAsia="Times New Roman" w:hint="default"/>
                <w:sz w:val="18"/>
                <w:szCs w:val="18"/>
              </w:rPr>
              <w:t>(</w:t>
            </w:r>
            <w:r>
              <w:rPr>
                <w:rFonts w:ascii="宋体" w:hAnsi="宋体" w:cs="宋体" w:eastAsia="宋体" w:hint="default"/>
                <w:sz w:val="18"/>
                <w:szCs w:val="18"/>
              </w:rPr>
              <w:t>债务 工具</w:t>
            </w:r>
            <w:r>
              <w:rPr>
                <w:rFonts w:ascii="Times New Roman" w:hAnsi="Times New Roman" w:cs="Times New Roman" w:eastAsia="Times New Roman" w:hint="default"/>
                <w:sz w:val="18"/>
                <w:szCs w:val="18"/>
              </w:rPr>
              <w:t>)</w:t>
            </w:r>
          </w:p>
        </w:tc>
        <w:tc>
          <w:tcPr>
            <w:tcW w:w="1431" w:type="dxa"/>
            <w:vMerge w:val="restart"/>
            <w:tcBorders>
              <w:top w:val="dotted" w:sz="4" w:space="0" w:color="000000"/>
              <w:left w:val="dotted" w:sz="4" w:space="0" w:color="000000"/>
              <w:right w:val="dotted" w:sz="4" w:space="0" w:color="000000"/>
            </w:tcBorders>
          </w:tcPr>
          <w:p>
            <w:pPr/>
          </w:p>
        </w:tc>
        <w:tc>
          <w:tcPr>
            <w:tcW w:w="18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债权投资</w:t>
            </w:r>
          </w:p>
          <w:p>
            <w:pPr>
              <w:pStyle w:val="TableParagraph"/>
              <w:spacing w:line="240" w:lineRule="auto" w:before="124"/>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含其他流动资产</w:t>
            </w:r>
            <w:r>
              <w:rPr>
                <w:rFonts w:ascii="Times New Roman" w:hAnsi="Times New Roman" w:cs="Times New Roman" w:eastAsia="Times New Roman" w:hint="default"/>
                <w:sz w:val="18"/>
                <w:szCs w:val="18"/>
              </w:rPr>
              <w:t>)</w:t>
            </w:r>
          </w:p>
        </w:tc>
        <w:tc>
          <w:tcPr>
            <w:tcW w:w="239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20"/>
                <w:szCs w:val="20"/>
              </w:rPr>
            </w:pPr>
          </w:p>
          <w:p>
            <w:pPr>
              <w:pStyle w:val="TableParagraph"/>
              <w:spacing w:line="240" w:lineRule="auto"/>
              <w:ind w:right="833"/>
              <w:jc w:val="right"/>
              <w:rPr>
                <w:rFonts w:ascii="宋体" w:hAnsi="宋体" w:cs="宋体" w:eastAsia="宋体" w:hint="default"/>
                <w:sz w:val="18"/>
                <w:szCs w:val="18"/>
              </w:rPr>
            </w:pPr>
            <w:r>
              <w:rPr>
                <w:rFonts w:ascii="宋体" w:hAnsi="宋体" w:cs="宋体" w:eastAsia="宋体" w:hint="default"/>
                <w:sz w:val="18"/>
                <w:szCs w:val="18"/>
              </w:rPr>
              <w:t>摊余成本</w:t>
            </w:r>
          </w:p>
        </w:tc>
        <w:tc>
          <w:tcPr>
            <w:tcW w:w="1570" w:type="dxa"/>
            <w:tcBorders>
              <w:top w:val="dotted" w:sz="4" w:space="0" w:color="000000"/>
              <w:left w:val="dotted" w:sz="4" w:space="0" w:color="000000"/>
              <w:bottom w:val="dotted" w:sz="4" w:space="0" w:color="000000"/>
              <w:right w:val="nil" w:sz="6" w:space="0" w:color="auto"/>
            </w:tcBorders>
          </w:tcPr>
          <w:p>
            <w:pPr/>
          </w:p>
        </w:tc>
      </w:tr>
      <w:tr>
        <w:trPr>
          <w:trHeight w:val="770" w:hRule="exact"/>
        </w:trPr>
        <w:tc>
          <w:tcPr>
            <w:tcW w:w="1141" w:type="dxa"/>
            <w:vMerge/>
            <w:tcBorders>
              <w:left w:val="nil" w:sz="6" w:space="0" w:color="auto"/>
              <w:right w:val="dotted" w:sz="4" w:space="0" w:color="000000"/>
            </w:tcBorders>
          </w:tcPr>
          <w:p>
            <w:pPr/>
          </w:p>
        </w:tc>
        <w:tc>
          <w:tcPr>
            <w:tcW w:w="1538" w:type="dxa"/>
            <w:vMerge/>
            <w:tcBorders>
              <w:left w:val="dotted" w:sz="4" w:space="0" w:color="000000"/>
              <w:bottom w:val="dotted" w:sz="4" w:space="0" w:color="000000"/>
              <w:right w:val="dotted" w:sz="4" w:space="0" w:color="000000"/>
            </w:tcBorders>
          </w:tcPr>
          <w:p>
            <w:pPr/>
          </w:p>
        </w:tc>
        <w:tc>
          <w:tcPr>
            <w:tcW w:w="1431" w:type="dxa"/>
            <w:vMerge/>
            <w:tcBorders>
              <w:left w:val="dotted" w:sz="4" w:space="0" w:color="000000"/>
              <w:bottom w:val="dotted" w:sz="4" w:space="0" w:color="000000"/>
              <w:right w:val="dotted" w:sz="4" w:space="0" w:color="000000"/>
            </w:tcBorders>
          </w:tcPr>
          <w:p>
            <w:pPr/>
          </w:p>
        </w:tc>
        <w:tc>
          <w:tcPr>
            <w:tcW w:w="18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其他债权投资</w:t>
            </w:r>
          </w:p>
          <w:p>
            <w:pPr>
              <w:pStyle w:val="TableParagraph"/>
              <w:spacing w:line="240" w:lineRule="auto" w:before="124"/>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含其他流动资产</w:t>
            </w:r>
            <w:r>
              <w:rPr>
                <w:rFonts w:ascii="Times New Roman" w:hAnsi="Times New Roman" w:cs="Times New Roman" w:eastAsia="Times New Roman" w:hint="default"/>
                <w:sz w:val="18"/>
                <w:szCs w:val="18"/>
              </w:rPr>
              <w:t>)</w:t>
            </w:r>
          </w:p>
        </w:tc>
        <w:tc>
          <w:tcPr>
            <w:tcW w:w="2399" w:type="dxa"/>
            <w:tcBorders>
              <w:top w:val="dotted" w:sz="4" w:space="0" w:color="000000"/>
              <w:left w:val="dotted" w:sz="4" w:space="0" w:color="000000"/>
              <w:bottom w:val="dotted" w:sz="4" w:space="0" w:color="000000"/>
              <w:right w:val="dotted" w:sz="4" w:space="0" w:color="000000"/>
            </w:tcBorders>
          </w:tcPr>
          <w:p>
            <w:pPr>
              <w:pStyle w:val="TableParagraph"/>
              <w:spacing w:line="326" w:lineRule="auto" w:before="108"/>
              <w:ind w:left="564" w:right="113" w:hanging="452"/>
              <w:jc w:val="left"/>
              <w:rPr>
                <w:rFonts w:ascii="宋体" w:hAnsi="宋体" w:cs="宋体" w:eastAsia="宋体" w:hint="default"/>
                <w:sz w:val="18"/>
                <w:szCs w:val="18"/>
              </w:rPr>
            </w:pPr>
            <w:r>
              <w:rPr>
                <w:rFonts w:ascii="宋体" w:hAnsi="宋体" w:cs="宋体" w:eastAsia="宋体" w:hint="default"/>
                <w:sz w:val="18"/>
                <w:szCs w:val="18"/>
              </w:rPr>
              <w:t>以公允价值计量且其变动计 入其他综合收益</w:t>
            </w:r>
          </w:p>
        </w:tc>
        <w:tc>
          <w:tcPr>
            <w:tcW w:w="1570" w:type="dxa"/>
            <w:tcBorders>
              <w:top w:val="dotted" w:sz="4" w:space="0" w:color="000000"/>
              <w:left w:val="dotted" w:sz="4" w:space="0" w:color="000000"/>
              <w:bottom w:val="dotted" w:sz="4" w:space="0" w:color="000000"/>
              <w:right w:val="nil" w:sz="6" w:space="0" w:color="auto"/>
            </w:tcBorders>
          </w:tcPr>
          <w:p>
            <w:pPr/>
          </w:p>
        </w:tc>
      </w:tr>
      <w:tr>
        <w:trPr>
          <w:trHeight w:val="410" w:hRule="exact"/>
        </w:trPr>
        <w:tc>
          <w:tcPr>
            <w:tcW w:w="1141" w:type="dxa"/>
            <w:vMerge/>
            <w:tcBorders>
              <w:left w:val="nil" w:sz="6" w:space="0" w:color="auto"/>
              <w:right w:val="dotted" w:sz="4" w:space="0" w:color="000000"/>
            </w:tcBorders>
          </w:tcPr>
          <w:p>
            <w:pPr/>
          </w:p>
        </w:tc>
        <w:tc>
          <w:tcPr>
            <w:tcW w:w="1538" w:type="dxa"/>
            <w:vMerge w:val="restart"/>
            <w:tcBorders>
              <w:top w:val="dotted" w:sz="4" w:space="0" w:color="000000"/>
              <w:left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b/>
                <w:bCs/>
                <w:sz w:val="13"/>
                <w:szCs w:val="13"/>
              </w:rPr>
            </w:pPr>
          </w:p>
          <w:p>
            <w:pPr>
              <w:pStyle w:val="TableParagraph"/>
              <w:spacing w:line="319" w:lineRule="auto"/>
              <w:ind w:left="133" w:right="132"/>
              <w:jc w:val="center"/>
              <w:rPr>
                <w:rFonts w:ascii="Times New Roman" w:hAnsi="Times New Roman" w:cs="Times New Roman" w:eastAsia="Times New Roman" w:hint="default"/>
                <w:sz w:val="18"/>
                <w:szCs w:val="18"/>
              </w:rPr>
            </w:pPr>
            <w:r>
              <w:rPr>
                <w:rFonts w:ascii="宋体" w:hAnsi="宋体" w:cs="宋体" w:eastAsia="宋体" w:hint="default"/>
                <w:sz w:val="18"/>
                <w:szCs w:val="18"/>
              </w:rPr>
              <w:t>以公允价值计量 且其变动计入其 他综合收益</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权 益工具</w:t>
            </w:r>
            <w:r>
              <w:rPr>
                <w:rFonts w:ascii="Times New Roman" w:hAnsi="Times New Roman" w:cs="Times New Roman" w:eastAsia="Times New Roman" w:hint="default"/>
                <w:sz w:val="18"/>
                <w:szCs w:val="18"/>
              </w:rPr>
              <w:t>)</w:t>
            </w:r>
          </w:p>
        </w:tc>
        <w:tc>
          <w:tcPr>
            <w:tcW w:w="1431" w:type="dxa"/>
            <w:vMerge w:val="restart"/>
            <w:tcBorders>
              <w:top w:val="dotted" w:sz="4" w:space="0" w:color="000000"/>
              <w:left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left="194" w:right="0"/>
              <w:jc w:val="left"/>
              <w:rPr>
                <w:rFonts w:ascii="Times New Roman" w:hAnsi="Times New Roman" w:cs="Times New Roman" w:eastAsia="Times New Roman" w:hint="default"/>
                <w:sz w:val="18"/>
                <w:szCs w:val="18"/>
              </w:rPr>
            </w:pPr>
            <w:r>
              <w:rPr>
                <w:rFonts w:ascii="Times New Roman"/>
                <w:sz w:val="18"/>
              </w:rPr>
              <w:t>843,295,785.40</w:t>
            </w:r>
          </w:p>
        </w:tc>
        <w:tc>
          <w:tcPr>
            <w:tcW w:w="18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交易性金融资产</w:t>
            </w:r>
          </w:p>
        </w:tc>
        <w:tc>
          <w:tcPr>
            <w:tcW w:w="2399" w:type="dxa"/>
            <w:vMerge w:val="restart"/>
            <w:tcBorders>
              <w:top w:val="dotted" w:sz="4" w:space="0" w:color="000000"/>
              <w:left w:val="dotted" w:sz="4" w:space="0" w:color="000000"/>
              <w:right w:val="dotted" w:sz="4" w:space="0" w:color="000000"/>
            </w:tcBorders>
          </w:tcPr>
          <w:p>
            <w:pPr>
              <w:pStyle w:val="TableParagraph"/>
              <w:spacing w:line="326" w:lineRule="auto" w:before="132"/>
              <w:ind w:left="744" w:right="113" w:hanging="632"/>
              <w:jc w:val="left"/>
              <w:rPr>
                <w:rFonts w:ascii="宋体" w:hAnsi="宋体" w:cs="宋体" w:eastAsia="宋体" w:hint="default"/>
                <w:sz w:val="18"/>
                <w:szCs w:val="18"/>
              </w:rPr>
            </w:pPr>
            <w:r>
              <w:rPr>
                <w:rFonts w:ascii="宋体" w:hAnsi="宋体" w:cs="宋体" w:eastAsia="宋体" w:hint="default"/>
                <w:sz w:val="18"/>
                <w:szCs w:val="18"/>
              </w:rPr>
              <w:t>以公允价值计量且其变动计 入当期损益</w:t>
            </w:r>
          </w:p>
        </w:tc>
        <w:tc>
          <w:tcPr>
            <w:tcW w:w="1570" w:type="dxa"/>
            <w:tcBorders>
              <w:top w:val="dotted" w:sz="4" w:space="0" w:color="000000"/>
              <w:left w:val="dotted" w:sz="4" w:space="0" w:color="000000"/>
              <w:bottom w:val="dotted" w:sz="4" w:space="0" w:color="000000"/>
              <w:right w:val="nil" w:sz="6" w:space="0" w:color="auto"/>
            </w:tcBorders>
          </w:tcPr>
          <w:p>
            <w:pPr/>
          </w:p>
        </w:tc>
      </w:tr>
      <w:tr>
        <w:trPr>
          <w:trHeight w:val="410" w:hRule="exact"/>
        </w:trPr>
        <w:tc>
          <w:tcPr>
            <w:tcW w:w="1141" w:type="dxa"/>
            <w:vMerge/>
            <w:tcBorders>
              <w:left w:val="nil" w:sz="6" w:space="0" w:color="auto"/>
              <w:right w:val="dotted" w:sz="4" w:space="0" w:color="000000"/>
            </w:tcBorders>
          </w:tcPr>
          <w:p>
            <w:pPr/>
          </w:p>
        </w:tc>
        <w:tc>
          <w:tcPr>
            <w:tcW w:w="1538" w:type="dxa"/>
            <w:vMerge/>
            <w:tcBorders>
              <w:left w:val="dotted" w:sz="4" w:space="0" w:color="000000"/>
              <w:right w:val="dotted" w:sz="4" w:space="0" w:color="000000"/>
            </w:tcBorders>
          </w:tcPr>
          <w:p>
            <w:pPr/>
          </w:p>
        </w:tc>
        <w:tc>
          <w:tcPr>
            <w:tcW w:w="1431" w:type="dxa"/>
            <w:vMerge/>
            <w:tcBorders>
              <w:left w:val="dotted" w:sz="4" w:space="0" w:color="000000"/>
              <w:right w:val="dotted" w:sz="4" w:space="0" w:color="000000"/>
            </w:tcBorders>
          </w:tcPr>
          <w:p>
            <w:pPr/>
          </w:p>
        </w:tc>
        <w:tc>
          <w:tcPr>
            <w:tcW w:w="18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2399" w:type="dxa"/>
            <w:vMerge/>
            <w:tcBorders>
              <w:left w:val="dotted" w:sz="4" w:space="0" w:color="000000"/>
              <w:bottom w:val="dotted" w:sz="4" w:space="0" w:color="000000"/>
              <w:right w:val="dotted" w:sz="4" w:space="0" w:color="000000"/>
            </w:tcBorders>
          </w:tcPr>
          <w:p>
            <w:pPr/>
          </w:p>
        </w:tc>
        <w:tc>
          <w:tcPr>
            <w:tcW w:w="1570" w:type="dxa"/>
            <w:tcBorders>
              <w:top w:val="dotted" w:sz="4" w:space="0" w:color="000000"/>
              <w:left w:val="dotted" w:sz="4" w:space="0" w:color="000000"/>
              <w:bottom w:val="dotted" w:sz="4" w:space="0" w:color="000000"/>
              <w:right w:val="nil" w:sz="6" w:space="0" w:color="auto"/>
            </w:tcBorders>
          </w:tcPr>
          <w:p>
            <w:pPr/>
          </w:p>
        </w:tc>
      </w:tr>
      <w:tr>
        <w:trPr>
          <w:trHeight w:val="730" w:hRule="exact"/>
        </w:trPr>
        <w:tc>
          <w:tcPr>
            <w:tcW w:w="1141" w:type="dxa"/>
            <w:vMerge/>
            <w:tcBorders>
              <w:left w:val="nil" w:sz="6" w:space="0" w:color="auto"/>
              <w:right w:val="dotted" w:sz="4" w:space="0" w:color="000000"/>
            </w:tcBorders>
          </w:tcPr>
          <w:p>
            <w:pPr/>
          </w:p>
        </w:tc>
        <w:tc>
          <w:tcPr>
            <w:tcW w:w="1538" w:type="dxa"/>
            <w:vMerge/>
            <w:tcBorders>
              <w:left w:val="dotted" w:sz="4" w:space="0" w:color="000000"/>
              <w:bottom w:val="dotted" w:sz="4" w:space="0" w:color="000000"/>
              <w:right w:val="dotted" w:sz="4" w:space="0" w:color="000000"/>
            </w:tcBorders>
          </w:tcPr>
          <w:p>
            <w:pPr/>
          </w:p>
        </w:tc>
        <w:tc>
          <w:tcPr>
            <w:tcW w:w="1431" w:type="dxa"/>
            <w:vMerge/>
            <w:tcBorders>
              <w:left w:val="dotted" w:sz="4" w:space="0" w:color="000000"/>
              <w:bottom w:val="dotted" w:sz="4" w:space="0" w:color="000000"/>
              <w:right w:val="dotted" w:sz="4" w:space="0" w:color="000000"/>
            </w:tcBorders>
          </w:tcPr>
          <w:p>
            <w:pPr/>
          </w:p>
        </w:tc>
        <w:tc>
          <w:tcPr>
            <w:tcW w:w="18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399" w:type="dxa"/>
            <w:tcBorders>
              <w:top w:val="dotted" w:sz="4" w:space="0" w:color="000000"/>
              <w:left w:val="dotted" w:sz="4" w:space="0" w:color="000000"/>
              <w:bottom w:val="dotted" w:sz="4" w:space="0" w:color="000000"/>
              <w:right w:val="dotted" w:sz="4" w:space="0" w:color="000000"/>
            </w:tcBorders>
          </w:tcPr>
          <w:p>
            <w:pPr>
              <w:pStyle w:val="TableParagraph"/>
              <w:spacing w:line="326" w:lineRule="auto" w:before="87"/>
              <w:ind w:left="564" w:right="113" w:hanging="452"/>
              <w:jc w:val="left"/>
              <w:rPr>
                <w:rFonts w:ascii="宋体" w:hAnsi="宋体" w:cs="宋体" w:eastAsia="宋体" w:hint="default"/>
                <w:sz w:val="18"/>
                <w:szCs w:val="18"/>
              </w:rPr>
            </w:pPr>
            <w:r>
              <w:rPr>
                <w:rFonts w:ascii="宋体" w:hAnsi="宋体" w:cs="宋体" w:eastAsia="宋体" w:hint="default"/>
                <w:sz w:val="18"/>
                <w:szCs w:val="18"/>
              </w:rPr>
              <w:t>以公允价值计量且其变动计 入其他综合收益</w:t>
            </w:r>
          </w:p>
        </w:tc>
        <w:tc>
          <w:tcPr>
            <w:tcW w:w="157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0"/>
              <w:ind w:right="0"/>
              <w:jc w:val="left"/>
              <w:rPr>
                <w:rFonts w:ascii="宋体" w:hAnsi="宋体" w:cs="宋体" w:eastAsia="宋体" w:hint="default"/>
                <w:b/>
                <w:bCs/>
                <w:sz w:val="22"/>
                <w:szCs w:val="2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843,295,785.40</w:t>
            </w:r>
          </w:p>
        </w:tc>
      </w:tr>
      <w:tr>
        <w:trPr>
          <w:trHeight w:val="410" w:hRule="exact"/>
        </w:trPr>
        <w:tc>
          <w:tcPr>
            <w:tcW w:w="1141" w:type="dxa"/>
            <w:vMerge/>
            <w:tcBorders>
              <w:left w:val="nil" w:sz="6" w:space="0" w:color="auto"/>
              <w:right w:val="dotted" w:sz="4" w:space="0" w:color="000000"/>
            </w:tcBorders>
          </w:tcPr>
          <w:p>
            <w:pPr/>
          </w:p>
        </w:tc>
        <w:tc>
          <w:tcPr>
            <w:tcW w:w="1538" w:type="dxa"/>
            <w:vMerge w:val="restart"/>
            <w:tcBorders>
              <w:top w:val="dotted" w:sz="4" w:space="0" w:color="000000"/>
              <w:left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20"/>
                <w:szCs w:val="20"/>
              </w:rPr>
            </w:pPr>
          </w:p>
          <w:p>
            <w:pPr>
              <w:pStyle w:val="TableParagraph"/>
              <w:spacing w:line="307" w:lineRule="auto"/>
              <w:ind w:left="553" w:right="103" w:hanging="449"/>
              <w:jc w:val="left"/>
              <w:rPr>
                <w:rFonts w:ascii="Times New Roman" w:hAnsi="Times New Roman" w:cs="Times New Roman" w:eastAsia="Times New Roman" w:hint="default"/>
                <w:sz w:val="18"/>
                <w:szCs w:val="18"/>
              </w:rPr>
            </w:pPr>
            <w:r>
              <w:rPr>
                <w:rFonts w:ascii="宋体" w:hAnsi="宋体" w:cs="宋体" w:eastAsia="宋体" w:hint="default"/>
                <w:sz w:val="18"/>
                <w:szCs w:val="18"/>
              </w:rPr>
              <w:t>以成本计量</w:t>
            </w:r>
            <w:r>
              <w:rPr>
                <w:rFonts w:ascii="Times New Roman" w:hAnsi="Times New Roman" w:cs="Times New Roman" w:eastAsia="Times New Roman" w:hint="default"/>
                <w:sz w:val="18"/>
                <w:szCs w:val="18"/>
              </w:rPr>
              <w:t>(</w:t>
            </w:r>
            <w:r>
              <w:rPr>
                <w:rFonts w:ascii="宋体" w:hAnsi="宋体" w:cs="宋体" w:eastAsia="宋体" w:hint="default"/>
                <w:sz w:val="18"/>
                <w:szCs w:val="18"/>
              </w:rPr>
              <w:t>权益 工具</w:t>
            </w:r>
            <w:r>
              <w:rPr>
                <w:rFonts w:ascii="Times New Roman" w:hAnsi="Times New Roman" w:cs="Times New Roman" w:eastAsia="Times New Roman" w:hint="default"/>
                <w:sz w:val="18"/>
                <w:szCs w:val="18"/>
              </w:rPr>
              <w:t>)</w:t>
            </w:r>
          </w:p>
        </w:tc>
        <w:tc>
          <w:tcPr>
            <w:tcW w:w="1431" w:type="dxa"/>
            <w:vMerge w:val="restart"/>
            <w:tcBorders>
              <w:top w:val="dotted" w:sz="4" w:space="0" w:color="000000"/>
              <w:left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left="283" w:right="0"/>
              <w:jc w:val="left"/>
              <w:rPr>
                <w:rFonts w:ascii="Times New Roman" w:hAnsi="Times New Roman" w:cs="Times New Roman" w:eastAsia="Times New Roman" w:hint="default"/>
                <w:sz w:val="18"/>
                <w:szCs w:val="18"/>
              </w:rPr>
            </w:pPr>
            <w:r>
              <w:rPr>
                <w:rFonts w:ascii="Times New Roman"/>
                <w:sz w:val="18"/>
              </w:rPr>
              <w:t>30,030,800.00</w:t>
            </w:r>
          </w:p>
        </w:tc>
        <w:tc>
          <w:tcPr>
            <w:tcW w:w="18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交易性金融资产</w:t>
            </w:r>
          </w:p>
        </w:tc>
        <w:tc>
          <w:tcPr>
            <w:tcW w:w="2399" w:type="dxa"/>
            <w:vMerge w:val="restart"/>
            <w:tcBorders>
              <w:top w:val="dotted" w:sz="4" w:space="0" w:color="000000"/>
              <w:left w:val="dotted" w:sz="4" w:space="0" w:color="000000"/>
              <w:right w:val="dotted" w:sz="4" w:space="0" w:color="000000"/>
            </w:tcBorders>
          </w:tcPr>
          <w:p>
            <w:pPr>
              <w:pStyle w:val="TableParagraph"/>
              <w:spacing w:line="326" w:lineRule="auto" w:before="132"/>
              <w:ind w:left="744" w:right="113" w:hanging="632"/>
              <w:jc w:val="left"/>
              <w:rPr>
                <w:rFonts w:ascii="宋体" w:hAnsi="宋体" w:cs="宋体" w:eastAsia="宋体" w:hint="default"/>
                <w:sz w:val="18"/>
                <w:szCs w:val="18"/>
              </w:rPr>
            </w:pPr>
            <w:r>
              <w:rPr>
                <w:rFonts w:ascii="宋体" w:hAnsi="宋体" w:cs="宋体" w:eastAsia="宋体" w:hint="default"/>
                <w:sz w:val="18"/>
                <w:szCs w:val="18"/>
              </w:rPr>
              <w:t>以公允价值计量且其变动计 入当期损益</w:t>
            </w:r>
          </w:p>
        </w:tc>
        <w:tc>
          <w:tcPr>
            <w:tcW w:w="1570" w:type="dxa"/>
            <w:tcBorders>
              <w:top w:val="dotted" w:sz="4" w:space="0" w:color="000000"/>
              <w:left w:val="dotted" w:sz="4" w:space="0" w:color="000000"/>
              <w:bottom w:val="dotted" w:sz="4" w:space="0" w:color="000000"/>
              <w:right w:val="nil" w:sz="6" w:space="0" w:color="auto"/>
            </w:tcBorders>
          </w:tcPr>
          <w:p>
            <w:pPr/>
          </w:p>
        </w:tc>
      </w:tr>
      <w:tr>
        <w:trPr>
          <w:trHeight w:val="410" w:hRule="exact"/>
        </w:trPr>
        <w:tc>
          <w:tcPr>
            <w:tcW w:w="1141" w:type="dxa"/>
            <w:vMerge/>
            <w:tcBorders>
              <w:left w:val="nil" w:sz="6" w:space="0" w:color="auto"/>
              <w:right w:val="dotted" w:sz="4" w:space="0" w:color="000000"/>
            </w:tcBorders>
          </w:tcPr>
          <w:p>
            <w:pPr/>
          </w:p>
        </w:tc>
        <w:tc>
          <w:tcPr>
            <w:tcW w:w="1538" w:type="dxa"/>
            <w:vMerge/>
            <w:tcBorders>
              <w:left w:val="dotted" w:sz="4" w:space="0" w:color="000000"/>
              <w:right w:val="dotted" w:sz="4" w:space="0" w:color="000000"/>
            </w:tcBorders>
          </w:tcPr>
          <w:p>
            <w:pPr/>
          </w:p>
        </w:tc>
        <w:tc>
          <w:tcPr>
            <w:tcW w:w="1431" w:type="dxa"/>
            <w:vMerge/>
            <w:tcBorders>
              <w:left w:val="dotted" w:sz="4" w:space="0" w:color="000000"/>
              <w:right w:val="dotted" w:sz="4" w:space="0" w:color="000000"/>
            </w:tcBorders>
          </w:tcPr>
          <w:p>
            <w:pPr/>
          </w:p>
        </w:tc>
        <w:tc>
          <w:tcPr>
            <w:tcW w:w="18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2399" w:type="dxa"/>
            <w:vMerge/>
            <w:tcBorders>
              <w:left w:val="dotted" w:sz="4" w:space="0" w:color="000000"/>
              <w:bottom w:val="dotted" w:sz="4" w:space="0" w:color="000000"/>
              <w:right w:val="dotted" w:sz="4" w:space="0" w:color="000000"/>
            </w:tcBorders>
          </w:tcPr>
          <w:p>
            <w:pPr/>
          </w:p>
        </w:tc>
        <w:tc>
          <w:tcPr>
            <w:tcW w:w="1570" w:type="dxa"/>
            <w:tcBorders>
              <w:top w:val="dotted" w:sz="4" w:space="0" w:color="000000"/>
              <w:left w:val="dotted" w:sz="4" w:space="0" w:color="000000"/>
              <w:bottom w:val="dotted" w:sz="4" w:space="0" w:color="000000"/>
              <w:right w:val="nil" w:sz="6" w:space="0" w:color="auto"/>
            </w:tcBorders>
          </w:tcPr>
          <w:p>
            <w:pPr/>
          </w:p>
        </w:tc>
      </w:tr>
      <w:tr>
        <w:trPr>
          <w:trHeight w:val="740" w:hRule="exact"/>
        </w:trPr>
        <w:tc>
          <w:tcPr>
            <w:tcW w:w="1141" w:type="dxa"/>
            <w:vMerge/>
            <w:tcBorders>
              <w:left w:val="nil" w:sz="6" w:space="0" w:color="auto"/>
              <w:bottom w:val="single" w:sz="12" w:space="0" w:color="000000"/>
              <w:right w:val="dotted" w:sz="4" w:space="0" w:color="000000"/>
            </w:tcBorders>
          </w:tcPr>
          <w:p>
            <w:pPr/>
          </w:p>
        </w:tc>
        <w:tc>
          <w:tcPr>
            <w:tcW w:w="1538" w:type="dxa"/>
            <w:vMerge/>
            <w:tcBorders>
              <w:left w:val="dotted" w:sz="4" w:space="0" w:color="000000"/>
              <w:bottom w:val="single" w:sz="12" w:space="0" w:color="000000"/>
              <w:right w:val="dotted" w:sz="4" w:space="0" w:color="000000"/>
            </w:tcBorders>
          </w:tcPr>
          <w:p>
            <w:pPr/>
          </w:p>
        </w:tc>
        <w:tc>
          <w:tcPr>
            <w:tcW w:w="1431" w:type="dxa"/>
            <w:vMerge/>
            <w:tcBorders>
              <w:left w:val="dotted" w:sz="4" w:space="0" w:color="000000"/>
              <w:bottom w:val="single" w:sz="12" w:space="0" w:color="000000"/>
              <w:right w:val="dotted" w:sz="4" w:space="0" w:color="000000"/>
            </w:tcBorders>
          </w:tcPr>
          <w:p>
            <w:pPr/>
          </w:p>
        </w:tc>
        <w:tc>
          <w:tcPr>
            <w:tcW w:w="184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399" w:type="dxa"/>
            <w:tcBorders>
              <w:top w:val="dotted" w:sz="4" w:space="0" w:color="000000"/>
              <w:left w:val="dotted" w:sz="4" w:space="0" w:color="000000"/>
              <w:bottom w:val="single" w:sz="12" w:space="0" w:color="000000"/>
              <w:right w:val="dotted" w:sz="4" w:space="0" w:color="000000"/>
            </w:tcBorders>
          </w:tcPr>
          <w:p>
            <w:pPr>
              <w:pStyle w:val="TableParagraph"/>
              <w:spacing w:line="326" w:lineRule="auto" w:before="88"/>
              <w:ind w:left="564" w:right="113" w:hanging="452"/>
              <w:jc w:val="left"/>
              <w:rPr>
                <w:rFonts w:ascii="宋体" w:hAnsi="宋体" w:cs="宋体" w:eastAsia="宋体" w:hint="default"/>
                <w:sz w:val="18"/>
                <w:szCs w:val="18"/>
              </w:rPr>
            </w:pPr>
            <w:r>
              <w:rPr>
                <w:rFonts w:ascii="宋体" w:hAnsi="宋体" w:cs="宋体" w:eastAsia="宋体" w:hint="default"/>
                <w:sz w:val="18"/>
                <w:szCs w:val="18"/>
              </w:rPr>
              <w:t>以公允价值计量且其变动计 入其他综合收益</w:t>
            </w:r>
          </w:p>
        </w:tc>
        <w:tc>
          <w:tcPr>
            <w:tcW w:w="1570" w:type="dxa"/>
            <w:tcBorders>
              <w:top w:val="dotted" w:sz="4" w:space="0" w:color="000000"/>
              <w:left w:val="dotted" w:sz="4"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16"/>
                <w:szCs w:val="16"/>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30,030,800.00</w:t>
            </w:r>
          </w:p>
        </w:tc>
      </w:tr>
    </w:tbl>
    <w:p>
      <w:pPr>
        <w:spacing w:line="240" w:lineRule="auto" w:before="5"/>
        <w:rPr>
          <w:rFonts w:ascii="宋体" w:hAnsi="宋体" w:cs="宋体" w:eastAsia="宋体" w:hint="default"/>
          <w:b/>
          <w:bCs/>
          <w:sz w:val="19"/>
          <w:szCs w:val="19"/>
        </w:rPr>
      </w:pPr>
    </w:p>
    <w:p>
      <w:pPr>
        <w:pStyle w:val="Heading3"/>
        <w:spacing w:line="240" w:lineRule="auto"/>
        <w:ind w:right="1394"/>
        <w:jc w:val="left"/>
        <w:rPr>
          <w:b w:val="0"/>
          <w:bCs w:val="0"/>
        </w:rPr>
      </w:pPr>
      <w:bookmarkStart w:name="（2）重要会计估计变更" w:id="203"/>
      <w:bookmarkEnd w:id="203"/>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564" w:right="1394"/>
        <w:jc w:val="left"/>
      </w:pPr>
      <w:r>
        <w:rPr/>
        <w:t>本公司本期末未发生会计估计变更。</w:t>
      </w:r>
    </w:p>
    <w:p>
      <w:pPr>
        <w:spacing w:line="240" w:lineRule="auto" w:before="11"/>
        <w:rPr>
          <w:rFonts w:ascii="宋体" w:hAnsi="宋体" w:cs="宋体" w:eastAsia="宋体" w:hint="default"/>
          <w:sz w:val="26"/>
          <w:szCs w:val="26"/>
        </w:rPr>
      </w:pPr>
    </w:p>
    <w:p>
      <w:pPr>
        <w:pStyle w:val="Heading3"/>
        <w:spacing w:line="240" w:lineRule="auto" w:before="0"/>
        <w:ind w:right="0"/>
        <w:jc w:val="left"/>
        <w:rPr>
          <w:b w:val="0"/>
          <w:bCs w:val="0"/>
        </w:rPr>
      </w:pPr>
      <w:bookmarkStart w:name="（3）2019年起执行新金融工具准则、新收入准则或新租赁准则调整执行当年年初财务" w:id="204"/>
      <w:bookmarkEnd w:id="204"/>
      <w:r>
        <w:rPr>
          <w:b w:val="0"/>
          <w:bCs w:val="0"/>
        </w:rPr>
      </w: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20"/>
        </w:rPr>
        <w:t> </w:t>
      </w:r>
      <w:r>
        <w:rPr/>
        <w:t>年起执行新金融工具准则、新收入准则或新租赁准则调整执行当年年初财务报表相关项目情况</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78" w:footer="978" w:top="1100" w:bottom="1160" w:left="1020" w:right="0"/>
        </w:sectPr>
      </w:pPr>
    </w:p>
    <w:p>
      <w:pPr>
        <w:pStyle w:val="BodyText"/>
        <w:spacing w:line="340" w:lineRule="auto" w:before="44"/>
        <w:ind w:right="-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 合并资产负债表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100" w:bottom="1160" w:left="1020" w:right="0"/>
          <w:cols w:num="2" w:equalWidth="0">
            <w:col w:w="1491" w:space="7427"/>
            <w:col w:w="1972"/>
          </w:cols>
        </w:sectPr>
      </w:pP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206"/>
        <w:gridCol w:w="2453"/>
        <w:gridCol w:w="2454"/>
        <w:gridCol w:w="2454"/>
      </w:tblGrid>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60" w:right="0"/>
              <w:jc w:val="left"/>
              <w:rPr>
                <w:rFonts w:ascii="Times New Roman" w:hAnsi="Times New Roman" w:cs="Times New Roman" w:eastAsia="Times New Roman" w:hint="default"/>
                <w:sz w:val="18"/>
                <w:szCs w:val="18"/>
              </w:rPr>
            </w:pPr>
            <w:r>
              <w:rPr>
                <w:rFonts w:ascii="Times New Roman"/>
                <w:sz w:val="18"/>
              </w:rPr>
              <w:t>4,249,788,473.33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4,249,788,473.33</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1,570,929,605.39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160" w:right="0"/>
              <w:jc w:val="left"/>
              <w:rPr>
                <w:rFonts w:ascii="Times New Roman" w:hAnsi="Times New Roman" w:cs="Times New Roman" w:eastAsia="Times New Roman" w:hint="default"/>
                <w:sz w:val="18"/>
                <w:szCs w:val="18"/>
              </w:rPr>
            </w:pPr>
            <w:r>
              <w:rPr>
                <w:rFonts w:ascii="Times New Roman"/>
                <w:sz w:val="18"/>
              </w:rPr>
              <w:t>1,570,929,605.39</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100" w:bottom="1160" w:left="102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09" w:type="dxa"/>
        <w:tblLayout w:type="fixed"/>
        <w:tblCellMar>
          <w:top w:w="0" w:type="dxa"/>
          <w:left w:w="0" w:type="dxa"/>
          <w:bottom w:w="0" w:type="dxa"/>
          <w:right w:w="0" w:type="dxa"/>
        </w:tblCellMar>
        <w:tblLook w:val="01E0"/>
      </w:tblPr>
      <w:tblGrid>
        <w:gridCol w:w="2206"/>
        <w:gridCol w:w="2453"/>
        <w:gridCol w:w="2454"/>
        <w:gridCol w:w="2454"/>
      </w:tblGrid>
      <w:tr>
        <w:trPr>
          <w:trHeight w:val="1026"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191"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41,882,197.77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41,882,197.77</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1,311,545,965.04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1,311,545,965.04</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68,507,879.62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68,507,879.62</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91"/>
              <w:jc w:val="righ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109,691,755.92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109,691,755.92</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2"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0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1,864,961,109.68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1,864,961,109.68</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54,932,269.00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54,932,269.00</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191" w:firstLine="360"/>
              <w:jc w:val="left"/>
              <w:rPr>
                <w:rFonts w:ascii="宋体" w:hAnsi="宋体" w:cs="宋体" w:eastAsia="宋体" w:hint="default"/>
                <w:sz w:val="18"/>
                <w:szCs w:val="18"/>
              </w:rPr>
            </w:pPr>
            <w:r>
              <w:rPr>
                <w:rFonts w:ascii="宋体" w:hAnsi="宋体" w:cs="宋体" w:eastAsia="宋体" w:hint="default"/>
                <w:sz w:val="18"/>
                <w:szCs w:val="18"/>
              </w:rPr>
              <w:t>一年内到期的非流动 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1,649,187,547.95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78,257,942.56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-1,570,929,605.39</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9,350,497,198.31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9,350,497,198.31</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906,570,668.31</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-906,570,668.31</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626,464,621.74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626,464,621.74</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906,570,668.31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906,570,668.31</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91"/>
              <w:jc w:val="righ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52,892,220.34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52,892,220.34</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1,089,049,675.78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1,089,049,675.78</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48,288,502.94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48,288,502.94</w:t>
            </w:r>
          </w:p>
        </w:tc>
        <w:tc>
          <w:tcPr>
            <w:tcW w:w="245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8" w:footer="978" w:top="1100" w:bottom="1160" w:left="102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09" w:type="dxa"/>
        <w:tblLayout w:type="fixed"/>
        <w:tblCellMar>
          <w:top w:w="0" w:type="dxa"/>
          <w:left w:w="0" w:type="dxa"/>
          <w:bottom w:w="0" w:type="dxa"/>
          <w:right w:w="0" w:type="dxa"/>
        </w:tblCellMar>
        <w:tblLook w:val="01E0"/>
      </w:tblPr>
      <w:tblGrid>
        <w:gridCol w:w="2206"/>
        <w:gridCol w:w="2453"/>
        <w:gridCol w:w="2454"/>
        <w:gridCol w:w="2454"/>
      </w:tblGrid>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151,800,738.04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151,800,738.04</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1,014,427,563.83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1,014,427,563.83</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18,563,655.95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18,563,655.95</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163,572,370.81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163,572,370.81</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18,091,297.30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18,091,297.30</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4,089,721,315.04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4,089,721,315.04</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13,440,218,513.35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13,440,218,513.35</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23,331,000.00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23,331,000.00</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191"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106,681,293.96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106,681,293.96</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823,555,261.61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823,555,261.61</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1,811,160,432.05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1,811,160,432.05</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91"/>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1"/>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520,546,957.11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520,546,957.11</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178,719,517.19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178,719,517.19</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356,624,282.87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356,624,282.87</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67,832.81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67,832.81</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0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14,815,400.00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14,815,400.00</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8" w:footer="978" w:top="1100" w:bottom="1160" w:left="102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09" w:type="dxa"/>
        <w:tblLayout w:type="fixed"/>
        <w:tblCellMar>
          <w:top w:w="0" w:type="dxa"/>
          <w:left w:w="0" w:type="dxa"/>
          <w:bottom w:w="0" w:type="dxa"/>
          <w:right w:w="0" w:type="dxa"/>
        </w:tblCellMar>
        <w:tblLook w:val="01E0"/>
      </w:tblPr>
      <w:tblGrid>
        <w:gridCol w:w="2206"/>
        <w:gridCol w:w="2453"/>
        <w:gridCol w:w="2454"/>
        <w:gridCol w:w="2454"/>
      </w:tblGrid>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91" w:firstLine="360"/>
              <w:jc w:val="left"/>
              <w:rPr>
                <w:rFonts w:ascii="宋体" w:hAnsi="宋体" w:cs="宋体" w:eastAsia="宋体" w:hint="default"/>
                <w:sz w:val="18"/>
                <w:szCs w:val="18"/>
              </w:rPr>
            </w:pPr>
            <w:r>
              <w:rPr>
                <w:rFonts w:ascii="宋体" w:hAnsi="宋体" w:cs="宋体" w:eastAsia="宋体" w:hint="default"/>
                <w:sz w:val="18"/>
                <w:szCs w:val="18"/>
              </w:rPr>
              <w:t>一年内到期的非流动 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3,820,618,744.79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3,820,618,744.79</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2,000,000.00</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0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71,082,333.29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71,082,333.29</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36,915,428.53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36,915,428.53</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109,997,761.82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109,997,761.82</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3,930,616,506.61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3,930,616,506.61</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2,428,885,725.00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2,428,885,725.00</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0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2,298,125,819.56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2,298,125,819.56</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113,006,514.72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113,006,514.72</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-368,279,676.59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-368,279,676.59</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628,593,583.41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628,593,583.41</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3,812,670,503.86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3,812,670,503.86</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91"/>
              <w:jc w:val="left"/>
              <w:rPr>
                <w:rFonts w:ascii="宋体" w:hAnsi="宋体" w:cs="宋体" w:eastAsia="宋体" w:hint="default"/>
                <w:sz w:val="18"/>
                <w:szCs w:val="18"/>
              </w:rPr>
            </w:pPr>
            <w:r>
              <w:rPr>
                <w:rFonts w:ascii="宋体" w:hAnsi="宋体" w:cs="宋体" w:eastAsia="宋体" w:hint="default"/>
                <w:sz w:val="18"/>
                <w:szCs w:val="18"/>
              </w:rPr>
              <w:t>归属于母公司所有者权益 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8,686,989,440.52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8,686,989,440.52</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822,612,566.22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822,612,566.22</w:t>
            </w:r>
          </w:p>
        </w:tc>
        <w:tc>
          <w:tcPr>
            <w:tcW w:w="2454"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48"/>
          <w:pgSz w:w="11910" w:h="16840"/>
          <w:pgMar w:footer="978" w:header="878" w:top="1100" w:bottom="1160" w:left="1020" w:right="0"/>
          <w:pgNumType w:start="140"/>
        </w:sectPr>
      </w:pPr>
    </w:p>
    <w:p>
      <w:pPr>
        <w:spacing w:line="240" w:lineRule="auto" w:before="11"/>
        <w:rPr>
          <w:rFonts w:ascii="Times New Roman" w:hAnsi="Times New Roman" w:cs="Times New Roman" w:eastAsia="Times New Roman" w:hint="default"/>
          <w:sz w:val="27"/>
          <w:szCs w:val="27"/>
        </w:rPr>
      </w:pPr>
    </w:p>
    <w:tbl>
      <w:tblPr>
        <w:tblW w:w="0" w:type="auto"/>
        <w:jc w:val="left"/>
        <w:tblInd w:w="109" w:type="dxa"/>
        <w:tblLayout w:type="fixed"/>
        <w:tblCellMar>
          <w:top w:w="0" w:type="dxa"/>
          <w:left w:w="0" w:type="dxa"/>
          <w:bottom w:w="0" w:type="dxa"/>
          <w:right w:w="0" w:type="dxa"/>
        </w:tblCellMar>
        <w:tblLook w:val="01E0"/>
      </w:tblPr>
      <w:tblGrid>
        <w:gridCol w:w="2206"/>
        <w:gridCol w:w="2453"/>
        <w:gridCol w:w="2454"/>
        <w:gridCol w:w="2454"/>
      </w:tblGrid>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9,509,602,006.74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9,509,602,006.74</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13,440,218,513.35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13,440,218,513.35</w:t>
            </w:r>
          </w:p>
        </w:tc>
        <w:tc>
          <w:tcPr>
            <w:tcW w:w="245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0"/>
        <w:ind w:right="1394"/>
        <w:jc w:val="left"/>
      </w:pPr>
      <w:r>
        <w:rPr/>
        <w:t>母公司资产负债表</w:t>
      </w:r>
    </w:p>
    <w:p>
      <w:pPr>
        <w:pStyle w:val="BodyText"/>
        <w:spacing w:line="240" w:lineRule="auto" w:before="117"/>
        <w:ind w:left="0" w:right="1132"/>
        <w:jc w:val="right"/>
      </w:pPr>
      <w:r>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206"/>
        <w:gridCol w:w="2453"/>
        <w:gridCol w:w="2454"/>
        <w:gridCol w:w="2454"/>
      </w:tblGrid>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7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7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1,705,942,946.26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1,705,942,946.26</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91"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3,456,776.00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3,456,776.00</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515,238,201.29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515,238,201.29</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5,551,767.85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5,551,767.85</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111,928,330.69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111,928,330.69</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2"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0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20,400,000.00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20,400,000.00</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1,543,573,573.61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1,543,573,573.61</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54,932,269.00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54,932,269.00</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91" w:firstLine="360"/>
              <w:jc w:val="left"/>
              <w:rPr>
                <w:rFonts w:ascii="宋体" w:hAnsi="宋体" w:cs="宋体" w:eastAsia="宋体" w:hint="default"/>
                <w:sz w:val="18"/>
                <w:szCs w:val="18"/>
              </w:rPr>
            </w:pPr>
            <w:r>
              <w:rPr>
                <w:rFonts w:ascii="宋体" w:hAnsi="宋体" w:cs="宋体" w:eastAsia="宋体" w:hint="default"/>
                <w:sz w:val="18"/>
                <w:szCs w:val="18"/>
              </w:rPr>
              <w:t>一年内到期的非流动 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40,281,949.22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40,281,949.22</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3,980,905,813.92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3,980,905,813.92</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873,326,585.40</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-873,326,585.40</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4,615,185,421.81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4,615,185,421.81</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873,326,585.40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873,326,585.40</w:t>
            </w:r>
          </w:p>
        </w:tc>
      </w:tr>
      <w:tr>
        <w:trPr>
          <w:trHeight w:val="400"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8" w:footer="978" w:top="1100" w:bottom="1160" w:left="102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09" w:type="dxa"/>
        <w:tblLayout w:type="fixed"/>
        <w:tblCellMar>
          <w:top w:w="0" w:type="dxa"/>
          <w:left w:w="0" w:type="dxa"/>
          <w:bottom w:w="0" w:type="dxa"/>
          <w:right w:w="0" w:type="dxa"/>
        </w:tblCellMar>
        <w:tblLook w:val="01E0"/>
      </w:tblPr>
      <w:tblGrid>
        <w:gridCol w:w="2206"/>
        <w:gridCol w:w="2453"/>
        <w:gridCol w:w="2454"/>
        <w:gridCol w:w="2454"/>
      </w:tblGrid>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327,825,942.41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327,825,942.41</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8,760,115.81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8,760,115.81</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21,877,890.79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21,877,890.79</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110,458,379.26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110,458,379.26</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5,957,434,335.48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5,957,434,335.48</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9,938,340,149.40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9,938,340,149.40</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91"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64,773,731.96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64,773,731.96</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608,393,323.78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608,393,323.78</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1,405,953,738.07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1,405,953,738.07</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127,710,000.00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127,710,000.00</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35,783,166.39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35,783,166.39</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130,345,412.24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130,345,412.24</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371"/>
              <w:jc w:val="right"/>
              <w:rPr>
                <w:rFonts w:ascii="宋体" w:hAnsi="宋体" w:cs="宋体" w:eastAsia="宋体" w:hint="default"/>
                <w:sz w:val="18"/>
                <w:szCs w:val="18"/>
              </w:rPr>
            </w:pPr>
            <w:r>
              <w:rPr>
                <w:rFonts w:ascii="宋体" w:hAnsi="宋体" w:cs="宋体" w:eastAsia="宋体" w:hint="default"/>
                <w:sz w:val="18"/>
                <w:szCs w:val="18"/>
              </w:rPr>
              <w:t>其中：应付利息</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71"/>
              <w:jc w:val="right"/>
              <w:rPr>
                <w:rFonts w:ascii="宋体" w:hAnsi="宋体" w:cs="宋体" w:eastAsia="宋体" w:hint="default"/>
                <w:sz w:val="18"/>
                <w:szCs w:val="18"/>
              </w:rPr>
            </w:pPr>
            <w:r>
              <w:rPr>
                <w:rFonts w:ascii="宋体" w:hAnsi="宋体" w:cs="宋体" w:eastAsia="宋体" w:hint="default"/>
                <w:sz w:val="18"/>
                <w:szCs w:val="18"/>
              </w:rPr>
              <w:t>应付股利</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91" w:firstLine="360"/>
              <w:jc w:val="left"/>
              <w:rPr>
                <w:rFonts w:ascii="宋体" w:hAnsi="宋体" w:cs="宋体" w:eastAsia="宋体" w:hint="default"/>
                <w:sz w:val="18"/>
                <w:szCs w:val="18"/>
              </w:rPr>
            </w:pPr>
            <w:r>
              <w:rPr>
                <w:rFonts w:ascii="宋体" w:hAnsi="宋体" w:cs="宋体" w:eastAsia="宋体" w:hint="default"/>
                <w:sz w:val="18"/>
                <w:szCs w:val="18"/>
              </w:rPr>
              <w:t>一年内到期的非流动 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2,372,959,372.44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2,372,959,372.44</w:t>
            </w:r>
          </w:p>
        </w:tc>
        <w:tc>
          <w:tcPr>
            <w:tcW w:w="245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8" w:footer="978" w:top="1100" w:bottom="1160" w:left="102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09" w:type="dxa"/>
        <w:tblLayout w:type="fixed"/>
        <w:tblCellMar>
          <w:top w:w="0" w:type="dxa"/>
          <w:left w:w="0" w:type="dxa"/>
          <w:bottom w:w="0" w:type="dxa"/>
          <w:right w:w="0" w:type="dxa"/>
        </w:tblCellMar>
        <w:tblLook w:val="01E0"/>
      </w:tblPr>
      <w:tblGrid>
        <w:gridCol w:w="2206"/>
        <w:gridCol w:w="2453"/>
        <w:gridCol w:w="2454"/>
        <w:gridCol w:w="2454"/>
      </w:tblGrid>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0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41,342,074.26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41,342,074.26</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23,880,150.00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23,880,150.00</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65,222,224.26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65,222,224.26</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2,438,181,596.70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2,438,181,596.70</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2,428,885,725.00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2,428,885,725.00</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0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2,304,533,814.30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2,304,533,814.30</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113,006,514.72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113,006,514.72</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-365,400,438.36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-365,400,438.36</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628,593,583.41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628,593,583.41</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2,616,552,383.07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2,616,552,383.07</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7,500,158,552.70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7,500,158,552.70</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9,938,340,149.40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9,938,340,149.40</w:t>
            </w:r>
          </w:p>
        </w:tc>
        <w:tc>
          <w:tcPr>
            <w:tcW w:w="245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1"/>
        <w:rPr>
          <w:rFonts w:ascii="Times New Roman" w:hAnsi="Times New Roman" w:cs="Times New Roman" w:eastAsia="Times New Roman" w:hint="default"/>
          <w:sz w:val="21"/>
          <w:szCs w:val="21"/>
        </w:rPr>
      </w:pPr>
    </w:p>
    <w:p>
      <w:pPr>
        <w:pStyle w:val="Heading3"/>
        <w:spacing w:line="240" w:lineRule="auto"/>
        <w:ind w:right="1394"/>
        <w:jc w:val="left"/>
        <w:rPr>
          <w:b w:val="0"/>
          <w:bCs w:val="0"/>
        </w:rPr>
      </w:pPr>
      <w:bookmarkStart w:name="（4）2019年起执行新金融工具准则或新租赁准则追溯调整前期比较数据说明" w:id="205"/>
      <w:bookmarkEnd w:id="205"/>
      <w:r>
        <w:rPr>
          <w:b w:val="0"/>
          <w:bCs w:val="0"/>
        </w:rPr>
      </w:r>
      <w:r>
        <w:rPr/>
        <w:t>（</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10"/>
        </w:rPr>
        <w:t> </w:t>
      </w:r>
      <w:r>
        <w:rPr/>
        <w:t>年起执行新金融工具准则或新租赁准则追溯调整前期比较数据说明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3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after="0" w:line="240" w:lineRule="auto"/>
        <w:jc w:val="left"/>
        <w:sectPr>
          <w:pgSz w:w="11910" w:h="16840"/>
          <w:pgMar w:header="878" w:footer="978" w:top="1100" w:bottom="116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6"/>
          <w:szCs w:val="26"/>
        </w:rPr>
      </w:pPr>
    </w:p>
    <w:p>
      <w:pPr>
        <w:pStyle w:val="Heading2"/>
        <w:spacing w:line="240" w:lineRule="auto" w:before="26"/>
        <w:ind w:right="1394"/>
        <w:jc w:val="left"/>
        <w:rPr>
          <w:b w:val="0"/>
          <w:bCs w:val="0"/>
        </w:rPr>
      </w:pPr>
      <w:bookmarkStart w:name="六、税项" w:id="206"/>
      <w:bookmarkEnd w:id="206"/>
      <w:r>
        <w:rPr>
          <w:b w:val="0"/>
          <w:bCs w:val="0"/>
        </w:rPr>
      </w:r>
      <w:r>
        <w:rPr/>
        <w:t>六、税项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before="0"/>
        <w:ind w:right="1394"/>
        <w:jc w:val="left"/>
        <w:rPr>
          <w:b w:val="0"/>
          <w:bCs w:val="0"/>
        </w:rPr>
      </w:pPr>
      <w:bookmarkStart w:name="1、主要税种及税率" w:id="207"/>
      <w:bookmarkEnd w:id="207"/>
      <w:r>
        <w:rPr>
          <w:b w:val="0"/>
          <w:bCs w:val="0"/>
        </w:rPr>
      </w:r>
      <w:r>
        <w:rPr>
          <w:rFonts w:ascii="Times New Roman" w:hAnsi="Times New Roman" w:cs="Times New Roman" w:eastAsia="Times New Roman" w:hint="default"/>
        </w:rPr>
        <w:t>1</w:t>
      </w:r>
      <w:r>
        <w:rPr/>
        <w:t>、主要税种及税率</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1338"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5"/>
              <w:jc w:val="both"/>
              <w:rPr>
                <w:rFonts w:ascii="宋体" w:hAnsi="宋体" w:cs="宋体" w:eastAsia="宋体" w:hint="default"/>
                <w:sz w:val="18"/>
                <w:szCs w:val="18"/>
              </w:rPr>
            </w:pPr>
            <w:r>
              <w:rPr>
                <w:rFonts w:ascii="宋体" w:hAnsi="宋体" w:cs="宋体" w:eastAsia="宋体" w:hint="default"/>
                <w:sz w:val="18"/>
                <w:szCs w:val="18"/>
              </w:rPr>
              <w:t>按税法规定计算的销售货物和应税劳务 收入为基础计算销项税额，在扣除当期 允许抵扣的进项税额后，差额部分为应 交增值税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16%</w:t>
            </w:r>
            <w:r>
              <w:rPr>
                <w:rFonts w:ascii="宋体" w:hAnsi="宋体" w:cs="宋体" w:eastAsia="宋体" w:hint="default"/>
                <w:sz w:val="18"/>
                <w:szCs w:val="18"/>
              </w:rPr>
              <w:t>、</w:t>
            </w:r>
            <w:r>
              <w:rPr>
                <w:rFonts w:ascii="Times New Roman" w:hAnsi="Times New Roman" w:cs="Times New Roman" w:eastAsia="Times New Roman" w:hint="default"/>
                <w:sz w:val="18"/>
                <w:szCs w:val="18"/>
              </w:rPr>
              <w:t>13%</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95"/>
              <w:jc w:val="left"/>
              <w:rPr>
                <w:rFonts w:ascii="宋体" w:hAnsi="宋体" w:cs="宋体" w:eastAsia="宋体" w:hint="default"/>
                <w:sz w:val="18"/>
                <w:szCs w:val="18"/>
              </w:rPr>
            </w:pPr>
            <w:r>
              <w:rPr>
                <w:rFonts w:ascii="宋体" w:hAnsi="宋体" w:cs="宋体" w:eastAsia="宋体" w:hint="default"/>
                <w:sz w:val="18"/>
                <w:szCs w:val="18"/>
              </w:rPr>
              <w:t>按实际缴纳的营业税、增值税及消费税 计征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7%</w:t>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按应纳税所得额计征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32.275%</w:t>
            </w:r>
            <w:r>
              <w:rPr>
                <w:rFonts w:ascii="宋体" w:hAnsi="宋体" w:cs="宋体" w:eastAsia="宋体" w:hint="default"/>
                <w:sz w:val="18"/>
                <w:szCs w:val="18"/>
              </w:rPr>
              <w:t>、</w:t>
            </w:r>
            <w:r>
              <w:rPr>
                <w:rFonts w:ascii="Times New Roman" w:hAnsi="Times New Roman" w:cs="Times New Roman" w:eastAsia="Times New Roman" w:hint="default"/>
                <w:sz w:val="18"/>
                <w:szCs w:val="18"/>
              </w:rPr>
              <w:t>30%</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24.465%</w:t>
            </w:r>
            <w:r>
              <w:rPr>
                <w:rFonts w:ascii="宋体" w:hAnsi="宋体" w:cs="宋体" w:eastAsia="宋体" w:hint="default"/>
                <w:sz w:val="18"/>
                <w:szCs w:val="18"/>
              </w:rPr>
              <w:t>、</w:t>
            </w:r>
            <w:r>
              <w:rPr>
                <w:rFonts w:ascii="Times New Roman" w:hAnsi="Times New Roman" w:cs="Times New Roman" w:eastAsia="Times New Roman" w:hint="default"/>
                <w:sz w:val="18"/>
                <w:szCs w:val="18"/>
              </w:rPr>
              <w:t>22%</w:t>
            </w:r>
            <w:r>
              <w:rPr>
                <w:rFonts w:ascii="宋体" w:hAnsi="宋体" w:cs="宋体" w:eastAsia="宋体" w:hint="default"/>
                <w:sz w:val="18"/>
                <w:szCs w:val="18"/>
              </w:rPr>
              <w:t>、</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w:t>
            </w:r>
            <w:r>
              <w:rPr>
                <w:rFonts w:ascii="宋体" w:hAnsi="宋体" w:cs="宋体" w:eastAsia="宋体" w:hint="default"/>
                <w:sz w:val="18"/>
                <w:szCs w:val="18"/>
              </w:rPr>
              <w:t>、</w:t>
            </w: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16.5%</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9%</w:t>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95"/>
              <w:jc w:val="left"/>
              <w:rPr>
                <w:rFonts w:ascii="宋体" w:hAnsi="宋体" w:cs="宋体" w:eastAsia="宋体" w:hint="default"/>
                <w:sz w:val="18"/>
                <w:szCs w:val="18"/>
              </w:rPr>
            </w:pPr>
            <w:r>
              <w:rPr>
                <w:rFonts w:ascii="宋体" w:hAnsi="宋体" w:cs="宋体" w:eastAsia="宋体" w:hint="default"/>
                <w:sz w:val="18"/>
                <w:szCs w:val="18"/>
              </w:rPr>
              <w:t>按实际缴纳的营业税、增值税及消费税 计征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w:t>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5"/>
              <w:jc w:val="left"/>
              <w:rPr>
                <w:rFonts w:ascii="宋体" w:hAnsi="宋体" w:cs="宋体" w:eastAsia="宋体" w:hint="default"/>
                <w:sz w:val="18"/>
                <w:szCs w:val="18"/>
              </w:rPr>
            </w:pPr>
            <w:r>
              <w:rPr>
                <w:rFonts w:ascii="宋体" w:hAnsi="宋体" w:cs="宋体" w:eastAsia="宋体" w:hint="default"/>
                <w:sz w:val="18"/>
                <w:szCs w:val="18"/>
              </w:rPr>
              <w:t>按实际缴纳的营业税、增值税及消费税 计征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w:t>
            </w:r>
          </w:p>
        </w:tc>
      </w:tr>
    </w:tbl>
    <w:p>
      <w:pPr>
        <w:pStyle w:val="BodyText"/>
        <w:spacing w:line="240" w:lineRule="auto" w:before="50"/>
        <w:ind w:right="1394"/>
        <w:jc w:val="left"/>
      </w:pPr>
      <w:r>
        <w:rPr/>
        <w:t>存在不同企业所得税税率纳税主体的，披露情况说明</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6804"/>
        <w:gridCol w:w="2764"/>
      </w:tblGrid>
      <w:tr>
        <w:trPr>
          <w:trHeight w:val="402" w:hRule="exact"/>
        </w:trPr>
        <w:tc>
          <w:tcPr>
            <w:tcW w:w="6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2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6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广州广电运通金融电子股份有限公司</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6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广州中智融通金融科技有限公司</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6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广州广电运通信息科技有限公司</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6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广州广电汇通金融服务有限公司</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6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广州穗通金融服务有限公司</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6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广州广电运通智能科技有限公司</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6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广州广电卓识智能科技有限公司</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6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深圳市创自技术有限公司</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6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广州广电银通金融电子科技有限公司</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6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江苏汇通金融数据股份有限公司</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6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深圳广电银通金融电子科技有限公司</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6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深圳鹏通金融服务有限公司</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6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资阳保安有限责任公司</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6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黔南州蓝盾武装护运有限责任公司</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6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深圳市信义科技有限公司</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0" w:hRule="exact"/>
        </w:trPr>
        <w:tc>
          <w:tcPr>
            <w:tcW w:w="6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北京中科江南信息技术股份有限公司</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bl>
    <w:p>
      <w:pPr>
        <w:spacing w:after="0" w:line="240" w:lineRule="auto"/>
        <w:jc w:val="left"/>
        <w:rPr>
          <w:rFonts w:ascii="Times New Roman" w:hAnsi="Times New Roman" w:cs="Times New Roman" w:eastAsia="Times New Roman" w:hint="default"/>
          <w:sz w:val="18"/>
          <w:szCs w:val="18"/>
        </w:rPr>
        <w:sectPr>
          <w:pgSz w:w="11910" w:h="16840"/>
          <w:pgMar w:header="878" w:footer="978" w:top="1100" w:bottom="1160" w:left="1020" w:right="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6804"/>
        <w:gridCol w:w="2764"/>
      </w:tblGrid>
      <w:tr>
        <w:trPr>
          <w:trHeight w:val="402" w:hRule="exact"/>
        </w:trPr>
        <w:tc>
          <w:tcPr>
            <w:tcW w:w="6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南宁盈通金融电子科技有限公司</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9%</w:t>
            </w:r>
          </w:p>
        </w:tc>
      </w:tr>
      <w:tr>
        <w:trPr>
          <w:trHeight w:val="402" w:hRule="exact"/>
        </w:trPr>
        <w:tc>
          <w:tcPr>
            <w:tcW w:w="6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2" w:right="0"/>
              <w:jc w:val="left"/>
              <w:rPr>
                <w:rFonts w:ascii="Times New Roman" w:hAnsi="Times New Roman" w:cs="Times New Roman" w:eastAsia="Times New Roman" w:hint="default"/>
                <w:sz w:val="18"/>
                <w:szCs w:val="18"/>
              </w:rPr>
            </w:pPr>
            <w:r>
              <w:rPr>
                <w:rFonts w:ascii="Times New Roman"/>
                <w:sz w:val="18"/>
              </w:rPr>
              <w:t>GRG Banking Equipment (HK) Co.,</w:t>
            </w:r>
            <w:r>
              <w:rPr>
                <w:rFonts w:ascii="Times New Roman"/>
                <w:spacing w:val="-18"/>
                <w:sz w:val="18"/>
              </w:rPr>
              <w:t> </w:t>
            </w:r>
            <w:r>
              <w:rPr>
                <w:rFonts w:ascii="Times New Roman"/>
                <w:sz w:val="18"/>
              </w:rPr>
              <w:t>Limited</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2" w:right="0"/>
              <w:jc w:val="left"/>
              <w:rPr>
                <w:rFonts w:ascii="Times New Roman" w:hAnsi="Times New Roman" w:cs="Times New Roman" w:eastAsia="Times New Roman" w:hint="default"/>
                <w:sz w:val="18"/>
                <w:szCs w:val="18"/>
              </w:rPr>
            </w:pPr>
            <w:r>
              <w:rPr>
                <w:rFonts w:ascii="Times New Roman"/>
                <w:sz w:val="18"/>
              </w:rPr>
              <w:t>16.50%</w:t>
            </w:r>
          </w:p>
        </w:tc>
      </w:tr>
      <w:tr>
        <w:trPr>
          <w:trHeight w:val="402" w:hRule="exact"/>
        </w:trPr>
        <w:tc>
          <w:tcPr>
            <w:tcW w:w="6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GRG HT (HK)</w:t>
            </w:r>
            <w:r>
              <w:rPr>
                <w:rFonts w:ascii="Times New Roman"/>
                <w:spacing w:val="-10"/>
                <w:sz w:val="18"/>
              </w:rPr>
              <w:t> </w:t>
            </w:r>
            <w:r>
              <w:rPr>
                <w:rFonts w:ascii="Times New Roman"/>
                <w:sz w:val="18"/>
              </w:rPr>
              <w:t>Co.,Limited</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16.50%</w:t>
            </w:r>
          </w:p>
        </w:tc>
      </w:tr>
      <w:tr>
        <w:trPr>
          <w:trHeight w:val="402" w:hRule="exact"/>
        </w:trPr>
        <w:tc>
          <w:tcPr>
            <w:tcW w:w="6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2" w:right="0"/>
              <w:jc w:val="left"/>
              <w:rPr>
                <w:rFonts w:ascii="Times New Roman" w:hAnsi="Times New Roman" w:cs="Times New Roman" w:eastAsia="Times New Roman" w:hint="default"/>
                <w:sz w:val="18"/>
                <w:szCs w:val="18"/>
              </w:rPr>
            </w:pPr>
            <w:r>
              <w:rPr>
                <w:rFonts w:ascii="Times New Roman"/>
                <w:sz w:val="18"/>
              </w:rPr>
              <w:t>GRG Equipment (Singapore) Pte.</w:t>
            </w:r>
            <w:r>
              <w:rPr>
                <w:rFonts w:ascii="Times New Roman"/>
                <w:spacing w:val="-15"/>
                <w:sz w:val="18"/>
              </w:rPr>
              <w:t> </w:t>
            </w:r>
            <w:r>
              <w:rPr>
                <w:rFonts w:ascii="Times New Roman"/>
                <w:sz w:val="18"/>
              </w:rPr>
              <w:t>Ltd.</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2" w:right="0"/>
              <w:jc w:val="left"/>
              <w:rPr>
                <w:rFonts w:ascii="Times New Roman" w:hAnsi="Times New Roman" w:cs="Times New Roman" w:eastAsia="Times New Roman" w:hint="default"/>
                <w:sz w:val="18"/>
                <w:szCs w:val="18"/>
              </w:rPr>
            </w:pPr>
            <w:r>
              <w:rPr>
                <w:rFonts w:ascii="Times New Roman"/>
                <w:sz w:val="18"/>
              </w:rPr>
              <w:t>17%</w:t>
            </w:r>
          </w:p>
        </w:tc>
      </w:tr>
      <w:tr>
        <w:trPr>
          <w:trHeight w:val="402" w:hRule="exact"/>
        </w:trPr>
        <w:tc>
          <w:tcPr>
            <w:tcW w:w="6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Global ATM</w:t>
            </w:r>
            <w:r>
              <w:rPr>
                <w:rFonts w:ascii="Times New Roman"/>
                <w:spacing w:val="-12"/>
                <w:sz w:val="18"/>
              </w:rPr>
              <w:t> </w:t>
            </w:r>
            <w:r>
              <w:rPr>
                <w:rFonts w:ascii="Times New Roman"/>
                <w:sz w:val="18"/>
              </w:rPr>
              <w:t>PartsCo.,Limited</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16.50%</w:t>
            </w:r>
          </w:p>
        </w:tc>
      </w:tr>
      <w:tr>
        <w:trPr>
          <w:trHeight w:val="402" w:hRule="exact"/>
        </w:trPr>
        <w:tc>
          <w:tcPr>
            <w:tcW w:w="6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2" w:right="0"/>
              <w:jc w:val="left"/>
              <w:rPr>
                <w:rFonts w:ascii="Times New Roman" w:hAnsi="Times New Roman" w:cs="Times New Roman" w:eastAsia="Times New Roman" w:hint="default"/>
                <w:sz w:val="18"/>
                <w:szCs w:val="18"/>
              </w:rPr>
            </w:pPr>
            <w:r>
              <w:rPr>
                <w:rFonts w:ascii="Times New Roman"/>
                <w:sz w:val="18"/>
              </w:rPr>
              <w:t>GRG Hongkong Mexico, S.A.</w:t>
            </w:r>
            <w:r>
              <w:rPr>
                <w:rFonts w:ascii="Times New Roman"/>
                <w:spacing w:val="-12"/>
                <w:sz w:val="18"/>
              </w:rPr>
              <w:t> </w:t>
            </w:r>
            <w:r>
              <w:rPr>
                <w:rFonts w:ascii="Times New Roman"/>
                <w:sz w:val="18"/>
              </w:rPr>
              <w:t>DE</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2" w:right="0"/>
              <w:jc w:val="lef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6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GRG Turkiye Bankacilik Ekipmanlari</w:t>
            </w:r>
            <w:r>
              <w:rPr>
                <w:rFonts w:ascii="Times New Roman"/>
                <w:spacing w:val="-19"/>
                <w:sz w:val="18"/>
              </w:rPr>
              <w:t> </w:t>
            </w:r>
            <w:r>
              <w:rPr>
                <w:rFonts w:ascii="Times New Roman"/>
                <w:sz w:val="18"/>
              </w:rPr>
              <w:t>Ltd</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22.00%</w:t>
            </w:r>
          </w:p>
        </w:tc>
      </w:tr>
      <w:tr>
        <w:trPr>
          <w:trHeight w:val="402" w:hRule="exact"/>
        </w:trPr>
        <w:tc>
          <w:tcPr>
            <w:tcW w:w="6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2" w:right="0"/>
              <w:jc w:val="left"/>
              <w:rPr>
                <w:rFonts w:ascii="Times New Roman" w:hAnsi="Times New Roman" w:cs="Times New Roman" w:eastAsia="Times New Roman" w:hint="default"/>
                <w:sz w:val="18"/>
                <w:szCs w:val="18"/>
              </w:rPr>
            </w:pPr>
            <w:r>
              <w:rPr>
                <w:rFonts w:ascii="Times New Roman"/>
                <w:sz w:val="18"/>
              </w:rPr>
              <w:t>Global ATM</w:t>
            </w:r>
            <w:r>
              <w:rPr>
                <w:rFonts w:ascii="Times New Roman"/>
                <w:spacing w:val="-12"/>
                <w:sz w:val="18"/>
              </w:rPr>
              <w:t> </w:t>
            </w:r>
            <w:r>
              <w:rPr>
                <w:rFonts w:ascii="Times New Roman"/>
                <w:sz w:val="18"/>
              </w:rPr>
              <w:t>PartsCo.,Limited</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2" w:right="0"/>
              <w:jc w:val="left"/>
              <w:rPr>
                <w:rFonts w:ascii="Times New Roman" w:hAnsi="Times New Roman" w:cs="Times New Roman" w:eastAsia="Times New Roman" w:hint="default"/>
                <w:sz w:val="18"/>
                <w:szCs w:val="18"/>
              </w:rPr>
            </w:pPr>
            <w:r>
              <w:rPr>
                <w:rFonts w:ascii="Times New Roman"/>
                <w:sz w:val="18"/>
              </w:rPr>
              <w:t>16.50%</w:t>
            </w:r>
          </w:p>
        </w:tc>
      </w:tr>
      <w:tr>
        <w:trPr>
          <w:trHeight w:val="402" w:hRule="exact"/>
        </w:trPr>
        <w:tc>
          <w:tcPr>
            <w:tcW w:w="6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GRG AMERICA</w:t>
            </w:r>
            <w:r>
              <w:rPr>
                <w:rFonts w:ascii="Times New Roman"/>
                <w:spacing w:val="-5"/>
                <w:sz w:val="18"/>
              </w:rPr>
              <w:t> </w:t>
            </w:r>
            <w:r>
              <w:rPr>
                <w:rFonts w:ascii="Times New Roman"/>
                <w:sz w:val="18"/>
              </w:rPr>
              <w:t>INC.</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24.465%</w:t>
            </w:r>
          </w:p>
        </w:tc>
      </w:tr>
      <w:tr>
        <w:trPr>
          <w:trHeight w:val="402" w:hRule="exact"/>
        </w:trPr>
        <w:tc>
          <w:tcPr>
            <w:tcW w:w="6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2" w:right="0"/>
              <w:jc w:val="left"/>
              <w:rPr>
                <w:rFonts w:ascii="Times New Roman" w:hAnsi="Times New Roman" w:cs="Times New Roman" w:eastAsia="Times New Roman" w:hint="default"/>
                <w:sz w:val="18"/>
                <w:szCs w:val="18"/>
              </w:rPr>
            </w:pPr>
            <w:r>
              <w:rPr>
                <w:rFonts w:ascii="Times New Roman"/>
                <w:sz w:val="18"/>
              </w:rPr>
              <w:t>GRGBanking</w:t>
            </w:r>
            <w:r>
              <w:rPr>
                <w:rFonts w:ascii="Times New Roman"/>
                <w:spacing w:val="-8"/>
                <w:sz w:val="18"/>
              </w:rPr>
              <w:t> </w:t>
            </w:r>
            <w:r>
              <w:rPr>
                <w:rFonts w:ascii="Times New Roman"/>
                <w:sz w:val="18"/>
              </w:rPr>
              <w:t>LLC.</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2" w:right="0"/>
              <w:jc w:val="lef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6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GRG Deutschland</w:t>
            </w:r>
            <w:r>
              <w:rPr>
                <w:rFonts w:ascii="Times New Roman"/>
                <w:spacing w:val="-9"/>
                <w:sz w:val="18"/>
              </w:rPr>
              <w:t> </w:t>
            </w:r>
            <w:r>
              <w:rPr>
                <w:rFonts w:ascii="Times New Roman"/>
                <w:sz w:val="18"/>
              </w:rPr>
              <w:t>GmbH</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32.275%</w:t>
            </w:r>
          </w:p>
        </w:tc>
      </w:tr>
      <w:tr>
        <w:trPr>
          <w:trHeight w:val="402" w:hRule="exact"/>
        </w:trPr>
        <w:tc>
          <w:tcPr>
            <w:tcW w:w="6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上海欣辰通金融电子科技有限公司</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6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辽宁辽通金融电子科技有限公司</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6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广电运通国际商贸（广州）有限公司</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2" w:right="0"/>
              <w:jc w:val="left"/>
              <w:rPr>
                <w:rFonts w:ascii="Times New Roman" w:hAnsi="Times New Roman" w:cs="Times New Roman" w:eastAsia="Times New Roman" w:hint="default"/>
                <w:sz w:val="18"/>
                <w:szCs w:val="18"/>
              </w:rPr>
            </w:pPr>
            <w:r>
              <w:rPr>
                <w:rFonts w:ascii="Times New Roman"/>
                <w:sz w:val="18"/>
              </w:rPr>
              <w:t>20%</w:t>
            </w:r>
          </w:p>
        </w:tc>
      </w:tr>
      <w:tr>
        <w:trPr>
          <w:trHeight w:val="402" w:hRule="exact"/>
        </w:trPr>
        <w:tc>
          <w:tcPr>
            <w:tcW w:w="6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新余市景运科技有限公司</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w:t>
            </w:r>
          </w:p>
        </w:tc>
      </w:tr>
      <w:tr>
        <w:trPr>
          <w:trHeight w:val="402" w:hRule="exact"/>
        </w:trPr>
        <w:tc>
          <w:tcPr>
            <w:tcW w:w="6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深圳市深安信信息技术有限公司</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2" w:right="0"/>
              <w:jc w:val="left"/>
              <w:rPr>
                <w:rFonts w:ascii="Times New Roman" w:hAnsi="Times New Roman" w:cs="Times New Roman" w:eastAsia="Times New Roman" w:hint="default"/>
                <w:sz w:val="18"/>
                <w:szCs w:val="18"/>
              </w:rPr>
            </w:pPr>
            <w:r>
              <w:rPr>
                <w:rFonts w:ascii="Times New Roman"/>
                <w:sz w:val="18"/>
              </w:rPr>
              <w:t>20%</w:t>
            </w:r>
          </w:p>
        </w:tc>
      </w:tr>
      <w:tr>
        <w:trPr>
          <w:trHeight w:val="402" w:hRule="exact"/>
        </w:trPr>
        <w:tc>
          <w:tcPr>
            <w:tcW w:w="6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巴州阿帕奇保安有限责任公司</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w:t>
            </w:r>
          </w:p>
        </w:tc>
      </w:tr>
      <w:tr>
        <w:trPr>
          <w:trHeight w:val="402" w:hRule="exact"/>
        </w:trPr>
        <w:tc>
          <w:tcPr>
            <w:tcW w:w="6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石家庄市银通金融服务有限公司</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2" w:right="0"/>
              <w:jc w:val="left"/>
              <w:rPr>
                <w:rFonts w:ascii="Times New Roman" w:hAnsi="Times New Roman" w:cs="Times New Roman" w:eastAsia="Times New Roman" w:hint="default"/>
                <w:sz w:val="18"/>
                <w:szCs w:val="18"/>
              </w:rPr>
            </w:pPr>
            <w:r>
              <w:rPr>
                <w:rFonts w:ascii="Times New Roman"/>
                <w:sz w:val="18"/>
              </w:rPr>
              <w:t>20%</w:t>
            </w:r>
          </w:p>
        </w:tc>
      </w:tr>
      <w:tr>
        <w:trPr>
          <w:trHeight w:val="402" w:hRule="exact"/>
        </w:trPr>
        <w:tc>
          <w:tcPr>
            <w:tcW w:w="6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宜昌宜通金融服务有限公司</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w:t>
            </w:r>
          </w:p>
        </w:tc>
      </w:tr>
      <w:tr>
        <w:trPr>
          <w:trHeight w:val="402" w:hRule="exact"/>
        </w:trPr>
        <w:tc>
          <w:tcPr>
            <w:tcW w:w="6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河北晨通金融电子科技有限公司</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2" w:right="0"/>
              <w:jc w:val="left"/>
              <w:rPr>
                <w:rFonts w:ascii="Times New Roman" w:hAnsi="Times New Roman" w:cs="Times New Roman" w:eastAsia="Times New Roman" w:hint="default"/>
                <w:sz w:val="18"/>
                <w:szCs w:val="18"/>
              </w:rPr>
            </w:pPr>
            <w:r>
              <w:rPr>
                <w:rFonts w:ascii="Times New Roman"/>
                <w:sz w:val="18"/>
              </w:rPr>
              <w:t>20%</w:t>
            </w:r>
          </w:p>
        </w:tc>
      </w:tr>
      <w:tr>
        <w:trPr>
          <w:trHeight w:val="402" w:hRule="exact"/>
        </w:trPr>
        <w:tc>
          <w:tcPr>
            <w:tcW w:w="6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山西尚通金融外包服务有限公司</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w:t>
            </w:r>
          </w:p>
        </w:tc>
      </w:tr>
      <w:tr>
        <w:trPr>
          <w:trHeight w:val="402" w:hRule="exact"/>
        </w:trPr>
        <w:tc>
          <w:tcPr>
            <w:tcW w:w="6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南阳宛通金融电子科技有限公司</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2" w:right="0"/>
              <w:jc w:val="left"/>
              <w:rPr>
                <w:rFonts w:ascii="Times New Roman" w:hAnsi="Times New Roman" w:cs="Times New Roman" w:eastAsia="Times New Roman" w:hint="default"/>
                <w:sz w:val="18"/>
                <w:szCs w:val="18"/>
              </w:rPr>
            </w:pPr>
            <w:r>
              <w:rPr>
                <w:rFonts w:ascii="Times New Roman"/>
                <w:sz w:val="18"/>
              </w:rPr>
              <w:t>20%</w:t>
            </w:r>
          </w:p>
        </w:tc>
      </w:tr>
      <w:tr>
        <w:trPr>
          <w:trHeight w:val="402" w:hRule="exact"/>
        </w:trPr>
        <w:tc>
          <w:tcPr>
            <w:tcW w:w="6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商洛市慧金清分服务有限公司</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w:t>
            </w:r>
          </w:p>
        </w:tc>
      </w:tr>
    </w:tbl>
    <w:p>
      <w:pPr>
        <w:spacing w:line="240" w:lineRule="auto" w:before="4"/>
        <w:rPr>
          <w:rFonts w:ascii="宋体" w:hAnsi="宋体" w:cs="宋体" w:eastAsia="宋体" w:hint="default"/>
          <w:sz w:val="19"/>
          <w:szCs w:val="19"/>
        </w:rPr>
      </w:pPr>
    </w:p>
    <w:p>
      <w:pPr>
        <w:pStyle w:val="Heading3"/>
        <w:spacing w:line="240" w:lineRule="auto"/>
        <w:ind w:right="1394"/>
        <w:jc w:val="left"/>
        <w:rPr>
          <w:b w:val="0"/>
          <w:bCs w:val="0"/>
        </w:rPr>
      </w:pPr>
      <w:bookmarkStart w:name="2、税收优惠" w:id="208"/>
      <w:bookmarkEnd w:id="208"/>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5"/>
        <w:rPr>
          <w:rFonts w:ascii="宋体" w:hAnsi="宋体" w:cs="宋体" w:eastAsia="宋体" w:hint="default"/>
          <w:b/>
          <w:bCs/>
          <w:sz w:val="32"/>
          <w:szCs w:val="32"/>
        </w:rPr>
      </w:pPr>
    </w:p>
    <w:p>
      <w:pPr>
        <w:pStyle w:val="BodyText"/>
        <w:spacing w:line="240" w:lineRule="auto"/>
        <w:ind w:right="1394"/>
        <w:jc w:val="left"/>
      </w:pPr>
      <w:r>
        <w:rPr/>
        <w:t>（</w:t>
      </w:r>
      <w:r>
        <w:rPr>
          <w:rFonts w:ascii="Times New Roman" w:hAnsi="Times New Roman" w:cs="Times New Roman" w:eastAsia="Times New Roman" w:hint="default"/>
        </w:rPr>
        <w:t>1</w:t>
      </w:r>
      <w:r>
        <w:rPr/>
        <w:t>）增值税</w:t>
      </w:r>
    </w:p>
    <w:p>
      <w:pPr>
        <w:spacing w:line="240" w:lineRule="auto" w:before="11"/>
        <w:rPr>
          <w:rFonts w:ascii="宋体" w:hAnsi="宋体" w:cs="宋体" w:eastAsia="宋体" w:hint="default"/>
          <w:sz w:val="19"/>
          <w:szCs w:val="19"/>
        </w:rPr>
      </w:pPr>
    </w:p>
    <w:p>
      <w:pPr>
        <w:pStyle w:val="BodyText"/>
        <w:spacing w:line="451" w:lineRule="auto"/>
        <w:ind w:right="1132" w:firstLine="420"/>
        <w:jc w:val="both"/>
      </w:pPr>
      <w:r>
        <w:rPr/>
        <w:t>根据“财税</w:t>
      </w:r>
      <w:r>
        <w:rPr>
          <w:rFonts w:ascii="Times New Roman" w:hAnsi="Times New Roman" w:cs="Times New Roman" w:eastAsia="Times New Roman" w:hint="default"/>
        </w:rPr>
        <w:t>[2011]100</w:t>
      </w:r>
      <w:r>
        <w:rPr/>
        <w:t>号”文《关于软件产品增值税政策的通知》的规定，增值税一般纳税人销售其自行开发生产的软 件产品，按</w:t>
      </w:r>
      <w:r>
        <w:rPr>
          <w:rFonts w:ascii="Times New Roman" w:hAnsi="Times New Roman" w:cs="Times New Roman" w:eastAsia="Times New Roman" w:hint="default"/>
        </w:rPr>
        <w:t>17%</w:t>
      </w:r>
      <w:r>
        <w:rPr/>
        <w:t>税率征收增值税后，对其增值税实际税负超过</w:t>
      </w:r>
      <w:r>
        <w:rPr>
          <w:rFonts w:ascii="Times New Roman" w:hAnsi="Times New Roman" w:cs="Times New Roman" w:eastAsia="Times New Roman" w:hint="default"/>
        </w:rPr>
        <w:t>3%</w:t>
      </w:r>
      <w:r>
        <w:rPr/>
        <w:t>的部分实行即征即退政策。</w:t>
      </w:r>
    </w:p>
    <w:p>
      <w:pPr>
        <w:pStyle w:val="BodyText"/>
        <w:spacing w:line="463" w:lineRule="auto" w:before="84"/>
        <w:ind w:right="1130" w:firstLine="420"/>
        <w:jc w:val="both"/>
      </w:pPr>
      <w:r>
        <w:rPr/>
        <w:t>根据《财政部、国家税务总局关于贯彻落实《中共中央国务院关于加强技术创新，发展高科技，实现产业化的决定》 有关税收问题的通知》（财税字</w:t>
      </w:r>
      <w:r>
        <w:rPr>
          <w:rFonts w:ascii="Times New Roman" w:hAnsi="Times New Roman" w:cs="Times New Roman" w:eastAsia="Times New Roman" w:hint="default"/>
        </w:rPr>
        <w:t>[1999]273</w:t>
      </w:r>
      <w:r>
        <w:rPr/>
        <w:t>号），对单位和个人（包括外商投资企业、外商投资设立的研究开发中心、外国</w:t>
      </w:r>
      <w:r>
        <w:rPr>
          <w:spacing w:val="-35"/>
        </w:rPr>
        <w:t> </w:t>
      </w:r>
      <w:r>
        <w:rPr>
          <w:spacing w:val="-35"/>
        </w:rPr>
      </w:r>
      <w:r>
        <w:rPr>
          <w:spacing w:val="-2"/>
        </w:rPr>
        <w:t>企业和外籍个人）从事技术转让、技术开发业务和与之相关的技术咨询、技术服务业务取得的收入，免征营业税。同时，根</w:t>
      </w:r>
      <w:r>
        <w:rPr>
          <w:spacing w:val="-63"/>
        </w:rPr>
        <w:t> </w:t>
      </w:r>
      <w:r>
        <w:rPr>
          <w:spacing w:val="-63"/>
        </w:rPr>
      </w:r>
      <w:r>
        <w:rPr/>
        <w:t>据《财政部国家税务总局关于印发《营业税改征增值税试点方案》的通知》（财税</w:t>
      </w:r>
      <w:r>
        <w:rPr>
          <w:rFonts w:ascii="Times New Roman" w:hAnsi="Times New Roman" w:cs="Times New Roman" w:eastAsia="Times New Roman" w:hint="default"/>
        </w:rPr>
        <w:t>[2011]110</w:t>
      </w:r>
      <w:r>
        <w:rPr/>
        <w:t>号），国家给予试点行业的原</w:t>
      </w:r>
      <w:r>
        <w:rPr>
          <w:spacing w:val="-35"/>
        </w:rPr>
        <w:t> </w:t>
      </w:r>
      <w:r>
        <w:rPr>
          <w:spacing w:val="-35"/>
        </w:rPr>
      </w:r>
      <w:r>
        <w:rPr>
          <w:spacing w:val="-2"/>
        </w:rPr>
        <w:t>营业税优惠政策可以延续。因此，广州广电运通信息科技有限公司、深圳市信义科技有限公司及深圳市深安信信息技术有限</w:t>
      </w:r>
    </w:p>
    <w:p>
      <w:pPr>
        <w:spacing w:after="0" w:line="463" w:lineRule="auto"/>
        <w:jc w:val="both"/>
        <w:sectPr>
          <w:pgSz w:w="11910" w:h="16840"/>
          <w:pgMar w:header="878" w:footer="978" w:top="1100" w:bottom="1160" w:left="1020" w:right="0"/>
        </w:sectPr>
      </w:pPr>
    </w:p>
    <w:p>
      <w:pPr>
        <w:spacing w:line="240" w:lineRule="auto" w:before="12"/>
        <w:rPr>
          <w:rFonts w:ascii="宋体" w:hAnsi="宋体" w:cs="宋体" w:eastAsia="宋体" w:hint="default"/>
          <w:sz w:val="27"/>
          <w:szCs w:val="27"/>
        </w:rPr>
      </w:pPr>
    </w:p>
    <w:p>
      <w:pPr>
        <w:pStyle w:val="BodyText"/>
        <w:spacing w:line="240" w:lineRule="auto" w:before="44"/>
        <w:ind w:right="1394"/>
        <w:jc w:val="left"/>
      </w:pPr>
      <w:r>
        <w:rPr/>
        <w:t>公司的部分技术转让技术开发收入免征增值税。</w:t>
      </w:r>
    </w:p>
    <w:p>
      <w:pPr>
        <w:spacing w:line="240" w:lineRule="auto" w:before="12"/>
        <w:rPr>
          <w:rFonts w:ascii="宋体" w:hAnsi="宋体" w:cs="宋体" w:eastAsia="宋体" w:hint="default"/>
          <w:sz w:val="20"/>
          <w:szCs w:val="20"/>
        </w:rPr>
      </w:pPr>
    </w:p>
    <w:p>
      <w:pPr>
        <w:pStyle w:val="BodyText"/>
        <w:spacing w:line="240" w:lineRule="auto"/>
        <w:ind w:right="1394"/>
        <w:jc w:val="left"/>
      </w:pPr>
      <w:r>
        <w:rPr/>
        <w:t>（</w:t>
      </w:r>
      <w:r>
        <w:rPr>
          <w:rFonts w:ascii="Times New Roman" w:hAnsi="Times New Roman" w:cs="Times New Roman" w:eastAsia="Times New Roman" w:hint="default"/>
        </w:rPr>
        <w:t>2</w:t>
      </w:r>
      <w:r>
        <w:rPr/>
        <w:t>）企业所得税</w:t>
      </w:r>
    </w:p>
    <w:p>
      <w:pPr>
        <w:spacing w:line="240" w:lineRule="auto" w:before="9"/>
        <w:rPr>
          <w:rFonts w:ascii="宋体" w:hAnsi="宋体" w:cs="宋体" w:eastAsia="宋体" w:hint="default"/>
          <w:sz w:val="19"/>
          <w:szCs w:val="19"/>
        </w:rPr>
      </w:pPr>
    </w:p>
    <w:p>
      <w:pPr>
        <w:pStyle w:val="BodyText"/>
        <w:spacing w:line="451" w:lineRule="auto"/>
        <w:ind w:right="0" w:firstLine="420"/>
        <w:jc w:val="left"/>
      </w:pPr>
      <w:r>
        <w:rPr>
          <w:spacing w:val="-1"/>
        </w:rPr>
        <w:t>①广州广电运通金融电子股份有限公司被认定为高新技术企业，</w:t>
      </w:r>
      <w:r>
        <w:rPr>
          <w:rFonts w:ascii="Times New Roman" w:hAnsi="Times New Roman" w:cs="Times New Roman" w:eastAsia="Times New Roman" w:hint="default"/>
          <w:spacing w:val="-1"/>
        </w:rPr>
        <w:t>2017</w:t>
      </w:r>
      <w:r>
        <w:rPr>
          <w:spacing w:val="-1"/>
        </w:rPr>
        <w:t>年取得编号为</w:t>
      </w:r>
      <w:r>
        <w:rPr>
          <w:rFonts w:ascii="Times New Roman" w:hAnsi="Times New Roman" w:cs="Times New Roman" w:eastAsia="Times New Roman" w:hint="default"/>
          <w:spacing w:val="-1"/>
        </w:rPr>
        <w:t>GR201744011270</w:t>
      </w:r>
      <w:r>
        <w:rPr>
          <w:spacing w:val="-1"/>
        </w:rPr>
        <w:t>的《高新技术企业</w:t>
      </w:r>
      <w:r>
        <w:rPr/>
        <w:t> 证书》，有效期为三年，</w:t>
      </w:r>
      <w:r>
        <w:rPr>
          <w:rFonts w:ascii="Times New Roman" w:hAnsi="Times New Roman" w:cs="Times New Roman" w:eastAsia="Times New Roman" w:hint="default"/>
        </w:rPr>
        <w:t>2019</w:t>
      </w:r>
      <w:r>
        <w:rPr/>
        <w:t>年按</w:t>
      </w:r>
      <w:r>
        <w:rPr>
          <w:rFonts w:ascii="Times New Roman" w:hAnsi="Times New Roman" w:cs="Times New Roman" w:eastAsia="Times New Roman" w:hint="default"/>
        </w:rPr>
        <w:t>15%</w:t>
      </w:r>
      <w:r>
        <w:rPr/>
        <w:t>的税率计缴企业所得税。</w:t>
      </w:r>
    </w:p>
    <w:p>
      <w:pPr>
        <w:pStyle w:val="BodyText"/>
        <w:spacing w:line="240" w:lineRule="auto" w:before="84"/>
        <w:ind w:left="532" w:right="0"/>
        <w:jc w:val="left"/>
      </w:pPr>
      <w:r>
        <w:rPr/>
        <w:t>②本公司的子公司广州中智融通金融科技有限公司被认定为高新技术企业，</w:t>
      </w:r>
      <w:r>
        <w:rPr>
          <w:rFonts w:ascii="Times New Roman" w:hAnsi="Times New Roman" w:cs="Times New Roman" w:eastAsia="Times New Roman" w:hint="default"/>
        </w:rPr>
        <w:t>2018</w:t>
      </w:r>
      <w:r>
        <w:rPr/>
        <w:t>年取得编号为</w:t>
      </w:r>
      <w:r>
        <w:rPr>
          <w:rFonts w:ascii="Times New Roman" w:hAnsi="Times New Roman" w:cs="Times New Roman" w:eastAsia="Times New Roman" w:hint="default"/>
        </w:rPr>
        <w:t>GR201844010880</w:t>
      </w:r>
      <w:r>
        <w:rPr/>
        <w:t>号的</w:t>
      </w:r>
    </w:p>
    <w:p>
      <w:pPr>
        <w:spacing w:line="240" w:lineRule="auto" w:before="9"/>
        <w:rPr>
          <w:rFonts w:ascii="宋体" w:hAnsi="宋体" w:cs="宋体" w:eastAsia="宋体" w:hint="default"/>
          <w:sz w:val="16"/>
          <w:szCs w:val="16"/>
        </w:rPr>
      </w:pPr>
    </w:p>
    <w:p>
      <w:pPr>
        <w:pStyle w:val="BodyText"/>
        <w:spacing w:line="240" w:lineRule="auto"/>
        <w:ind w:right="1394"/>
        <w:jc w:val="left"/>
      </w:pPr>
      <w:r>
        <w:rPr/>
        <w:t>《高新技术企业证书》，有效期为三年，</w:t>
      </w:r>
      <w:r>
        <w:rPr>
          <w:rFonts w:ascii="Times New Roman" w:hAnsi="Times New Roman" w:cs="Times New Roman" w:eastAsia="Times New Roman" w:hint="default"/>
        </w:rPr>
        <w:t>2019</w:t>
      </w:r>
      <w:r>
        <w:rPr/>
        <w:t>年按</w:t>
      </w:r>
      <w:r>
        <w:rPr>
          <w:rFonts w:ascii="Times New Roman" w:hAnsi="Times New Roman" w:cs="Times New Roman" w:eastAsia="Times New Roman" w:hint="default"/>
        </w:rPr>
        <w:t>15%</w:t>
      </w:r>
      <w:r>
        <w:rPr/>
        <w:t>的税率计缴企业所得税。</w:t>
      </w:r>
    </w:p>
    <w:p>
      <w:pPr>
        <w:spacing w:line="240" w:lineRule="auto" w:before="11"/>
        <w:rPr>
          <w:rFonts w:ascii="宋体" w:hAnsi="宋体" w:cs="宋体" w:eastAsia="宋体" w:hint="default"/>
          <w:sz w:val="19"/>
          <w:szCs w:val="19"/>
        </w:rPr>
      </w:pPr>
    </w:p>
    <w:p>
      <w:pPr>
        <w:pStyle w:val="BodyText"/>
        <w:spacing w:line="240" w:lineRule="auto"/>
        <w:ind w:left="532" w:right="0"/>
        <w:jc w:val="left"/>
      </w:pPr>
      <w:r>
        <w:rPr/>
        <w:t>③本公司的子公司广州广电运通信息科技有限公司被认定为高新技术企业，获得公告，但尚未获得高新技术企业证书，</w:t>
      </w:r>
    </w:p>
    <w:p>
      <w:pPr>
        <w:spacing w:line="240" w:lineRule="auto" w:before="10"/>
        <w:rPr>
          <w:rFonts w:ascii="宋体" w:hAnsi="宋体" w:cs="宋体" w:eastAsia="宋体" w:hint="default"/>
          <w:sz w:val="17"/>
          <w:szCs w:val="17"/>
        </w:rPr>
      </w:pPr>
    </w:p>
    <w:p>
      <w:pPr>
        <w:pStyle w:val="BodyText"/>
        <w:spacing w:line="240" w:lineRule="auto"/>
        <w:ind w:right="1394"/>
        <w:jc w:val="left"/>
      </w:pPr>
      <w:r>
        <w:rPr>
          <w:rFonts w:ascii="Times New Roman" w:hAnsi="Times New Roman" w:cs="Times New Roman" w:eastAsia="Times New Roman" w:hint="default"/>
        </w:rPr>
        <w:t>2019</w:t>
      </w:r>
      <w:r>
        <w:rPr/>
        <w:t>年按</w:t>
      </w:r>
      <w:r>
        <w:rPr>
          <w:rFonts w:ascii="Times New Roman" w:hAnsi="Times New Roman" w:cs="Times New Roman" w:eastAsia="Times New Roman" w:hint="default"/>
        </w:rPr>
        <w:t>15%</w:t>
      </w:r>
      <w:r>
        <w:rPr/>
        <w:t>的税率计缴企业所得税。</w:t>
      </w:r>
    </w:p>
    <w:p>
      <w:pPr>
        <w:spacing w:line="240" w:lineRule="auto" w:before="9"/>
        <w:rPr>
          <w:rFonts w:ascii="宋体" w:hAnsi="宋体" w:cs="宋体" w:eastAsia="宋体" w:hint="default"/>
          <w:sz w:val="19"/>
          <w:szCs w:val="19"/>
        </w:rPr>
      </w:pPr>
    </w:p>
    <w:p>
      <w:pPr>
        <w:pStyle w:val="BodyText"/>
        <w:spacing w:line="240" w:lineRule="auto"/>
        <w:ind w:left="532" w:right="0"/>
        <w:jc w:val="left"/>
      </w:pPr>
      <w:r>
        <w:rPr/>
        <w:t>④本公司的子公司广州广电汇通金融服务有限公司被认定为高新技术企业，获得公告，但尚未获得高新技术企业证书，</w:t>
      </w:r>
    </w:p>
    <w:p>
      <w:pPr>
        <w:spacing w:line="240" w:lineRule="auto" w:before="10"/>
        <w:rPr>
          <w:rFonts w:ascii="宋体" w:hAnsi="宋体" w:cs="宋体" w:eastAsia="宋体" w:hint="default"/>
          <w:sz w:val="17"/>
          <w:szCs w:val="17"/>
        </w:rPr>
      </w:pPr>
    </w:p>
    <w:p>
      <w:pPr>
        <w:pStyle w:val="BodyText"/>
        <w:spacing w:line="240" w:lineRule="auto"/>
        <w:ind w:right="1394"/>
        <w:jc w:val="left"/>
      </w:pPr>
      <w:r>
        <w:rPr>
          <w:rFonts w:ascii="Times New Roman" w:hAnsi="Times New Roman" w:cs="Times New Roman" w:eastAsia="Times New Roman" w:hint="default"/>
        </w:rPr>
        <w:t>2019</w:t>
      </w:r>
      <w:r>
        <w:rPr/>
        <w:t>年按</w:t>
      </w:r>
      <w:r>
        <w:rPr>
          <w:rFonts w:ascii="Times New Roman" w:hAnsi="Times New Roman" w:cs="Times New Roman" w:eastAsia="Times New Roman" w:hint="default"/>
        </w:rPr>
        <w:t>15%</w:t>
      </w:r>
      <w:r>
        <w:rPr/>
        <w:t>的税率计缴企业所得税。</w:t>
      </w:r>
    </w:p>
    <w:p>
      <w:pPr>
        <w:spacing w:line="240" w:lineRule="auto" w:before="11"/>
        <w:rPr>
          <w:rFonts w:ascii="宋体" w:hAnsi="宋体" w:cs="宋体" w:eastAsia="宋体" w:hint="default"/>
          <w:sz w:val="19"/>
          <w:szCs w:val="19"/>
        </w:rPr>
      </w:pPr>
    </w:p>
    <w:p>
      <w:pPr>
        <w:pStyle w:val="BodyText"/>
        <w:spacing w:line="451" w:lineRule="auto"/>
        <w:ind w:right="0" w:firstLine="420"/>
        <w:jc w:val="left"/>
      </w:pPr>
      <w:r>
        <w:rPr>
          <w:spacing w:val="-1"/>
        </w:rPr>
        <w:t>⑤本公司的控股子公司广州穗通金融服务有限公司被认定为高新技术企业，</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11</w:t>
      </w:r>
      <w:r>
        <w:rPr>
          <w:spacing w:val="-1"/>
        </w:rPr>
        <w:t>月取得编号为</w:t>
      </w:r>
      <w:r>
        <w:rPr>
          <w:rFonts w:ascii="Times New Roman" w:hAnsi="Times New Roman" w:cs="Times New Roman" w:eastAsia="Times New Roman" w:hint="default"/>
          <w:spacing w:val="-1"/>
        </w:rPr>
        <w:t>GR201844008605</w:t>
      </w:r>
      <w:r>
        <w:rPr>
          <w:spacing w:val="-1"/>
        </w:rPr>
        <w:t>号</w:t>
      </w:r>
      <w:r>
        <w:rPr/>
        <w:t> 的《高新技术企业证书》，有效期为三年，</w:t>
      </w:r>
      <w:r>
        <w:rPr>
          <w:rFonts w:ascii="Times New Roman" w:hAnsi="Times New Roman" w:cs="Times New Roman" w:eastAsia="Times New Roman" w:hint="default"/>
        </w:rPr>
        <w:t>2019</w:t>
      </w:r>
      <w:r>
        <w:rPr/>
        <w:t>年按</w:t>
      </w:r>
      <w:r>
        <w:rPr>
          <w:rFonts w:ascii="Times New Roman" w:hAnsi="Times New Roman" w:cs="Times New Roman" w:eastAsia="Times New Roman" w:hint="default"/>
        </w:rPr>
        <w:t>15%</w:t>
      </w:r>
      <w:r>
        <w:rPr/>
        <w:t>的税率计缴企业所得税。</w:t>
      </w:r>
    </w:p>
    <w:p>
      <w:pPr>
        <w:pStyle w:val="BodyText"/>
        <w:spacing w:line="240" w:lineRule="auto" w:before="84"/>
        <w:ind w:left="532" w:right="1394"/>
        <w:jc w:val="left"/>
      </w:pPr>
      <w:r>
        <w:rPr/>
        <w:t>⑥本公司的控股子公司广州广电运通智能科技有限公司被认定为高新技术企业，</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28</w:t>
      </w:r>
      <w:r>
        <w:rPr/>
        <w:t>日取得编号为</w:t>
      </w:r>
    </w:p>
    <w:p>
      <w:pPr>
        <w:spacing w:line="240" w:lineRule="auto" w:before="9"/>
        <w:rPr>
          <w:rFonts w:ascii="宋体" w:hAnsi="宋体" w:cs="宋体" w:eastAsia="宋体" w:hint="default"/>
          <w:sz w:val="16"/>
          <w:szCs w:val="16"/>
        </w:rPr>
      </w:pPr>
    </w:p>
    <w:p>
      <w:pPr>
        <w:pStyle w:val="BodyText"/>
        <w:spacing w:line="240" w:lineRule="auto"/>
        <w:ind w:right="1394"/>
        <w:jc w:val="left"/>
      </w:pPr>
      <w:r>
        <w:rPr>
          <w:rFonts w:ascii="Times New Roman" w:hAnsi="Times New Roman" w:cs="Times New Roman" w:eastAsia="Times New Roman" w:hint="default"/>
        </w:rPr>
        <w:t>GR201844006440</w:t>
      </w:r>
      <w:r>
        <w:rPr/>
        <w:t>号的《高新技术企业证书》，</w:t>
      </w:r>
      <w:r>
        <w:rPr>
          <w:rFonts w:ascii="Times New Roman" w:hAnsi="Times New Roman" w:cs="Times New Roman" w:eastAsia="Times New Roman" w:hint="default"/>
        </w:rPr>
        <w:t>2019</w:t>
      </w:r>
      <w:r>
        <w:rPr/>
        <w:t>年开始适用，</w:t>
      </w:r>
      <w:r>
        <w:rPr>
          <w:rFonts w:ascii="Times New Roman" w:hAnsi="Times New Roman" w:cs="Times New Roman" w:eastAsia="Times New Roman" w:hint="default"/>
        </w:rPr>
        <w:t>2019</w:t>
      </w:r>
      <w:r>
        <w:rPr/>
        <w:t>年按</w:t>
      </w:r>
      <w:r>
        <w:rPr>
          <w:rFonts w:ascii="Times New Roman" w:hAnsi="Times New Roman" w:cs="Times New Roman" w:eastAsia="Times New Roman" w:hint="default"/>
        </w:rPr>
        <w:t>15%</w:t>
      </w:r>
      <w:r>
        <w:rPr/>
        <w:t>的税率计缴企业所得税。</w:t>
      </w:r>
    </w:p>
    <w:p>
      <w:pPr>
        <w:spacing w:line="240" w:lineRule="auto" w:before="9"/>
        <w:rPr>
          <w:rFonts w:ascii="宋体" w:hAnsi="宋体" w:cs="宋体" w:eastAsia="宋体" w:hint="default"/>
          <w:sz w:val="19"/>
          <w:szCs w:val="19"/>
        </w:rPr>
      </w:pPr>
    </w:p>
    <w:p>
      <w:pPr>
        <w:pStyle w:val="BodyText"/>
        <w:spacing w:line="477" w:lineRule="auto"/>
        <w:ind w:right="1154" w:firstLine="420"/>
        <w:jc w:val="left"/>
      </w:pPr>
      <w:r>
        <w:rPr/>
        <w:t>⑦本公司的控股子公司广州广电卓识智能科技有限公司被认定为高新技术企业，获得公告，但尚未获得高新技术企业 证书，</w:t>
      </w:r>
      <w:r>
        <w:rPr>
          <w:rFonts w:ascii="Times New Roman" w:hAnsi="Times New Roman" w:cs="Times New Roman" w:eastAsia="Times New Roman" w:hint="default"/>
        </w:rPr>
        <w:t>2019</w:t>
      </w:r>
      <w:r>
        <w:rPr/>
        <w:t>年按</w:t>
      </w:r>
      <w:r>
        <w:rPr>
          <w:rFonts w:ascii="Times New Roman" w:hAnsi="Times New Roman" w:cs="Times New Roman" w:eastAsia="Times New Roman" w:hint="default"/>
        </w:rPr>
        <w:t>15%</w:t>
      </w:r>
      <w:r>
        <w:rPr/>
        <w:t>的税率计缴企业所得税。</w:t>
      </w:r>
    </w:p>
    <w:p>
      <w:pPr>
        <w:pStyle w:val="BodyText"/>
        <w:spacing w:line="240" w:lineRule="auto" w:before="62"/>
        <w:ind w:left="532" w:right="0"/>
        <w:jc w:val="left"/>
      </w:pPr>
      <w:r>
        <w:rPr/>
        <w:t>⑧本公司的控股子公司深圳市创自技术有限公司被认定为高新技术企业，</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月取得编号为</w:t>
      </w:r>
      <w:r>
        <w:rPr>
          <w:rFonts w:ascii="Times New Roman" w:hAnsi="Times New Roman" w:cs="Times New Roman" w:eastAsia="Times New Roman" w:hint="default"/>
        </w:rPr>
        <w:t>GR201744204661</w:t>
      </w:r>
      <w:r>
        <w:rPr/>
        <w:t>号的</w:t>
      </w:r>
    </w:p>
    <w:p>
      <w:pPr>
        <w:spacing w:line="240" w:lineRule="auto" w:before="9"/>
        <w:rPr>
          <w:rFonts w:ascii="宋体" w:hAnsi="宋体" w:cs="宋体" w:eastAsia="宋体" w:hint="default"/>
          <w:sz w:val="16"/>
          <w:szCs w:val="16"/>
        </w:rPr>
      </w:pPr>
    </w:p>
    <w:p>
      <w:pPr>
        <w:pStyle w:val="BodyText"/>
        <w:spacing w:line="240" w:lineRule="auto"/>
        <w:ind w:right="1394"/>
        <w:jc w:val="left"/>
      </w:pPr>
      <w:r>
        <w:rPr/>
        <w:t>《高新技术企业证书》，有效期为三年，</w:t>
      </w:r>
      <w:r>
        <w:rPr>
          <w:rFonts w:ascii="Times New Roman" w:hAnsi="Times New Roman" w:cs="Times New Roman" w:eastAsia="Times New Roman" w:hint="default"/>
        </w:rPr>
        <w:t>2019</w:t>
      </w:r>
      <w:r>
        <w:rPr/>
        <w:t>年按</w:t>
      </w:r>
      <w:r>
        <w:rPr>
          <w:rFonts w:ascii="Times New Roman" w:hAnsi="Times New Roman" w:cs="Times New Roman" w:eastAsia="Times New Roman" w:hint="default"/>
        </w:rPr>
        <w:t>15%</w:t>
      </w:r>
      <w:r>
        <w:rPr/>
        <w:t>的税率计缴企业所得税。</w:t>
      </w:r>
    </w:p>
    <w:p>
      <w:pPr>
        <w:spacing w:line="240" w:lineRule="auto" w:before="11"/>
        <w:rPr>
          <w:rFonts w:ascii="宋体" w:hAnsi="宋体" w:cs="宋体" w:eastAsia="宋体" w:hint="default"/>
          <w:sz w:val="19"/>
          <w:szCs w:val="19"/>
        </w:rPr>
      </w:pPr>
    </w:p>
    <w:p>
      <w:pPr>
        <w:pStyle w:val="BodyText"/>
        <w:spacing w:line="240" w:lineRule="auto"/>
        <w:ind w:left="532" w:right="0"/>
        <w:jc w:val="left"/>
      </w:pPr>
      <w:r>
        <w:rPr/>
        <w:t>⑨本公司的子公司广州广电银通金融电子科技有限公司被认定为高新技术企业，</w:t>
      </w:r>
      <w:r>
        <w:rPr>
          <w:rFonts w:ascii="Times New Roman" w:hAnsi="Times New Roman" w:cs="Times New Roman" w:eastAsia="Times New Roman" w:hint="default"/>
        </w:rPr>
        <w:t>2018</w:t>
      </w:r>
      <w:r>
        <w:rPr/>
        <w:t>年取得编号为</w:t>
      </w:r>
      <w:r>
        <w:rPr>
          <w:rFonts w:ascii="Times New Roman" w:hAnsi="Times New Roman" w:cs="Times New Roman" w:eastAsia="Times New Roman" w:hint="default"/>
        </w:rPr>
        <w:t>GR201844005566</w:t>
      </w:r>
      <w:r>
        <w:rPr/>
        <w:t>的</w:t>
      </w:r>
    </w:p>
    <w:p>
      <w:pPr>
        <w:spacing w:line="240" w:lineRule="auto" w:before="9"/>
        <w:rPr>
          <w:rFonts w:ascii="宋体" w:hAnsi="宋体" w:cs="宋体" w:eastAsia="宋体" w:hint="default"/>
          <w:sz w:val="16"/>
          <w:szCs w:val="16"/>
        </w:rPr>
      </w:pPr>
    </w:p>
    <w:p>
      <w:pPr>
        <w:pStyle w:val="BodyText"/>
        <w:spacing w:line="240" w:lineRule="auto"/>
        <w:ind w:right="1394"/>
        <w:jc w:val="left"/>
      </w:pPr>
      <w:r>
        <w:rPr/>
        <w:t>《高新技术企业证书》，有效期为三年，</w:t>
      </w:r>
      <w:r>
        <w:rPr>
          <w:rFonts w:ascii="Times New Roman" w:hAnsi="Times New Roman" w:cs="Times New Roman" w:eastAsia="Times New Roman" w:hint="default"/>
        </w:rPr>
        <w:t>2019</w:t>
      </w:r>
      <w:r>
        <w:rPr/>
        <w:t>年按</w:t>
      </w:r>
      <w:r>
        <w:rPr>
          <w:rFonts w:ascii="Times New Roman" w:hAnsi="Times New Roman" w:cs="Times New Roman" w:eastAsia="Times New Roman" w:hint="default"/>
        </w:rPr>
        <w:t>15%</w:t>
      </w:r>
      <w:r>
        <w:rPr/>
        <w:t>的税率计缴企业所得税。</w:t>
      </w:r>
    </w:p>
    <w:p>
      <w:pPr>
        <w:spacing w:line="240" w:lineRule="auto" w:before="9"/>
        <w:rPr>
          <w:rFonts w:ascii="宋体" w:hAnsi="宋体" w:cs="宋体" w:eastAsia="宋体" w:hint="default"/>
          <w:sz w:val="19"/>
          <w:szCs w:val="19"/>
        </w:rPr>
      </w:pPr>
    </w:p>
    <w:p>
      <w:pPr>
        <w:pStyle w:val="BodyText"/>
        <w:spacing w:line="451" w:lineRule="auto"/>
        <w:ind w:right="0" w:firstLine="420"/>
        <w:jc w:val="left"/>
      </w:pPr>
      <w:r>
        <w:rPr>
          <w:spacing w:val="-1"/>
        </w:rPr>
        <w:t>⑩本公司的控股子公司江苏汇通金融数据股份有限公司被认定为高新技术企业，</w:t>
      </w:r>
      <w:r>
        <w:rPr>
          <w:rFonts w:ascii="Times New Roman" w:hAnsi="Times New Roman" w:cs="Times New Roman" w:eastAsia="Times New Roman" w:hint="default"/>
          <w:spacing w:val="-1"/>
        </w:rPr>
        <w:t>2018</w:t>
      </w:r>
      <w:r>
        <w:rPr>
          <w:spacing w:val="-1"/>
        </w:rPr>
        <w:t>年取得编号为</w:t>
      </w:r>
      <w:r>
        <w:rPr>
          <w:rFonts w:ascii="Times New Roman" w:hAnsi="Times New Roman" w:cs="Times New Roman" w:eastAsia="Times New Roman" w:hint="default"/>
          <w:spacing w:val="-1"/>
        </w:rPr>
        <w:t>GR201832008016</w:t>
      </w:r>
      <w:r>
        <w:rPr>
          <w:spacing w:val="-1"/>
        </w:rPr>
        <w:t>号</w:t>
      </w:r>
      <w:r>
        <w:rPr/>
        <w:t> 的《高新技术企业证书》，有效期为三年，</w:t>
      </w:r>
      <w:r>
        <w:rPr>
          <w:rFonts w:ascii="Times New Roman" w:hAnsi="Times New Roman" w:cs="Times New Roman" w:eastAsia="Times New Roman" w:hint="default"/>
        </w:rPr>
        <w:t>2019</w:t>
      </w:r>
      <w:r>
        <w:rPr/>
        <w:t>年按</w:t>
      </w:r>
      <w:r>
        <w:rPr>
          <w:rFonts w:ascii="Times New Roman" w:hAnsi="Times New Roman" w:cs="Times New Roman" w:eastAsia="Times New Roman" w:hint="default"/>
        </w:rPr>
        <w:t>15%</w:t>
      </w:r>
      <w:r>
        <w:rPr/>
        <w:t>的税率计缴企业所得税。</w:t>
      </w:r>
    </w:p>
    <w:p>
      <w:pPr>
        <w:pStyle w:val="BodyText"/>
        <w:spacing w:line="240" w:lineRule="auto" w:before="84"/>
        <w:ind w:left="532" w:right="0"/>
        <w:jc w:val="left"/>
      </w:pPr>
      <w:r>
        <w:rPr>
          <w:rFonts w:ascii="MS PGothic" w:hAnsi="MS PGothic" w:cs="MS PGothic" w:eastAsia="MS PGothic" w:hint="default"/>
        </w:rPr>
        <w:t>⑪</w:t>
      </w:r>
      <w:r>
        <w:rPr/>
        <w:t>本公司的孙公司深圳广电银通金融电子科技有限公司被认定为高新技术企业，</w:t>
      </w:r>
      <w:r>
        <w:rPr>
          <w:rFonts w:ascii="Times New Roman" w:hAnsi="Times New Roman" w:cs="Times New Roman" w:eastAsia="Times New Roman" w:hint="default"/>
        </w:rPr>
        <w:t>2018</w:t>
      </w:r>
      <w:r>
        <w:rPr/>
        <w:t>年取得编号为</w:t>
      </w:r>
      <w:r>
        <w:rPr>
          <w:rFonts w:ascii="Times New Roman" w:hAnsi="Times New Roman" w:cs="Times New Roman" w:eastAsia="Times New Roman" w:hint="default"/>
        </w:rPr>
        <w:t>GR201844200048</w:t>
      </w:r>
      <w:r>
        <w:rPr/>
        <w:t>的</w:t>
      </w:r>
    </w:p>
    <w:p>
      <w:pPr>
        <w:spacing w:line="240" w:lineRule="auto" w:before="9"/>
        <w:rPr>
          <w:rFonts w:ascii="宋体" w:hAnsi="宋体" w:cs="宋体" w:eastAsia="宋体" w:hint="default"/>
          <w:sz w:val="16"/>
          <w:szCs w:val="16"/>
        </w:rPr>
      </w:pPr>
    </w:p>
    <w:p>
      <w:pPr>
        <w:pStyle w:val="BodyText"/>
        <w:spacing w:line="240" w:lineRule="auto"/>
        <w:ind w:right="1394"/>
        <w:jc w:val="left"/>
      </w:pPr>
      <w:r>
        <w:rPr/>
        <w:t>《高新技术企业证书》</w:t>
      </w:r>
      <w:r>
        <w:rPr>
          <w:rFonts w:ascii="Times New Roman" w:hAnsi="Times New Roman" w:cs="Times New Roman" w:eastAsia="Times New Roman" w:hint="default"/>
        </w:rPr>
        <w:t>,</w:t>
      </w:r>
      <w:r>
        <w:rPr>
          <w:rFonts w:ascii="Times New Roman" w:hAnsi="Times New Roman" w:cs="Times New Roman" w:eastAsia="Times New Roman" w:hint="default"/>
          <w:spacing w:val="41"/>
        </w:rPr>
        <w:t> </w:t>
      </w:r>
      <w:r>
        <w:rPr/>
        <w:t>有效期为三年，</w:t>
      </w:r>
      <w:r>
        <w:rPr>
          <w:rFonts w:ascii="Times New Roman" w:hAnsi="Times New Roman" w:cs="Times New Roman" w:eastAsia="Times New Roman" w:hint="default"/>
        </w:rPr>
        <w:t>2019</w:t>
      </w:r>
      <w:r>
        <w:rPr/>
        <w:t>年按</w:t>
      </w:r>
      <w:r>
        <w:rPr>
          <w:rFonts w:ascii="Times New Roman" w:hAnsi="Times New Roman" w:cs="Times New Roman" w:eastAsia="Times New Roman" w:hint="default"/>
        </w:rPr>
        <w:t>15%</w:t>
      </w:r>
      <w:r>
        <w:rPr/>
        <w:t>的税率计缴企业所得税。</w:t>
      </w:r>
    </w:p>
    <w:p>
      <w:pPr>
        <w:spacing w:line="240" w:lineRule="auto" w:before="11"/>
        <w:rPr>
          <w:rFonts w:ascii="宋体" w:hAnsi="宋体" w:cs="宋体" w:eastAsia="宋体" w:hint="default"/>
          <w:sz w:val="19"/>
          <w:szCs w:val="19"/>
        </w:rPr>
      </w:pPr>
    </w:p>
    <w:p>
      <w:pPr>
        <w:pStyle w:val="BodyText"/>
        <w:spacing w:line="451" w:lineRule="auto"/>
        <w:ind w:right="0" w:firstLine="420"/>
        <w:jc w:val="left"/>
      </w:pPr>
      <w:r>
        <w:rPr>
          <w:rFonts w:ascii="MS PGothic" w:hAnsi="MS PGothic" w:cs="MS PGothic" w:eastAsia="MS PGothic" w:hint="default"/>
          <w:spacing w:val="-3"/>
        </w:rPr>
        <w:t>⑫</w:t>
      </w:r>
      <w:r>
        <w:rPr>
          <w:spacing w:val="-3"/>
        </w:rPr>
        <w:t>本公司的孙公司深圳鹏通金融服务有限公司被认定为高新技术企业，</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8</w:t>
      </w:r>
      <w:r>
        <w:rPr>
          <w:spacing w:val="-3"/>
        </w:rPr>
        <w:t>月取得编号为</w:t>
      </w:r>
      <w:r>
        <w:rPr>
          <w:rFonts w:ascii="Times New Roman" w:hAnsi="Times New Roman" w:cs="Times New Roman" w:eastAsia="Times New Roman" w:hint="default"/>
          <w:spacing w:val="-3"/>
        </w:rPr>
        <w:t>GR201744200056</w:t>
      </w:r>
      <w:r>
        <w:rPr>
          <w:spacing w:val="-3"/>
        </w:rPr>
        <w:t>号的《高</w:t>
      </w:r>
      <w:r>
        <w:rPr/>
        <w:t> 新技术企业证书》，有效期为三年，</w:t>
      </w:r>
      <w:r>
        <w:rPr>
          <w:rFonts w:ascii="Times New Roman" w:hAnsi="Times New Roman" w:cs="Times New Roman" w:eastAsia="Times New Roman" w:hint="default"/>
        </w:rPr>
        <w:t>2019</w:t>
      </w:r>
      <w:r>
        <w:rPr/>
        <w:t>年按</w:t>
      </w:r>
      <w:r>
        <w:rPr>
          <w:rFonts w:ascii="Times New Roman" w:hAnsi="Times New Roman" w:cs="Times New Roman" w:eastAsia="Times New Roman" w:hint="default"/>
        </w:rPr>
        <w:t>15%</w:t>
      </w:r>
      <w:r>
        <w:rPr/>
        <w:t>的税率计缴企业所得税。</w:t>
      </w:r>
    </w:p>
    <w:p>
      <w:pPr>
        <w:pStyle w:val="BodyText"/>
        <w:spacing w:line="643" w:lineRule="exact"/>
        <w:ind w:left="532" w:right="0"/>
        <w:jc w:val="left"/>
      </w:pPr>
      <w:r>
        <w:rPr>
          <w:rFonts w:ascii="Cambria Math" w:hAnsi="Cambria Math" w:cs="Cambria Math" w:eastAsia="Cambria Math" w:hint="default"/>
        </w:rPr>
        <w:t>⑬</w:t>
      </w:r>
      <w:r>
        <w:rPr/>
        <w:t>本公司的孙公司资阳保安有限责任公司依据《财政部、海关总署、国家税务总局关于深入实施西部大开发战略有关</w:t>
      </w:r>
    </w:p>
    <w:p>
      <w:pPr>
        <w:pStyle w:val="BodyText"/>
        <w:spacing w:line="156" w:lineRule="exact"/>
        <w:ind w:right="1394"/>
        <w:jc w:val="left"/>
      </w:pPr>
      <w:r>
        <w:rPr/>
        <w:t>税收政策问题的通知》财税</w:t>
      </w:r>
      <w:r>
        <w:rPr>
          <w:rFonts w:ascii="Times New Roman" w:hAnsi="Times New Roman" w:cs="Times New Roman" w:eastAsia="Times New Roman" w:hint="default"/>
        </w:rPr>
        <w:t>[2011]58</w:t>
      </w:r>
      <w:r>
        <w:rPr/>
        <w:t>号，符合西部大开发税收优惠政策条件，</w:t>
      </w:r>
      <w:r>
        <w:rPr>
          <w:rFonts w:ascii="Times New Roman" w:hAnsi="Times New Roman" w:cs="Times New Roman" w:eastAsia="Times New Roman" w:hint="default"/>
        </w:rPr>
        <w:t>2019</w:t>
      </w:r>
      <w:r>
        <w:rPr/>
        <w:t>年减按</w:t>
      </w:r>
      <w:r>
        <w:rPr>
          <w:rFonts w:ascii="Times New Roman" w:hAnsi="Times New Roman" w:cs="Times New Roman" w:eastAsia="Times New Roman" w:hint="default"/>
        </w:rPr>
        <w:t>15%</w:t>
      </w:r>
      <w:r>
        <w:rPr/>
        <w:t>的税率计缴企业所得税。</w:t>
      </w:r>
    </w:p>
    <w:p>
      <w:pPr>
        <w:spacing w:after="0" w:line="156" w:lineRule="exact"/>
        <w:jc w:val="left"/>
        <w:sectPr>
          <w:pgSz w:w="11910" w:h="16840"/>
          <w:pgMar w:header="878" w:footer="978" w:top="1100" w:bottom="1160" w:left="1020" w:right="0"/>
        </w:sectPr>
      </w:pPr>
    </w:p>
    <w:p>
      <w:pPr>
        <w:spacing w:line="240" w:lineRule="auto" w:before="12"/>
        <w:rPr>
          <w:rFonts w:ascii="宋体" w:hAnsi="宋体" w:cs="宋体" w:eastAsia="宋体" w:hint="default"/>
          <w:sz w:val="27"/>
          <w:szCs w:val="27"/>
        </w:rPr>
      </w:pPr>
    </w:p>
    <w:p>
      <w:pPr>
        <w:pStyle w:val="BodyText"/>
        <w:spacing w:line="605" w:lineRule="exact"/>
        <w:ind w:right="0" w:firstLine="420"/>
        <w:jc w:val="left"/>
      </w:pPr>
      <w:r>
        <w:rPr>
          <w:rFonts w:ascii="Cambria Math" w:hAnsi="Cambria Math" w:cs="Cambria Math" w:eastAsia="Cambria Math" w:hint="default"/>
        </w:rPr>
        <w:t>⑭</w:t>
      </w:r>
      <w:r>
        <w:rPr/>
        <w:t>本公司的孙公司黔南州蓝盾武装护运有限责任公司依据《财政部、海关总署、国家税务总局关于深入实施西部大开</w:t>
      </w:r>
    </w:p>
    <w:p>
      <w:pPr>
        <w:pStyle w:val="BodyText"/>
        <w:spacing w:line="156" w:lineRule="exact"/>
        <w:ind w:right="0"/>
        <w:jc w:val="left"/>
      </w:pPr>
      <w:r>
        <w:rPr/>
        <w:t>发战略有关税收政策问题的通知》财税</w:t>
      </w:r>
      <w:r>
        <w:rPr>
          <w:rFonts w:ascii="Times New Roman" w:hAnsi="Times New Roman" w:cs="Times New Roman" w:eastAsia="Times New Roman" w:hint="default"/>
        </w:rPr>
        <w:t>[2011]58</w:t>
      </w:r>
      <w:r>
        <w:rPr/>
        <w:t>号，符合西部大开发税收优惠政策条件，</w:t>
      </w:r>
      <w:r>
        <w:rPr>
          <w:rFonts w:ascii="Times New Roman" w:hAnsi="Times New Roman" w:cs="Times New Roman" w:eastAsia="Times New Roman" w:hint="default"/>
        </w:rPr>
        <w:t>2019</w:t>
      </w:r>
      <w:r>
        <w:rPr/>
        <w:t>年减按</w:t>
      </w:r>
      <w:r>
        <w:rPr>
          <w:rFonts w:ascii="Times New Roman" w:hAnsi="Times New Roman" w:cs="Times New Roman" w:eastAsia="Times New Roman" w:hint="default"/>
        </w:rPr>
        <w:t>15%</w:t>
      </w:r>
      <w:r>
        <w:rPr/>
        <w:t>的税率计缴企业所</w:t>
      </w:r>
    </w:p>
    <w:p>
      <w:pPr>
        <w:spacing w:line="240" w:lineRule="auto" w:before="9"/>
        <w:rPr>
          <w:rFonts w:ascii="宋体" w:hAnsi="宋体" w:cs="宋体" w:eastAsia="宋体" w:hint="default"/>
          <w:sz w:val="16"/>
          <w:szCs w:val="16"/>
        </w:rPr>
      </w:pPr>
    </w:p>
    <w:p>
      <w:pPr>
        <w:pStyle w:val="BodyText"/>
        <w:spacing w:line="197" w:lineRule="exact"/>
        <w:ind w:right="1394"/>
        <w:jc w:val="left"/>
      </w:pPr>
      <w:r>
        <w:rPr/>
        <w:t>得税。</w:t>
      </w:r>
    </w:p>
    <w:p>
      <w:pPr>
        <w:pStyle w:val="BodyText"/>
        <w:spacing w:line="196" w:lineRule="auto" w:before="62"/>
        <w:ind w:right="0" w:firstLine="420"/>
        <w:jc w:val="left"/>
      </w:pPr>
      <w:r>
        <w:rPr>
          <w:rFonts w:ascii="Cambria Math" w:hAnsi="Cambria Math" w:cs="Cambria Math" w:eastAsia="Cambria Math" w:hint="default"/>
          <w:spacing w:val="-2"/>
        </w:rPr>
        <w:t>⑮</w:t>
      </w:r>
      <w:r>
        <w:rPr>
          <w:spacing w:val="-2"/>
        </w:rPr>
        <w:t>本公司的控股子公司深圳市信义科技有限公司被认定为高新技术企业，</w:t>
      </w:r>
      <w:r>
        <w:rPr>
          <w:rFonts w:ascii="Times New Roman" w:hAnsi="Times New Roman" w:cs="Times New Roman" w:eastAsia="Times New Roman" w:hint="default"/>
          <w:spacing w:val="-2"/>
        </w:rPr>
        <w:t>2017</w:t>
      </w:r>
      <w:r>
        <w:rPr>
          <w:spacing w:val="-2"/>
        </w:rPr>
        <w:t>年取得编号为</w:t>
      </w:r>
      <w:r>
        <w:rPr>
          <w:rFonts w:ascii="Times New Roman" w:hAnsi="Times New Roman" w:cs="Times New Roman" w:eastAsia="Times New Roman" w:hint="default"/>
          <w:spacing w:val="-2"/>
        </w:rPr>
        <w:t>GR201744200349</w:t>
      </w:r>
      <w:r>
        <w:rPr>
          <w:spacing w:val="-2"/>
        </w:rPr>
        <w:t>的《高新</w:t>
      </w:r>
      <w:r>
        <w:rPr/>
        <w:t> 技术企业证书》</w:t>
      </w:r>
      <w:r>
        <w:rPr>
          <w:rFonts w:ascii="Times New Roman" w:hAnsi="Times New Roman" w:cs="Times New Roman" w:eastAsia="Times New Roman" w:hint="default"/>
        </w:rPr>
        <w:t>,</w:t>
      </w:r>
      <w:r>
        <w:rPr>
          <w:rFonts w:ascii="Times New Roman" w:hAnsi="Times New Roman" w:cs="Times New Roman" w:eastAsia="Times New Roman" w:hint="default"/>
          <w:spacing w:val="41"/>
        </w:rPr>
        <w:t> </w:t>
      </w:r>
      <w:r>
        <w:rPr/>
        <w:t>有效期为三年，</w:t>
      </w:r>
      <w:r>
        <w:rPr>
          <w:rFonts w:ascii="Times New Roman" w:hAnsi="Times New Roman" w:cs="Times New Roman" w:eastAsia="Times New Roman" w:hint="default"/>
        </w:rPr>
        <w:t>2019</w:t>
      </w:r>
      <w:r>
        <w:rPr/>
        <w:t>年按</w:t>
      </w:r>
      <w:r>
        <w:rPr>
          <w:rFonts w:ascii="Times New Roman" w:hAnsi="Times New Roman" w:cs="Times New Roman" w:eastAsia="Times New Roman" w:hint="default"/>
        </w:rPr>
        <w:t>15%</w:t>
      </w:r>
      <w:r>
        <w:rPr/>
        <w:t>的税率计缴企业所得税。</w:t>
      </w:r>
    </w:p>
    <w:p>
      <w:pPr>
        <w:pStyle w:val="BodyText"/>
        <w:spacing w:line="825" w:lineRule="exact"/>
        <w:ind w:left="532" w:right="1394"/>
        <w:jc w:val="left"/>
      </w:pPr>
      <w:r>
        <w:rPr>
          <w:rFonts w:ascii="Cambria Math" w:hAnsi="Cambria Math" w:cs="Cambria Math" w:eastAsia="Cambria Math" w:hint="default"/>
        </w:rPr>
        <w:t>⑯</w:t>
      </w:r>
      <w:r>
        <w:rPr/>
        <w:t>本公司的控股子公司北京中科江南信息技术股份有限公司被认定为高新技术企业，</w:t>
      </w:r>
      <w:r>
        <w:rPr>
          <w:rFonts w:ascii="Times New Roman" w:hAnsi="Times New Roman" w:cs="Times New Roman" w:eastAsia="Times New Roman" w:hint="default"/>
        </w:rPr>
        <w:t>2019</w:t>
      </w:r>
      <w:r>
        <w:rPr/>
        <w:t>年取得证书编号为</w:t>
      </w:r>
    </w:p>
    <w:p>
      <w:pPr>
        <w:pStyle w:val="BodyText"/>
        <w:spacing w:line="111" w:lineRule="exact"/>
        <w:ind w:right="1394"/>
        <w:jc w:val="left"/>
      </w:pPr>
      <w:r>
        <w:rPr>
          <w:rFonts w:ascii="Times New Roman" w:hAnsi="Times New Roman" w:cs="Times New Roman" w:eastAsia="Times New Roman" w:hint="default"/>
        </w:rPr>
        <w:t>GR201911005124</w:t>
      </w:r>
      <w:r>
        <w:rPr/>
        <w:t>的《高新技术企业证书》，有效期三年，</w:t>
      </w:r>
      <w:r>
        <w:rPr>
          <w:rFonts w:ascii="Times New Roman" w:hAnsi="Times New Roman" w:cs="Times New Roman" w:eastAsia="Times New Roman" w:hint="default"/>
        </w:rPr>
        <w:t>2019</w:t>
      </w:r>
      <w:r>
        <w:rPr/>
        <w:t>年享受按</w:t>
      </w:r>
      <w:r>
        <w:rPr>
          <w:rFonts w:ascii="Times New Roman" w:hAnsi="Times New Roman" w:cs="Times New Roman" w:eastAsia="Times New Roman" w:hint="default"/>
        </w:rPr>
        <w:t>15%</w:t>
      </w:r>
      <w:r>
        <w:rPr/>
        <w:t>税率征收企业所得税的税收优惠。</w:t>
      </w:r>
    </w:p>
    <w:p>
      <w:pPr>
        <w:pStyle w:val="BodyText"/>
        <w:spacing w:line="866" w:lineRule="exact"/>
        <w:ind w:left="532" w:right="0"/>
        <w:jc w:val="left"/>
      </w:pPr>
      <w:r>
        <w:rPr>
          <w:rFonts w:ascii="Cambria Math" w:hAnsi="Cambria Math" w:cs="Cambria Math" w:eastAsia="Cambria Math" w:hint="default"/>
        </w:rPr>
        <w:t>⑰</w:t>
      </w:r>
      <w:r>
        <w:rPr/>
        <w:t>本公司的孙公司南宁盈通金融电子科技有限公司被认定为高新技术企业，</w:t>
      </w:r>
      <w:r>
        <w:rPr>
          <w:rFonts w:ascii="Times New Roman" w:hAnsi="Times New Roman" w:cs="Times New Roman" w:eastAsia="Times New Roman" w:hint="default"/>
        </w:rPr>
        <w:t>2018</w:t>
      </w:r>
      <w:r>
        <w:rPr/>
        <w:t>年取得编号为</w:t>
      </w:r>
      <w:r>
        <w:rPr>
          <w:rFonts w:ascii="Times New Roman" w:hAnsi="Times New Roman" w:cs="Times New Roman" w:eastAsia="Times New Roman" w:hint="default"/>
        </w:rPr>
        <w:t>GR201845000391</w:t>
      </w:r>
      <w:r>
        <w:rPr/>
        <w:t>号的</w:t>
      </w:r>
    </w:p>
    <w:p>
      <w:pPr>
        <w:pStyle w:val="BodyText"/>
        <w:spacing w:line="156" w:lineRule="exact"/>
        <w:ind w:right="1394"/>
        <w:jc w:val="left"/>
      </w:pPr>
      <w:r>
        <w:rPr/>
        <w:t>《高新技术企业证书》</w:t>
      </w:r>
      <w:r>
        <w:rPr>
          <w:rFonts w:ascii="Times New Roman" w:hAnsi="Times New Roman" w:cs="Times New Roman" w:eastAsia="Times New Roman" w:hint="default"/>
        </w:rPr>
        <w:t>,</w:t>
      </w:r>
      <w:r>
        <w:rPr/>
        <w:t>有效期三年，</w:t>
      </w:r>
      <w:r>
        <w:rPr>
          <w:rFonts w:ascii="Times New Roman" w:hAnsi="Times New Roman" w:cs="Times New Roman" w:eastAsia="Times New Roman" w:hint="default"/>
        </w:rPr>
        <w:t>2019</w:t>
      </w:r>
      <w:r>
        <w:rPr/>
        <w:t>年按</w:t>
      </w:r>
      <w:r>
        <w:rPr>
          <w:rFonts w:ascii="Times New Roman" w:hAnsi="Times New Roman" w:cs="Times New Roman" w:eastAsia="Times New Roman" w:hint="default"/>
        </w:rPr>
        <w:t>15%</w:t>
      </w:r>
      <w:r>
        <w:rPr/>
        <w:t>的税率计缴企业所得税。</w:t>
      </w:r>
    </w:p>
    <w:p>
      <w:pPr>
        <w:spacing w:line="240" w:lineRule="auto" w:before="11"/>
        <w:rPr>
          <w:rFonts w:ascii="宋体" w:hAnsi="宋体" w:cs="宋体" w:eastAsia="宋体" w:hint="default"/>
          <w:sz w:val="19"/>
          <w:szCs w:val="19"/>
        </w:rPr>
      </w:pPr>
    </w:p>
    <w:p>
      <w:pPr>
        <w:pStyle w:val="BodyText"/>
        <w:spacing w:line="451" w:lineRule="auto"/>
        <w:ind w:right="0" w:firstLine="420"/>
        <w:jc w:val="left"/>
      </w:pPr>
      <w:r>
        <w:rPr>
          <w:spacing w:val="-2"/>
        </w:rPr>
        <w:t>依据广西壮族自治区人民政府关于延续和修订促进广西北部湾经济区开放开发若干政策规定的通知（桂政发</w:t>
      </w:r>
      <w:r>
        <w:rPr>
          <w:rFonts w:ascii="Times New Roman" w:hAnsi="Times New Roman" w:cs="Times New Roman" w:eastAsia="Times New Roman" w:hint="default"/>
          <w:spacing w:val="-2"/>
        </w:rPr>
        <w:t>[2014]5</w:t>
      </w:r>
      <w:r>
        <w:rPr>
          <w:spacing w:val="-2"/>
        </w:rPr>
        <w:t>号）</w:t>
      </w:r>
      <w:r>
        <w:rPr/>
        <w:t> “第六条实行产业发展税收优惠。（二）新认定的减按</w:t>
      </w:r>
      <w:r>
        <w:rPr>
          <w:rFonts w:ascii="Times New Roman" w:hAnsi="Times New Roman" w:cs="Times New Roman" w:eastAsia="Times New Roman" w:hint="default"/>
        </w:rPr>
        <w:t>10%</w:t>
      </w:r>
      <w:r>
        <w:rPr/>
        <w:t>税率征收企业所得税的国家规划布局内重点软件企业和集成电路 设计企业，新办的实行减按</w:t>
      </w:r>
      <w:r>
        <w:rPr>
          <w:rFonts w:ascii="Times New Roman" w:hAnsi="Times New Roman" w:cs="Times New Roman" w:eastAsia="Times New Roman" w:hint="default"/>
        </w:rPr>
        <w:t>15%</w:t>
      </w:r>
      <w:r>
        <w:rPr/>
        <w:t>税率征收企业所得税的高新技术企业、享受国家减半征收税收优惠政策的软件及集成电路设 计和生产企业，均免征属于地方分享部分的企业所得税”，</w:t>
      </w:r>
      <w:r>
        <w:rPr>
          <w:rFonts w:ascii="Times New Roman" w:hAnsi="Times New Roman" w:cs="Times New Roman" w:eastAsia="Times New Roman" w:hint="default"/>
        </w:rPr>
        <w:t>2019</w:t>
      </w:r>
      <w:r>
        <w:rPr/>
        <w:t>年企业所得税率为</w:t>
      </w:r>
      <w:r>
        <w:rPr>
          <w:rFonts w:ascii="Times New Roman" w:hAnsi="Times New Roman" w:cs="Times New Roman" w:eastAsia="Times New Roman" w:hint="default"/>
        </w:rPr>
        <w:t>9%</w:t>
      </w:r>
      <w:r>
        <w:rPr/>
        <w:t>。</w:t>
      </w:r>
    </w:p>
    <w:p>
      <w:pPr>
        <w:pStyle w:val="BodyText"/>
        <w:spacing w:line="643" w:lineRule="exact"/>
        <w:ind w:left="532" w:right="0"/>
        <w:jc w:val="left"/>
      </w:pPr>
      <w:r>
        <w:rPr>
          <w:rFonts w:ascii="Cambria Math" w:hAnsi="Cambria Math" w:cs="Cambria Math" w:eastAsia="Cambria Math" w:hint="default"/>
        </w:rPr>
        <w:t>⑱</w:t>
      </w:r>
      <w:r>
        <w:rPr/>
        <w:t>本公司的孙公司上海欣辰通金融电子科技有限公司被认定为高新技术企业</w:t>
      </w:r>
      <w:r>
        <w:rPr>
          <w:rFonts w:ascii="Times New Roman" w:hAnsi="Times New Roman" w:cs="Times New Roman" w:eastAsia="Times New Roman" w:hint="default"/>
        </w:rPr>
        <w:t>2018</w:t>
      </w:r>
      <w:r>
        <w:rPr/>
        <w:t>年取得编号为</w:t>
      </w:r>
      <w:r>
        <w:rPr>
          <w:rFonts w:ascii="Times New Roman" w:hAnsi="Times New Roman" w:cs="Times New Roman" w:eastAsia="Times New Roman" w:hint="default"/>
        </w:rPr>
        <w:t>GR201831001953</w:t>
      </w:r>
      <w:r>
        <w:rPr/>
        <w:t>号的</w:t>
      </w:r>
    </w:p>
    <w:p>
      <w:pPr>
        <w:pStyle w:val="BodyText"/>
        <w:spacing w:line="111" w:lineRule="exact"/>
        <w:ind w:right="1394"/>
        <w:jc w:val="left"/>
      </w:pPr>
      <w:r>
        <w:rPr/>
        <w:t>《高新技术企业证书》，有效期为三年，</w:t>
      </w:r>
      <w:r>
        <w:rPr>
          <w:spacing w:val="-4"/>
        </w:rPr>
        <w:t> </w:t>
      </w:r>
      <w:r>
        <w:rPr>
          <w:rFonts w:ascii="Times New Roman" w:hAnsi="Times New Roman" w:cs="Times New Roman" w:eastAsia="Times New Roman" w:hint="default"/>
        </w:rPr>
        <w:t>2019</w:t>
      </w:r>
      <w:r>
        <w:rPr/>
        <w:t>年按</w:t>
      </w:r>
      <w:r>
        <w:rPr>
          <w:rFonts w:ascii="Times New Roman" w:hAnsi="Times New Roman" w:cs="Times New Roman" w:eastAsia="Times New Roman" w:hint="default"/>
        </w:rPr>
        <w:t>15%</w:t>
      </w:r>
      <w:r>
        <w:rPr/>
        <w:t>的税率计缴企业所得税。</w:t>
      </w:r>
    </w:p>
    <w:p>
      <w:pPr>
        <w:pStyle w:val="BodyText"/>
        <w:spacing w:line="866" w:lineRule="exact"/>
        <w:ind w:left="532" w:right="0"/>
        <w:jc w:val="left"/>
      </w:pPr>
      <w:r>
        <w:rPr>
          <w:rFonts w:ascii="Cambria Math" w:hAnsi="Cambria Math" w:cs="Cambria Math" w:eastAsia="Cambria Math" w:hint="default"/>
        </w:rPr>
        <w:t>⑲</w:t>
      </w:r>
      <w:r>
        <w:rPr/>
        <w:t>本公司的孙公司辽宁辽通金融电子科技有限公司被认定为高新技术企业，</w:t>
      </w:r>
      <w:r>
        <w:rPr>
          <w:rFonts w:ascii="Times New Roman" w:hAnsi="Times New Roman" w:cs="Times New Roman" w:eastAsia="Times New Roman" w:hint="default"/>
        </w:rPr>
        <w:t>2018</w:t>
      </w:r>
      <w:r>
        <w:rPr/>
        <w:t>年取得编号为</w:t>
      </w:r>
      <w:r>
        <w:rPr>
          <w:rFonts w:ascii="Times New Roman" w:hAnsi="Times New Roman" w:cs="Times New Roman" w:eastAsia="Times New Roman" w:hint="default"/>
        </w:rPr>
        <w:t>GR201821000668</w:t>
      </w:r>
      <w:r>
        <w:rPr/>
        <w:t>号的</w:t>
      </w:r>
    </w:p>
    <w:p>
      <w:pPr>
        <w:pStyle w:val="BodyText"/>
        <w:spacing w:line="111" w:lineRule="exact"/>
        <w:ind w:right="1394"/>
        <w:jc w:val="left"/>
      </w:pPr>
      <w:r>
        <w:rPr/>
        <w:t>《高新技术企业证书》</w:t>
      </w:r>
      <w:r>
        <w:rPr>
          <w:rFonts w:ascii="Times New Roman" w:hAnsi="Times New Roman" w:cs="Times New Roman" w:eastAsia="Times New Roman" w:hint="default"/>
        </w:rPr>
        <w:t>,</w:t>
      </w:r>
      <w:r>
        <w:rPr/>
        <w:t>有效期三年，</w:t>
      </w:r>
      <w:r>
        <w:rPr>
          <w:spacing w:val="-4"/>
        </w:rPr>
        <w:t> </w:t>
      </w:r>
      <w:r>
        <w:rPr>
          <w:rFonts w:ascii="Times New Roman" w:hAnsi="Times New Roman" w:cs="Times New Roman" w:eastAsia="Times New Roman" w:hint="default"/>
        </w:rPr>
        <w:t>2019</w:t>
      </w:r>
      <w:r>
        <w:rPr/>
        <w:t>年按</w:t>
      </w:r>
      <w:r>
        <w:rPr>
          <w:rFonts w:ascii="Times New Roman" w:hAnsi="Times New Roman" w:cs="Times New Roman" w:eastAsia="Times New Roman" w:hint="default"/>
        </w:rPr>
        <w:t>15%</w:t>
      </w:r>
      <w:r>
        <w:rPr/>
        <w:t>的税率计缴企业所得税。</w:t>
      </w:r>
    </w:p>
    <w:p>
      <w:pPr>
        <w:pStyle w:val="BodyText"/>
        <w:spacing w:line="196" w:lineRule="auto" w:before="55"/>
        <w:ind w:right="0" w:firstLine="360"/>
        <w:jc w:val="left"/>
      </w:pPr>
      <w:r>
        <w:rPr>
          <w:rFonts w:ascii="Cambria Math" w:hAnsi="Cambria Math" w:cs="Cambria Math" w:eastAsia="Cambria Math" w:hint="default"/>
        </w:rPr>
        <w:t>⑳</w:t>
      </w:r>
      <w:r>
        <w:rPr/>
        <w:t>本公司的下属公司广电运通国际商贸（广州）有限公司、新余市景运科技有限公司、深圳市深安信信息技术有限公 </w:t>
      </w:r>
      <w:r>
        <w:rPr>
          <w:spacing w:val="-2"/>
        </w:rPr>
        <w:t>司、巴州阿帕奇保安有限责任公司、石家庄市银通金融服务有限公司、宜昌宜通金融服务有限公司、河北晨通金融电子科技</w:t>
      </w:r>
    </w:p>
    <w:p>
      <w:pPr>
        <w:spacing w:line="240" w:lineRule="auto" w:before="1"/>
        <w:rPr>
          <w:rFonts w:ascii="宋体" w:hAnsi="宋体" w:cs="宋体" w:eastAsia="宋体" w:hint="default"/>
          <w:sz w:val="18"/>
          <w:szCs w:val="18"/>
        </w:rPr>
      </w:pPr>
    </w:p>
    <w:p>
      <w:pPr>
        <w:pStyle w:val="BodyText"/>
        <w:spacing w:line="477" w:lineRule="auto"/>
        <w:ind w:right="0"/>
        <w:jc w:val="left"/>
      </w:pPr>
      <w:r>
        <w:rPr>
          <w:spacing w:val="-2"/>
        </w:rPr>
        <w:t>有限公司、山西尚通金融外包服务有限公司、南阳宛通金融电子科技有限公司及商洛市慧金清分服务有限公司根据小型微利</w:t>
      </w:r>
      <w:r>
        <w:rPr>
          <w:spacing w:val="-64"/>
        </w:rPr>
        <w:t> </w:t>
      </w:r>
      <w:r>
        <w:rPr>
          <w:spacing w:val="-64"/>
        </w:rPr>
      </w:r>
      <w:r>
        <w:rPr/>
        <w:t>企业所得税优惠政策，按</w:t>
      </w:r>
      <w:r>
        <w:rPr>
          <w:spacing w:val="-48"/>
        </w:rPr>
        <w:t> </w:t>
      </w:r>
      <w:r>
        <w:rPr>
          <w:rFonts w:ascii="Times New Roman" w:hAnsi="Times New Roman" w:cs="Times New Roman" w:eastAsia="Times New Roman" w:hint="default"/>
        </w:rPr>
        <w:t>20%</w:t>
      </w:r>
      <w:r>
        <w:rPr/>
        <w:t>的税率计缴企业所得税。</w:t>
      </w:r>
    </w:p>
    <w:p>
      <w:pPr>
        <w:spacing w:line="240" w:lineRule="auto" w:before="11"/>
        <w:rPr>
          <w:rFonts w:ascii="宋体" w:hAnsi="宋体" w:cs="宋体" w:eastAsia="宋体" w:hint="default"/>
          <w:sz w:val="14"/>
          <w:szCs w:val="14"/>
        </w:rPr>
      </w:pPr>
    </w:p>
    <w:p>
      <w:pPr>
        <w:pStyle w:val="Heading2"/>
        <w:spacing w:line="240" w:lineRule="auto"/>
        <w:ind w:right="1394"/>
        <w:jc w:val="left"/>
        <w:rPr>
          <w:b w:val="0"/>
          <w:bCs w:val="0"/>
        </w:rPr>
      </w:pPr>
      <w:bookmarkStart w:name="七、合并财务报表项目注释" w:id="209"/>
      <w:bookmarkEnd w:id="209"/>
      <w:r>
        <w:rPr>
          <w:b w:val="0"/>
          <w:bCs w:val="0"/>
        </w:rPr>
      </w:r>
      <w:r>
        <w:rPr/>
        <w:t>七、合并财务报表项目注释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before="0"/>
        <w:ind w:right="1394"/>
        <w:jc w:val="left"/>
        <w:rPr>
          <w:b w:val="0"/>
          <w:bCs w:val="0"/>
        </w:rPr>
      </w:pPr>
      <w:bookmarkStart w:name="1、货币资金" w:id="210"/>
      <w:bookmarkEnd w:id="210"/>
      <w:r>
        <w:rPr>
          <w:b w:val="0"/>
          <w:bCs w:val="0"/>
        </w:rPr>
      </w:r>
      <w:r>
        <w:rPr>
          <w:rFonts w:ascii="Times New Roman" w:hAnsi="Times New Roman" w:cs="Times New Roman" w:eastAsia="Times New Roman" w:hint="default"/>
        </w:rPr>
        <w:t>1</w:t>
      </w:r>
      <w:r>
        <w:rPr/>
        <w:t>、货币资金</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4,033,630.30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5,579,516.05</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4,263,666,928.39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4,228,489,595.17</w:t>
            </w:r>
          </w:p>
        </w:tc>
      </w:tr>
      <w:tr>
        <w:trPr>
          <w:trHeight w:val="400"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215,215,508.92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15,719,362.11</w:t>
            </w:r>
          </w:p>
        </w:tc>
      </w:tr>
    </w:tbl>
    <w:p>
      <w:pPr>
        <w:spacing w:after="0" w:line="240" w:lineRule="auto"/>
        <w:jc w:val="right"/>
        <w:rPr>
          <w:rFonts w:ascii="Times New Roman" w:hAnsi="Times New Roman" w:cs="Times New Roman" w:eastAsia="Times New Roman" w:hint="default"/>
          <w:sz w:val="18"/>
          <w:szCs w:val="18"/>
        </w:rPr>
        <w:sectPr>
          <w:pgSz w:w="11910" w:h="16840"/>
          <w:pgMar w:header="878" w:footer="978" w:top="1100" w:bottom="1160" w:left="1020" w:right="0"/>
        </w:sectPr>
      </w:pPr>
    </w:p>
    <w:p>
      <w:pPr>
        <w:spacing w:line="240" w:lineRule="auto" w:before="8"/>
        <w:rPr>
          <w:rFonts w:ascii="宋体" w:hAnsi="宋体" w:cs="宋体" w:eastAsia="宋体" w:hint="default"/>
          <w:sz w:val="24"/>
          <w:szCs w:val="24"/>
        </w:rPr>
      </w:pPr>
    </w:p>
    <w:tbl>
      <w:tblPr>
        <w:tblW w:w="0" w:type="auto"/>
        <w:jc w:val="left"/>
        <w:tblInd w:w="12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4,482,916,067.61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4,249,788,473.33</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184,344,080.60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119,296,099.30</w:t>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94" w:firstLine="720"/>
              <w:jc w:val="left"/>
              <w:rPr>
                <w:rFonts w:ascii="宋体" w:hAnsi="宋体" w:cs="宋体" w:eastAsia="宋体" w:hint="default"/>
                <w:sz w:val="18"/>
                <w:szCs w:val="18"/>
              </w:rPr>
            </w:pPr>
            <w:r>
              <w:rPr>
                <w:rFonts w:ascii="宋体" w:hAnsi="宋体" w:cs="宋体" w:eastAsia="宋体" w:hint="default"/>
                <w:sz w:val="18"/>
                <w:szCs w:val="18"/>
              </w:rPr>
              <w:t>因抵押、质押或冻结等对使用 有限制的款项总额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30,878,640.12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15,719,362.11</w:t>
            </w:r>
          </w:p>
        </w:tc>
      </w:tr>
    </w:tbl>
    <w:p>
      <w:pPr>
        <w:pStyle w:val="BodyText"/>
        <w:spacing w:line="240" w:lineRule="auto" w:before="10"/>
        <w:ind w:left="132" w:right="1122"/>
        <w:jc w:val="left"/>
        <w:rPr>
          <w:rFonts w:ascii="Times New Roman" w:hAnsi="Times New Roman" w:cs="Times New Roman" w:eastAsia="Times New Roman" w:hint="default"/>
        </w:rPr>
      </w:pPr>
      <w:r>
        <w:rPr/>
        <w:t>其中因抵押、质押或冻结等对使用有限制，以及放在境外且资金汇回受到限制的货币资金明细如下</w:t>
      </w:r>
      <w:r>
        <w:rPr>
          <w:rFonts w:ascii="Times New Roman" w:hAnsi="Times New Roman" w:cs="Times New Roman" w:eastAsia="Times New Roman" w:hint="default"/>
        </w:rPr>
        <w:t>:</w:t>
      </w:r>
    </w:p>
    <w:p>
      <w:pPr>
        <w:spacing w:line="240" w:lineRule="auto" w:before="7"/>
        <w:rPr>
          <w:rFonts w:ascii="Times New Roman" w:hAnsi="Times New Roman" w:cs="Times New Roman" w:eastAsia="Times New Roman" w:hint="default"/>
          <w:sz w:val="4"/>
          <w:szCs w:val="4"/>
        </w:rPr>
      </w:pPr>
    </w:p>
    <w:tbl>
      <w:tblPr>
        <w:tblW w:w="0" w:type="auto"/>
        <w:jc w:val="left"/>
        <w:tblInd w:w="116" w:type="dxa"/>
        <w:tblLayout w:type="fixed"/>
        <w:tblCellMar>
          <w:top w:w="0" w:type="dxa"/>
          <w:left w:w="0" w:type="dxa"/>
          <w:bottom w:w="0" w:type="dxa"/>
          <w:right w:w="0" w:type="dxa"/>
        </w:tblCellMar>
        <w:tblLook w:val="01E0"/>
      </w:tblPr>
      <w:tblGrid>
        <w:gridCol w:w="3202"/>
        <w:gridCol w:w="3176"/>
        <w:gridCol w:w="3280"/>
      </w:tblGrid>
      <w:tr>
        <w:trPr>
          <w:trHeight w:val="347" w:hRule="exact"/>
        </w:trPr>
        <w:tc>
          <w:tcPr>
            <w:tcW w:w="3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1412"/>
              <w:jc w:val="right"/>
              <w:rPr>
                <w:rFonts w:ascii="宋体" w:hAnsi="宋体" w:cs="宋体" w:eastAsia="宋体" w:hint="default"/>
                <w:sz w:val="18"/>
                <w:szCs w:val="18"/>
              </w:rPr>
            </w:pPr>
            <w:r>
              <w:rPr>
                <w:rFonts w:ascii="宋体" w:hAnsi="宋体" w:cs="宋体" w:eastAsia="宋体" w:hint="default"/>
                <w:sz w:val="18"/>
                <w:szCs w:val="18"/>
              </w:rPr>
              <w:t>项目</w:t>
            </w:r>
          </w:p>
        </w:tc>
        <w:tc>
          <w:tcPr>
            <w:tcW w:w="3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47" w:hRule="exact"/>
        </w:trPr>
        <w:tc>
          <w:tcPr>
            <w:tcW w:w="3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left"/>
              <w:rPr>
                <w:rFonts w:ascii="宋体" w:hAnsi="宋体" w:cs="宋体" w:eastAsia="宋体" w:hint="default"/>
                <w:sz w:val="18"/>
                <w:szCs w:val="18"/>
              </w:rPr>
            </w:pPr>
            <w:r>
              <w:rPr>
                <w:rFonts w:ascii="宋体" w:hAnsi="宋体" w:cs="宋体" w:eastAsia="宋体" w:hint="default"/>
                <w:sz w:val="18"/>
                <w:szCs w:val="18"/>
              </w:rPr>
              <w:t>银行承兑汇票保证金</w:t>
            </w:r>
          </w:p>
        </w:tc>
        <w:tc>
          <w:tcPr>
            <w:tcW w:w="3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24,293,214.44</w:t>
            </w:r>
          </w:p>
        </w:tc>
        <w:tc>
          <w:tcPr>
            <w:tcW w:w="3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12,977,152.45</w:t>
            </w:r>
          </w:p>
        </w:tc>
      </w:tr>
      <w:tr>
        <w:trPr>
          <w:trHeight w:val="347" w:hRule="exact"/>
        </w:trPr>
        <w:tc>
          <w:tcPr>
            <w:tcW w:w="3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3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6,520,504.37</w:t>
            </w:r>
          </w:p>
        </w:tc>
        <w:tc>
          <w:tcPr>
            <w:tcW w:w="3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603,014.18</w:t>
            </w:r>
          </w:p>
        </w:tc>
      </w:tr>
      <w:tr>
        <w:trPr>
          <w:trHeight w:val="347" w:hRule="exact"/>
        </w:trPr>
        <w:tc>
          <w:tcPr>
            <w:tcW w:w="3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left"/>
              <w:rPr>
                <w:rFonts w:ascii="宋体" w:hAnsi="宋体" w:cs="宋体" w:eastAsia="宋体" w:hint="default"/>
                <w:sz w:val="18"/>
                <w:szCs w:val="18"/>
              </w:rPr>
            </w:pPr>
            <w:r>
              <w:rPr>
                <w:rFonts w:ascii="宋体" w:hAnsi="宋体" w:cs="宋体" w:eastAsia="宋体" w:hint="default"/>
                <w:sz w:val="18"/>
                <w:szCs w:val="18"/>
              </w:rPr>
              <w:t>财政监管资金</w:t>
            </w:r>
          </w:p>
        </w:tc>
        <w:tc>
          <w:tcPr>
            <w:tcW w:w="3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64,921.31</w:t>
            </w:r>
          </w:p>
        </w:tc>
        <w:tc>
          <w:tcPr>
            <w:tcW w:w="3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2,139,195.48</w:t>
            </w:r>
          </w:p>
        </w:tc>
      </w:tr>
      <w:tr>
        <w:trPr>
          <w:trHeight w:val="347" w:hRule="exact"/>
        </w:trPr>
        <w:tc>
          <w:tcPr>
            <w:tcW w:w="3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412"/>
              <w:jc w:val="right"/>
              <w:rPr>
                <w:rFonts w:ascii="宋体" w:hAnsi="宋体" w:cs="宋体" w:eastAsia="宋体" w:hint="default"/>
                <w:sz w:val="18"/>
                <w:szCs w:val="18"/>
              </w:rPr>
            </w:pPr>
            <w:r>
              <w:rPr>
                <w:rFonts w:ascii="宋体" w:hAnsi="宋体" w:cs="宋体" w:eastAsia="宋体" w:hint="default"/>
                <w:sz w:val="18"/>
                <w:szCs w:val="18"/>
              </w:rPr>
              <w:t>合计</w:t>
            </w:r>
          </w:p>
        </w:tc>
        <w:tc>
          <w:tcPr>
            <w:tcW w:w="3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pacing w:val="-1"/>
                <w:sz w:val="18"/>
              </w:rPr>
              <w:t>30,878,640.12</w:t>
            </w:r>
          </w:p>
        </w:tc>
        <w:tc>
          <w:tcPr>
            <w:tcW w:w="3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15,719,362.11</w:t>
            </w:r>
          </w:p>
        </w:tc>
      </w:tr>
    </w:tbl>
    <w:p>
      <w:pPr>
        <w:spacing w:line="240" w:lineRule="auto" w:before="11"/>
        <w:rPr>
          <w:rFonts w:ascii="Times New Roman" w:hAnsi="Times New Roman" w:cs="Times New Roman" w:eastAsia="Times New Roman" w:hint="default"/>
          <w:sz w:val="21"/>
          <w:szCs w:val="21"/>
        </w:rPr>
      </w:pPr>
    </w:p>
    <w:p>
      <w:pPr>
        <w:pStyle w:val="Heading3"/>
        <w:spacing w:line="240" w:lineRule="auto"/>
        <w:ind w:left="132" w:right="1122"/>
        <w:jc w:val="left"/>
        <w:rPr>
          <w:b w:val="0"/>
          <w:bCs w:val="0"/>
        </w:rPr>
      </w:pPr>
      <w:bookmarkStart w:name="2、交易性金融资产" w:id="211"/>
      <w:bookmarkEnd w:id="211"/>
      <w:r>
        <w:rPr>
          <w:b w:val="0"/>
          <w:bCs w:val="0"/>
        </w:rPr>
      </w:r>
      <w:r>
        <w:rPr>
          <w:rFonts w:ascii="Times New Roman" w:hAnsi="Times New Roman" w:cs="Times New Roman" w:eastAsia="Times New Roman" w:hint="default"/>
        </w:rPr>
        <w:t>2</w:t>
      </w:r>
      <w:r>
        <w:rPr/>
        <w:t>、交易性金融资产</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2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94"/>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 的金融资产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1,391,850,000.00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1,570,929,605.39</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1,391,850,000.00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1,570,929,605.39</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1,391,850,000.00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1,570,929,605.39</w:t>
            </w:r>
          </w:p>
        </w:tc>
      </w:tr>
    </w:tbl>
    <w:p>
      <w:pPr>
        <w:spacing w:line="240" w:lineRule="auto" w:before="5"/>
        <w:rPr>
          <w:rFonts w:ascii="宋体" w:hAnsi="宋体" w:cs="宋体" w:eastAsia="宋体" w:hint="default"/>
          <w:sz w:val="19"/>
          <w:szCs w:val="19"/>
        </w:rPr>
      </w:pPr>
    </w:p>
    <w:p>
      <w:pPr>
        <w:pStyle w:val="Heading3"/>
        <w:spacing w:line="240" w:lineRule="auto"/>
        <w:ind w:left="132" w:right="1122"/>
        <w:jc w:val="left"/>
        <w:rPr>
          <w:b w:val="0"/>
          <w:bCs w:val="0"/>
        </w:rPr>
      </w:pPr>
      <w:bookmarkStart w:name="3、应收票据" w:id="212"/>
      <w:bookmarkEnd w:id="212"/>
      <w:r>
        <w:rPr>
          <w:b w:val="0"/>
          <w:bCs w:val="0"/>
        </w:rPr>
      </w:r>
      <w:r>
        <w:rPr>
          <w:rFonts w:ascii="Times New Roman" w:hAnsi="Times New Roman" w:cs="Times New Roman" w:eastAsia="Times New Roman" w:hint="default"/>
        </w:rPr>
        <w:t>3</w:t>
      </w:r>
      <w:r>
        <w:rPr/>
        <w:t>、应收票据</w:t>
      </w:r>
      <w:r>
        <w:rPr>
          <w:b w:val="0"/>
          <w:bCs w:val="0"/>
        </w:rPr>
      </w:r>
    </w:p>
    <w:p>
      <w:pPr>
        <w:spacing w:line="240" w:lineRule="auto" w:before="7"/>
        <w:rPr>
          <w:rFonts w:ascii="宋体" w:hAnsi="宋体" w:cs="宋体" w:eastAsia="宋体" w:hint="default"/>
          <w:b/>
          <w:bCs/>
          <w:sz w:val="24"/>
          <w:szCs w:val="24"/>
        </w:rPr>
      </w:pPr>
    </w:p>
    <w:p>
      <w:pPr>
        <w:pStyle w:val="Heading3"/>
        <w:spacing w:line="240" w:lineRule="auto" w:before="0"/>
        <w:ind w:left="132" w:right="1122"/>
        <w:jc w:val="left"/>
        <w:rPr>
          <w:b w:val="0"/>
          <w:bCs w:val="0"/>
        </w:rPr>
      </w:pPr>
      <w:bookmarkStart w:name="（1）应收票据分类列示" w:id="213"/>
      <w:bookmarkEnd w:id="213"/>
      <w:r>
        <w:rPr>
          <w:b w:val="0"/>
          <w:bCs w:val="0"/>
        </w:rPr>
      </w:r>
      <w:r>
        <w:rPr/>
        <w:t>（</w:t>
      </w:r>
      <w:r>
        <w:rPr>
          <w:rFonts w:ascii="Times New Roman" w:hAnsi="Times New Roman" w:cs="Times New Roman" w:eastAsia="Times New Roman" w:hint="default"/>
        </w:rPr>
        <w:t>1</w:t>
      </w:r>
      <w:r>
        <w:rPr/>
        <w:t>）应收票据分类列示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2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46,378,084.81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35,889,098.27</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7,291,610.21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5,993,099.50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53,669,695.02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41,882,197.77</w:t>
            </w:r>
          </w:p>
        </w:tc>
      </w:tr>
    </w:tbl>
    <w:p>
      <w:pPr>
        <w:spacing w:line="240" w:lineRule="auto" w:before="2"/>
        <w:rPr>
          <w:rFonts w:ascii="宋体" w:hAnsi="宋体" w:cs="宋体" w:eastAsia="宋体" w:hint="default"/>
          <w:sz w:val="19"/>
          <w:szCs w:val="19"/>
        </w:rPr>
      </w:pPr>
    </w:p>
    <w:p>
      <w:pPr>
        <w:pStyle w:val="Heading3"/>
        <w:spacing w:line="240" w:lineRule="auto"/>
        <w:ind w:left="132" w:right="1122"/>
        <w:jc w:val="left"/>
        <w:rPr>
          <w:b w:val="0"/>
          <w:bCs w:val="0"/>
        </w:rPr>
      </w:pPr>
      <w:bookmarkStart w:name="（2）本期计提、收回或转回的坏账准备情况" w:id="214"/>
      <w:bookmarkEnd w:id="214"/>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474" w:right="6972"/>
        <w:jc w:val="center"/>
      </w:pPr>
      <w:r>
        <w:rPr/>
        <w:t>本期没有计提、收回或转回的坏账准备情况</w:t>
      </w:r>
    </w:p>
    <w:p>
      <w:pPr>
        <w:spacing w:line="240" w:lineRule="auto" w:before="11"/>
        <w:rPr>
          <w:rFonts w:ascii="宋体" w:hAnsi="宋体" w:cs="宋体" w:eastAsia="宋体" w:hint="default"/>
          <w:sz w:val="26"/>
          <w:szCs w:val="26"/>
        </w:rPr>
      </w:pPr>
    </w:p>
    <w:p>
      <w:pPr>
        <w:pStyle w:val="Heading3"/>
        <w:spacing w:line="240" w:lineRule="auto" w:before="0"/>
        <w:ind w:left="132" w:right="1122"/>
        <w:jc w:val="left"/>
        <w:rPr>
          <w:b w:val="0"/>
          <w:bCs w:val="0"/>
        </w:rPr>
      </w:pPr>
      <w:bookmarkStart w:name="（3）期末公司已质押的应收票据" w:id="215"/>
      <w:bookmarkEnd w:id="215"/>
      <w:r>
        <w:rPr>
          <w:b w:val="0"/>
          <w:bCs w:val="0"/>
        </w:rPr>
      </w:r>
      <w:r>
        <w:rPr/>
        <w:t>（</w:t>
      </w:r>
      <w:r>
        <w:rPr>
          <w:rFonts w:ascii="Times New Roman" w:hAnsi="Times New Roman" w:cs="Times New Roman" w:eastAsia="Times New Roman" w:hint="default"/>
        </w:rPr>
        <w:t>3</w:t>
      </w:r>
      <w:r>
        <w:rPr/>
        <w:t>）期末公司已质押的应收票据</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0"/>
        <w:rPr>
          <w:rFonts w:ascii="宋体" w:hAnsi="宋体" w:cs="宋体" w:eastAsia="宋体" w:hint="default"/>
          <w:sz w:val="7"/>
          <w:szCs w:val="7"/>
        </w:rPr>
      </w:pPr>
    </w:p>
    <w:p>
      <w:pPr>
        <w:spacing w:line="414" w:lineRule="exact"/>
        <w:ind w:left="12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75pt;mso-position-horizontal-relative:char;mso-position-vertical-relative:line" coordorigin="0,0" coordsize="9588,415">
            <v:group style="position:absolute;left:13;top:13;width:4779;height:397" coordorigin="13,13" coordsize="4779,397">
              <v:shape style="position:absolute;left:13;top:13;width:4779;height:397" coordorigin="13,13" coordsize="4779,397" path="m13,13l4792,13,4792,410,13,410,13,13xe" filled="true" fillcolor="#d2d2d2" stroked="false">
                <v:path arrowok="t"/>
                <v:fill type="solid"/>
              </v:shape>
            </v:group>
            <v:group style="position:absolute;left:4797;top:13;width:4779;height:397" coordorigin="4797,13" coordsize="4779,397">
              <v:shape style="position:absolute;left:4797;top:13;width:4779;height:397" coordorigin="4797,13" coordsize="4779,397" path="m4797,13l9576,13,9576,410,4797,410,4797,13xe" filled="true" fillcolor="#d2d2d2"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0;width:9578;height:2" coordorigin="5,410" coordsize="9578,2">
              <v:shape style="position:absolute;left:5;top:410;width:9578;height:2" coordorigin="5,410" coordsize="9578,0" path="m5,410l9582,410e" filled="false" stroked="true" strokeweight=".48pt" strokecolor="#000000">
                <v:path arrowok="t"/>
              </v:shape>
            </v:group>
            <v:group style="position:absolute;left:10;top:5;width:2;height:400" coordorigin="10,5" coordsize="2,400">
              <v:shape style="position:absolute;left:10;top:5;width:2;height:400" coordorigin="10,5" coordsize="0,400" path="m10,5l10,405e" filled="false" stroked="true" strokeweight=".48pt" strokecolor="#000000">
                <v:path arrowok="t"/>
              </v:shape>
            </v:group>
            <v:group style="position:absolute;left:4794;top:5;width:2;height:400" coordorigin="4794,5" coordsize="2,400">
              <v:shape style="position:absolute;left:4794;top:5;width:2;height:400" coordorigin="4794,5" coordsize="0,400" path="m4794,5l4794,405e" filled="false" stroked="true" strokeweight=".48pt" strokecolor="#000000">
                <v:path arrowok="t"/>
              </v:shape>
            </v:group>
            <v:group style="position:absolute;left:9578;top:5;width:2;height:400" coordorigin="9578,5" coordsize="2,400">
              <v:shape style="position:absolute;left:9578;top:5;width:2;height:400" coordorigin="9578,5" coordsize="0,400" path="m9578,5l9578,405e" filled="false" stroked="true" strokeweight=".48pt" strokecolor="#000000">
                <v:path arrowok="t"/>
              </v:shape>
              <v:shape style="position:absolute;left:2221;top:122;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4794;top:10;width:4784;height:400" type="#_x0000_t202" filled="false" stroked="false">
                <v:textbox inset="0,0,0,0">
                  <w:txbxContent>
                    <w:p>
                      <w:pPr>
                        <w:spacing w:before="56"/>
                        <w:ind w:left="0" w:right="0" w:firstLine="0"/>
                        <w:jc w:val="center"/>
                        <w:rPr>
                          <w:rFonts w:ascii="宋体" w:hAnsi="宋体" w:cs="宋体" w:eastAsia="宋体" w:hint="default"/>
                          <w:sz w:val="18"/>
                          <w:szCs w:val="18"/>
                        </w:rPr>
                      </w:pPr>
                      <w:r>
                        <w:rPr>
                          <w:rFonts w:ascii="宋体" w:hAnsi="宋体" w:cs="宋体" w:eastAsia="宋体" w:hint="default"/>
                          <w:sz w:val="18"/>
                          <w:szCs w:val="18"/>
                        </w:rPr>
                        <w:t>期末已质押金额</w:t>
                      </w:r>
                    </w:p>
                  </w:txbxContent>
                </v:textbox>
                <w10:wrap type="none"/>
              </v:shape>
            </v:group>
          </v:group>
        </w:pict>
      </w:r>
      <w:r>
        <w:rPr>
          <w:rFonts w:ascii="宋体" w:hAnsi="宋体" w:cs="宋体" w:eastAsia="宋体" w:hint="default"/>
          <w:position w:val="-7"/>
          <w:sz w:val="20"/>
          <w:szCs w:val="20"/>
        </w:rPr>
      </w:r>
    </w:p>
    <w:p>
      <w:pPr>
        <w:spacing w:after="0" w:line="414" w:lineRule="exact"/>
        <w:rPr>
          <w:rFonts w:ascii="宋体" w:hAnsi="宋体" w:cs="宋体" w:eastAsia="宋体" w:hint="default"/>
          <w:sz w:val="20"/>
          <w:szCs w:val="20"/>
        </w:rPr>
        <w:sectPr>
          <w:pgSz w:w="11910" w:h="16840"/>
          <w:pgMar w:header="878" w:footer="978" w:top="1100" w:bottom="1160" w:left="1000" w:right="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4784"/>
        <w:gridCol w:w="4784"/>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12,045,319.30</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12,045,319.30</w:t>
            </w:r>
          </w:p>
        </w:tc>
      </w:tr>
    </w:tbl>
    <w:p>
      <w:pPr>
        <w:spacing w:line="240" w:lineRule="auto" w:before="3"/>
        <w:rPr>
          <w:rFonts w:ascii="宋体" w:hAnsi="宋体" w:cs="宋体" w:eastAsia="宋体" w:hint="default"/>
          <w:sz w:val="19"/>
          <w:szCs w:val="19"/>
        </w:rPr>
      </w:pPr>
    </w:p>
    <w:p>
      <w:pPr>
        <w:pStyle w:val="Heading3"/>
        <w:spacing w:line="240" w:lineRule="auto"/>
        <w:ind w:right="1394"/>
        <w:jc w:val="left"/>
        <w:rPr>
          <w:b w:val="0"/>
          <w:bCs w:val="0"/>
        </w:rPr>
      </w:pPr>
      <w:bookmarkStart w:name="（4）期末公司已背书或贴现且在资产负债表日尚未到期的应收票据" w:id="216"/>
      <w:bookmarkEnd w:id="216"/>
      <w:r>
        <w:rPr>
          <w:b w:val="0"/>
          <w:bCs w:val="0"/>
        </w:rPr>
      </w:r>
      <w:r>
        <w:rPr/>
        <w:t>（</w:t>
      </w:r>
      <w:r>
        <w:rPr>
          <w:rFonts w:ascii="Times New Roman" w:hAnsi="Times New Roman" w:cs="Times New Roman" w:eastAsia="Times New Roman" w:hint="default"/>
        </w:rPr>
        <w:t>4</w:t>
      </w:r>
      <w:r>
        <w:rPr/>
        <w:t>）期末公司已背书或贴现且在资产负债表日尚未到期的应收票据</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0"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8"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53,203,438.59</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17,852,512.23</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71,055,950.82</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9"/>
          <w:szCs w:val="19"/>
        </w:rPr>
      </w:pPr>
    </w:p>
    <w:p>
      <w:pPr>
        <w:pStyle w:val="Heading3"/>
        <w:spacing w:line="240" w:lineRule="auto"/>
        <w:ind w:right="1394"/>
        <w:jc w:val="left"/>
        <w:rPr>
          <w:b w:val="0"/>
          <w:bCs w:val="0"/>
        </w:rPr>
      </w:pPr>
      <w:bookmarkStart w:name="（5）期末公司因出票人未履约而将其转应收账款的票据" w:id="217"/>
      <w:bookmarkEnd w:id="217"/>
      <w:r>
        <w:rPr>
          <w:b w:val="0"/>
          <w:bCs w:val="0"/>
        </w:rPr>
      </w:r>
      <w:r>
        <w:rPr/>
        <w:t>（</w:t>
      </w:r>
      <w:r>
        <w:rPr>
          <w:rFonts w:ascii="Times New Roman" w:hAnsi="Times New Roman" w:cs="Times New Roman" w:eastAsia="Times New Roman" w:hint="default"/>
        </w:rPr>
        <w:t>5</w:t>
      </w:r>
      <w:r>
        <w:rPr/>
        <w:t>）期末公司因出票人未履约而将其转应收账款的票据</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532" w:right="1394"/>
        <w:jc w:val="left"/>
      </w:pPr>
      <w:bookmarkStart w:name="期末没有因出票人未履约而将票据转为应收账款的票据。" w:id="218"/>
      <w:bookmarkEnd w:id="218"/>
      <w:r>
        <w:rPr/>
      </w:r>
      <w:r>
        <w:rPr/>
        <w:t>期末没有因出票人未履约而将票据转为应收账款的票据。</w:t>
      </w:r>
    </w:p>
    <w:p>
      <w:pPr>
        <w:spacing w:line="240" w:lineRule="auto" w:before="11"/>
        <w:rPr>
          <w:rFonts w:ascii="宋体" w:hAnsi="宋体" w:cs="宋体" w:eastAsia="宋体" w:hint="default"/>
          <w:sz w:val="26"/>
          <w:szCs w:val="26"/>
        </w:rPr>
      </w:pPr>
    </w:p>
    <w:p>
      <w:pPr>
        <w:pStyle w:val="Heading3"/>
        <w:spacing w:line="240" w:lineRule="auto" w:before="0"/>
        <w:ind w:right="1394"/>
        <w:jc w:val="left"/>
        <w:rPr>
          <w:b w:val="0"/>
          <w:bCs w:val="0"/>
        </w:rPr>
      </w:pPr>
      <w:bookmarkStart w:name="（6）本期实际核销的应收票据情况" w:id="219"/>
      <w:bookmarkEnd w:id="219"/>
      <w:r>
        <w:rPr>
          <w:b w:val="0"/>
          <w:bCs w:val="0"/>
        </w:rPr>
      </w:r>
      <w:r>
        <w:rPr/>
        <w:t>（</w:t>
      </w:r>
      <w:r>
        <w:rPr>
          <w:rFonts w:ascii="Times New Roman" w:hAnsi="Times New Roman" w:cs="Times New Roman" w:eastAsia="Times New Roman" w:hint="default"/>
        </w:rPr>
        <w:t>6</w:t>
      </w:r>
      <w:r>
        <w:rPr/>
        <w:t>）本期实际核销的应收票据情况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532" w:right="1394"/>
        <w:jc w:val="left"/>
      </w:pPr>
      <w:bookmarkStart w:name="本期没有实际核销的应收票据情况。" w:id="220"/>
      <w:bookmarkEnd w:id="220"/>
      <w:r>
        <w:rPr/>
      </w:r>
      <w:r>
        <w:rPr/>
        <w:t>本期没有实际核销的应收票据情况。</w:t>
      </w:r>
    </w:p>
    <w:p>
      <w:pPr>
        <w:spacing w:line="240" w:lineRule="auto" w:before="0"/>
        <w:rPr>
          <w:rFonts w:ascii="宋体" w:hAnsi="宋体" w:cs="宋体" w:eastAsia="宋体" w:hint="default"/>
          <w:sz w:val="18"/>
          <w:szCs w:val="18"/>
        </w:rPr>
      </w:pPr>
    </w:p>
    <w:p>
      <w:pPr>
        <w:pStyle w:val="Heading3"/>
        <w:spacing w:line="240" w:lineRule="auto" w:before="118"/>
        <w:ind w:right="1394"/>
        <w:jc w:val="left"/>
        <w:rPr>
          <w:b w:val="0"/>
          <w:bCs w:val="0"/>
        </w:rPr>
      </w:pPr>
      <w:bookmarkStart w:name="4、应收账款" w:id="221"/>
      <w:bookmarkEnd w:id="221"/>
      <w:r>
        <w:rPr>
          <w:b w:val="0"/>
          <w:bCs w:val="0"/>
        </w:rPr>
      </w:r>
      <w:r>
        <w:rPr>
          <w:rFonts w:ascii="Times New Roman" w:hAnsi="Times New Roman" w:cs="Times New Roman" w:eastAsia="Times New Roman" w:hint="default"/>
        </w:rPr>
        <w:t>4</w:t>
      </w:r>
      <w:r>
        <w:rPr/>
        <w:t>、应收账款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before="0"/>
        <w:ind w:right="1394"/>
        <w:jc w:val="left"/>
        <w:rPr>
          <w:b w:val="0"/>
          <w:bCs w:val="0"/>
        </w:rPr>
      </w:pPr>
      <w:bookmarkStart w:name="（1）应收账款分类披露" w:id="222"/>
      <w:bookmarkEnd w:id="222"/>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35"/>
        <w:gridCol w:w="763"/>
        <w:gridCol w:w="762"/>
        <w:gridCol w:w="762"/>
        <w:gridCol w:w="763"/>
        <w:gridCol w:w="789"/>
        <w:gridCol w:w="776"/>
        <w:gridCol w:w="797"/>
        <w:gridCol w:w="798"/>
        <w:gridCol w:w="790"/>
        <w:gridCol w:w="932"/>
      </w:tblGrid>
      <w:tr>
        <w:trPr>
          <w:trHeight w:val="402"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5"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9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7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2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86" w:right="105"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9" w:type="dxa"/>
            <w:vMerge/>
            <w:tcBorders>
              <w:left w:val="single" w:sz="4" w:space="0" w:color="000000"/>
              <w:bottom w:val="single" w:sz="4" w:space="0" w:color="000000"/>
              <w:right w:val="single" w:sz="4" w:space="0" w:color="000000"/>
            </w:tcBorders>
            <w:shd w:val="clear" w:color="auto" w:fill="D2D2D2"/>
          </w:tcPr>
          <w:p>
            <w:pP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2"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7"/>
              <w:jc w:val="righ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160"/>
              <w:jc w:val="left"/>
              <w:rPr>
                <w:rFonts w:ascii="宋体" w:hAnsi="宋体" w:cs="宋体" w:eastAsia="宋体" w:hint="default"/>
                <w:sz w:val="18"/>
                <w:szCs w:val="18"/>
              </w:rPr>
            </w:pPr>
            <w:r>
              <w:rPr>
                <w:rFonts w:ascii="宋体" w:hAnsi="宋体" w:cs="宋体" w:eastAsia="宋体" w:hint="default"/>
                <w:sz w:val="18"/>
                <w:szCs w:val="18"/>
              </w:rPr>
              <w:t>按单项计提坏账准 备的应收账款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8" w:right="0"/>
              <w:jc w:val="left"/>
              <w:rPr>
                <w:rFonts w:ascii="Times New Roman" w:hAnsi="Times New Roman" w:cs="Times New Roman" w:eastAsia="Times New Roman" w:hint="default"/>
                <w:sz w:val="18"/>
                <w:szCs w:val="18"/>
              </w:rPr>
            </w:pPr>
            <w:r>
              <w:rPr>
                <w:rFonts w:ascii="Times New Roman"/>
                <w:sz w:val="18"/>
              </w:rPr>
              <w:t>13,657,4</w:t>
            </w:r>
          </w:p>
          <w:p>
            <w:pPr>
              <w:pStyle w:val="TableParagraph"/>
              <w:spacing w:line="240" w:lineRule="auto" w:before="105"/>
              <w:ind w:left="324" w:right="0"/>
              <w:jc w:val="left"/>
              <w:rPr>
                <w:rFonts w:ascii="Times New Roman" w:hAnsi="Times New Roman" w:cs="Times New Roman" w:eastAsia="Times New Roman" w:hint="default"/>
                <w:sz w:val="18"/>
                <w:szCs w:val="18"/>
              </w:rPr>
            </w:pPr>
            <w:r>
              <w:rPr>
                <w:rFonts w:ascii="Times New Roman"/>
                <w:sz w:val="18"/>
              </w:rPr>
              <w:t>56.15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0.85%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8" w:right="0"/>
              <w:jc w:val="left"/>
              <w:rPr>
                <w:rFonts w:ascii="Times New Roman" w:hAnsi="Times New Roman" w:cs="Times New Roman" w:eastAsia="Times New Roman" w:hint="default"/>
                <w:sz w:val="18"/>
                <w:szCs w:val="18"/>
              </w:rPr>
            </w:pPr>
            <w:r>
              <w:rPr>
                <w:rFonts w:ascii="Times New Roman"/>
                <w:sz w:val="18"/>
              </w:rPr>
              <w:t>13,657,4</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56.15</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89"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24,263,31</w:t>
            </w:r>
          </w:p>
          <w:p>
            <w:pPr>
              <w:pStyle w:val="TableParagraph"/>
              <w:spacing w:line="240" w:lineRule="auto" w:before="105"/>
              <w:ind w:left="428" w:right="0"/>
              <w:jc w:val="left"/>
              <w:rPr>
                <w:rFonts w:ascii="Times New Roman" w:hAnsi="Times New Roman" w:cs="Times New Roman" w:eastAsia="Times New Roman" w:hint="default"/>
                <w:sz w:val="18"/>
                <w:szCs w:val="18"/>
              </w:rPr>
            </w:pPr>
            <w:r>
              <w:rPr>
                <w:rFonts w:ascii="Times New Roman"/>
                <w:sz w:val="18"/>
              </w:rPr>
              <w:t>4.24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7,775,384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32.05%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16,487,930.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09</w:t>
            </w:r>
          </w:p>
        </w:tc>
      </w:tr>
      <w:tr>
        <w:trPr>
          <w:trHeight w:val="402"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60"/>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13,657,4</w:t>
            </w:r>
          </w:p>
          <w:p>
            <w:pPr>
              <w:pStyle w:val="TableParagraph"/>
              <w:spacing w:line="240" w:lineRule="auto" w:before="105"/>
              <w:ind w:left="324" w:right="0"/>
              <w:jc w:val="left"/>
              <w:rPr>
                <w:rFonts w:ascii="Times New Roman" w:hAnsi="Times New Roman" w:cs="Times New Roman" w:eastAsia="Times New Roman" w:hint="default"/>
                <w:sz w:val="18"/>
                <w:szCs w:val="18"/>
              </w:rPr>
            </w:pPr>
            <w:r>
              <w:rPr>
                <w:rFonts w:ascii="Times New Roman"/>
                <w:sz w:val="18"/>
              </w:rPr>
              <w:t>56.15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0.85%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13,657,4</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56.15</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89"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24,263,31</w:t>
            </w:r>
          </w:p>
          <w:p>
            <w:pPr>
              <w:pStyle w:val="TableParagraph"/>
              <w:spacing w:line="240" w:lineRule="auto" w:before="105"/>
              <w:ind w:left="428" w:right="0"/>
              <w:jc w:val="left"/>
              <w:rPr>
                <w:rFonts w:ascii="Times New Roman" w:hAnsi="Times New Roman" w:cs="Times New Roman" w:eastAsia="Times New Roman" w:hint="default"/>
                <w:sz w:val="18"/>
                <w:szCs w:val="18"/>
              </w:rPr>
            </w:pPr>
            <w:r>
              <w:rPr>
                <w:rFonts w:ascii="Times New Roman"/>
                <w:sz w:val="18"/>
              </w:rPr>
              <w:t>4.24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7,775,384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32.05%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16,487,930.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09</w:t>
            </w: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60"/>
              <w:jc w:val="left"/>
              <w:rPr>
                <w:rFonts w:ascii="宋体" w:hAnsi="宋体" w:cs="宋体" w:eastAsia="宋体" w:hint="default"/>
                <w:sz w:val="18"/>
                <w:szCs w:val="18"/>
              </w:rPr>
            </w:pPr>
            <w:r>
              <w:rPr>
                <w:rFonts w:ascii="宋体" w:hAnsi="宋体" w:cs="宋体" w:eastAsia="宋体" w:hint="default"/>
                <w:sz w:val="18"/>
                <w:szCs w:val="18"/>
              </w:rPr>
              <w:t>按组合计提坏账准 备的应收账款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1,598,25</w:t>
            </w:r>
          </w:p>
          <w:p>
            <w:pPr>
              <w:pStyle w:val="TableParagraph"/>
              <w:spacing w:line="240" w:lineRule="auto" w:before="105"/>
              <w:ind w:left="98" w:right="0"/>
              <w:jc w:val="left"/>
              <w:rPr>
                <w:rFonts w:ascii="Times New Roman" w:hAnsi="Times New Roman" w:cs="Times New Roman" w:eastAsia="Times New Roman" w:hint="default"/>
                <w:sz w:val="18"/>
                <w:szCs w:val="18"/>
              </w:rPr>
            </w:pPr>
            <w:r>
              <w:rPr>
                <w:rFonts w:ascii="Times New Roman"/>
                <w:sz w:val="18"/>
              </w:rPr>
              <w:t>7,603.81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99.15%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80,186,2</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69.57</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5.02%</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sz w:val="18"/>
              </w:rPr>
              <w:t>1,518,071</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,334.24</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1,372,396</w:t>
            </w:r>
          </w:p>
          <w:p>
            <w:pPr>
              <w:pStyle w:val="TableParagraph"/>
              <w:spacing w:line="240" w:lineRule="auto" w:before="105"/>
              <w:ind w:left="181" w:right="0"/>
              <w:jc w:val="center"/>
              <w:rPr>
                <w:rFonts w:ascii="Times New Roman" w:hAnsi="Times New Roman" w:cs="Times New Roman" w:eastAsia="Times New Roman" w:hint="default"/>
                <w:sz w:val="18"/>
                <w:szCs w:val="18"/>
              </w:rPr>
            </w:pPr>
            <w:r>
              <w:rPr>
                <w:rFonts w:ascii="Times New Roman"/>
                <w:sz w:val="18"/>
              </w:rPr>
              <w:t>,492.73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98.26%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77,338,45</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7.78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5.64%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1,295,058,0</w:t>
            </w:r>
          </w:p>
          <w:p>
            <w:pPr>
              <w:pStyle w:val="TableParagraph"/>
              <w:spacing w:line="240" w:lineRule="auto" w:before="105"/>
              <w:ind w:left="493" w:right="0"/>
              <w:jc w:val="left"/>
              <w:rPr>
                <w:rFonts w:ascii="Times New Roman" w:hAnsi="Times New Roman" w:cs="Times New Roman" w:eastAsia="Times New Roman" w:hint="default"/>
                <w:sz w:val="18"/>
                <w:szCs w:val="18"/>
              </w:rPr>
            </w:pPr>
            <w:r>
              <w:rPr>
                <w:rFonts w:ascii="Times New Roman"/>
                <w:sz w:val="18"/>
              </w:rPr>
              <w:t>34.95</w:t>
            </w:r>
          </w:p>
        </w:tc>
      </w:tr>
      <w:tr>
        <w:trPr>
          <w:trHeight w:val="400"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878" w:footer="978" w:top="1100" w:bottom="1160" w:left="1020" w:right="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1635"/>
        <w:gridCol w:w="763"/>
        <w:gridCol w:w="762"/>
        <w:gridCol w:w="762"/>
        <w:gridCol w:w="763"/>
        <w:gridCol w:w="789"/>
        <w:gridCol w:w="776"/>
        <w:gridCol w:w="797"/>
        <w:gridCol w:w="798"/>
        <w:gridCol w:w="790"/>
        <w:gridCol w:w="932"/>
      </w:tblGrid>
      <w:tr>
        <w:trPr>
          <w:trHeight w:val="1026"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1,598,25</w:t>
            </w:r>
          </w:p>
          <w:p>
            <w:pPr>
              <w:pStyle w:val="TableParagraph"/>
              <w:spacing w:line="240" w:lineRule="auto" w:before="105"/>
              <w:ind w:left="98" w:right="0"/>
              <w:jc w:val="left"/>
              <w:rPr>
                <w:rFonts w:ascii="Times New Roman" w:hAnsi="Times New Roman" w:cs="Times New Roman" w:eastAsia="Times New Roman" w:hint="default"/>
                <w:sz w:val="18"/>
                <w:szCs w:val="18"/>
              </w:rPr>
            </w:pPr>
            <w:r>
              <w:rPr>
                <w:rFonts w:ascii="Times New Roman"/>
                <w:sz w:val="18"/>
              </w:rPr>
              <w:t>7,603.81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55" w:right="0"/>
              <w:jc w:val="center"/>
              <w:rPr>
                <w:rFonts w:ascii="Times New Roman" w:hAnsi="Times New Roman" w:cs="Times New Roman" w:eastAsia="Times New Roman" w:hint="default"/>
                <w:sz w:val="18"/>
                <w:szCs w:val="18"/>
              </w:rPr>
            </w:pPr>
            <w:r>
              <w:rPr>
                <w:rFonts w:ascii="Times New Roman"/>
                <w:sz w:val="18"/>
              </w:rPr>
              <w:t>99.15%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80,186,2</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69.57</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5.02%</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sz w:val="18"/>
              </w:rPr>
              <w:t>1,518,071</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,334.24</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1,372,396</w:t>
            </w:r>
          </w:p>
          <w:p>
            <w:pPr>
              <w:pStyle w:val="TableParagraph"/>
              <w:spacing w:line="240" w:lineRule="auto" w:before="105"/>
              <w:ind w:left="181" w:right="0"/>
              <w:jc w:val="center"/>
              <w:rPr>
                <w:rFonts w:ascii="Times New Roman" w:hAnsi="Times New Roman" w:cs="Times New Roman" w:eastAsia="Times New Roman" w:hint="default"/>
                <w:sz w:val="18"/>
                <w:szCs w:val="18"/>
              </w:rPr>
            </w:pPr>
            <w:r>
              <w:rPr>
                <w:rFonts w:ascii="Times New Roman"/>
                <w:sz w:val="18"/>
              </w:rPr>
              <w:t>,492.73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98.26%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77,338,45</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7.78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5.64%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1,295,058,0</w:t>
            </w:r>
          </w:p>
          <w:p>
            <w:pPr>
              <w:pStyle w:val="TableParagraph"/>
              <w:spacing w:line="240" w:lineRule="auto" w:before="105"/>
              <w:ind w:left="493" w:right="0"/>
              <w:jc w:val="left"/>
              <w:rPr>
                <w:rFonts w:ascii="Times New Roman" w:hAnsi="Times New Roman" w:cs="Times New Roman" w:eastAsia="Times New Roman" w:hint="default"/>
                <w:sz w:val="18"/>
                <w:szCs w:val="18"/>
              </w:rPr>
            </w:pPr>
            <w:r>
              <w:rPr>
                <w:rFonts w:ascii="Times New Roman"/>
                <w:sz w:val="18"/>
              </w:rPr>
              <w:t>34.95</w:t>
            </w:r>
          </w:p>
        </w:tc>
      </w:tr>
      <w:tr>
        <w:trPr>
          <w:trHeight w:val="714"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8" w:right="0"/>
              <w:jc w:val="left"/>
              <w:rPr>
                <w:rFonts w:ascii="Times New Roman" w:hAnsi="Times New Roman" w:cs="Times New Roman" w:eastAsia="Times New Roman" w:hint="default"/>
                <w:sz w:val="18"/>
                <w:szCs w:val="18"/>
              </w:rPr>
            </w:pPr>
            <w:r>
              <w:rPr>
                <w:rFonts w:ascii="Times New Roman"/>
                <w:sz w:val="18"/>
              </w:rPr>
              <w:t>1,611,91</w:t>
            </w:r>
          </w:p>
          <w:p>
            <w:pPr>
              <w:pStyle w:val="TableParagraph"/>
              <w:spacing w:line="240" w:lineRule="auto" w:before="105"/>
              <w:ind w:left="98" w:right="0"/>
              <w:jc w:val="left"/>
              <w:rPr>
                <w:rFonts w:ascii="Times New Roman" w:hAnsi="Times New Roman" w:cs="Times New Roman" w:eastAsia="Times New Roman" w:hint="default"/>
                <w:sz w:val="18"/>
                <w:szCs w:val="18"/>
              </w:rPr>
            </w:pPr>
            <w:r>
              <w:rPr>
                <w:rFonts w:ascii="Times New Roman"/>
                <w:sz w:val="18"/>
              </w:rPr>
              <w:t>5,059.96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8" w:right="0"/>
              <w:jc w:val="left"/>
              <w:rPr>
                <w:rFonts w:ascii="Times New Roman" w:hAnsi="Times New Roman" w:cs="Times New Roman" w:eastAsia="Times New Roman" w:hint="default"/>
                <w:sz w:val="18"/>
                <w:szCs w:val="18"/>
              </w:rPr>
            </w:pPr>
            <w:r>
              <w:rPr>
                <w:rFonts w:ascii="Times New Roman"/>
                <w:sz w:val="18"/>
              </w:rPr>
              <w:t>93,843,7</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25.72</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5.56%</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5" w:right="0"/>
              <w:jc w:val="center"/>
              <w:rPr>
                <w:rFonts w:ascii="Times New Roman" w:hAnsi="Times New Roman" w:cs="Times New Roman" w:eastAsia="Times New Roman" w:hint="default"/>
                <w:sz w:val="18"/>
                <w:szCs w:val="18"/>
              </w:rPr>
            </w:pPr>
            <w:r>
              <w:rPr>
                <w:rFonts w:ascii="Times New Roman"/>
                <w:sz w:val="18"/>
              </w:rPr>
              <w:t>1,518,071</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,334.24</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1,396,659</w:t>
            </w:r>
          </w:p>
          <w:p>
            <w:pPr>
              <w:pStyle w:val="TableParagraph"/>
              <w:spacing w:line="240" w:lineRule="auto" w:before="105"/>
              <w:ind w:left="181" w:right="0"/>
              <w:jc w:val="center"/>
              <w:rPr>
                <w:rFonts w:ascii="Times New Roman" w:hAnsi="Times New Roman" w:cs="Times New Roman" w:eastAsia="Times New Roman" w:hint="default"/>
                <w:sz w:val="18"/>
                <w:szCs w:val="18"/>
              </w:rPr>
            </w:pPr>
            <w:r>
              <w:rPr>
                <w:rFonts w:ascii="Times New Roman"/>
                <w:sz w:val="18"/>
              </w:rPr>
              <w:t>,806.97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6" w:right="0"/>
              <w:jc w:val="left"/>
              <w:rPr>
                <w:rFonts w:ascii="Times New Roman" w:hAnsi="Times New Roman" w:cs="Times New Roman" w:eastAsia="Times New Roman" w:hint="default"/>
                <w:sz w:val="18"/>
                <w:szCs w:val="18"/>
              </w:rPr>
            </w:pPr>
            <w:r>
              <w:rPr>
                <w:rFonts w:ascii="Times New Roman"/>
                <w:sz w:val="18"/>
              </w:rPr>
              <w:t>85,113,84</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1.93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4" w:right="0"/>
              <w:jc w:val="left"/>
              <w:rPr>
                <w:rFonts w:ascii="Times New Roman" w:hAnsi="Times New Roman" w:cs="Times New Roman" w:eastAsia="Times New Roman" w:hint="default"/>
                <w:sz w:val="18"/>
                <w:szCs w:val="18"/>
              </w:rPr>
            </w:pPr>
            <w:r>
              <w:rPr>
                <w:rFonts w:ascii="Times New Roman"/>
                <w:sz w:val="18"/>
              </w:rPr>
              <w:t>1,311,545,9</w:t>
            </w:r>
          </w:p>
          <w:p>
            <w:pPr>
              <w:pStyle w:val="TableParagraph"/>
              <w:spacing w:line="240" w:lineRule="auto" w:before="105"/>
              <w:ind w:left="493" w:right="0"/>
              <w:jc w:val="left"/>
              <w:rPr>
                <w:rFonts w:ascii="Times New Roman" w:hAnsi="Times New Roman" w:cs="Times New Roman" w:eastAsia="Times New Roman" w:hint="default"/>
                <w:sz w:val="18"/>
                <w:szCs w:val="18"/>
              </w:rPr>
            </w:pPr>
            <w:r>
              <w:rPr>
                <w:rFonts w:ascii="Times New Roman"/>
                <w:sz w:val="18"/>
              </w:rPr>
              <w:t>65.04</w:t>
            </w:r>
          </w:p>
        </w:tc>
      </w:tr>
    </w:tbl>
    <w:p>
      <w:pPr>
        <w:pStyle w:val="BodyText"/>
        <w:spacing w:line="240" w:lineRule="auto" w:before="50"/>
        <w:ind w:right="1394"/>
        <w:jc w:val="left"/>
      </w:pPr>
      <w:r>
        <w:rPr/>
        <w:t>按单项计提坏账准备：单项金额不重大但单独计提坏账准备的应收账款</w:t>
      </w:r>
    </w:p>
    <w:p>
      <w:pPr>
        <w:pStyle w:val="BodyText"/>
        <w:spacing w:line="240" w:lineRule="auto" w:before="117"/>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3"/>
        <w:gridCol w:w="1915"/>
        <w:gridCol w:w="1914"/>
        <w:gridCol w:w="1914"/>
        <w:gridCol w:w="1914"/>
      </w:tblGrid>
      <w:tr>
        <w:trPr>
          <w:trHeight w:val="402"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单位一</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7,738,064.15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7,738,064.15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单位二</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1,872,000.00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1,872,000.00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单位三</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772,500.00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772,500.00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单位四</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641,000.00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641,000.00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单位五</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615,000.00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615,000.00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其他单位</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2,018,892.00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2,018,892.00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13,657,456.15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13,657,456.15</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0"/>
        <w:ind w:right="1394"/>
        <w:jc w:val="left"/>
      </w:pPr>
      <w:r>
        <w:rPr/>
        <w:t>按组合计提坏账准备：账龄组合计提坏账准备的应收账款</w:t>
      </w:r>
    </w:p>
    <w:p>
      <w:pPr>
        <w:pStyle w:val="BodyText"/>
        <w:spacing w:line="240" w:lineRule="auto" w:before="117"/>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17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1,130,388,048.16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5,651,942.05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0.50%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269,729,634.12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13,486,481.71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115,561,071.24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11,556,107.12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38,678,465.87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11,603,539.76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12,024,370.99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6,012,185.50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50.00%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31,876,013.43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31,876,013.43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1,598,257,603.81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80,186,269.57</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51"/>
        <w:ind w:right="8774"/>
        <w:jc w:val="left"/>
      </w:pPr>
      <w:r>
        <w:rPr/>
        <w:t>确定该组合依据的说明： 详见本附注五、</w:t>
      </w:r>
      <w:r>
        <w:rPr>
          <w:rFonts w:ascii="Times New Roman" w:hAnsi="Times New Roman" w:cs="Times New Roman" w:eastAsia="Times New Roman" w:hint="default"/>
        </w:rPr>
        <w:t>10 </w:t>
      </w:r>
      <w:r>
        <w:rPr>
          <w:rFonts w:ascii="Times New Roman" w:hAnsi="Times New Roman" w:cs="Times New Roman" w:eastAsia="Times New Roman" w:hint="default"/>
          <w:spacing w:val="1"/>
        </w:rPr>
        <w:t> </w:t>
      </w:r>
      <w:r>
        <w:rPr/>
        <w:t>。</w:t>
      </w:r>
    </w:p>
    <w:p>
      <w:pPr>
        <w:pStyle w:val="BodyText"/>
        <w:spacing w:line="240" w:lineRule="auto" w:before="6"/>
        <w:ind w:right="1394"/>
        <w:jc w:val="left"/>
      </w:pPr>
      <w:r>
        <w:rPr/>
        <w:t>如是按照预期信用损失一般模型计提应收账款坏账准备，请参照其他应收款的披露方式披露坏账准备的相关信息：</w:t>
      </w:r>
    </w:p>
    <w:p>
      <w:pPr>
        <w:pStyle w:val="BodyText"/>
        <w:spacing w:line="338" w:lineRule="auto" w:before="117"/>
        <w:ind w:right="9557"/>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 按账龄披露</w:t>
      </w:r>
    </w:p>
    <w:p>
      <w:pPr>
        <w:pStyle w:val="BodyText"/>
        <w:spacing w:line="240" w:lineRule="auto" w:before="43"/>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84"/>
        <w:gridCol w:w="4784"/>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1,131,104,577.31</w:t>
            </w:r>
          </w:p>
        </w:tc>
      </w:tr>
      <w:tr>
        <w:trPr>
          <w:trHeight w:val="400"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279,137,169.12</w:t>
            </w:r>
          </w:p>
        </w:tc>
      </w:tr>
    </w:tbl>
    <w:p>
      <w:pPr>
        <w:spacing w:after="0" w:line="240" w:lineRule="auto"/>
        <w:jc w:val="right"/>
        <w:rPr>
          <w:rFonts w:ascii="Times New Roman" w:hAnsi="Times New Roman" w:cs="Times New Roman" w:eastAsia="Times New Roman" w:hint="default"/>
          <w:sz w:val="18"/>
          <w:szCs w:val="18"/>
        </w:rPr>
        <w:sectPr>
          <w:footerReference w:type="default" r:id="rId49"/>
          <w:pgSz w:w="11910" w:h="16840"/>
          <w:pgMar w:footer="978" w:header="878" w:top="1100" w:bottom="1160" w:left="1020" w:right="0"/>
          <w:pgNumType w:start="15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4784"/>
        <w:gridCol w:w="4784"/>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116,333,471.24</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85,339,842.29</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3895"/>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39,842,905.87</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895"/>
              <w:jc w:val="righ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12,997,062.99</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3895"/>
              <w:jc w:val="righ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32,499,873.43</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1,611,915,059.96</w:t>
            </w:r>
          </w:p>
        </w:tc>
      </w:tr>
    </w:tbl>
    <w:p>
      <w:pPr>
        <w:spacing w:line="240" w:lineRule="auto" w:before="3"/>
        <w:rPr>
          <w:rFonts w:ascii="宋体" w:hAnsi="宋体" w:cs="宋体" w:eastAsia="宋体" w:hint="default"/>
          <w:sz w:val="19"/>
          <w:szCs w:val="19"/>
        </w:rPr>
      </w:pPr>
    </w:p>
    <w:p>
      <w:pPr>
        <w:pStyle w:val="Heading3"/>
        <w:spacing w:line="240" w:lineRule="auto"/>
        <w:ind w:right="1394"/>
        <w:jc w:val="left"/>
        <w:rPr>
          <w:b w:val="0"/>
          <w:bCs w:val="0"/>
        </w:rPr>
      </w:pPr>
      <w:bookmarkStart w:name="（2）本期计提、收回或转回的坏账准备情况" w:id="223"/>
      <w:bookmarkEnd w:id="223"/>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1394"/>
        <w:jc w:val="left"/>
      </w:pPr>
      <w:r>
        <w:rPr/>
        <w:t>本期计提坏账准备情况：</w:t>
      </w:r>
    </w:p>
    <w:p>
      <w:pPr>
        <w:pStyle w:val="BodyText"/>
        <w:spacing w:line="240" w:lineRule="auto" w:before="117"/>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6"/>
        <w:gridCol w:w="1594"/>
        <w:gridCol w:w="1594"/>
        <w:gridCol w:w="1594"/>
        <w:gridCol w:w="1594"/>
        <w:gridCol w:w="1594"/>
      </w:tblGrid>
      <w:tr>
        <w:trPr>
          <w:trHeight w:val="402" w:hRule="exact"/>
        </w:trPr>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78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2" w:right="0"/>
              <w:jc w:val="left"/>
              <w:rPr>
                <w:rFonts w:ascii="宋体" w:hAnsi="宋体" w:cs="宋体" w:eastAsia="宋体" w:hint="default"/>
                <w:sz w:val="18"/>
                <w:szCs w:val="18"/>
              </w:rPr>
            </w:pP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1"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85,113,841.93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15" w:right="0"/>
              <w:jc w:val="left"/>
              <w:rPr>
                <w:rFonts w:ascii="Times New Roman" w:hAnsi="Times New Roman" w:cs="Times New Roman" w:eastAsia="Times New Roman" w:hint="default"/>
                <w:sz w:val="18"/>
                <w:szCs w:val="18"/>
              </w:rPr>
            </w:pPr>
            <w:r>
              <w:rPr>
                <w:rFonts w:ascii="Times New Roman"/>
                <w:sz w:val="18"/>
              </w:rPr>
              <w:t>8,517,199.98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-225,000.00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12,316.19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93,843,725.72</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85,113,841.93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5" w:right="0"/>
              <w:jc w:val="left"/>
              <w:rPr>
                <w:rFonts w:ascii="Times New Roman" w:hAnsi="Times New Roman" w:cs="Times New Roman" w:eastAsia="Times New Roman" w:hint="default"/>
                <w:sz w:val="18"/>
                <w:szCs w:val="18"/>
              </w:rPr>
            </w:pPr>
            <w:r>
              <w:rPr>
                <w:rFonts w:ascii="Times New Roman"/>
                <w:sz w:val="18"/>
              </w:rPr>
              <w:t>8,517,199.98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12,316.19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93,843,725.72</w:t>
            </w:r>
          </w:p>
        </w:tc>
      </w:tr>
    </w:tbl>
    <w:p>
      <w:pPr>
        <w:pStyle w:val="BodyText"/>
        <w:spacing w:line="240" w:lineRule="auto" w:before="50"/>
        <w:ind w:right="1394"/>
        <w:jc w:val="left"/>
      </w:pPr>
      <w:r>
        <w:rPr/>
        <w:t>其中本期坏账准备收回或转回金额重要的：</w:t>
      </w:r>
    </w:p>
    <w:p>
      <w:pPr>
        <w:pStyle w:val="BodyText"/>
        <w:spacing w:line="240" w:lineRule="auto" w:before="117"/>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收回或转回金额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单位一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225,000.00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银行转账收回</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225,000.00</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pStyle w:val="Heading3"/>
        <w:spacing w:line="240" w:lineRule="auto"/>
        <w:ind w:right="1394"/>
        <w:jc w:val="left"/>
        <w:rPr>
          <w:b w:val="0"/>
          <w:bCs w:val="0"/>
        </w:rPr>
      </w:pPr>
      <w:bookmarkStart w:name="（3）本期实际核销的应收账款情况" w:id="224"/>
      <w:bookmarkEnd w:id="224"/>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84"/>
        <w:gridCol w:w="4784"/>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12,316.19</w:t>
            </w:r>
          </w:p>
        </w:tc>
      </w:tr>
    </w:tbl>
    <w:p>
      <w:pPr>
        <w:pStyle w:val="BodyText"/>
        <w:spacing w:line="240" w:lineRule="auto" w:before="49"/>
        <w:ind w:right="1394"/>
        <w:jc w:val="left"/>
      </w:pPr>
      <w:r>
        <w:rPr/>
        <w:t>其中重要的应收账款核销情况：</w:t>
      </w:r>
    </w:p>
    <w:p>
      <w:pPr>
        <w:pStyle w:val="BodyText"/>
        <w:spacing w:line="240" w:lineRule="auto" w:before="117"/>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6"/>
        <w:gridCol w:w="1594"/>
        <w:gridCol w:w="1594"/>
        <w:gridCol w:w="1594"/>
        <w:gridCol w:w="1594"/>
        <w:gridCol w:w="1594"/>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应收账款性质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履行的核销程序</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22" w:right="70" w:hanging="452"/>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22" w:right="0"/>
              <w:jc w:val="left"/>
              <w:rPr>
                <w:rFonts w:ascii="宋体" w:hAnsi="宋体" w:cs="宋体" w:eastAsia="宋体" w:hint="default"/>
                <w:sz w:val="18"/>
                <w:szCs w:val="18"/>
              </w:rPr>
            </w:pPr>
            <w:r>
              <w:rPr>
                <w:rFonts w:ascii="宋体" w:hAnsi="宋体" w:cs="宋体" w:eastAsia="宋体" w:hint="default"/>
                <w:sz w:val="18"/>
                <w:szCs w:val="18"/>
              </w:rPr>
              <w:t>单位一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货款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12,316.19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公司内部审批</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12,316.19</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ind w:right="1394"/>
        <w:jc w:val="left"/>
        <w:rPr>
          <w:b w:val="0"/>
          <w:bCs w:val="0"/>
        </w:rPr>
      </w:pPr>
      <w:bookmarkStart w:name="（4）按欠款方归集的期末余额前五名的应收账款情况" w:id="225"/>
      <w:bookmarkEnd w:id="225"/>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after="0" w:line="240" w:lineRule="auto"/>
        <w:jc w:val="right"/>
        <w:sectPr>
          <w:pgSz w:w="11910" w:h="16840"/>
          <w:pgMar w:header="878" w:footer="978" w:top="1100" w:bottom="1160" w:left="1020" w:right="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1981"/>
        <w:gridCol w:w="2529"/>
        <w:gridCol w:w="2529"/>
        <w:gridCol w:w="2528"/>
      </w:tblGrid>
      <w:tr>
        <w:trPr>
          <w:trHeight w:val="714" w:hRule="exact"/>
        </w:trPr>
        <w:tc>
          <w:tcPr>
            <w:tcW w:w="19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625"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40"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78" w:right="87" w:hanging="989"/>
              <w:jc w:val="left"/>
              <w:rPr>
                <w:rFonts w:ascii="宋体" w:hAnsi="宋体" w:cs="宋体" w:eastAsia="宋体" w:hint="default"/>
                <w:sz w:val="18"/>
                <w:szCs w:val="18"/>
              </w:rPr>
            </w:pPr>
            <w:r>
              <w:rPr>
                <w:rFonts w:ascii="宋体" w:hAnsi="宋体" w:cs="宋体" w:eastAsia="宋体" w:hint="default"/>
                <w:sz w:val="18"/>
                <w:szCs w:val="18"/>
              </w:rPr>
              <w:t>占应收账款期末余额合计数的 比例</w:t>
            </w:r>
          </w:p>
        </w:tc>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38"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客户一</w:t>
            </w:r>
          </w:p>
        </w:tc>
        <w:tc>
          <w:tcPr>
            <w:tcW w:w="2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241,400,174.02</w:t>
            </w:r>
          </w:p>
        </w:tc>
        <w:tc>
          <w:tcPr>
            <w:tcW w:w="2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14.98%</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16,133,117.11</w:t>
            </w:r>
          </w:p>
        </w:tc>
      </w:tr>
      <w:tr>
        <w:trPr>
          <w:trHeight w:val="402" w:hRule="exact"/>
        </w:trPr>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客户二</w:t>
            </w:r>
          </w:p>
        </w:tc>
        <w:tc>
          <w:tcPr>
            <w:tcW w:w="2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139,941,143.22</w:t>
            </w:r>
          </w:p>
        </w:tc>
        <w:tc>
          <w:tcPr>
            <w:tcW w:w="2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8.68%</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3,883,273.02</w:t>
            </w:r>
          </w:p>
        </w:tc>
      </w:tr>
      <w:tr>
        <w:trPr>
          <w:trHeight w:val="402" w:hRule="exact"/>
        </w:trPr>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客户三</w:t>
            </w:r>
          </w:p>
        </w:tc>
        <w:tc>
          <w:tcPr>
            <w:tcW w:w="2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45,880,000.00</w:t>
            </w:r>
          </w:p>
        </w:tc>
        <w:tc>
          <w:tcPr>
            <w:tcW w:w="2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2.85%</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229,400.00</w:t>
            </w:r>
          </w:p>
        </w:tc>
      </w:tr>
      <w:tr>
        <w:trPr>
          <w:trHeight w:val="402" w:hRule="exact"/>
        </w:trPr>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客户四</w:t>
            </w:r>
          </w:p>
        </w:tc>
        <w:tc>
          <w:tcPr>
            <w:tcW w:w="2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45,607,511.00</w:t>
            </w:r>
          </w:p>
        </w:tc>
        <w:tc>
          <w:tcPr>
            <w:tcW w:w="2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2.83%</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228,037.56</w:t>
            </w:r>
          </w:p>
        </w:tc>
      </w:tr>
      <w:tr>
        <w:trPr>
          <w:trHeight w:val="402" w:hRule="exact"/>
        </w:trPr>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客户五</w:t>
            </w:r>
          </w:p>
        </w:tc>
        <w:tc>
          <w:tcPr>
            <w:tcW w:w="2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32,741,424.80</w:t>
            </w:r>
          </w:p>
        </w:tc>
        <w:tc>
          <w:tcPr>
            <w:tcW w:w="2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2.03%</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163,707.12</w:t>
            </w:r>
          </w:p>
        </w:tc>
      </w:tr>
      <w:tr>
        <w:trPr>
          <w:trHeight w:val="402" w:hRule="exact"/>
        </w:trPr>
        <w:tc>
          <w:tcPr>
            <w:tcW w:w="19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505,570,253.04</w:t>
            </w:r>
          </w:p>
        </w:tc>
        <w:tc>
          <w:tcPr>
            <w:tcW w:w="2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31.37%</w:t>
            </w:r>
          </w:p>
        </w:tc>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4"/>
        <w:rPr>
          <w:rFonts w:ascii="宋体" w:hAnsi="宋体" w:cs="宋体" w:eastAsia="宋体" w:hint="default"/>
          <w:sz w:val="19"/>
          <w:szCs w:val="19"/>
        </w:rPr>
      </w:pPr>
    </w:p>
    <w:p>
      <w:pPr>
        <w:pStyle w:val="Heading3"/>
        <w:spacing w:line="240" w:lineRule="auto"/>
        <w:ind w:right="1394"/>
        <w:jc w:val="left"/>
        <w:rPr>
          <w:b w:val="0"/>
          <w:bCs w:val="0"/>
        </w:rPr>
      </w:pPr>
      <w:bookmarkStart w:name="（5）因金融资产转移而终止确认的应收账款" w:id="226"/>
      <w:bookmarkEnd w:id="226"/>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394"/>
        <w:jc w:val="left"/>
      </w:pPr>
      <w:r>
        <w:rPr/>
        <w:t>本期没有因金融资产转移而终止确认的应收账款。</w:t>
      </w:r>
    </w:p>
    <w:p>
      <w:pPr>
        <w:spacing w:line="240" w:lineRule="auto" w:before="11"/>
        <w:rPr>
          <w:rFonts w:ascii="宋体" w:hAnsi="宋体" w:cs="宋体" w:eastAsia="宋体" w:hint="default"/>
          <w:sz w:val="26"/>
          <w:szCs w:val="26"/>
        </w:rPr>
      </w:pPr>
    </w:p>
    <w:p>
      <w:pPr>
        <w:pStyle w:val="Heading3"/>
        <w:spacing w:line="240" w:lineRule="auto" w:before="0"/>
        <w:ind w:right="1394"/>
        <w:jc w:val="left"/>
        <w:rPr>
          <w:b w:val="0"/>
          <w:bCs w:val="0"/>
        </w:rPr>
      </w:pPr>
      <w:bookmarkStart w:name="（6）转移应收账款且继续涉入形成的资产、负债金额" w:id="227"/>
      <w:bookmarkEnd w:id="227"/>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394"/>
        <w:jc w:val="left"/>
      </w:pPr>
      <w:r>
        <w:rPr/>
        <w:t>本期没有转移应收账款且继续涉入形成的资产、负债。</w:t>
      </w:r>
    </w:p>
    <w:p>
      <w:pPr>
        <w:spacing w:line="240" w:lineRule="auto" w:before="0"/>
        <w:rPr>
          <w:rFonts w:ascii="宋体" w:hAnsi="宋体" w:cs="宋体" w:eastAsia="宋体" w:hint="default"/>
          <w:sz w:val="18"/>
          <w:szCs w:val="18"/>
        </w:rPr>
      </w:pPr>
    </w:p>
    <w:p>
      <w:pPr>
        <w:pStyle w:val="Heading3"/>
        <w:spacing w:line="240" w:lineRule="auto" w:before="118"/>
        <w:ind w:right="1394"/>
        <w:jc w:val="left"/>
        <w:rPr>
          <w:b w:val="0"/>
          <w:bCs w:val="0"/>
        </w:rPr>
      </w:pPr>
      <w:bookmarkStart w:name="5、应收款项融资" w:id="228"/>
      <w:bookmarkEnd w:id="228"/>
      <w:r>
        <w:rPr>
          <w:b w:val="0"/>
          <w:bCs w:val="0"/>
        </w:rPr>
      </w:r>
      <w:r>
        <w:rPr>
          <w:rFonts w:ascii="Times New Roman" w:hAnsi="Times New Roman" w:cs="Times New Roman" w:eastAsia="Times New Roman" w:hint="default"/>
        </w:rPr>
        <w:t>5</w:t>
      </w:r>
      <w:r>
        <w:rPr/>
        <w:t>、应收款项融资</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407"/>
              <w:jc w:val="right"/>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84,575,000.00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407"/>
              <w:jc w:val="righ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84,575,000.00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4"/>
        <w:rPr>
          <w:rFonts w:ascii="宋体" w:hAnsi="宋体" w:cs="宋体" w:eastAsia="宋体" w:hint="default"/>
          <w:b/>
          <w:bCs/>
          <w:sz w:val="19"/>
          <w:szCs w:val="19"/>
        </w:rPr>
      </w:pPr>
    </w:p>
    <w:p>
      <w:pPr>
        <w:pStyle w:val="Heading3"/>
        <w:spacing w:line="240" w:lineRule="auto"/>
        <w:ind w:right="1394"/>
        <w:jc w:val="left"/>
        <w:rPr>
          <w:b w:val="0"/>
          <w:bCs w:val="0"/>
        </w:rPr>
      </w:pPr>
      <w:bookmarkStart w:name="6、预付款项" w:id="229"/>
      <w:bookmarkEnd w:id="229"/>
      <w:r>
        <w:rPr>
          <w:b w:val="0"/>
          <w:bCs w:val="0"/>
        </w:rPr>
      </w:r>
      <w:r>
        <w:rPr>
          <w:rFonts w:ascii="Times New Roman" w:hAnsi="Times New Roman" w:cs="Times New Roman" w:eastAsia="Times New Roman" w:hint="default"/>
        </w:rPr>
        <w:t>6</w:t>
      </w:r>
      <w:r>
        <w:rPr/>
        <w:t>、预付款项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before="0"/>
        <w:ind w:right="1394"/>
        <w:jc w:val="left"/>
        <w:rPr>
          <w:b w:val="0"/>
          <w:bCs w:val="0"/>
        </w:rPr>
      </w:pPr>
      <w:bookmarkStart w:name="（1）预付款项按账龄列示" w:id="230"/>
      <w:bookmarkEnd w:id="230"/>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5"/>
        <w:gridCol w:w="1914"/>
        <w:gridCol w:w="1914"/>
        <w:gridCol w:w="1915"/>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65,211,985.70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85.59%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64,506,137.40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94.15%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8,184,653.98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3,145,003.62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4.59%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2,007,241.72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353,160.69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0.52%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790,846.29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503,577.91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0.74%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76,194,727.69</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68,507,879.62</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ind w:right="1394"/>
        <w:jc w:val="left"/>
        <w:rPr>
          <w:b w:val="0"/>
          <w:bCs w:val="0"/>
        </w:rPr>
      </w:pPr>
      <w:bookmarkStart w:name="（2）按预付对象归集的期末余额前五名的预付款情况" w:id="231"/>
      <w:bookmarkEnd w:id="231"/>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472" w:right="1394"/>
        <w:jc w:val="left"/>
      </w:pPr>
      <w:r>
        <w:rPr/>
        <w:t>按预付对象集中度归集的期末余额前五名预付款项汇总金额</w:t>
      </w:r>
      <w:r>
        <w:rPr>
          <w:rFonts w:ascii="Times New Roman" w:hAnsi="Times New Roman" w:cs="Times New Roman" w:eastAsia="Times New Roman" w:hint="default"/>
        </w:rPr>
        <w:t>21,350,373.85</w:t>
      </w:r>
      <w:r>
        <w:rPr/>
        <w:t>元，占预付款项期末余额合计数的比例为</w:t>
      </w:r>
    </w:p>
    <w:p>
      <w:pPr>
        <w:pStyle w:val="BodyText"/>
        <w:spacing w:line="240" w:lineRule="auto" w:before="63"/>
        <w:ind w:right="1394"/>
        <w:jc w:val="left"/>
      </w:pPr>
      <w:r>
        <w:rPr>
          <w:rFonts w:ascii="Times New Roman" w:hAnsi="Times New Roman" w:cs="Times New Roman" w:eastAsia="Times New Roman" w:hint="default"/>
        </w:rPr>
        <w:t>28.02%</w:t>
      </w:r>
      <w:r>
        <w:rPr/>
        <w:t>。</w:t>
      </w:r>
    </w:p>
    <w:p>
      <w:pPr>
        <w:spacing w:after="0" w:line="240" w:lineRule="auto"/>
        <w:jc w:val="left"/>
        <w:sectPr>
          <w:pgSz w:w="11910" w:h="16840"/>
          <w:pgMar w:header="878" w:footer="978" w:top="1100" w:bottom="1160" w:left="1020" w:right="0"/>
        </w:sectPr>
      </w:pPr>
    </w:p>
    <w:p>
      <w:pPr>
        <w:spacing w:line="240" w:lineRule="auto" w:before="12"/>
        <w:rPr>
          <w:rFonts w:ascii="宋体" w:hAnsi="宋体" w:cs="宋体" w:eastAsia="宋体" w:hint="default"/>
          <w:sz w:val="20"/>
          <w:szCs w:val="20"/>
        </w:rPr>
      </w:pPr>
    </w:p>
    <w:p>
      <w:pPr>
        <w:pStyle w:val="Heading3"/>
        <w:spacing w:line="240" w:lineRule="auto"/>
        <w:ind w:right="1394"/>
        <w:jc w:val="left"/>
        <w:rPr>
          <w:b w:val="0"/>
          <w:bCs w:val="0"/>
        </w:rPr>
      </w:pPr>
      <w:bookmarkStart w:name="7、其他应收款" w:id="232"/>
      <w:bookmarkEnd w:id="232"/>
      <w:r>
        <w:rPr>
          <w:b w:val="0"/>
          <w:bCs w:val="0"/>
        </w:rPr>
      </w:r>
      <w:r>
        <w:rPr>
          <w:rFonts w:ascii="Times New Roman" w:hAnsi="Times New Roman" w:cs="Times New Roman" w:eastAsia="Times New Roman" w:hint="default"/>
        </w:rPr>
        <w:t>7</w:t>
      </w:r>
      <w:r>
        <w:rPr/>
        <w:t>、其他应收款</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106,349,909.02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109,691,755.92</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106,349,909.02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109,691,755.92</w:t>
            </w:r>
          </w:p>
        </w:tc>
      </w:tr>
    </w:tbl>
    <w:p>
      <w:pPr>
        <w:spacing w:line="240" w:lineRule="auto" w:before="4"/>
        <w:rPr>
          <w:rFonts w:ascii="宋体" w:hAnsi="宋体" w:cs="宋体" w:eastAsia="宋体" w:hint="default"/>
          <w:sz w:val="19"/>
          <w:szCs w:val="19"/>
        </w:rPr>
      </w:pPr>
    </w:p>
    <w:p>
      <w:pPr>
        <w:pStyle w:val="Heading3"/>
        <w:spacing w:line="240" w:lineRule="auto"/>
        <w:ind w:right="1394"/>
        <w:jc w:val="left"/>
        <w:rPr>
          <w:b w:val="0"/>
          <w:bCs w:val="0"/>
        </w:rPr>
      </w:pPr>
      <w:bookmarkStart w:name="（1）其他应收款" w:id="233"/>
      <w:bookmarkEnd w:id="233"/>
      <w:r>
        <w:rPr>
          <w:b w:val="0"/>
          <w:bCs w:val="0"/>
        </w:rPr>
      </w:r>
      <w:r>
        <w:rPr/>
        <w:t>（</w:t>
      </w:r>
      <w:r>
        <w:rPr>
          <w:rFonts w:ascii="Times New Roman" w:hAnsi="Times New Roman" w:cs="Times New Roman" w:eastAsia="Times New Roman" w:hint="default"/>
        </w:rPr>
        <w:t>1</w:t>
      </w:r>
      <w:r>
        <w:rPr/>
        <w:t>）其他应收款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before="0"/>
        <w:ind w:right="1394"/>
        <w:jc w:val="left"/>
        <w:rPr>
          <w:b w:val="0"/>
          <w:bCs w:val="0"/>
        </w:rPr>
      </w:pPr>
      <w:bookmarkStart w:name="1）其他应收款按款项性质分类情况" w:id="234"/>
      <w:bookmarkEnd w:id="234"/>
      <w:r>
        <w:rPr>
          <w:b w:val="0"/>
          <w:bCs w:val="0"/>
        </w:rPr>
      </w:r>
      <w:r>
        <w:rPr>
          <w:rFonts w:ascii="Times New Roman" w:hAnsi="Times New Roman" w:cs="Times New Roman" w:eastAsia="Times New Roman" w:hint="default"/>
        </w:rPr>
        <w:t>1</w:t>
      </w:r>
      <w:r>
        <w:rPr/>
        <w:t>）其他应收款按款项性质分类情况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38,720,790.98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38,201,091.86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68,846,525.55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56,683,355.93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职工借款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17,801,011.70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33,742,338.75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125,368,328.23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128,626,786.54</w:t>
            </w:r>
          </w:p>
        </w:tc>
      </w:tr>
    </w:tbl>
    <w:p>
      <w:pPr>
        <w:spacing w:line="240" w:lineRule="auto" w:before="3"/>
        <w:rPr>
          <w:rFonts w:ascii="宋体" w:hAnsi="宋体" w:cs="宋体" w:eastAsia="宋体" w:hint="default"/>
          <w:sz w:val="19"/>
          <w:szCs w:val="19"/>
        </w:rPr>
      </w:pPr>
    </w:p>
    <w:p>
      <w:pPr>
        <w:pStyle w:val="Heading3"/>
        <w:spacing w:line="240" w:lineRule="auto"/>
        <w:ind w:right="1394"/>
        <w:jc w:val="left"/>
        <w:rPr>
          <w:b w:val="0"/>
          <w:bCs w:val="0"/>
        </w:rPr>
      </w:pPr>
      <w:bookmarkStart w:name="2）坏账准备计提情况" w:id="235"/>
      <w:bookmarkEnd w:id="235"/>
      <w:r>
        <w:rPr>
          <w:b w:val="0"/>
          <w:bCs w:val="0"/>
        </w:rPr>
      </w:r>
      <w:r>
        <w:rPr>
          <w:rFonts w:ascii="Times New Roman" w:hAnsi="Times New Roman" w:cs="Times New Roman" w:eastAsia="Times New Roman" w:hint="default"/>
        </w:rPr>
        <w:t>2</w:t>
      </w:r>
      <w:r>
        <w:rPr/>
        <w:t>）坏账准备计提情况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6"/>
        <w:gridCol w:w="1650"/>
        <w:gridCol w:w="2099"/>
        <w:gridCol w:w="2099"/>
        <w:gridCol w:w="1804"/>
      </w:tblGrid>
      <w:tr>
        <w:trPr>
          <w:trHeight w:val="402" w:hRule="exact"/>
        </w:trPr>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1"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2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4" w:right="0"/>
              <w:jc w:val="left"/>
              <w:rPr>
                <w:rFonts w:ascii="宋体" w:hAnsi="宋体" w:cs="宋体" w:eastAsia="宋体" w:hint="default"/>
                <w:sz w:val="18"/>
                <w:szCs w:val="18"/>
              </w:rPr>
            </w:pPr>
            <w:r>
              <w:rPr>
                <w:rFonts w:ascii="宋体" w:hAnsi="宋体" w:cs="宋体" w:eastAsia="宋体" w:hint="default"/>
                <w:sz w:val="18"/>
                <w:szCs w:val="18"/>
              </w:rPr>
              <w:t>第三阶段</w:t>
            </w:r>
          </w:p>
        </w:tc>
        <w:tc>
          <w:tcPr>
            <w:tcW w:w="18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4" w:hRule="exact"/>
        </w:trPr>
        <w:tc>
          <w:tcPr>
            <w:tcW w:w="1916" w:type="dxa"/>
            <w:vMerge/>
            <w:tcBorders>
              <w:left w:val="single" w:sz="4" w:space="0" w:color="000000"/>
              <w:bottom w:val="single" w:sz="4" w:space="0" w:color="000000"/>
              <w:right w:val="single" w:sz="4" w:space="0" w:color="000000"/>
            </w:tcBorders>
            <w:shd w:val="clear" w:color="auto" w:fill="D2D2D2"/>
          </w:tcPr>
          <w:p>
            <w:pPr/>
          </w:p>
        </w:tc>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550" w:right="54" w:hanging="495"/>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个月预期信 用损失</w:t>
            </w:r>
          </w:p>
        </w:tc>
        <w:tc>
          <w:tcPr>
            <w:tcW w:w="2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11,990,581.83</w:t>
            </w:r>
          </w:p>
        </w:tc>
        <w:tc>
          <w:tcPr>
            <w:tcW w:w="2099" w:type="dxa"/>
            <w:tcBorders>
              <w:top w:val="single" w:sz="4" w:space="0" w:color="000000"/>
              <w:left w:val="single" w:sz="4" w:space="0" w:color="000000"/>
              <w:bottom w:val="single" w:sz="4" w:space="0" w:color="000000"/>
              <w:right w:val="single" w:sz="4" w:space="0" w:color="000000"/>
            </w:tcBorders>
          </w:tcPr>
          <w:p>
            <w:pPr/>
          </w:p>
        </w:tc>
        <w:tc>
          <w:tcPr>
            <w:tcW w:w="2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6,944,448.79</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18,935,030.62</w:t>
            </w:r>
          </w:p>
        </w:tc>
      </w:tr>
      <w:tr>
        <w:trPr>
          <w:trHeight w:val="71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22" w:right="36"/>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日余额在 本期</w:t>
            </w:r>
          </w:p>
        </w:tc>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转入第二阶段</w:t>
            </w:r>
          </w:p>
        </w:tc>
        <w:tc>
          <w:tcPr>
            <w:tcW w:w="1650" w:type="dxa"/>
            <w:tcBorders>
              <w:top w:val="single" w:sz="4" w:space="0" w:color="000000"/>
              <w:left w:val="single" w:sz="4" w:space="0" w:color="000000"/>
              <w:bottom w:val="single" w:sz="4" w:space="0" w:color="000000"/>
              <w:right w:val="single" w:sz="4" w:space="0" w:color="000000"/>
            </w:tcBorders>
          </w:tcPr>
          <w:p>
            <w:pPr/>
          </w:p>
        </w:tc>
        <w:tc>
          <w:tcPr>
            <w:tcW w:w="2099" w:type="dxa"/>
            <w:tcBorders>
              <w:top w:val="single" w:sz="4" w:space="0" w:color="000000"/>
              <w:left w:val="single" w:sz="4" w:space="0" w:color="000000"/>
              <w:bottom w:val="single" w:sz="4" w:space="0" w:color="000000"/>
              <w:right w:val="single" w:sz="4" w:space="0" w:color="000000"/>
            </w:tcBorders>
          </w:tcPr>
          <w:p>
            <w:pPr/>
          </w:p>
        </w:tc>
        <w:tc>
          <w:tcPr>
            <w:tcW w:w="2099" w:type="dxa"/>
            <w:tcBorders>
              <w:top w:val="single" w:sz="4" w:space="0" w:color="000000"/>
              <w:left w:val="single" w:sz="4" w:space="0" w:color="000000"/>
              <w:bottom w:val="single" w:sz="4" w:space="0" w:color="000000"/>
              <w:right w:val="single" w:sz="4" w:space="0" w:color="000000"/>
            </w:tcBorders>
          </w:tcPr>
          <w:p>
            <w:pPr/>
          </w:p>
        </w:tc>
        <w:tc>
          <w:tcPr>
            <w:tcW w:w="180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转入第三阶段</w:t>
            </w:r>
          </w:p>
        </w:tc>
        <w:tc>
          <w:tcPr>
            <w:tcW w:w="1650" w:type="dxa"/>
            <w:tcBorders>
              <w:top w:val="single" w:sz="4" w:space="0" w:color="000000"/>
              <w:left w:val="single" w:sz="4" w:space="0" w:color="000000"/>
              <w:bottom w:val="single" w:sz="4" w:space="0" w:color="000000"/>
              <w:right w:val="single" w:sz="4" w:space="0" w:color="000000"/>
            </w:tcBorders>
          </w:tcPr>
          <w:p>
            <w:pPr/>
          </w:p>
        </w:tc>
        <w:tc>
          <w:tcPr>
            <w:tcW w:w="2099" w:type="dxa"/>
            <w:tcBorders>
              <w:top w:val="single" w:sz="4" w:space="0" w:color="000000"/>
              <w:left w:val="single" w:sz="4" w:space="0" w:color="000000"/>
              <w:bottom w:val="single" w:sz="4" w:space="0" w:color="000000"/>
              <w:right w:val="single" w:sz="4" w:space="0" w:color="000000"/>
            </w:tcBorders>
          </w:tcPr>
          <w:p>
            <w:pPr/>
          </w:p>
        </w:tc>
        <w:tc>
          <w:tcPr>
            <w:tcW w:w="2099" w:type="dxa"/>
            <w:tcBorders>
              <w:top w:val="single" w:sz="4" w:space="0" w:color="000000"/>
              <w:left w:val="single" w:sz="4" w:space="0" w:color="000000"/>
              <w:bottom w:val="single" w:sz="4" w:space="0" w:color="000000"/>
              <w:right w:val="single" w:sz="4" w:space="0" w:color="000000"/>
            </w:tcBorders>
          </w:tcPr>
          <w:p>
            <w:pPr/>
          </w:p>
        </w:tc>
        <w:tc>
          <w:tcPr>
            <w:tcW w:w="180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转回第二阶段</w:t>
            </w:r>
          </w:p>
        </w:tc>
        <w:tc>
          <w:tcPr>
            <w:tcW w:w="1650" w:type="dxa"/>
            <w:tcBorders>
              <w:top w:val="single" w:sz="4" w:space="0" w:color="000000"/>
              <w:left w:val="single" w:sz="4" w:space="0" w:color="000000"/>
              <w:bottom w:val="single" w:sz="4" w:space="0" w:color="000000"/>
              <w:right w:val="single" w:sz="4" w:space="0" w:color="000000"/>
            </w:tcBorders>
          </w:tcPr>
          <w:p>
            <w:pPr/>
          </w:p>
        </w:tc>
        <w:tc>
          <w:tcPr>
            <w:tcW w:w="2099" w:type="dxa"/>
            <w:tcBorders>
              <w:top w:val="single" w:sz="4" w:space="0" w:color="000000"/>
              <w:left w:val="single" w:sz="4" w:space="0" w:color="000000"/>
              <w:bottom w:val="single" w:sz="4" w:space="0" w:color="000000"/>
              <w:right w:val="single" w:sz="4" w:space="0" w:color="000000"/>
            </w:tcBorders>
          </w:tcPr>
          <w:p>
            <w:pPr/>
          </w:p>
        </w:tc>
        <w:tc>
          <w:tcPr>
            <w:tcW w:w="2099" w:type="dxa"/>
            <w:tcBorders>
              <w:top w:val="single" w:sz="4" w:space="0" w:color="000000"/>
              <w:left w:val="single" w:sz="4" w:space="0" w:color="000000"/>
              <w:bottom w:val="single" w:sz="4" w:space="0" w:color="000000"/>
              <w:right w:val="single" w:sz="4" w:space="0" w:color="000000"/>
            </w:tcBorders>
          </w:tcPr>
          <w:p>
            <w:pPr/>
          </w:p>
        </w:tc>
        <w:tc>
          <w:tcPr>
            <w:tcW w:w="180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转回第一阶段</w:t>
            </w:r>
          </w:p>
        </w:tc>
        <w:tc>
          <w:tcPr>
            <w:tcW w:w="1650" w:type="dxa"/>
            <w:tcBorders>
              <w:top w:val="single" w:sz="4" w:space="0" w:color="000000"/>
              <w:left w:val="single" w:sz="4" w:space="0" w:color="000000"/>
              <w:bottom w:val="single" w:sz="4" w:space="0" w:color="000000"/>
              <w:right w:val="single" w:sz="4" w:space="0" w:color="000000"/>
            </w:tcBorders>
          </w:tcPr>
          <w:p>
            <w:pPr/>
          </w:p>
        </w:tc>
        <w:tc>
          <w:tcPr>
            <w:tcW w:w="2099" w:type="dxa"/>
            <w:tcBorders>
              <w:top w:val="single" w:sz="4" w:space="0" w:color="000000"/>
              <w:left w:val="single" w:sz="4" w:space="0" w:color="000000"/>
              <w:bottom w:val="single" w:sz="4" w:space="0" w:color="000000"/>
              <w:right w:val="single" w:sz="4" w:space="0" w:color="000000"/>
            </w:tcBorders>
          </w:tcPr>
          <w:p>
            <w:pPr/>
          </w:p>
        </w:tc>
        <w:tc>
          <w:tcPr>
            <w:tcW w:w="2099" w:type="dxa"/>
            <w:tcBorders>
              <w:top w:val="single" w:sz="4" w:space="0" w:color="000000"/>
              <w:left w:val="single" w:sz="4" w:space="0" w:color="000000"/>
              <w:bottom w:val="single" w:sz="4" w:space="0" w:color="000000"/>
              <w:right w:val="single" w:sz="4" w:space="0" w:color="000000"/>
            </w:tcBorders>
          </w:tcPr>
          <w:p>
            <w:pPr/>
          </w:p>
        </w:tc>
        <w:tc>
          <w:tcPr>
            <w:tcW w:w="180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434,466.36</w:t>
            </w:r>
          </w:p>
        </w:tc>
        <w:tc>
          <w:tcPr>
            <w:tcW w:w="2099" w:type="dxa"/>
            <w:tcBorders>
              <w:top w:val="single" w:sz="4" w:space="0" w:color="000000"/>
              <w:left w:val="single" w:sz="4" w:space="0" w:color="000000"/>
              <w:bottom w:val="single" w:sz="4" w:space="0" w:color="000000"/>
              <w:right w:val="single" w:sz="4" w:space="0" w:color="000000"/>
            </w:tcBorders>
          </w:tcPr>
          <w:p>
            <w:pPr/>
          </w:p>
        </w:tc>
        <w:tc>
          <w:tcPr>
            <w:tcW w:w="2099" w:type="dxa"/>
            <w:tcBorders>
              <w:top w:val="single" w:sz="4" w:space="0" w:color="000000"/>
              <w:left w:val="single" w:sz="4" w:space="0" w:color="000000"/>
              <w:bottom w:val="single" w:sz="4" w:space="0" w:color="000000"/>
              <w:right w:val="single" w:sz="4" w:space="0" w:color="000000"/>
            </w:tcBorders>
          </w:tcPr>
          <w:p>
            <w:pP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434,466.36</w:t>
            </w:r>
          </w:p>
        </w:tc>
      </w:tr>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本期转回</w:t>
            </w:r>
          </w:p>
        </w:tc>
        <w:tc>
          <w:tcPr>
            <w:tcW w:w="1650" w:type="dxa"/>
            <w:tcBorders>
              <w:top w:val="single" w:sz="4" w:space="0" w:color="000000"/>
              <w:left w:val="single" w:sz="4" w:space="0" w:color="000000"/>
              <w:bottom w:val="single" w:sz="4" w:space="0" w:color="000000"/>
              <w:right w:val="single" w:sz="4" w:space="0" w:color="000000"/>
            </w:tcBorders>
          </w:tcPr>
          <w:p>
            <w:pPr/>
          </w:p>
        </w:tc>
        <w:tc>
          <w:tcPr>
            <w:tcW w:w="2099" w:type="dxa"/>
            <w:tcBorders>
              <w:top w:val="single" w:sz="4" w:space="0" w:color="000000"/>
              <w:left w:val="single" w:sz="4" w:space="0" w:color="000000"/>
              <w:bottom w:val="single" w:sz="4" w:space="0" w:color="000000"/>
              <w:right w:val="single" w:sz="4" w:space="0" w:color="000000"/>
            </w:tcBorders>
          </w:tcPr>
          <w:p>
            <w:pPr/>
          </w:p>
        </w:tc>
        <w:tc>
          <w:tcPr>
            <w:tcW w:w="2099" w:type="dxa"/>
            <w:tcBorders>
              <w:top w:val="single" w:sz="4" w:space="0" w:color="000000"/>
              <w:left w:val="single" w:sz="4" w:space="0" w:color="000000"/>
              <w:bottom w:val="single" w:sz="4" w:space="0" w:color="000000"/>
              <w:right w:val="single" w:sz="4" w:space="0" w:color="000000"/>
            </w:tcBorders>
          </w:tcPr>
          <w:p>
            <w:pPr/>
          </w:p>
        </w:tc>
        <w:tc>
          <w:tcPr>
            <w:tcW w:w="180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本期转销</w:t>
            </w:r>
          </w:p>
        </w:tc>
        <w:tc>
          <w:tcPr>
            <w:tcW w:w="1650" w:type="dxa"/>
            <w:tcBorders>
              <w:top w:val="single" w:sz="4" w:space="0" w:color="000000"/>
              <w:left w:val="single" w:sz="4" w:space="0" w:color="000000"/>
              <w:bottom w:val="single" w:sz="4" w:space="0" w:color="000000"/>
              <w:right w:val="single" w:sz="4" w:space="0" w:color="000000"/>
            </w:tcBorders>
          </w:tcPr>
          <w:p>
            <w:pPr/>
          </w:p>
        </w:tc>
        <w:tc>
          <w:tcPr>
            <w:tcW w:w="2099" w:type="dxa"/>
            <w:tcBorders>
              <w:top w:val="single" w:sz="4" w:space="0" w:color="000000"/>
              <w:left w:val="single" w:sz="4" w:space="0" w:color="000000"/>
              <w:bottom w:val="single" w:sz="4" w:space="0" w:color="000000"/>
              <w:right w:val="single" w:sz="4" w:space="0" w:color="000000"/>
            </w:tcBorders>
          </w:tcPr>
          <w:p>
            <w:pPr/>
          </w:p>
        </w:tc>
        <w:tc>
          <w:tcPr>
            <w:tcW w:w="2099" w:type="dxa"/>
            <w:tcBorders>
              <w:top w:val="single" w:sz="4" w:space="0" w:color="000000"/>
              <w:left w:val="single" w:sz="4" w:space="0" w:color="000000"/>
              <w:bottom w:val="single" w:sz="4" w:space="0" w:color="000000"/>
              <w:right w:val="single" w:sz="4" w:space="0" w:color="000000"/>
            </w:tcBorders>
          </w:tcPr>
          <w:p>
            <w:pPr/>
          </w:p>
        </w:tc>
        <w:tc>
          <w:tcPr>
            <w:tcW w:w="180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本期核销</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351,077.77</w:t>
            </w:r>
          </w:p>
        </w:tc>
        <w:tc>
          <w:tcPr>
            <w:tcW w:w="2099" w:type="dxa"/>
            <w:tcBorders>
              <w:top w:val="single" w:sz="4" w:space="0" w:color="000000"/>
              <w:left w:val="single" w:sz="4" w:space="0" w:color="000000"/>
              <w:bottom w:val="single" w:sz="4" w:space="0" w:color="000000"/>
              <w:right w:val="single" w:sz="4" w:space="0" w:color="000000"/>
            </w:tcBorders>
          </w:tcPr>
          <w:p>
            <w:pPr/>
          </w:p>
        </w:tc>
        <w:tc>
          <w:tcPr>
            <w:tcW w:w="2099" w:type="dxa"/>
            <w:tcBorders>
              <w:top w:val="single" w:sz="4" w:space="0" w:color="000000"/>
              <w:left w:val="single" w:sz="4" w:space="0" w:color="000000"/>
              <w:bottom w:val="single" w:sz="4" w:space="0" w:color="000000"/>
              <w:right w:val="single" w:sz="4" w:space="0" w:color="000000"/>
            </w:tcBorders>
          </w:tcPr>
          <w:p>
            <w:pP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351,077.77</w:t>
            </w:r>
          </w:p>
        </w:tc>
      </w:tr>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650" w:type="dxa"/>
            <w:tcBorders>
              <w:top w:val="single" w:sz="4" w:space="0" w:color="000000"/>
              <w:left w:val="single" w:sz="4" w:space="0" w:color="000000"/>
              <w:bottom w:val="single" w:sz="4" w:space="0" w:color="000000"/>
              <w:right w:val="single" w:sz="4" w:space="0" w:color="000000"/>
            </w:tcBorders>
          </w:tcPr>
          <w:p>
            <w:pPr/>
          </w:p>
        </w:tc>
        <w:tc>
          <w:tcPr>
            <w:tcW w:w="2099" w:type="dxa"/>
            <w:tcBorders>
              <w:top w:val="single" w:sz="4" w:space="0" w:color="000000"/>
              <w:left w:val="single" w:sz="4" w:space="0" w:color="000000"/>
              <w:bottom w:val="single" w:sz="4" w:space="0" w:color="000000"/>
              <w:right w:val="single" w:sz="4" w:space="0" w:color="000000"/>
            </w:tcBorders>
          </w:tcPr>
          <w:p>
            <w:pPr/>
          </w:p>
        </w:tc>
        <w:tc>
          <w:tcPr>
            <w:tcW w:w="2099" w:type="dxa"/>
            <w:tcBorders>
              <w:top w:val="single" w:sz="4" w:space="0" w:color="000000"/>
              <w:left w:val="single" w:sz="4" w:space="0" w:color="000000"/>
              <w:bottom w:val="single" w:sz="4" w:space="0" w:color="000000"/>
              <w:right w:val="single" w:sz="4" w:space="0" w:color="000000"/>
            </w:tcBorders>
          </w:tcPr>
          <w:p>
            <w:pPr/>
          </w:p>
        </w:tc>
        <w:tc>
          <w:tcPr>
            <w:tcW w:w="180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12,073,970.42</w:t>
            </w:r>
          </w:p>
        </w:tc>
        <w:tc>
          <w:tcPr>
            <w:tcW w:w="2099" w:type="dxa"/>
            <w:tcBorders>
              <w:top w:val="single" w:sz="4" w:space="0" w:color="000000"/>
              <w:left w:val="single" w:sz="4" w:space="0" w:color="000000"/>
              <w:bottom w:val="single" w:sz="4" w:space="0" w:color="000000"/>
              <w:right w:val="single" w:sz="4" w:space="0" w:color="000000"/>
            </w:tcBorders>
          </w:tcPr>
          <w:p>
            <w:pPr/>
          </w:p>
        </w:tc>
        <w:tc>
          <w:tcPr>
            <w:tcW w:w="2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6,944,448.79</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19,018,419.21</w:t>
            </w:r>
          </w:p>
        </w:tc>
      </w:tr>
    </w:tbl>
    <w:p>
      <w:pPr>
        <w:pStyle w:val="BodyText"/>
        <w:spacing w:line="240" w:lineRule="auto" w:before="51"/>
        <w:ind w:right="1394"/>
        <w:jc w:val="left"/>
      </w:pPr>
      <w:r>
        <w:rPr/>
        <w:t>按账龄披露</w:t>
      </w:r>
    </w:p>
    <w:p>
      <w:pPr>
        <w:spacing w:after="0" w:line="240" w:lineRule="auto"/>
        <w:jc w:val="left"/>
        <w:sectPr>
          <w:pgSz w:w="11910" w:h="16840"/>
          <w:pgMar w:header="878" w:footer="978" w:top="1100" w:bottom="1160" w:left="1020" w:right="0"/>
        </w:sectPr>
      </w:pPr>
    </w:p>
    <w:p>
      <w:pPr>
        <w:spacing w:line="240" w:lineRule="auto" w:before="1"/>
        <w:rPr>
          <w:rFonts w:ascii="宋体" w:hAnsi="宋体" w:cs="宋体" w:eastAsia="宋体" w:hint="default"/>
          <w:sz w:val="22"/>
          <w:szCs w:val="22"/>
        </w:rPr>
      </w:pPr>
    </w:p>
    <w:p>
      <w:pPr>
        <w:pStyle w:val="BodyText"/>
        <w:spacing w:line="240" w:lineRule="auto" w:before="44"/>
        <w:ind w:left="0" w:right="113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84"/>
        <w:gridCol w:w="4784"/>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80,758,351.89</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14,452,950.43</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7,495,055.77</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22,661,970.14</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4,460,601.25</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4,794,150.41</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13,407,218.48</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125,368,328.23</w:t>
            </w:r>
          </w:p>
        </w:tc>
      </w:tr>
    </w:tbl>
    <w:p>
      <w:pPr>
        <w:spacing w:line="240" w:lineRule="auto" w:before="5"/>
        <w:rPr>
          <w:rFonts w:ascii="宋体" w:hAnsi="宋体" w:cs="宋体" w:eastAsia="宋体" w:hint="default"/>
          <w:sz w:val="19"/>
          <w:szCs w:val="19"/>
        </w:rPr>
      </w:pPr>
    </w:p>
    <w:p>
      <w:pPr>
        <w:pStyle w:val="Heading3"/>
        <w:spacing w:line="240" w:lineRule="auto"/>
        <w:ind w:right="1394"/>
        <w:jc w:val="left"/>
        <w:rPr>
          <w:b w:val="0"/>
          <w:bCs w:val="0"/>
        </w:rPr>
      </w:pPr>
      <w:bookmarkStart w:name="3）本期计提、收回或转回的坏账准备情况" w:id="236"/>
      <w:bookmarkEnd w:id="236"/>
      <w:r>
        <w:rPr>
          <w:b w:val="0"/>
          <w:bCs w:val="0"/>
        </w:rPr>
      </w:r>
      <w:r>
        <w:rPr>
          <w:rFonts w:ascii="Times New Roman" w:hAnsi="Times New Roman" w:cs="Times New Roman" w:eastAsia="Times New Roman" w:hint="default"/>
        </w:rPr>
        <w:t>3</w:t>
      </w:r>
      <w:r>
        <w:rPr/>
        <w:t>）本期计提、收回或转回的坏账准备情况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394"/>
        <w:jc w:val="left"/>
      </w:pPr>
      <w:r>
        <w:rPr/>
        <w:t>本期计提坏账准备情况：</w:t>
      </w:r>
    </w:p>
    <w:p>
      <w:pPr>
        <w:pStyle w:val="BodyText"/>
        <w:spacing w:line="240" w:lineRule="auto" w:before="117"/>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720"/>
        <w:gridCol w:w="1342"/>
        <w:gridCol w:w="1458"/>
        <w:gridCol w:w="1592"/>
        <w:gridCol w:w="1335"/>
        <w:gridCol w:w="2121"/>
      </w:tblGrid>
      <w:tr>
        <w:trPr>
          <w:trHeight w:val="402" w:hRule="exact"/>
        </w:trPr>
        <w:tc>
          <w:tcPr>
            <w:tcW w:w="172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4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0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38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212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69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720" w:type="dxa"/>
            <w:vMerge/>
            <w:tcBorders>
              <w:left w:val="single" w:sz="4" w:space="0" w:color="000000"/>
              <w:bottom w:val="single" w:sz="4" w:space="0" w:color="000000"/>
              <w:right w:val="single" w:sz="4" w:space="0" w:color="000000"/>
            </w:tcBorders>
            <w:shd w:val="clear" w:color="auto" w:fill="D2D2D2"/>
          </w:tcPr>
          <w:p>
            <w:pPr/>
          </w:p>
        </w:tc>
        <w:tc>
          <w:tcPr>
            <w:tcW w:w="1342" w:type="dxa"/>
            <w:vMerge/>
            <w:tcBorders>
              <w:left w:val="single" w:sz="4" w:space="0" w:color="000000"/>
              <w:bottom w:val="single" w:sz="4" w:space="0" w:color="000000"/>
              <w:right w:val="single" w:sz="4" w:space="0" w:color="000000"/>
            </w:tcBorders>
            <w:shd w:val="clear" w:color="auto" w:fill="D2D2D2"/>
          </w:tcPr>
          <w:p>
            <w:pPr/>
          </w:p>
        </w:tc>
        <w:tc>
          <w:tcPr>
            <w:tcW w:w="14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1"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1" w:right="0"/>
              <w:jc w:val="left"/>
              <w:rPr>
                <w:rFonts w:ascii="宋体" w:hAnsi="宋体" w:cs="宋体" w:eastAsia="宋体" w:hint="default"/>
                <w:sz w:val="18"/>
                <w:szCs w:val="18"/>
              </w:rPr>
            </w:pPr>
            <w:r>
              <w:rPr>
                <w:rFonts w:ascii="宋体" w:hAnsi="宋体" w:cs="宋体" w:eastAsia="宋体" w:hint="default"/>
                <w:sz w:val="18"/>
                <w:szCs w:val="18"/>
              </w:rPr>
              <w:t>核销</w:t>
            </w:r>
          </w:p>
        </w:tc>
        <w:tc>
          <w:tcPr>
            <w:tcW w:w="2121"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18,935,030.62</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434,466.36</w:t>
            </w:r>
          </w:p>
        </w:tc>
        <w:tc>
          <w:tcPr>
            <w:tcW w:w="1592"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91" w:right="0"/>
              <w:jc w:val="left"/>
              <w:rPr>
                <w:rFonts w:ascii="Times New Roman" w:hAnsi="Times New Roman" w:cs="Times New Roman" w:eastAsia="Times New Roman" w:hint="default"/>
                <w:sz w:val="18"/>
                <w:szCs w:val="18"/>
              </w:rPr>
            </w:pPr>
            <w:r>
              <w:rPr>
                <w:rFonts w:ascii="Times New Roman"/>
                <w:sz w:val="18"/>
              </w:rPr>
              <w:t>351,077.77</w:t>
            </w:r>
          </w:p>
        </w:tc>
        <w:tc>
          <w:tcPr>
            <w:tcW w:w="2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19,018,419.21</w:t>
            </w:r>
          </w:p>
        </w:tc>
      </w:tr>
      <w:tr>
        <w:trPr>
          <w:trHeight w:val="402" w:hRule="exact"/>
        </w:trPr>
        <w:tc>
          <w:tcPr>
            <w:tcW w:w="1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18,935,030.62</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434,466.36</w:t>
            </w:r>
          </w:p>
        </w:tc>
        <w:tc>
          <w:tcPr>
            <w:tcW w:w="1592"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91" w:right="0"/>
              <w:jc w:val="left"/>
              <w:rPr>
                <w:rFonts w:ascii="Times New Roman" w:hAnsi="Times New Roman" w:cs="Times New Roman" w:eastAsia="Times New Roman" w:hint="default"/>
                <w:sz w:val="18"/>
                <w:szCs w:val="18"/>
              </w:rPr>
            </w:pPr>
            <w:r>
              <w:rPr>
                <w:rFonts w:ascii="Times New Roman"/>
                <w:sz w:val="18"/>
              </w:rPr>
              <w:t>351,077.77</w:t>
            </w:r>
          </w:p>
        </w:tc>
        <w:tc>
          <w:tcPr>
            <w:tcW w:w="2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19,018,419.21</w:t>
            </w:r>
          </w:p>
        </w:tc>
      </w:tr>
    </w:tbl>
    <w:p>
      <w:pPr>
        <w:spacing w:line="240" w:lineRule="auto" w:before="3"/>
        <w:rPr>
          <w:rFonts w:ascii="宋体" w:hAnsi="宋体" w:cs="宋体" w:eastAsia="宋体" w:hint="default"/>
          <w:sz w:val="19"/>
          <w:szCs w:val="19"/>
        </w:rPr>
      </w:pPr>
    </w:p>
    <w:p>
      <w:pPr>
        <w:pStyle w:val="Heading3"/>
        <w:spacing w:line="240" w:lineRule="auto"/>
        <w:ind w:right="1394"/>
        <w:jc w:val="left"/>
        <w:rPr>
          <w:b w:val="0"/>
          <w:bCs w:val="0"/>
        </w:rPr>
      </w:pPr>
      <w:bookmarkStart w:name="4）本期实际核销的其他应收款情况" w:id="237"/>
      <w:bookmarkEnd w:id="237"/>
      <w:r>
        <w:rPr>
          <w:b w:val="0"/>
          <w:bCs w:val="0"/>
        </w:rPr>
      </w:r>
      <w:r>
        <w:rPr>
          <w:rFonts w:ascii="Times New Roman" w:hAnsi="Times New Roman" w:cs="Times New Roman" w:eastAsia="Times New Roman" w:hint="default"/>
        </w:rPr>
        <w:t>4</w:t>
      </w:r>
      <w:r>
        <w:rPr/>
        <w:t>）本期实际核销的其他应收款情况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实际核销的其他应收款</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351,077.77</w:t>
            </w:r>
          </w:p>
        </w:tc>
      </w:tr>
    </w:tbl>
    <w:p>
      <w:pPr>
        <w:pStyle w:val="BodyText"/>
        <w:spacing w:line="240" w:lineRule="auto" w:before="50"/>
        <w:ind w:right="1394"/>
        <w:jc w:val="left"/>
      </w:pPr>
      <w:r>
        <w:rPr/>
        <w:t>其中重要的其他应收款核销情况：</w:t>
      </w:r>
    </w:p>
    <w:p>
      <w:pPr>
        <w:pStyle w:val="BodyText"/>
        <w:spacing w:line="240" w:lineRule="auto" w:before="115"/>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4"/>
        <w:gridCol w:w="1594"/>
        <w:gridCol w:w="1594"/>
        <w:gridCol w:w="1594"/>
        <w:gridCol w:w="1595"/>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其他应收款性质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核销原因</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521" w:right="70" w:hanging="449"/>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22" w:right="0"/>
              <w:jc w:val="left"/>
              <w:rPr>
                <w:rFonts w:ascii="宋体" w:hAnsi="宋体" w:cs="宋体" w:eastAsia="宋体" w:hint="default"/>
                <w:sz w:val="18"/>
                <w:szCs w:val="18"/>
              </w:rPr>
            </w:pPr>
            <w:r>
              <w:rPr>
                <w:rFonts w:ascii="宋体" w:hAnsi="宋体" w:cs="宋体" w:eastAsia="宋体" w:hint="default"/>
                <w:sz w:val="18"/>
                <w:szCs w:val="18"/>
              </w:rPr>
              <w:t>单位一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往来款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无法收回</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公司内部审批</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22" w:right="0"/>
              <w:jc w:val="left"/>
              <w:rPr>
                <w:rFonts w:ascii="宋体" w:hAnsi="宋体" w:cs="宋体" w:eastAsia="宋体" w:hint="default"/>
                <w:sz w:val="18"/>
                <w:szCs w:val="18"/>
              </w:rPr>
            </w:pPr>
            <w:r>
              <w:rPr>
                <w:rFonts w:ascii="宋体" w:hAnsi="宋体" w:cs="宋体" w:eastAsia="宋体" w:hint="default"/>
                <w:sz w:val="18"/>
                <w:szCs w:val="18"/>
              </w:rPr>
              <w:t>单位二</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往来款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28,137.97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无法收回</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公司内部审批</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22" w:right="0"/>
              <w:jc w:val="left"/>
              <w:rPr>
                <w:rFonts w:ascii="宋体" w:hAnsi="宋体" w:cs="宋体" w:eastAsia="宋体" w:hint="default"/>
                <w:sz w:val="18"/>
                <w:szCs w:val="18"/>
              </w:rPr>
            </w:pPr>
            <w:r>
              <w:rPr>
                <w:rFonts w:ascii="宋体" w:hAnsi="宋体" w:cs="宋体" w:eastAsia="宋体" w:hint="default"/>
                <w:sz w:val="18"/>
                <w:szCs w:val="18"/>
              </w:rPr>
              <w:t>单位三</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职工借款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6,439.30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无法收回</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公司内部审批</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22" w:right="0"/>
              <w:jc w:val="left"/>
              <w:rPr>
                <w:rFonts w:ascii="宋体" w:hAnsi="宋体" w:cs="宋体" w:eastAsia="宋体" w:hint="default"/>
                <w:sz w:val="18"/>
                <w:szCs w:val="18"/>
              </w:rPr>
            </w:pPr>
            <w:r>
              <w:rPr>
                <w:rFonts w:ascii="宋体" w:hAnsi="宋体" w:cs="宋体" w:eastAsia="宋体" w:hint="default"/>
                <w:sz w:val="18"/>
                <w:szCs w:val="18"/>
              </w:rPr>
              <w:t>单位四</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职工借款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3,965.37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无法收回</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公司内部审批</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22" w:right="0"/>
              <w:jc w:val="left"/>
              <w:rPr>
                <w:rFonts w:ascii="宋体" w:hAnsi="宋体" w:cs="宋体" w:eastAsia="宋体" w:hint="default"/>
                <w:sz w:val="18"/>
                <w:szCs w:val="18"/>
              </w:rPr>
            </w:pPr>
            <w:r>
              <w:rPr>
                <w:rFonts w:ascii="宋体" w:hAnsi="宋体" w:cs="宋体" w:eastAsia="宋体" w:hint="default"/>
                <w:sz w:val="18"/>
                <w:szCs w:val="18"/>
              </w:rPr>
              <w:t>单位五</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职工借款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3,244.51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无法收回</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公司内部审批</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341,787.15</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78" w:footer="978" w:top="1100" w:bottom="1160" w:left="1020" w:right="0"/>
        </w:sectPr>
      </w:pPr>
    </w:p>
    <w:p>
      <w:pPr>
        <w:spacing w:line="240" w:lineRule="auto" w:before="12"/>
        <w:rPr>
          <w:rFonts w:ascii="宋体" w:hAnsi="宋体" w:cs="宋体" w:eastAsia="宋体" w:hint="default"/>
          <w:sz w:val="20"/>
          <w:szCs w:val="20"/>
        </w:rPr>
      </w:pPr>
    </w:p>
    <w:p>
      <w:pPr>
        <w:pStyle w:val="Heading3"/>
        <w:spacing w:line="240" w:lineRule="auto"/>
        <w:ind w:right="1394"/>
        <w:jc w:val="left"/>
        <w:rPr>
          <w:b w:val="0"/>
          <w:bCs w:val="0"/>
        </w:rPr>
      </w:pPr>
      <w:bookmarkStart w:name="5）按欠款方归集的期末余额前五名的其他应收款情况" w:id="238"/>
      <w:bookmarkEnd w:id="238"/>
      <w:r>
        <w:rPr>
          <w:b w:val="0"/>
          <w:bCs w:val="0"/>
        </w:rPr>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4"/>
        <w:gridCol w:w="1594"/>
        <w:gridCol w:w="1594"/>
        <w:gridCol w:w="1594"/>
        <w:gridCol w:w="1595"/>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1"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70"/>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22" w:right="0"/>
              <w:jc w:val="left"/>
              <w:rPr>
                <w:rFonts w:ascii="宋体" w:hAnsi="宋体" w:cs="宋体" w:eastAsia="宋体" w:hint="default"/>
                <w:sz w:val="18"/>
                <w:szCs w:val="18"/>
              </w:rPr>
            </w:pPr>
            <w:r>
              <w:rPr>
                <w:rFonts w:ascii="宋体" w:hAnsi="宋体" w:cs="宋体" w:eastAsia="宋体" w:hint="default"/>
                <w:sz w:val="18"/>
                <w:szCs w:val="18"/>
              </w:rPr>
              <w:t>单位一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往来款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7,892,450.00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61" w:right="0"/>
              <w:jc w:val="left"/>
              <w:rPr>
                <w:rFonts w:ascii="Times New Roman" w:hAnsi="Times New Roman" w:cs="Times New Roman" w:eastAsia="Times New Roman" w:hint="default"/>
                <w:sz w:val="18"/>
                <w:szCs w:val="18"/>
              </w:rPr>
            </w:pPr>
            <w:r>
              <w:rPr>
                <w:rFonts w:ascii="Times New Roman"/>
                <w:sz w:val="18"/>
              </w:rPr>
              <w:t>6.30%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39,462.25</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22" w:right="0"/>
              <w:jc w:val="left"/>
              <w:rPr>
                <w:rFonts w:ascii="宋体" w:hAnsi="宋体" w:cs="宋体" w:eastAsia="宋体" w:hint="default"/>
                <w:sz w:val="18"/>
                <w:szCs w:val="18"/>
              </w:rPr>
            </w:pPr>
            <w:r>
              <w:rPr>
                <w:rFonts w:ascii="宋体" w:hAnsi="宋体" w:cs="宋体" w:eastAsia="宋体" w:hint="default"/>
                <w:sz w:val="18"/>
                <w:szCs w:val="18"/>
              </w:rPr>
              <w:t>单位二</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往来款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4,684,234.66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61" w:right="0"/>
              <w:jc w:val="left"/>
              <w:rPr>
                <w:rFonts w:ascii="Times New Roman" w:hAnsi="Times New Roman" w:cs="Times New Roman" w:eastAsia="Times New Roman" w:hint="default"/>
                <w:sz w:val="18"/>
                <w:szCs w:val="18"/>
              </w:rPr>
            </w:pPr>
            <w:r>
              <w:rPr>
                <w:rFonts w:ascii="Times New Roman"/>
                <w:sz w:val="18"/>
              </w:rPr>
              <w:t>3.74%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4,684,234.66</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22" w:right="0"/>
              <w:jc w:val="left"/>
              <w:rPr>
                <w:rFonts w:ascii="宋体" w:hAnsi="宋体" w:cs="宋体" w:eastAsia="宋体" w:hint="default"/>
                <w:sz w:val="18"/>
                <w:szCs w:val="18"/>
              </w:rPr>
            </w:pPr>
            <w:r>
              <w:rPr>
                <w:rFonts w:ascii="宋体" w:hAnsi="宋体" w:cs="宋体" w:eastAsia="宋体" w:hint="default"/>
                <w:sz w:val="18"/>
                <w:szCs w:val="18"/>
              </w:rPr>
              <w:t>单位三</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2,830,000.00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61" w:right="0"/>
              <w:jc w:val="left"/>
              <w:rPr>
                <w:rFonts w:ascii="Times New Roman" w:hAnsi="Times New Roman" w:cs="Times New Roman" w:eastAsia="Times New Roman" w:hint="default"/>
                <w:sz w:val="18"/>
                <w:szCs w:val="18"/>
              </w:rPr>
            </w:pPr>
            <w:r>
              <w:rPr>
                <w:rFonts w:ascii="Times New Roman"/>
                <w:sz w:val="18"/>
              </w:rPr>
              <w:t>2.26%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1,122,500.00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22" w:right="0"/>
              <w:jc w:val="left"/>
              <w:rPr>
                <w:rFonts w:ascii="宋体" w:hAnsi="宋体" w:cs="宋体" w:eastAsia="宋体" w:hint="default"/>
                <w:sz w:val="18"/>
                <w:szCs w:val="18"/>
              </w:rPr>
            </w:pPr>
            <w:r>
              <w:rPr>
                <w:rFonts w:ascii="宋体" w:hAnsi="宋体" w:cs="宋体" w:eastAsia="宋体" w:hint="default"/>
                <w:sz w:val="18"/>
                <w:szCs w:val="18"/>
              </w:rPr>
              <w:t>单位四</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往来款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2,617,233.76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61" w:right="0"/>
              <w:jc w:val="left"/>
              <w:rPr>
                <w:rFonts w:ascii="Times New Roman" w:hAnsi="Times New Roman" w:cs="Times New Roman" w:eastAsia="Times New Roman" w:hint="default"/>
                <w:sz w:val="18"/>
                <w:szCs w:val="18"/>
              </w:rPr>
            </w:pPr>
            <w:r>
              <w:rPr>
                <w:rFonts w:ascii="Times New Roman"/>
                <w:sz w:val="18"/>
              </w:rPr>
              <w:t>2.09%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13,086.17</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22" w:right="0"/>
              <w:jc w:val="left"/>
              <w:rPr>
                <w:rFonts w:ascii="宋体" w:hAnsi="宋体" w:cs="宋体" w:eastAsia="宋体" w:hint="default"/>
                <w:sz w:val="18"/>
                <w:szCs w:val="18"/>
              </w:rPr>
            </w:pPr>
            <w:r>
              <w:rPr>
                <w:rFonts w:ascii="宋体" w:hAnsi="宋体" w:cs="宋体" w:eastAsia="宋体" w:hint="default"/>
                <w:sz w:val="18"/>
                <w:szCs w:val="18"/>
              </w:rPr>
              <w:t>单位五</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往来款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2,340,500.00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61" w:right="0"/>
              <w:jc w:val="left"/>
              <w:rPr>
                <w:rFonts w:ascii="Times New Roman" w:hAnsi="Times New Roman" w:cs="Times New Roman" w:eastAsia="Times New Roman" w:hint="default"/>
                <w:sz w:val="18"/>
                <w:szCs w:val="18"/>
              </w:rPr>
            </w:pPr>
            <w:r>
              <w:rPr>
                <w:rFonts w:ascii="Times New Roman"/>
                <w:sz w:val="18"/>
              </w:rPr>
              <w:t>1.87%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11,702.50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20,364,418.42</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15" w:right="0"/>
              <w:jc w:val="left"/>
              <w:rPr>
                <w:rFonts w:ascii="Times New Roman" w:hAnsi="Times New Roman" w:cs="Times New Roman" w:eastAsia="Times New Roman" w:hint="default"/>
                <w:sz w:val="18"/>
                <w:szCs w:val="18"/>
              </w:rPr>
            </w:pPr>
            <w:r>
              <w:rPr>
                <w:rFonts w:ascii="Times New Roman"/>
                <w:sz w:val="18"/>
              </w:rPr>
              <w:t>16.26%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5,870,985.58</w:t>
            </w:r>
          </w:p>
        </w:tc>
      </w:tr>
    </w:tbl>
    <w:p>
      <w:pPr>
        <w:spacing w:line="240" w:lineRule="auto" w:before="4"/>
        <w:rPr>
          <w:rFonts w:ascii="宋体" w:hAnsi="宋体" w:cs="宋体" w:eastAsia="宋体" w:hint="default"/>
          <w:sz w:val="19"/>
          <w:szCs w:val="19"/>
        </w:rPr>
      </w:pPr>
    </w:p>
    <w:p>
      <w:pPr>
        <w:pStyle w:val="Heading3"/>
        <w:spacing w:line="240" w:lineRule="auto"/>
        <w:ind w:right="1394"/>
        <w:jc w:val="left"/>
        <w:rPr>
          <w:b w:val="0"/>
          <w:bCs w:val="0"/>
        </w:rPr>
      </w:pPr>
      <w:bookmarkStart w:name="6）涉及政府补助的应收款项" w:id="239"/>
      <w:bookmarkEnd w:id="239"/>
      <w:r>
        <w:rPr>
          <w:b w:val="0"/>
          <w:bCs w:val="0"/>
        </w:rPr>
      </w:r>
      <w:r>
        <w:rPr>
          <w:rFonts w:ascii="Times New Roman" w:hAnsi="Times New Roman" w:cs="Times New Roman" w:eastAsia="Times New Roman" w:hint="default"/>
        </w:rPr>
        <w:t>6</w:t>
      </w:r>
      <w:r>
        <w:rPr/>
        <w:t>）涉及政府补助的应收款项</w:t>
      </w:r>
      <w:r>
        <w:rPr>
          <w:b w:val="0"/>
          <w:bCs w:val="0"/>
        </w:rPr>
      </w:r>
    </w:p>
    <w:p>
      <w:pPr>
        <w:spacing w:line="240" w:lineRule="auto" w:before="5"/>
        <w:rPr>
          <w:rFonts w:ascii="宋体" w:hAnsi="宋体" w:cs="宋体" w:eastAsia="宋体" w:hint="default"/>
          <w:b/>
          <w:bCs/>
          <w:sz w:val="32"/>
          <w:szCs w:val="32"/>
        </w:rPr>
      </w:pPr>
    </w:p>
    <w:p>
      <w:pPr>
        <w:pStyle w:val="BodyText"/>
        <w:spacing w:line="240" w:lineRule="auto"/>
        <w:ind w:left="532" w:right="1394"/>
        <w:jc w:val="left"/>
      </w:pPr>
      <w:r>
        <w:rPr/>
        <w:t>本期没有涉及政府补助的应收款项。</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3"/>
        <w:spacing w:line="240" w:lineRule="auto" w:before="0"/>
        <w:ind w:right="1394"/>
        <w:jc w:val="left"/>
        <w:rPr>
          <w:b w:val="0"/>
          <w:bCs w:val="0"/>
        </w:rPr>
      </w:pPr>
      <w:bookmarkStart w:name="7）因金融资产转移而终止确认的其他应收款" w:id="240"/>
      <w:bookmarkEnd w:id="240"/>
      <w:r>
        <w:rPr>
          <w:b w:val="0"/>
          <w:bCs w:val="0"/>
        </w:rPr>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7"/>
        <w:rPr>
          <w:rFonts w:ascii="宋体" w:hAnsi="宋体" w:cs="宋体" w:eastAsia="宋体" w:hint="default"/>
          <w:b/>
          <w:bCs/>
          <w:sz w:val="32"/>
          <w:szCs w:val="32"/>
        </w:rPr>
      </w:pPr>
    </w:p>
    <w:p>
      <w:pPr>
        <w:pStyle w:val="BodyText"/>
        <w:spacing w:line="240" w:lineRule="auto"/>
        <w:ind w:left="532" w:right="1394"/>
        <w:jc w:val="left"/>
      </w:pPr>
      <w:r>
        <w:rPr/>
        <w:t>本期没有因金融资产转移而终止确认的其他应收款。</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3"/>
        <w:spacing w:line="240" w:lineRule="auto" w:before="0"/>
        <w:ind w:right="1394"/>
        <w:jc w:val="left"/>
        <w:rPr>
          <w:b w:val="0"/>
          <w:bCs w:val="0"/>
        </w:rPr>
      </w:pPr>
      <w:bookmarkStart w:name="8）转移其他应收款且继续涉入形成的资产、负债金额" w:id="241"/>
      <w:bookmarkEnd w:id="241"/>
      <w:r>
        <w:rPr>
          <w:b w:val="0"/>
          <w:bCs w:val="0"/>
        </w:rPr>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7"/>
        <w:rPr>
          <w:rFonts w:ascii="宋体" w:hAnsi="宋体" w:cs="宋体" w:eastAsia="宋体" w:hint="default"/>
          <w:b/>
          <w:bCs/>
          <w:sz w:val="32"/>
          <w:szCs w:val="32"/>
        </w:rPr>
      </w:pPr>
    </w:p>
    <w:p>
      <w:pPr>
        <w:pStyle w:val="BodyText"/>
        <w:spacing w:line="240" w:lineRule="auto"/>
        <w:ind w:left="532" w:right="1394"/>
        <w:jc w:val="left"/>
      </w:pPr>
      <w:r>
        <w:rPr/>
        <w:t>本期没有转移其他应收款且继续涉入形成的资产、负债。</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3"/>
        <w:spacing w:line="240" w:lineRule="auto" w:before="0"/>
        <w:ind w:right="1394"/>
        <w:jc w:val="left"/>
        <w:rPr>
          <w:b w:val="0"/>
          <w:bCs w:val="0"/>
        </w:rPr>
      </w:pPr>
      <w:bookmarkStart w:name="8、存货" w:id="242"/>
      <w:bookmarkEnd w:id="242"/>
      <w:r>
        <w:rPr>
          <w:b w:val="0"/>
          <w:bCs w:val="0"/>
        </w:rPr>
      </w:r>
      <w:r>
        <w:rPr>
          <w:rFonts w:ascii="Times New Roman" w:hAnsi="Times New Roman" w:cs="Times New Roman" w:eastAsia="Times New Roman" w:hint="default"/>
        </w:rPr>
        <w:t>8</w:t>
      </w:r>
      <w:r>
        <w:rPr/>
        <w:t>、存货</w:t>
      </w:r>
      <w:r>
        <w:rPr>
          <w:b w:val="0"/>
          <w:bCs w:val="0"/>
        </w:rPr>
      </w:r>
    </w:p>
    <w:p>
      <w:pPr>
        <w:spacing w:line="240" w:lineRule="auto" w:before="7"/>
        <w:rPr>
          <w:rFonts w:ascii="宋体" w:hAnsi="宋体" w:cs="宋体" w:eastAsia="宋体" w:hint="default"/>
          <w:b/>
          <w:bCs/>
          <w:sz w:val="24"/>
          <w:szCs w:val="24"/>
        </w:rPr>
      </w:pPr>
    </w:p>
    <w:p>
      <w:pPr>
        <w:spacing w:before="0"/>
        <w:ind w:left="112" w:right="1394" w:firstLine="0"/>
        <w:jc w:val="left"/>
        <w:rPr>
          <w:rFonts w:ascii="宋体" w:hAnsi="宋体" w:cs="宋体" w:eastAsia="宋体" w:hint="default"/>
          <w:sz w:val="21"/>
          <w:szCs w:val="21"/>
        </w:rPr>
      </w:pPr>
      <w:bookmarkStart w:name="（1）存货分类" w:id="243"/>
      <w:bookmarkEnd w:id="243"/>
      <w:r>
        <w:rPr/>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宋体" w:hAnsi="宋体" w:cs="宋体" w:eastAsia="宋体" w:hint="default"/>
          <w:b/>
          <w:bCs/>
          <w:sz w:val="21"/>
          <w:szCs w:val="21"/>
        </w:rPr>
        <w:t>存货分类</w:t>
      </w:r>
      <w:r>
        <w:rPr>
          <w:rFonts w:ascii="宋体" w:hAnsi="宋体" w:cs="宋体" w:eastAsia="宋体" w:hint="default"/>
          <w:sz w:val="21"/>
          <w:szCs w:val="21"/>
        </w:rPr>
      </w:r>
    </w:p>
    <w:p>
      <w:pPr>
        <w:spacing w:line="240" w:lineRule="auto" w:before="8"/>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368"/>
        <w:gridCol w:w="1367"/>
        <w:gridCol w:w="1367"/>
        <w:gridCol w:w="1367"/>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026"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49" w:right="46"/>
              <w:jc w:val="center"/>
              <w:rPr>
                <w:rFonts w:ascii="宋体" w:hAnsi="宋体" w:cs="宋体" w:eastAsia="宋体" w:hint="default"/>
                <w:sz w:val="18"/>
                <w:szCs w:val="18"/>
              </w:rPr>
            </w:pPr>
            <w:r>
              <w:rPr>
                <w:rFonts w:ascii="宋体" w:hAnsi="宋体" w:cs="宋体" w:eastAsia="宋体" w:hint="default"/>
                <w:sz w:val="18"/>
                <w:szCs w:val="18"/>
              </w:rPr>
              <w:t>存货跌价准备或 合同履约成本减 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47" w:right="48"/>
              <w:jc w:val="center"/>
              <w:rPr>
                <w:rFonts w:ascii="宋体" w:hAnsi="宋体" w:cs="宋体" w:eastAsia="宋体" w:hint="default"/>
                <w:sz w:val="18"/>
                <w:szCs w:val="18"/>
              </w:rPr>
            </w:pPr>
            <w:r>
              <w:rPr>
                <w:rFonts w:ascii="宋体" w:hAnsi="宋体" w:cs="宋体" w:eastAsia="宋体" w:hint="default"/>
                <w:sz w:val="18"/>
                <w:szCs w:val="18"/>
              </w:rPr>
              <w:t>存货跌价准备或 合同履约成本减 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304,718,769.26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18,473,934.04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286,244,835.22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248,763,470.85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17,608,664.75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231,154,806.10</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261,428,963.64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2,329,521.52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259,099,442.12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194,351,536.37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4,489,666.49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189,861,869.88</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1,428,156,713.61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56,998,274.70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1,371,158,438.91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1,512,533,039.90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77,714,125.25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1,434,818,914.65</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开发产品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1,530,486.35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1,530,486.35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9,125,519.05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9,125,519.05</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1,995,834,932.86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77,801,730.26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1,918,033,202.60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1,964,773,566.17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99,812,456.49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1,864,961,109.68</w:t>
            </w:r>
          </w:p>
        </w:tc>
      </w:tr>
    </w:tbl>
    <w:p>
      <w:pPr>
        <w:spacing w:after="0" w:line="240" w:lineRule="auto"/>
        <w:jc w:val="right"/>
        <w:rPr>
          <w:rFonts w:ascii="Times New Roman" w:hAnsi="Times New Roman" w:cs="Times New Roman" w:eastAsia="Times New Roman" w:hint="default"/>
          <w:sz w:val="18"/>
          <w:szCs w:val="18"/>
        </w:rPr>
        <w:sectPr>
          <w:pgSz w:w="11910" w:h="16840"/>
          <w:pgMar w:header="878" w:footer="978" w:top="1100" w:bottom="1160" w:left="1020" w:right="0"/>
        </w:sectPr>
      </w:pPr>
    </w:p>
    <w:p>
      <w:pPr>
        <w:spacing w:line="240" w:lineRule="auto" w:before="12"/>
        <w:rPr>
          <w:rFonts w:ascii="宋体" w:hAnsi="宋体" w:cs="宋体" w:eastAsia="宋体" w:hint="default"/>
          <w:sz w:val="20"/>
          <w:szCs w:val="20"/>
        </w:rPr>
      </w:pPr>
    </w:p>
    <w:p>
      <w:pPr>
        <w:pStyle w:val="Heading3"/>
        <w:spacing w:line="240" w:lineRule="auto" w:before="36"/>
        <w:ind w:right="1394"/>
        <w:jc w:val="left"/>
        <w:rPr>
          <w:b w:val="0"/>
          <w:bCs w:val="0"/>
        </w:rPr>
      </w:pPr>
      <w:bookmarkStart w:name="（2）存货跌价准备和合同履约成本减值准备" w:id="244"/>
      <w:bookmarkEnd w:id="244"/>
      <w:r>
        <w:rPr>
          <w:b w:val="0"/>
          <w:bCs w:val="0"/>
        </w:rPr>
      </w:r>
      <w:r>
        <w:rPr>
          <w:rFonts w:ascii="宋体" w:hAnsi="宋体" w:cs="宋体" w:eastAsia="宋体" w:hint="default"/>
          <w:b w:val="0"/>
          <w:bCs w:val="0"/>
          <w:sz w:val="18"/>
          <w:szCs w:val="18"/>
        </w:rPr>
        <w:t>（</w:t>
      </w:r>
      <w:r>
        <w:rPr>
          <w:rFonts w:ascii="Times New Roman" w:hAnsi="Times New Roman" w:cs="Times New Roman" w:eastAsia="Times New Roman" w:hint="default"/>
          <w:b w:val="0"/>
          <w:bCs w:val="0"/>
          <w:sz w:val="18"/>
          <w:szCs w:val="18"/>
        </w:rPr>
        <w:t>2</w:t>
      </w:r>
      <w:r>
        <w:rPr>
          <w:rFonts w:ascii="宋体" w:hAnsi="宋体" w:cs="宋体" w:eastAsia="宋体" w:hint="default"/>
          <w:b w:val="0"/>
          <w:bCs w:val="0"/>
          <w:sz w:val="18"/>
          <w:szCs w:val="18"/>
        </w:rPr>
        <w:t>）</w:t>
      </w:r>
      <w:r>
        <w:rPr/>
        <w:t>存货跌价准备和合同履约成本减值准备</w:t>
      </w:r>
      <w:r>
        <w:rPr>
          <w:b w:val="0"/>
          <w:bCs w:val="0"/>
        </w:rPr>
      </w:r>
    </w:p>
    <w:p>
      <w:pPr>
        <w:spacing w:line="240" w:lineRule="auto" w:before="5"/>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368"/>
        <w:gridCol w:w="1367"/>
        <w:gridCol w:w="1367"/>
        <w:gridCol w:w="1367"/>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2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21"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8"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17,608,664.75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3,700,292.93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2,835,023.64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18,473,934.04</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4,489,666.49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-1,382,369.23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777,775.74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2,329,521.52</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77,714,125.25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30,170,135.83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22" w:right="0"/>
              <w:jc w:val="left"/>
              <w:rPr>
                <w:rFonts w:ascii="Times New Roman" w:hAnsi="Times New Roman" w:cs="Times New Roman" w:eastAsia="Times New Roman" w:hint="default"/>
                <w:sz w:val="18"/>
                <w:szCs w:val="18"/>
              </w:rPr>
            </w:pPr>
            <w:r>
              <w:rPr>
                <w:rFonts w:ascii="Times New Roman"/>
                <w:sz w:val="18"/>
              </w:rPr>
              <w:t>259,647.09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51,145,633.47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56,998,274.70</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99,812,456.49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32,488,059.53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22" w:right="0"/>
              <w:jc w:val="left"/>
              <w:rPr>
                <w:rFonts w:ascii="Times New Roman" w:hAnsi="Times New Roman" w:cs="Times New Roman" w:eastAsia="Times New Roman" w:hint="default"/>
                <w:sz w:val="18"/>
                <w:szCs w:val="18"/>
              </w:rPr>
            </w:pPr>
            <w:r>
              <w:rPr>
                <w:rFonts w:ascii="Times New Roman"/>
                <w:sz w:val="18"/>
              </w:rPr>
              <w:t>259,647.09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54,758,432.85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77,801,730.26</w:t>
            </w:r>
          </w:p>
        </w:tc>
      </w:tr>
    </w:tbl>
    <w:p>
      <w:pPr>
        <w:spacing w:line="240" w:lineRule="auto" w:before="3"/>
        <w:rPr>
          <w:rFonts w:ascii="宋体" w:hAnsi="宋体" w:cs="宋体" w:eastAsia="宋体" w:hint="default"/>
          <w:sz w:val="19"/>
          <w:szCs w:val="19"/>
        </w:rPr>
      </w:pPr>
    </w:p>
    <w:p>
      <w:pPr>
        <w:pStyle w:val="Heading3"/>
        <w:spacing w:line="240" w:lineRule="auto"/>
        <w:ind w:right="1394"/>
        <w:jc w:val="left"/>
        <w:rPr>
          <w:b w:val="0"/>
          <w:bCs w:val="0"/>
        </w:rPr>
      </w:pPr>
      <w:bookmarkStart w:name="9、其他流动资产" w:id="245"/>
      <w:bookmarkEnd w:id="245"/>
      <w:r>
        <w:rPr>
          <w:b w:val="0"/>
          <w:bCs w:val="0"/>
        </w:rPr>
      </w:r>
      <w:r>
        <w:rPr>
          <w:rFonts w:ascii="Times New Roman" w:hAnsi="Times New Roman" w:cs="Times New Roman" w:eastAsia="Times New Roman" w:hint="default"/>
        </w:rPr>
        <w:t>9</w:t>
      </w:r>
      <w:r>
        <w:rPr/>
        <w:t>、其他流动资产</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待抵扣税金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68,796,155.83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35,878,040.17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待摊房租</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3,046,688.67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2,209,005.14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股票交易预存金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1,775,978.06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40,170,897.25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73,618,822.56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78,257,942.56</w:t>
            </w:r>
          </w:p>
        </w:tc>
      </w:tr>
    </w:tbl>
    <w:p>
      <w:pPr>
        <w:spacing w:line="240" w:lineRule="auto" w:before="3"/>
        <w:rPr>
          <w:rFonts w:ascii="宋体" w:hAnsi="宋体" w:cs="宋体" w:eastAsia="宋体" w:hint="default"/>
          <w:sz w:val="19"/>
          <w:szCs w:val="19"/>
        </w:rPr>
      </w:pPr>
    </w:p>
    <w:p>
      <w:pPr>
        <w:pStyle w:val="Heading3"/>
        <w:spacing w:line="240" w:lineRule="auto"/>
        <w:ind w:right="1394"/>
        <w:jc w:val="left"/>
        <w:rPr>
          <w:b w:val="0"/>
          <w:bCs w:val="0"/>
        </w:rPr>
      </w:pPr>
      <w:bookmarkStart w:name="10、长期应收款" w:id="246"/>
      <w:bookmarkEnd w:id="246"/>
      <w:r>
        <w:rPr>
          <w:b w:val="0"/>
          <w:bCs w:val="0"/>
        </w:rPr>
      </w:r>
      <w:r>
        <w:rPr>
          <w:rFonts w:ascii="Times New Roman" w:hAnsi="Times New Roman" w:cs="Times New Roman" w:eastAsia="Times New Roman" w:hint="default"/>
        </w:rPr>
        <w:t>10</w:t>
      </w:r>
      <w:r>
        <w:rPr/>
        <w:t>、长期应收款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before="0"/>
        <w:ind w:right="1394"/>
        <w:jc w:val="left"/>
        <w:rPr>
          <w:b w:val="0"/>
          <w:bCs w:val="0"/>
        </w:rPr>
      </w:pPr>
      <w:bookmarkStart w:name="（1）长期应收款情况" w:id="247"/>
      <w:bookmarkEnd w:id="247"/>
      <w:r>
        <w:rPr>
          <w:b w:val="0"/>
          <w:bCs w:val="0"/>
        </w:rPr>
      </w:r>
      <w:r>
        <w:rPr/>
        <w:t>（</w:t>
      </w:r>
      <w:r>
        <w:rPr>
          <w:rFonts w:ascii="Times New Roman" w:hAnsi="Times New Roman" w:cs="Times New Roman" w:eastAsia="Times New Roman" w:hint="default"/>
        </w:rPr>
        <w:t>1</w:t>
      </w:r>
      <w:r>
        <w:rPr/>
        <w:t>）长期应收款情况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403"/>
        <w:gridCol w:w="1167"/>
        <w:gridCol w:w="1167"/>
        <w:gridCol w:w="1167"/>
        <w:gridCol w:w="1167"/>
        <w:gridCol w:w="1168"/>
        <w:gridCol w:w="1165"/>
        <w:gridCol w:w="1165"/>
      </w:tblGrid>
      <w:tr>
        <w:trPr>
          <w:trHeight w:val="402" w:hRule="exact"/>
        </w:trPr>
        <w:tc>
          <w:tcPr>
            <w:tcW w:w="14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0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0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26"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402" w:hRule="exact"/>
        </w:trPr>
        <w:tc>
          <w:tcPr>
            <w:tcW w:w="1403" w:type="dxa"/>
            <w:vMerge/>
            <w:tcBorders>
              <w:left w:val="single" w:sz="4" w:space="0" w:color="000000"/>
              <w:bottom w:val="single" w:sz="4" w:space="0" w:color="000000"/>
              <w:right w:val="single" w:sz="4" w:space="0" w:color="000000"/>
            </w:tcBorders>
            <w:shd w:val="clear" w:color="auto" w:fill="D2D2D2"/>
          </w:tcPr>
          <w:p>
            <w:pP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融资租赁款</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08" w:firstLine="360"/>
              <w:jc w:val="left"/>
              <w:rPr>
                <w:rFonts w:ascii="宋体" w:hAnsi="宋体" w:cs="宋体" w:eastAsia="宋体" w:hint="default"/>
                <w:sz w:val="18"/>
                <w:szCs w:val="18"/>
              </w:rPr>
            </w:pPr>
            <w:r>
              <w:rPr>
                <w:rFonts w:ascii="宋体" w:hAnsi="宋体" w:cs="宋体" w:eastAsia="宋体" w:hint="default"/>
                <w:sz w:val="18"/>
                <w:szCs w:val="18"/>
              </w:rPr>
              <w:t>其中：未实 现融资收益</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108"/>
              <w:jc w:val="left"/>
              <w:rPr>
                <w:rFonts w:ascii="宋体" w:hAnsi="宋体" w:cs="宋体" w:eastAsia="宋体" w:hint="default"/>
                <w:sz w:val="18"/>
                <w:szCs w:val="18"/>
              </w:rPr>
            </w:pPr>
            <w:r>
              <w:rPr>
                <w:rFonts w:ascii="宋体" w:hAnsi="宋体" w:cs="宋体" w:eastAsia="宋体" w:hint="default"/>
                <w:sz w:val="18"/>
                <w:szCs w:val="18"/>
              </w:rPr>
              <w:t>分期收款销售商 品</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89" w:right="0"/>
              <w:jc w:val="left"/>
              <w:rPr>
                <w:rFonts w:ascii="Times New Roman" w:hAnsi="Times New Roman" w:cs="Times New Roman" w:eastAsia="Times New Roman" w:hint="default"/>
                <w:sz w:val="18"/>
                <w:szCs w:val="18"/>
              </w:rPr>
            </w:pPr>
            <w:r>
              <w:rPr>
                <w:rFonts w:ascii="Times New Roman"/>
                <w:sz w:val="18"/>
              </w:rPr>
              <w:t>8,247,394.22</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459,466.50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88" w:right="0"/>
              <w:jc w:val="left"/>
              <w:rPr>
                <w:rFonts w:ascii="Times New Roman" w:hAnsi="Times New Roman" w:cs="Times New Roman" w:eastAsia="Times New Roman" w:hint="default"/>
                <w:sz w:val="18"/>
                <w:szCs w:val="18"/>
              </w:rPr>
            </w:pPr>
            <w:r>
              <w:rPr>
                <w:rFonts w:ascii="Times New Roman"/>
                <w:sz w:val="18"/>
              </w:rPr>
              <w:t>7,787,927.72</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08"/>
              <w:jc w:val="left"/>
              <w:rPr>
                <w:rFonts w:ascii="宋体" w:hAnsi="宋体" w:cs="宋体" w:eastAsia="宋体" w:hint="default"/>
                <w:sz w:val="18"/>
                <w:szCs w:val="18"/>
              </w:rPr>
            </w:pPr>
            <w:r>
              <w:rPr>
                <w:rFonts w:ascii="宋体" w:hAnsi="宋体" w:cs="宋体" w:eastAsia="宋体" w:hint="default"/>
                <w:sz w:val="18"/>
                <w:szCs w:val="18"/>
              </w:rPr>
              <w:t>分期收款提供劳 务</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89" w:right="0"/>
              <w:jc w:val="left"/>
              <w:rPr>
                <w:rFonts w:ascii="Times New Roman" w:hAnsi="Times New Roman" w:cs="Times New Roman" w:eastAsia="Times New Roman" w:hint="default"/>
                <w:sz w:val="18"/>
                <w:szCs w:val="18"/>
              </w:rPr>
            </w:pPr>
            <w:r>
              <w:rPr>
                <w:rFonts w:ascii="Times New Roman"/>
                <w:sz w:val="18"/>
              </w:rPr>
              <w:t>8,247,394.22</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459,466.50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88" w:right="0"/>
              <w:jc w:val="left"/>
              <w:rPr>
                <w:rFonts w:ascii="Times New Roman" w:hAnsi="Times New Roman" w:cs="Times New Roman" w:eastAsia="Times New Roman" w:hint="default"/>
                <w:sz w:val="18"/>
                <w:szCs w:val="18"/>
              </w:rPr>
            </w:pPr>
            <w:r>
              <w:rPr>
                <w:rFonts w:ascii="Times New Roman"/>
                <w:sz w:val="18"/>
              </w:rPr>
              <w:t>7,787,927.72</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1394"/>
        <w:jc w:val="left"/>
      </w:pPr>
      <w:r>
        <w:rPr/>
        <w:t>坏账准备减值情况</w:t>
      </w:r>
    </w:p>
    <w:p>
      <w:pPr>
        <w:pStyle w:val="BodyText"/>
        <w:spacing w:line="240" w:lineRule="auto" w:before="117"/>
        <w:ind w:left="0" w:right="113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6"/>
        <w:gridCol w:w="1650"/>
        <w:gridCol w:w="2099"/>
        <w:gridCol w:w="2099"/>
        <w:gridCol w:w="1804"/>
      </w:tblGrid>
      <w:tr>
        <w:trPr>
          <w:trHeight w:val="400"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1"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2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3" w:right="0"/>
              <w:jc w:val="left"/>
              <w:rPr>
                <w:rFonts w:ascii="宋体" w:hAnsi="宋体" w:cs="宋体" w:eastAsia="宋体" w:hint="default"/>
                <w:sz w:val="18"/>
                <w:szCs w:val="18"/>
              </w:rPr>
            </w:pPr>
            <w:r>
              <w:rPr>
                <w:rFonts w:ascii="宋体" w:hAnsi="宋体" w:cs="宋体" w:eastAsia="宋体" w:hint="default"/>
                <w:sz w:val="18"/>
                <w:szCs w:val="18"/>
              </w:rPr>
              <w:t>第二阶段</w:t>
            </w:r>
          </w:p>
        </w:tc>
        <w:tc>
          <w:tcPr>
            <w:tcW w:w="2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4" w:right="0"/>
              <w:jc w:val="left"/>
              <w:rPr>
                <w:rFonts w:ascii="宋体" w:hAnsi="宋体" w:cs="宋体" w:eastAsia="宋体" w:hint="default"/>
                <w:sz w:val="18"/>
                <w:szCs w:val="18"/>
              </w:rPr>
            </w:pPr>
            <w:r>
              <w:rPr>
                <w:rFonts w:ascii="宋体" w:hAnsi="宋体" w:cs="宋体" w:eastAsia="宋体" w:hint="default"/>
                <w:sz w:val="18"/>
                <w:szCs w:val="18"/>
              </w:rPr>
              <w:t>第三阶段</w:t>
            </w:r>
          </w:p>
        </w:tc>
        <w:tc>
          <w:tcPr>
            <w:tcW w:w="1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after="0" w:line="240" w:lineRule="auto"/>
        <w:jc w:val="center"/>
        <w:rPr>
          <w:rFonts w:ascii="宋体" w:hAnsi="宋体" w:cs="宋体" w:eastAsia="宋体" w:hint="default"/>
          <w:sz w:val="18"/>
          <w:szCs w:val="18"/>
        </w:rPr>
        <w:sectPr>
          <w:pgSz w:w="11910" w:h="16840"/>
          <w:pgMar w:header="878" w:footer="978" w:top="1100" w:bottom="1160" w:left="1020" w:right="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1916"/>
        <w:gridCol w:w="1650"/>
        <w:gridCol w:w="2099"/>
        <w:gridCol w:w="2099"/>
        <w:gridCol w:w="1804"/>
      </w:tblGrid>
      <w:tr>
        <w:trPr>
          <w:trHeight w:val="71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550" w:right="54" w:hanging="495"/>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个月预期信 用损失</w:t>
            </w:r>
          </w:p>
        </w:tc>
        <w:tc>
          <w:tcPr>
            <w:tcW w:w="2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w:t>
            </w:r>
          </w:p>
        </w:tc>
        <w:tc>
          <w:tcPr>
            <w:tcW w:w="1650" w:type="dxa"/>
            <w:tcBorders>
              <w:top w:val="single" w:sz="4" w:space="0" w:color="000000"/>
              <w:left w:val="single" w:sz="4" w:space="0" w:color="000000"/>
              <w:bottom w:val="single" w:sz="4" w:space="0" w:color="000000"/>
              <w:right w:val="single" w:sz="4" w:space="0" w:color="000000"/>
            </w:tcBorders>
          </w:tcPr>
          <w:p>
            <w:pPr/>
          </w:p>
        </w:tc>
        <w:tc>
          <w:tcPr>
            <w:tcW w:w="2099" w:type="dxa"/>
            <w:tcBorders>
              <w:top w:val="single" w:sz="4" w:space="0" w:color="000000"/>
              <w:left w:val="single" w:sz="4" w:space="0" w:color="000000"/>
              <w:bottom w:val="single" w:sz="4" w:space="0" w:color="000000"/>
              <w:right w:val="single" w:sz="4" w:space="0" w:color="000000"/>
            </w:tcBorders>
          </w:tcPr>
          <w:p>
            <w:pPr/>
          </w:p>
        </w:tc>
        <w:tc>
          <w:tcPr>
            <w:tcW w:w="2099" w:type="dxa"/>
            <w:tcBorders>
              <w:top w:val="single" w:sz="4" w:space="0" w:color="000000"/>
              <w:left w:val="single" w:sz="4" w:space="0" w:color="000000"/>
              <w:bottom w:val="single" w:sz="4" w:space="0" w:color="000000"/>
              <w:right w:val="single" w:sz="4" w:space="0" w:color="000000"/>
            </w:tcBorders>
          </w:tcPr>
          <w:p>
            <w:pPr/>
          </w:p>
        </w:tc>
        <w:tc>
          <w:tcPr>
            <w:tcW w:w="180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22" w:right="36"/>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日余额在 本期</w:t>
            </w:r>
          </w:p>
        </w:tc>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转入第二阶段</w:t>
            </w:r>
          </w:p>
        </w:tc>
        <w:tc>
          <w:tcPr>
            <w:tcW w:w="1650" w:type="dxa"/>
            <w:tcBorders>
              <w:top w:val="single" w:sz="4" w:space="0" w:color="000000"/>
              <w:left w:val="single" w:sz="4" w:space="0" w:color="000000"/>
              <w:bottom w:val="single" w:sz="4" w:space="0" w:color="000000"/>
              <w:right w:val="single" w:sz="4" w:space="0" w:color="000000"/>
            </w:tcBorders>
          </w:tcPr>
          <w:p>
            <w:pPr/>
          </w:p>
        </w:tc>
        <w:tc>
          <w:tcPr>
            <w:tcW w:w="2099" w:type="dxa"/>
            <w:tcBorders>
              <w:top w:val="single" w:sz="4" w:space="0" w:color="000000"/>
              <w:left w:val="single" w:sz="4" w:space="0" w:color="000000"/>
              <w:bottom w:val="single" w:sz="4" w:space="0" w:color="000000"/>
              <w:right w:val="single" w:sz="4" w:space="0" w:color="000000"/>
            </w:tcBorders>
          </w:tcPr>
          <w:p>
            <w:pPr/>
          </w:p>
        </w:tc>
        <w:tc>
          <w:tcPr>
            <w:tcW w:w="2099" w:type="dxa"/>
            <w:tcBorders>
              <w:top w:val="single" w:sz="4" w:space="0" w:color="000000"/>
              <w:left w:val="single" w:sz="4" w:space="0" w:color="000000"/>
              <w:bottom w:val="single" w:sz="4" w:space="0" w:color="000000"/>
              <w:right w:val="single" w:sz="4" w:space="0" w:color="000000"/>
            </w:tcBorders>
          </w:tcPr>
          <w:p>
            <w:pPr/>
          </w:p>
        </w:tc>
        <w:tc>
          <w:tcPr>
            <w:tcW w:w="180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转入第三阶段</w:t>
            </w:r>
          </w:p>
        </w:tc>
        <w:tc>
          <w:tcPr>
            <w:tcW w:w="1650" w:type="dxa"/>
            <w:tcBorders>
              <w:top w:val="single" w:sz="4" w:space="0" w:color="000000"/>
              <w:left w:val="single" w:sz="4" w:space="0" w:color="000000"/>
              <w:bottom w:val="single" w:sz="4" w:space="0" w:color="000000"/>
              <w:right w:val="single" w:sz="4" w:space="0" w:color="000000"/>
            </w:tcBorders>
          </w:tcPr>
          <w:p>
            <w:pPr/>
          </w:p>
        </w:tc>
        <w:tc>
          <w:tcPr>
            <w:tcW w:w="2099" w:type="dxa"/>
            <w:tcBorders>
              <w:top w:val="single" w:sz="4" w:space="0" w:color="000000"/>
              <w:left w:val="single" w:sz="4" w:space="0" w:color="000000"/>
              <w:bottom w:val="single" w:sz="4" w:space="0" w:color="000000"/>
              <w:right w:val="single" w:sz="4" w:space="0" w:color="000000"/>
            </w:tcBorders>
          </w:tcPr>
          <w:p>
            <w:pPr/>
          </w:p>
        </w:tc>
        <w:tc>
          <w:tcPr>
            <w:tcW w:w="2099" w:type="dxa"/>
            <w:tcBorders>
              <w:top w:val="single" w:sz="4" w:space="0" w:color="000000"/>
              <w:left w:val="single" w:sz="4" w:space="0" w:color="000000"/>
              <w:bottom w:val="single" w:sz="4" w:space="0" w:color="000000"/>
              <w:right w:val="single" w:sz="4" w:space="0" w:color="000000"/>
            </w:tcBorders>
          </w:tcPr>
          <w:p>
            <w:pPr/>
          </w:p>
        </w:tc>
        <w:tc>
          <w:tcPr>
            <w:tcW w:w="180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转回第二阶段</w:t>
            </w:r>
          </w:p>
        </w:tc>
        <w:tc>
          <w:tcPr>
            <w:tcW w:w="1650" w:type="dxa"/>
            <w:tcBorders>
              <w:top w:val="single" w:sz="4" w:space="0" w:color="000000"/>
              <w:left w:val="single" w:sz="4" w:space="0" w:color="000000"/>
              <w:bottom w:val="single" w:sz="4" w:space="0" w:color="000000"/>
              <w:right w:val="single" w:sz="4" w:space="0" w:color="000000"/>
            </w:tcBorders>
          </w:tcPr>
          <w:p>
            <w:pPr/>
          </w:p>
        </w:tc>
        <w:tc>
          <w:tcPr>
            <w:tcW w:w="2099" w:type="dxa"/>
            <w:tcBorders>
              <w:top w:val="single" w:sz="4" w:space="0" w:color="000000"/>
              <w:left w:val="single" w:sz="4" w:space="0" w:color="000000"/>
              <w:bottom w:val="single" w:sz="4" w:space="0" w:color="000000"/>
              <w:right w:val="single" w:sz="4" w:space="0" w:color="000000"/>
            </w:tcBorders>
          </w:tcPr>
          <w:p>
            <w:pPr/>
          </w:p>
        </w:tc>
        <w:tc>
          <w:tcPr>
            <w:tcW w:w="2099" w:type="dxa"/>
            <w:tcBorders>
              <w:top w:val="single" w:sz="4" w:space="0" w:color="000000"/>
              <w:left w:val="single" w:sz="4" w:space="0" w:color="000000"/>
              <w:bottom w:val="single" w:sz="4" w:space="0" w:color="000000"/>
              <w:right w:val="single" w:sz="4" w:space="0" w:color="000000"/>
            </w:tcBorders>
          </w:tcPr>
          <w:p>
            <w:pPr/>
          </w:p>
        </w:tc>
        <w:tc>
          <w:tcPr>
            <w:tcW w:w="180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转回第一阶段</w:t>
            </w:r>
          </w:p>
        </w:tc>
        <w:tc>
          <w:tcPr>
            <w:tcW w:w="1650" w:type="dxa"/>
            <w:tcBorders>
              <w:top w:val="single" w:sz="4" w:space="0" w:color="000000"/>
              <w:left w:val="single" w:sz="4" w:space="0" w:color="000000"/>
              <w:bottom w:val="single" w:sz="4" w:space="0" w:color="000000"/>
              <w:right w:val="single" w:sz="4" w:space="0" w:color="000000"/>
            </w:tcBorders>
          </w:tcPr>
          <w:p>
            <w:pPr/>
          </w:p>
        </w:tc>
        <w:tc>
          <w:tcPr>
            <w:tcW w:w="2099" w:type="dxa"/>
            <w:tcBorders>
              <w:top w:val="single" w:sz="4" w:space="0" w:color="000000"/>
              <w:left w:val="single" w:sz="4" w:space="0" w:color="000000"/>
              <w:bottom w:val="single" w:sz="4" w:space="0" w:color="000000"/>
              <w:right w:val="single" w:sz="4" w:space="0" w:color="000000"/>
            </w:tcBorders>
          </w:tcPr>
          <w:p>
            <w:pPr/>
          </w:p>
        </w:tc>
        <w:tc>
          <w:tcPr>
            <w:tcW w:w="2099" w:type="dxa"/>
            <w:tcBorders>
              <w:top w:val="single" w:sz="4" w:space="0" w:color="000000"/>
              <w:left w:val="single" w:sz="4" w:space="0" w:color="000000"/>
              <w:bottom w:val="single" w:sz="4" w:space="0" w:color="000000"/>
              <w:right w:val="single" w:sz="4" w:space="0" w:color="000000"/>
            </w:tcBorders>
          </w:tcPr>
          <w:p>
            <w:pPr/>
          </w:p>
        </w:tc>
        <w:tc>
          <w:tcPr>
            <w:tcW w:w="180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459,466.50</w:t>
            </w:r>
          </w:p>
        </w:tc>
        <w:tc>
          <w:tcPr>
            <w:tcW w:w="2099" w:type="dxa"/>
            <w:tcBorders>
              <w:top w:val="single" w:sz="4" w:space="0" w:color="000000"/>
              <w:left w:val="single" w:sz="4" w:space="0" w:color="000000"/>
              <w:bottom w:val="single" w:sz="4" w:space="0" w:color="000000"/>
              <w:right w:val="single" w:sz="4" w:space="0" w:color="000000"/>
            </w:tcBorders>
          </w:tcPr>
          <w:p>
            <w:pPr/>
          </w:p>
        </w:tc>
        <w:tc>
          <w:tcPr>
            <w:tcW w:w="2099" w:type="dxa"/>
            <w:tcBorders>
              <w:top w:val="single" w:sz="4" w:space="0" w:color="000000"/>
              <w:left w:val="single" w:sz="4" w:space="0" w:color="000000"/>
              <w:bottom w:val="single" w:sz="4" w:space="0" w:color="000000"/>
              <w:right w:val="single" w:sz="4" w:space="0" w:color="000000"/>
            </w:tcBorders>
          </w:tcPr>
          <w:p>
            <w:pP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459,466.50</w:t>
            </w:r>
          </w:p>
        </w:tc>
      </w:tr>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本期转回</w:t>
            </w:r>
          </w:p>
        </w:tc>
        <w:tc>
          <w:tcPr>
            <w:tcW w:w="1650" w:type="dxa"/>
            <w:tcBorders>
              <w:top w:val="single" w:sz="4" w:space="0" w:color="000000"/>
              <w:left w:val="single" w:sz="4" w:space="0" w:color="000000"/>
              <w:bottom w:val="single" w:sz="4" w:space="0" w:color="000000"/>
              <w:right w:val="single" w:sz="4" w:space="0" w:color="000000"/>
            </w:tcBorders>
          </w:tcPr>
          <w:p>
            <w:pPr/>
          </w:p>
        </w:tc>
        <w:tc>
          <w:tcPr>
            <w:tcW w:w="2099" w:type="dxa"/>
            <w:tcBorders>
              <w:top w:val="single" w:sz="4" w:space="0" w:color="000000"/>
              <w:left w:val="single" w:sz="4" w:space="0" w:color="000000"/>
              <w:bottom w:val="single" w:sz="4" w:space="0" w:color="000000"/>
              <w:right w:val="single" w:sz="4" w:space="0" w:color="000000"/>
            </w:tcBorders>
          </w:tcPr>
          <w:p>
            <w:pPr/>
          </w:p>
        </w:tc>
        <w:tc>
          <w:tcPr>
            <w:tcW w:w="2099" w:type="dxa"/>
            <w:tcBorders>
              <w:top w:val="single" w:sz="4" w:space="0" w:color="000000"/>
              <w:left w:val="single" w:sz="4" w:space="0" w:color="000000"/>
              <w:bottom w:val="single" w:sz="4" w:space="0" w:color="000000"/>
              <w:right w:val="single" w:sz="4" w:space="0" w:color="000000"/>
            </w:tcBorders>
          </w:tcPr>
          <w:p>
            <w:pPr/>
          </w:p>
        </w:tc>
        <w:tc>
          <w:tcPr>
            <w:tcW w:w="180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本期转销</w:t>
            </w:r>
          </w:p>
        </w:tc>
        <w:tc>
          <w:tcPr>
            <w:tcW w:w="1650" w:type="dxa"/>
            <w:tcBorders>
              <w:top w:val="single" w:sz="4" w:space="0" w:color="000000"/>
              <w:left w:val="single" w:sz="4" w:space="0" w:color="000000"/>
              <w:bottom w:val="single" w:sz="4" w:space="0" w:color="000000"/>
              <w:right w:val="single" w:sz="4" w:space="0" w:color="000000"/>
            </w:tcBorders>
          </w:tcPr>
          <w:p>
            <w:pPr/>
          </w:p>
        </w:tc>
        <w:tc>
          <w:tcPr>
            <w:tcW w:w="2099" w:type="dxa"/>
            <w:tcBorders>
              <w:top w:val="single" w:sz="4" w:space="0" w:color="000000"/>
              <w:left w:val="single" w:sz="4" w:space="0" w:color="000000"/>
              <w:bottom w:val="single" w:sz="4" w:space="0" w:color="000000"/>
              <w:right w:val="single" w:sz="4" w:space="0" w:color="000000"/>
            </w:tcBorders>
          </w:tcPr>
          <w:p>
            <w:pPr/>
          </w:p>
        </w:tc>
        <w:tc>
          <w:tcPr>
            <w:tcW w:w="2099" w:type="dxa"/>
            <w:tcBorders>
              <w:top w:val="single" w:sz="4" w:space="0" w:color="000000"/>
              <w:left w:val="single" w:sz="4" w:space="0" w:color="000000"/>
              <w:bottom w:val="single" w:sz="4" w:space="0" w:color="000000"/>
              <w:right w:val="single" w:sz="4" w:space="0" w:color="000000"/>
            </w:tcBorders>
          </w:tcPr>
          <w:p>
            <w:pPr/>
          </w:p>
        </w:tc>
        <w:tc>
          <w:tcPr>
            <w:tcW w:w="180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本期核销</w:t>
            </w:r>
          </w:p>
        </w:tc>
        <w:tc>
          <w:tcPr>
            <w:tcW w:w="1650" w:type="dxa"/>
            <w:tcBorders>
              <w:top w:val="single" w:sz="4" w:space="0" w:color="000000"/>
              <w:left w:val="single" w:sz="4" w:space="0" w:color="000000"/>
              <w:bottom w:val="single" w:sz="4" w:space="0" w:color="000000"/>
              <w:right w:val="single" w:sz="4" w:space="0" w:color="000000"/>
            </w:tcBorders>
          </w:tcPr>
          <w:p>
            <w:pPr/>
          </w:p>
        </w:tc>
        <w:tc>
          <w:tcPr>
            <w:tcW w:w="2099" w:type="dxa"/>
            <w:tcBorders>
              <w:top w:val="single" w:sz="4" w:space="0" w:color="000000"/>
              <w:left w:val="single" w:sz="4" w:space="0" w:color="000000"/>
              <w:bottom w:val="single" w:sz="4" w:space="0" w:color="000000"/>
              <w:right w:val="single" w:sz="4" w:space="0" w:color="000000"/>
            </w:tcBorders>
          </w:tcPr>
          <w:p>
            <w:pPr/>
          </w:p>
        </w:tc>
        <w:tc>
          <w:tcPr>
            <w:tcW w:w="2099" w:type="dxa"/>
            <w:tcBorders>
              <w:top w:val="single" w:sz="4" w:space="0" w:color="000000"/>
              <w:left w:val="single" w:sz="4" w:space="0" w:color="000000"/>
              <w:bottom w:val="single" w:sz="4" w:space="0" w:color="000000"/>
              <w:right w:val="single" w:sz="4" w:space="0" w:color="000000"/>
            </w:tcBorders>
          </w:tcPr>
          <w:p>
            <w:pPr/>
          </w:p>
        </w:tc>
        <w:tc>
          <w:tcPr>
            <w:tcW w:w="180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650" w:type="dxa"/>
            <w:tcBorders>
              <w:top w:val="single" w:sz="4" w:space="0" w:color="000000"/>
              <w:left w:val="single" w:sz="4" w:space="0" w:color="000000"/>
              <w:bottom w:val="single" w:sz="4" w:space="0" w:color="000000"/>
              <w:right w:val="single" w:sz="4" w:space="0" w:color="000000"/>
            </w:tcBorders>
          </w:tcPr>
          <w:p>
            <w:pPr/>
          </w:p>
        </w:tc>
        <w:tc>
          <w:tcPr>
            <w:tcW w:w="2099" w:type="dxa"/>
            <w:tcBorders>
              <w:top w:val="single" w:sz="4" w:space="0" w:color="000000"/>
              <w:left w:val="single" w:sz="4" w:space="0" w:color="000000"/>
              <w:bottom w:val="single" w:sz="4" w:space="0" w:color="000000"/>
              <w:right w:val="single" w:sz="4" w:space="0" w:color="000000"/>
            </w:tcBorders>
          </w:tcPr>
          <w:p>
            <w:pPr/>
          </w:p>
        </w:tc>
        <w:tc>
          <w:tcPr>
            <w:tcW w:w="2099" w:type="dxa"/>
            <w:tcBorders>
              <w:top w:val="single" w:sz="4" w:space="0" w:color="000000"/>
              <w:left w:val="single" w:sz="4" w:space="0" w:color="000000"/>
              <w:bottom w:val="single" w:sz="4" w:space="0" w:color="000000"/>
              <w:right w:val="single" w:sz="4" w:space="0" w:color="000000"/>
            </w:tcBorders>
          </w:tcPr>
          <w:p>
            <w:pPr/>
          </w:p>
        </w:tc>
        <w:tc>
          <w:tcPr>
            <w:tcW w:w="180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459,466.50</w:t>
            </w:r>
          </w:p>
        </w:tc>
        <w:tc>
          <w:tcPr>
            <w:tcW w:w="2099" w:type="dxa"/>
            <w:tcBorders>
              <w:top w:val="single" w:sz="4" w:space="0" w:color="000000"/>
              <w:left w:val="single" w:sz="4" w:space="0" w:color="000000"/>
              <w:bottom w:val="single" w:sz="4" w:space="0" w:color="000000"/>
              <w:right w:val="single" w:sz="4" w:space="0" w:color="000000"/>
            </w:tcBorders>
          </w:tcPr>
          <w:p>
            <w:pPr/>
          </w:p>
        </w:tc>
        <w:tc>
          <w:tcPr>
            <w:tcW w:w="2099" w:type="dxa"/>
            <w:tcBorders>
              <w:top w:val="single" w:sz="4" w:space="0" w:color="000000"/>
              <w:left w:val="single" w:sz="4" w:space="0" w:color="000000"/>
              <w:bottom w:val="single" w:sz="4" w:space="0" w:color="000000"/>
              <w:right w:val="single" w:sz="4" w:space="0" w:color="000000"/>
            </w:tcBorders>
          </w:tcPr>
          <w:p>
            <w:pP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459,466.50</w:t>
            </w:r>
          </w:p>
        </w:tc>
      </w:tr>
    </w:tbl>
    <w:p>
      <w:pPr>
        <w:spacing w:line="240" w:lineRule="auto" w:before="4"/>
        <w:rPr>
          <w:rFonts w:ascii="宋体" w:hAnsi="宋体" w:cs="宋体" w:eastAsia="宋体" w:hint="default"/>
          <w:sz w:val="19"/>
          <w:szCs w:val="19"/>
        </w:rPr>
      </w:pPr>
    </w:p>
    <w:p>
      <w:pPr>
        <w:pStyle w:val="Heading3"/>
        <w:spacing w:line="240" w:lineRule="auto"/>
        <w:ind w:right="1394"/>
        <w:jc w:val="left"/>
        <w:rPr>
          <w:b w:val="0"/>
          <w:bCs w:val="0"/>
        </w:rPr>
      </w:pPr>
      <w:bookmarkStart w:name="（2）因金融资产转移而终止确认的长期应收款" w:id="248"/>
      <w:bookmarkEnd w:id="248"/>
      <w:r>
        <w:rPr>
          <w:b w:val="0"/>
          <w:bCs w:val="0"/>
        </w:rPr>
      </w:r>
      <w:r>
        <w:rPr/>
        <w:t>（</w:t>
      </w:r>
      <w:r>
        <w:rPr>
          <w:rFonts w:ascii="Times New Roman" w:hAnsi="Times New Roman" w:cs="Times New Roman" w:eastAsia="Times New Roman" w:hint="default"/>
        </w:rPr>
        <w:t>2</w:t>
      </w:r>
      <w:r>
        <w:rPr/>
        <w:t>）因金融资产转移而终止确认的长期应收款</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394"/>
        <w:jc w:val="left"/>
      </w:pPr>
      <w:r>
        <w:rPr/>
        <w:t>本期没有因金融资产转移而终止确认的长期应收款。</w:t>
      </w:r>
    </w:p>
    <w:p>
      <w:pPr>
        <w:spacing w:line="240" w:lineRule="auto" w:before="11"/>
        <w:rPr>
          <w:rFonts w:ascii="宋体" w:hAnsi="宋体" w:cs="宋体" w:eastAsia="宋体" w:hint="default"/>
          <w:sz w:val="26"/>
          <w:szCs w:val="26"/>
        </w:rPr>
      </w:pPr>
    </w:p>
    <w:p>
      <w:pPr>
        <w:pStyle w:val="Heading3"/>
        <w:spacing w:line="240" w:lineRule="auto" w:before="0"/>
        <w:ind w:right="1394"/>
        <w:jc w:val="left"/>
        <w:rPr>
          <w:b w:val="0"/>
          <w:bCs w:val="0"/>
        </w:rPr>
      </w:pPr>
      <w:bookmarkStart w:name="（3）转移长期应收款且继续涉入形成的资产、负债金额" w:id="249"/>
      <w:bookmarkEnd w:id="249"/>
      <w:r>
        <w:rPr>
          <w:b w:val="0"/>
          <w:bCs w:val="0"/>
        </w:rPr>
      </w:r>
      <w:r>
        <w:rPr/>
        <w:t>（</w:t>
      </w:r>
      <w:r>
        <w:rPr>
          <w:rFonts w:ascii="Times New Roman" w:hAnsi="Times New Roman" w:cs="Times New Roman" w:eastAsia="Times New Roman" w:hint="default"/>
        </w:rPr>
        <w:t>3</w:t>
      </w:r>
      <w:r>
        <w:rPr/>
        <w:t>）转移长期应收款且继续涉入形成的资产、负债金额</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394"/>
        <w:jc w:val="left"/>
      </w:pPr>
      <w:r>
        <w:rPr/>
        <w:t>本期没有转移长期应收款且继续涉入形成的资产、负债。</w:t>
      </w:r>
    </w:p>
    <w:p>
      <w:pPr>
        <w:spacing w:line="240" w:lineRule="auto" w:before="0"/>
        <w:rPr>
          <w:rFonts w:ascii="宋体" w:hAnsi="宋体" w:cs="宋体" w:eastAsia="宋体" w:hint="default"/>
          <w:sz w:val="18"/>
          <w:szCs w:val="18"/>
        </w:rPr>
      </w:pPr>
    </w:p>
    <w:p>
      <w:pPr>
        <w:pStyle w:val="Heading3"/>
        <w:spacing w:line="240" w:lineRule="auto" w:before="118"/>
        <w:ind w:right="1394"/>
        <w:jc w:val="left"/>
        <w:rPr>
          <w:b w:val="0"/>
          <w:bCs w:val="0"/>
        </w:rPr>
      </w:pPr>
      <w:bookmarkStart w:name="11、长期股权投资" w:id="250"/>
      <w:bookmarkEnd w:id="250"/>
      <w:r>
        <w:rPr>
          <w:b w:val="0"/>
          <w:bCs w:val="0"/>
        </w:rPr>
      </w:r>
      <w:r>
        <w:rPr>
          <w:rFonts w:ascii="Times New Roman" w:hAnsi="Times New Roman" w:cs="Times New Roman" w:eastAsia="Times New Roman" w:hint="default"/>
        </w:rPr>
        <w:t>11</w:t>
      </w:r>
      <w:r>
        <w:rPr/>
        <w:t>、长期股权投资</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796"/>
        <w:gridCol w:w="797"/>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316" w:lineRule="auto"/>
              <w:ind w:left="303" w:right="32" w:hanging="272"/>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09" w:lineRule="auto"/>
              <w:ind w:left="33" w:right="32"/>
              <w:jc w:val="center"/>
              <w:rPr>
                <w:rFonts w:ascii="Times New Roman" w:hAnsi="Times New Roman" w:cs="Times New Roman" w:eastAsia="Times New Roman" w:hint="default"/>
                <w:sz w:val="18"/>
                <w:szCs w:val="18"/>
              </w:rPr>
            </w:pPr>
            <w:r>
              <w:rPr>
                <w:rFonts w:ascii="宋体" w:hAnsi="宋体" w:cs="宋体" w:eastAsia="宋体" w:hint="default"/>
                <w:sz w:val="18"/>
                <w:szCs w:val="18"/>
              </w:rPr>
              <w:t>期初余额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09" w:lineRule="auto"/>
              <w:ind w:left="33" w:right="32"/>
              <w:jc w:val="center"/>
              <w:rPr>
                <w:rFonts w:ascii="Times New Roman" w:hAnsi="Times New Roman" w:cs="Times New Roman" w:eastAsia="Times New Roman" w:hint="default"/>
                <w:sz w:val="18"/>
                <w:szCs w:val="18"/>
              </w:rPr>
            </w:pPr>
            <w:r>
              <w:rPr>
                <w:rFonts w:ascii="宋体" w:hAnsi="宋体" w:cs="宋体" w:eastAsia="宋体" w:hint="default"/>
                <w:sz w:val="18"/>
                <w:szCs w:val="18"/>
              </w:rPr>
              <w:t>期末余额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316" w:lineRule="auto"/>
              <w:ind w:left="35"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35"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2"/>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5"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5"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一、联营企业</w:t>
            </w: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重庆中余 锦通科技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1,105,448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-24,618.9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1,080,829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.29</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356" w:hRule="exact"/>
        </w:trPr>
        <w:tc>
          <w:tcPr>
            <w:tcW w:w="7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广州市广</w:t>
            </w: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317"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百小额贷</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57,033,25</w:t>
            </w: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pacing w:val="-1"/>
                <w:sz w:val="18"/>
              </w:rPr>
              <w:t>-536,460.</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1,550,947</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54,945,84</w:t>
            </w:r>
          </w:p>
        </w:tc>
        <w:tc>
          <w:tcPr>
            <w:tcW w:w="798" w:type="dxa"/>
            <w:vMerge/>
            <w:tcBorders>
              <w:left w:val="single" w:sz="4" w:space="0" w:color="000000"/>
              <w:right w:val="single" w:sz="4" w:space="0" w:color="000000"/>
            </w:tcBorders>
          </w:tcPr>
          <w:p>
            <w:pPr/>
          </w:p>
        </w:tc>
      </w:tr>
      <w:tr>
        <w:trPr>
          <w:trHeight w:val="312"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款有限公</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1"/>
              <w:jc w:val="right"/>
              <w:rPr>
                <w:rFonts w:ascii="Times New Roman" w:hAnsi="Times New Roman" w:cs="Times New Roman" w:eastAsia="Times New Roman" w:hint="default"/>
                <w:sz w:val="18"/>
                <w:szCs w:val="18"/>
              </w:rPr>
            </w:pPr>
            <w:r>
              <w:rPr>
                <w:rFonts w:ascii="Times New Roman"/>
                <w:spacing w:val="-1"/>
                <w:sz w:val="18"/>
              </w:rPr>
              <w:t>1.36</w:t>
            </w: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z w:val="18"/>
              </w:rPr>
              <w:t>01</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.38</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1"/>
              <w:jc w:val="right"/>
              <w:rPr>
                <w:rFonts w:ascii="Times New Roman" w:hAnsi="Times New Roman" w:cs="Times New Roman" w:eastAsia="Times New Roman" w:hint="default"/>
                <w:sz w:val="18"/>
                <w:szCs w:val="18"/>
              </w:rPr>
            </w:pPr>
            <w:r>
              <w:rPr>
                <w:rFonts w:ascii="Times New Roman"/>
                <w:spacing w:val="-1"/>
                <w:sz w:val="18"/>
              </w:rPr>
              <w:t>3.97</w:t>
            </w:r>
          </w:p>
        </w:tc>
        <w:tc>
          <w:tcPr>
            <w:tcW w:w="798" w:type="dxa"/>
            <w:vMerge/>
            <w:tcBorders>
              <w:left w:val="single" w:sz="4" w:space="0" w:color="000000"/>
              <w:right w:val="single" w:sz="4" w:space="0" w:color="000000"/>
            </w:tcBorders>
          </w:tcPr>
          <w:p>
            <w:pPr/>
          </w:p>
        </w:tc>
      </w:tr>
      <w:tr>
        <w:trPr>
          <w:trHeight w:val="351" w:hRule="exact"/>
        </w:trPr>
        <w:tc>
          <w:tcPr>
            <w:tcW w:w="7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bl>
    <w:p>
      <w:pPr>
        <w:spacing w:after="0"/>
        <w:sectPr>
          <w:pgSz w:w="11910" w:h="16840"/>
          <w:pgMar w:header="878" w:footer="978" w:top="1100" w:bottom="1160" w:left="102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09" w:type="dxa"/>
        <w:tblLayout w:type="fixed"/>
        <w:tblCellMar>
          <w:top w:w="0" w:type="dxa"/>
          <w:left w:w="0" w:type="dxa"/>
          <w:bottom w:w="0" w:type="dxa"/>
          <w:right w:w="0" w:type="dxa"/>
        </w:tblCellMar>
        <w:tblLook w:val="01E0"/>
      </w:tblPr>
      <w:tblGrid>
        <w:gridCol w:w="796"/>
        <w:gridCol w:w="797"/>
        <w:gridCol w:w="797"/>
        <w:gridCol w:w="798"/>
        <w:gridCol w:w="798"/>
        <w:gridCol w:w="798"/>
        <w:gridCol w:w="798"/>
        <w:gridCol w:w="798"/>
        <w:gridCol w:w="798"/>
        <w:gridCol w:w="798"/>
        <w:gridCol w:w="798"/>
        <w:gridCol w:w="798"/>
      </w:tblGrid>
      <w:tr>
        <w:trPr>
          <w:trHeight w:val="356" w:hRule="exact"/>
        </w:trPr>
        <w:tc>
          <w:tcPr>
            <w:tcW w:w="7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广州广电</w:t>
            </w: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317"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计量检测</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505,946,2</w:t>
            </w: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17,778,86</w:t>
            </w: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-76,229,7</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447,495,3</w:t>
            </w:r>
          </w:p>
        </w:tc>
        <w:tc>
          <w:tcPr>
            <w:tcW w:w="798" w:type="dxa"/>
            <w:vMerge/>
            <w:tcBorders>
              <w:left w:val="single" w:sz="4" w:space="0" w:color="000000"/>
              <w:right w:val="single" w:sz="4" w:space="0" w:color="000000"/>
            </w:tcBorders>
          </w:tcPr>
          <w:p>
            <w:pPr/>
          </w:p>
        </w:tc>
      </w:tr>
      <w:tr>
        <w:trPr>
          <w:trHeight w:val="312"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股份有限</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z w:val="18"/>
              </w:rPr>
              <w:t>74.15</w:t>
            </w: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1"/>
              <w:jc w:val="right"/>
              <w:rPr>
                <w:rFonts w:ascii="Times New Roman" w:hAnsi="Times New Roman" w:cs="Times New Roman" w:eastAsia="Times New Roman" w:hint="default"/>
                <w:sz w:val="18"/>
                <w:szCs w:val="18"/>
              </w:rPr>
            </w:pPr>
            <w:r>
              <w:rPr>
                <w:rFonts w:ascii="Times New Roman"/>
                <w:spacing w:val="-1"/>
                <w:sz w:val="18"/>
              </w:rPr>
              <w:t>6.90</w:t>
            </w: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z w:val="18"/>
              </w:rPr>
              <w:t>42.99</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z w:val="18"/>
              </w:rPr>
              <w:t>98.06</w:t>
            </w:r>
          </w:p>
        </w:tc>
        <w:tc>
          <w:tcPr>
            <w:tcW w:w="798" w:type="dxa"/>
            <w:vMerge/>
            <w:tcBorders>
              <w:left w:val="single" w:sz="4" w:space="0" w:color="000000"/>
              <w:right w:val="single" w:sz="4" w:space="0" w:color="000000"/>
            </w:tcBorders>
          </w:tcPr>
          <w:p>
            <w:pPr/>
          </w:p>
        </w:tc>
      </w:tr>
      <w:tr>
        <w:trPr>
          <w:trHeight w:val="353" w:hRule="exact"/>
        </w:trPr>
        <w:tc>
          <w:tcPr>
            <w:tcW w:w="7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358" w:hRule="exact"/>
        </w:trPr>
        <w:tc>
          <w:tcPr>
            <w:tcW w:w="7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广东美电</w:t>
            </w: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317"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贝尔科技</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14,929,26</w:t>
            </w: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pacing w:val="-1"/>
                <w:sz w:val="18"/>
              </w:rPr>
              <w:t>-216,286.</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-14,712,9</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r>
      <w:tr>
        <w:trPr>
          <w:trHeight w:val="312"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集团股份</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1"/>
              <w:jc w:val="right"/>
              <w:rPr>
                <w:rFonts w:ascii="Times New Roman" w:hAnsi="Times New Roman" w:cs="Times New Roman" w:eastAsia="Times New Roman" w:hint="default"/>
                <w:sz w:val="18"/>
                <w:szCs w:val="18"/>
              </w:rPr>
            </w:pPr>
            <w:r>
              <w:rPr>
                <w:rFonts w:ascii="Times New Roman"/>
                <w:spacing w:val="-1"/>
                <w:sz w:val="18"/>
              </w:rPr>
              <w:t>4.25</w:t>
            </w: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z w:val="18"/>
              </w:rPr>
              <w:t>34</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77.91</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r>
      <w:tr>
        <w:trPr>
          <w:trHeight w:val="352" w:hRule="exact"/>
        </w:trPr>
        <w:tc>
          <w:tcPr>
            <w:tcW w:w="7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356" w:hRule="exact"/>
        </w:trPr>
        <w:tc>
          <w:tcPr>
            <w:tcW w:w="7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广州市力</w:t>
            </w: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629"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41"/>
              <w:jc w:val="left"/>
              <w:rPr>
                <w:rFonts w:ascii="宋体" w:hAnsi="宋体" w:cs="宋体" w:eastAsia="宋体" w:hint="default"/>
                <w:sz w:val="18"/>
                <w:szCs w:val="18"/>
              </w:rPr>
            </w:pPr>
            <w:r>
              <w:rPr>
                <w:rFonts w:ascii="宋体" w:hAnsi="宋体" w:cs="宋体" w:eastAsia="宋体" w:hint="default"/>
                <w:sz w:val="18"/>
                <w:szCs w:val="18"/>
              </w:rPr>
              <w:t>沛企业管 理咨询有</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802,198.8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w:t>
            </w: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-5,770.78</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250,179.0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546,249.0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w:t>
            </w:r>
          </w:p>
        </w:tc>
        <w:tc>
          <w:tcPr>
            <w:tcW w:w="798" w:type="dxa"/>
            <w:vMerge/>
            <w:tcBorders>
              <w:left w:val="single" w:sz="4" w:space="0" w:color="000000"/>
              <w:right w:val="single" w:sz="4" w:space="0" w:color="000000"/>
            </w:tcBorders>
          </w:tcPr>
          <w:p>
            <w:pPr/>
          </w:p>
        </w:tc>
      </w:tr>
      <w:tr>
        <w:trPr>
          <w:trHeight w:val="353" w:hRule="exact"/>
        </w:trPr>
        <w:tc>
          <w:tcPr>
            <w:tcW w:w="7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358" w:hRule="exact"/>
        </w:trPr>
        <w:tc>
          <w:tcPr>
            <w:tcW w:w="7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广州运通</w:t>
            </w: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317"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链达金服</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3,723,264</w:t>
            </w: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pacing w:val="-1"/>
                <w:sz w:val="18"/>
              </w:rPr>
              <w:t>-880,941.</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2,842,323</w:t>
            </w:r>
          </w:p>
        </w:tc>
        <w:tc>
          <w:tcPr>
            <w:tcW w:w="798" w:type="dxa"/>
            <w:vMerge/>
            <w:tcBorders>
              <w:left w:val="single" w:sz="4" w:space="0" w:color="000000"/>
              <w:right w:val="single" w:sz="4" w:space="0" w:color="000000"/>
            </w:tcBorders>
          </w:tcPr>
          <w:p>
            <w:pPr/>
          </w:p>
        </w:tc>
      </w:tr>
      <w:tr>
        <w:trPr>
          <w:trHeight w:val="312"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科技有限</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z w:val="18"/>
              </w:rPr>
              <w:t>.86</w:t>
            </w: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z w:val="18"/>
              </w:rPr>
              <w:t>03</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z w:val="18"/>
              </w:rPr>
              <w:t>.83</w:t>
            </w:r>
          </w:p>
        </w:tc>
        <w:tc>
          <w:tcPr>
            <w:tcW w:w="798" w:type="dxa"/>
            <w:vMerge/>
            <w:tcBorders>
              <w:left w:val="single" w:sz="4" w:space="0" w:color="000000"/>
              <w:right w:val="single" w:sz="4" w:space="0" w:color="000000"/>
            </w:tcBorders>
          </w:tcPr>
          <w:p>
            <w:pPr/>
          </w:p>
        </w:tc>
      </w:tr>
      <w:tr>
        <w:trPr>
          <w:trHeight w:val="352" w:hRule="exact"/>
        </w:trPr>
        <w:tc>
          <w:tcPr>
            <w:tcW w:w="7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41"/>
              <w:jc w:val="both"/>
              <w:rPr>
                <w:rFonts w:ascii="宋体" w:hAnsi="宋体" w:cs="宋体" w:eastAsia="宋体" w:hint="default"/>
                <w:sz w:val="18"/>
                <w:szCs w:val="18"/>
              </w:rPr>
            </w:pPr>
            <w:r>
              <w:rPr>
                <w:rFonts w:ascii="宋体" w:hAnsi="宋体" w:cs="宋体" w:eastAsia="宋体" w:hint="default"/>
                <w:sz w:val="18"/>
                <w:szCs w:val="18"/>
              </w:rPr>
              <w:t>广州辉远 电子技术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1,314,826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-173,783.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840,014.6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301,028.2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840,014.6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r>
      <w:tr>
        <w:trPr>
          <w:trHeight w:val="358" w:hRule="exact"/>
        </w:trPr>
        <w:tc>
          <w:tcPr>
            <w:tcW w:w="7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深圳市国</w:t>
            </w: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317"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信运通基</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2,911,212</w:t>
            </w: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703,431.8</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3,614,644</w:t>
            </w:r>
          </w:p>
        </w:tc>
        <w:tc>
          <w:tcPr>
            <w:tcW w:w="798" w:type="dxa"/>
            <w:vMerge/>
            <w:tcBorders>
              <w:left w:val="single" w:sz="4" w:space="0" w:color="000000"/>
              <w:right w:val="single" w:sz="4" w:space="0" w:color="000000"/>
            </w:tcBorders>
          </w:tcPr>
          <w:p>
            <w:pPr/>
          </w:p>
        </w:tc>
      </w:tr>
      <w:tr>
        <w:trPr>
          <w:trHeight w:val="312"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金管理有</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z w:val="18"/>
              </w:rPr>
              <w:t>.41</w:t>
            </w: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1"/>
              <w:jc w:val="right"/>
              <w:rPr>
                <w:rFonts w:ascii="Times New Roman" w:hAnsi="Times New Roman" w:cs="Times New Roman" w:eastAsia="Times New Roman" w:hint="default"/>
                <w:sz w:val="18"/>
                <w:szCs w:val="18"/>
              </w:rPr>
            </w:pPr>
            <w:r>
              <w:rPr>
                <w:rFonts w:ascii="Times New Roman"/>
                <w:sz w:val="18"/>
              </w:rPr>
              <w:t>0</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z w:val="18"/>
              </w:rPr>
              <w:t>.21</w:t>
            </w:r>
          </w:p>
        </w:tc>
        <w:tc>
          <w:tcPr>
            <w:tcW w:w="798" w:type="dxa"/>
            <w:vMerge/>
            <w:tcBorders>
              <w:left w:val="single" w:sz="4" w:space="0" w:color="000000"/>
              <w:right w:val="single" w:sz="4" w:space="0" w:color="000000"/>
            </w:tcBorders>
          </w:tcPr>
          <w:p>
            <w:pPr/>
          </w:p>
        </w:tc>
      </w:tr>
      <w:tr>
        <w:trPr>
          <w:trHeight w:val="352" w:hRule="exact"/>
        </w:trPr>
        <w:tc>
          <w:tcPr>
            <w:tcW w:w="7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41"/>
              <w:jc w:val="both"/>
              <w:rPr>
                <w:rFonts w:ascii="宋体" w:hAnsi="宋体" w:cs="宋体" w:eastAsia="宋体" w:hint="default"/>
                <w:sz w:val="18"/>
                <w:szCs w:val="18"/>
              </w:rPr>
            </w:pPr>
            <w:r>
              <w:rPr>
                <w:rFonts w:ascii="宋体" w:hAnsi="宋体" w:cs="宋体" w:eastAsia="宋体" w:hint="default"/>
                <w:sz w:val="18"/>
                <w:szCs w:val="18"/>
              </w:rPr>
              <w:t>中山市保 安服务有 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36,860,67</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3.01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-266,001.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36,594,67</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1.27</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358" w:hRule="exact"/>
        </w:trPr>
        <w:tc>
          <w:tcPr>
            <w:tcW w:w="7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江苏宝易</w:t>
            </w: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629"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41"/>
              <w:jc w:val="left"/>
              <w:rPr>
                <w:rFonts w:ascii="宋体" w:hAnsi="宋体" w:cs="宋体" w:eastAsia="宋体" w:hint="default"/>
                <w:sz w:val="18"/>
                <w:szCs w:val="18"/>
              </w:rPr>
            </w:pPr>
            <w:r>
              <w:rPr>
                <w:rFonts w:ascii="宋体" w:hAnsi="宋体" w:cs="宋体" w:eastAsia="宋体" w:hint="default"/>
                <w:sz w:val="18"/>
                <w:szCs w:val="18"/>
              </w:rPr>
              <w:t>通信息科 技有限公</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1,838,208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.12</w:t>
            </w: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38,573.98</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1,876,782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.10</w:t>
            </w:r>
          </w:p>
        </w:tc>
        <w:tc>
          <w:tcPr>
            <w:tcW w:w="798" w:type="dxa"/>
            <w:vMerge/>
            <w:tcBorders>
              <w:left w:val="single" w:sz="4" w:space="0" w:color="000000"/>
              <w:right w:val="single" w:sz="4" w:space="0" w:color="000000"/>
            </w:tcBorders>
          </w:tcPr>
          <w:p>
            <w:pPr/>
          </w:p>
        </w:tc>
      </w:tr>
      <w:tr>
        <w:trPr>
          <w:trHeight w:val="352" w:hRule="exact"/>
        </w:trPr>
        <w:tc>
          <w:tcPr>
            <w:tcW w:w="7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356" w:hRule="exact"/>
        </w:trPr>
        <w:tc>
          <w:tcPr>
            <w:tcW w:w="7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广州佳朋</w:t>
            </w:r>
          </w:p>
        </w:tc>
        <w:tc>
          <w:tcPr>
            <w:tcW w:w="797" w:type="dxa"/>
            <w:vMerge w:val="restart"/>
            <w:tcBorders>
              <w:top w:val="single" w:sz="4" w:space="0" w:color="000000"/>
              <w:left w:val="single" w:sz="4" w:space="0" w:color="000000"/>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936"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41"/>
              <w:jc w:val="both"/>
              <w:rPr>
                <w:rFonts w:ascii="宋体" w:hAnsi="宋体" w:cs="宋体" w:eastAsia="宋体" w:hint="default"/>
                <w:sz w:val="18"/>
                <w:szCs w:val="18"/>
              </w:rPr>
            </w:pPr>
            <w:r>
              <w:rPr>
                <w:rFonts w:ascii="宋体" w:hAnsi="宋体" w:cs="宋体" w:eastAsia="宋体" w:hint="default"/>
                <w:sz w:val="18"/>
                <w:szCs w:val="18"/>
              </w:rPr>
              <w:t>运通创新 投资合伙 企业（有</w:t>
            </w:r>
          </w:p>
        </w:tc>
        <w:tc>
          <w:tcPr>
            <w:tcW w:w="797"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40,000,00</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0.00</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40,000,00</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0.00</w:t>
            </w:r>
          </w:p>
        </w:tc>
        <w:tc>
          <w:tcPr>
            <w:tcW w:w="798" w:type="dxa"/>
            <w:vMerge/>
            <w:tcBorders>
              <w:left w:val="single" w:sz="4" w:space="0" w:color="000000"/>
              <w:right w:val="single" w:sz="4" w:space="0" w:color="000000"/>
            </w:tcBorders>
          </w:tcPr>
          <w:p>
            <w:pPr/>
          </w:p>
        </w:tc>
      </w:tr>
      <w:tr>
        <w:trPr>
          <w:trHeight w:val="358" w:hRule="exact"/>
        </w:trPr>
        <w:tc>
          <w:tcPr>
            <w:tcW w:w="7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限合伙）</w:t>
            </w:r>
          </w:p>
        </w:tc>
        <w:tc>
          <w:tcPr>
            <w:tcW w:w="797" w:type="dxa"/>
            <w:vMerge/>
            <w:tcBorders>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358" w:hRule="exact"/>
        </w:trPr>
        <w:tc>
          <w:tcPr>
            <w:tcW w:w="7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支点一号</w:t>
            </w:r>
          </w:p>
        </w:tc>
        <w:tc>
          <w:tcPr>
            <w:tcW w:w="797" w:type="dxa"/>
            <w:vMerge w:val="restart"/>
            <w:tcBorders>
              <w:top w:val="single" w:sz="4" w:space="0" w:color="000000"/>
              <w:left w:val="single" w:sz="4" w:space="0" w:color="000000"/>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312"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股权投资</w:t>
            </w:r>
          </w:p>
        </w:tc>
        <w:tc>
          <w:tcPr>
            <w:tcW w:w="797"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
        </w:tc>
        <w:tc>
          <w:tcPr>
            <w:tcW w:w="798" w:type="dxa"/>
            <w:vMerge/>
            <w:tcBorders>
              <w:left w:val="single" w:sz="4" w:space="0" w:color="000000"/>
              <w:right w:val="single" w:sz="4" w:space="0" w:color="000000"/>
            </w:tcBorders>
          </w:tcPr>
          <w:p>
            <w:pPr/>
          </w:p>
        </w:tc>
      </w:tr>
      <w:tr>
        <w:trPr>
          <w:trHeight w:val="624"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41"/>
              <w:jc w:val="left"/>
              <w:rPr>
                <w:rFonts w:ascii="宋体" w:hAnsi="宋体" w:cs="宋体" w:eastAsia="宋体" w:hint="default"/>
                <w:sz w:val="18"/>
                <w:szCs w:val="18"/>
              </w:rPr>
            </w:pPr>
            <w:r>
              <w:rPr>
                <w:rFonts w:ascii="宋体" w:hAnsi="宋体" w:cs="宋体" w:eastAsia="宋体" w:hint="default"/>
                <w:sz w:val="18"/>
                <w:szCs w:val="18"/>
              </w:rPr>
              <w:t>（广东） 合伙企业</w:t>
            </w:r>
          </w:p>
        </w:tc>
        <w:tc>
          <w:tcPr>
            <w:tcW w:w="797"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133" w:right="0"/>
              <w:jc w:val="left"/>
              <w:rPr>
                <w:rFonts w:ascii="Times New Roman" w:hAnsi="Times New Roman" w:cs="Times New Roman" w:eastAsia="Times New Roman" w:hint="default"/>
                <w:sz w:val="18"/>
                <w:szCs w:val="18"/>
              </w:rPr>
            </w:pPr>
            <w:r>
              <w:rPr>
                <w:rFonts w:ascii="Times New Roman"/>
                <w:sz w:val="18"/>
              </w:rPr>
              <w:t>5,130.00</w:t>
            </w: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-2.58</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136" w:right="0"/>
              <w:jc w:val="left"/>
              <w:rPr>
                <w:rFonts w:ascii="Times New Roman" w:hAnsi="Times New Roman" w:cs="Times New Roman" w:eastAsia="Times New Roman" w:hint="default"/>
                <w:sz w:val="18"/>
                <w:szCs w:val="18"/>
              </w:rPr>
            </w:pPr>
            <w:r>
              <w:rPr>
                <w:rFonts w:ascii="Times New Roman"/>
                <w:sz w:val="18"/>
              </w:rPr>
              <w:t>4,018.05</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9,145.47</w:t>
            </w:r>
          </w:p>
        </w:tc>
        <w:tc>
          <w:tcPr>
            <w:tcW w:w="798" w:type="dxa"/>
            <w:vMerge/>
            <w:tcBorders>
              <w:left w:val="single" w:sz="4" w:space="0" w:color="000000"/>
              <w:right w:val="single" w:sz="4" w:space="0" w:color="000000"/>
            </w:tcBorders>
          </w:tcPr>
          <w:p>
            <w:pPr/>
          </w:p>
        </w:tc>
      </w:tr>
      <w:tr>
        <w:trPr>
          <w:trHeight w:val="312"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（有限合</w:t>
            </w:r>
          </w:p>
        </w:tc>
        <w:tc>
          <w:tcPr>
            <w:tcW w:w="797"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
        </w:tc>
        <w:tc>
          <w:tcPr>
            <w:tcW w:w="798" w:type="dxa"/>
            <w:vMerge/>
            <w:tcBorders>
              <w:left w:val="single" w:sz="4" w:space="0" w:color="000000"/>
              <w:right w:val="single" w:sz="4" w:space="0" w:color="000000"/>
            </w:tcBorders>
          </w:tcPr>
          <w:p>
            <w:pPr/>
          </w:p>
        </w:tc>
      </w:tr>
      <w:tr>
        <w:trPr>
          <w:trHeight w:val="354" w:hRule="exact"/>
        </w:trPr>
        <w:tc>
          <w:tcPr>
            <w:tcW w:w="7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伙）</w:t>
            </w:r>
          </w:p>
        </w:tc>
        <w:tc>
          <w:tcPr>
            <w:tcW w:w="797" w:type="dxa"/>
            <w:vMerge/>
            <w:tcBorders>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bl>
    <w:p>
      <w:pPr>
        <w:spacing w:after="0"/>
        <w:sectPr>
          <w:pgSz w:w="11910" w:h="16840"/>
          <w:pgMar w:header="878" w:footer="978" w:top="1100" w:bottom="1160" w:left="102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09" w:type="dxa"/>
        <w:tblLayout w:type="fixed"/>
        <w:tblCellMar>
          <w:top w:w="0" w:type="dxa"/>
          <w:left w:w="0" w:type="dxa"/>
          <w:bottom w:w="0" w:type="dxa"/>
          <w:right w:w="0" w:type="dxa"/>
        </w:tblCellMar>
        <w:tblLook w:val="01E0"/>
      </w:tblPr>
      <w:tblGrid>
        <w:gridCol w:w="796"/>
        <w:gridCol w:w="797"/>
        <w:gridCol w:w="797"/>
        <w:gridCol w:w="798"/>
        <w:gridCol w:w="798"/>
        <w:gridCol w:w="798"/>
        <w:gridCol w:w="798"/>
        <w:gridCol w:w="798"/>
        <w:gridCol w:w="798"/>
        <w:gridCol w:w="798"/>
        <w:gridCol w:w="798"/>
        <w:gridCol w:w="798"/>
      </w:tblGrid>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41"/>
              <w:jc w:val="both"/>
              <w:rPr>
                <w:rFonts w:ascii="宋体" w:hAnsi="宋体" w:cs="宋体" w:eastAsia="宋体" w:hint="default"/>
                <w:sz w:val="18"/>
                <w:szCs w:val="18"/>
              </w:rPr>
            </w:pPr>
            <w:r>
              <w:rPr>
                <w:rFonts w:ascii="宋体" w:hAnsi="宋体" w:cs="宋体" w:eastAsia="宋体" w:hint="default"/>
                <w:sz w:val="18"/>
                <w:szCs w:val="18"/>
              </w:rPr>
              <w:t>广州像素 数据技术 股份有限 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36,881,08</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8.56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220,119.8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6"/>
              <w:ind w:right="20"/>
              <w:jc w:val="right"/>
              <w:rPr>
                <w:rFonts w:ascii="Times New Roman" w:hAnsi="Times New Roman" w:cs="Times New Roman" w:eastAsia="Times New Roman" w:hint="default"/>
                <w:sz w:val="18"/>
                <w:szCs w:val="18"/>
              </w:rPr>
            </w:pPr>
            <w:r>
              <w:rPr>
                <w:rFonts w:ascii="Times New Roman"/>
                <w:spacing w:val="-1"/>
                <w:sz w:val="18"/>
              </w:rPr>
              <w:t>110.86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37,101,31</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9.23</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四川极智 朗润科技 有限公司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13,298,50</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189,329.8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13,487,82</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9.85</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5" w:right="0"/>
              <w:jc w:val="left"/>
              <w:rPr>
                <w:rFonts w:ascii="Times New Roman" w:hAnsi="Times New Roman" w:cs="Times New Roman" w:eastAsia="Times New Roman" w:hint="default"/>
                <w:sz w:val="18"/>
                <w:szCs w:val="18"/>
              </w:rPr>
            </w:pPr>
            <w:r>
              <w:rPr>
                <w:rFonts w:ascii="Times New Roman"/>
                <w:sz w:val="18"/>
              </w:rPr>
              <w:t>626,464,6</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21.74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5" w:right="0"/>
              <w:jc w:val="left"/>
              <w:rPr>
                <w:rFonts w:ascii="Times New Roman" w:hAnsi="Times New Roman" w:cs="Times New Roman" w:eastAsia="Times New Roman" w:hint="default"/>
                <w:sz w:val="18"/>
                <w:szCs w:val="18"/>
              </w:rPr>
            </w:pPr>
            <w:r>
              <w:rPr>
                <w:rFonts w:ascii="Times New Roman"/>
                <w:sz w:val="18"/>
              </w:rPr>
              <w:t>90,184,71</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8.56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5" w:right="0"/>
              <w:jc w:val="left"/>
              <w:rPr>
                <w:rFonts w:ascii="Times New Roman" w:hAnsi="Times New Roman" w:cs="Times New Roman" w:eastAsia="Times New Roman" w:hint="default"/>
                <w:sz w:val="18"/>
                <w:szCs w:val="18"/>
              </w:rPr>
            </w:pPr>
            <w:r>
              <w:rPr>
                <w:rFonts w:ascii="Times New Roman"/>
                <w:sz w:val="18"/>
              </w:rPr>
              <w:t>16,826,45</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7.27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4,128.91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7" w:right="0"/>
              <w:jc w:val="left"/>
              <w:rPr>
                <w:rFonts w:ascii="Times New Roman" w:hAnsi="Times New Roman" w:cs="Times New Roman" w:eastAsia="Times New Roman" w:hint="default"/>
                <w:sz w:val="18"/>
                <w:szCs w:val="18"/>
              </w:rPr>
            </w:pPr>
            <w:r>
              <w:rPr>
                <w:rFonts w:ascii="Times New Roman"/>
                <w:sz w:val="18"/>
              </w:rPr>
              <w:t>-76,229,7</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42.99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1,801,126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840,014.6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5" w:right="0"/>
              <w:jc w:val="left"/>
              <w:rPr>
                <w:rFonts w:ascii="Times New Roman" w:hAnsi="Times New Roman" w:cs="Times New Roman" w:eastAsia="Times New Roman" w:hint="default"/>
                <w:sz w:val="18"/>
                <w:szCs w:val="18"/>
              </w:rPr>
            </w:pPr>
            <w:r>
              <w:rPr>
                <w:rFonts w:ascii="Times New Roman"/>
                <w:sz w:val="18"/>
              </w:rPr>
              <w:t>-14,712,9</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77.91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6" w:right="0"/>
              <w:jc w:val="left"/>
              <w:rPr>
                <w:rFonts w:ascii="Times New Roman" w:hAnsi="Times New Roman" w:cs="Times New Roman" w:eastAsia="Times New Roman" w:hint="default"/>
                <w:sz w:val="18"/>
                <w:szCs w:val="18"/>
              </w:rPr>
            </w:pPr>
            <w:r>
              <w:rPr>
                <w:rFonts w:ascii="Times New Roman"/>
                <w:sz w:val="18"/>
              </w:rPr>
              <w:t>639,896,0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64.55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840,014.6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626,464,6</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21.74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90,184,71</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8.56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16,826,45</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7.27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4,128.91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7" w:right="0"/>
              <w:jc w:val="left"/>
              <w:rPr>
                <w:rFonts w:ascii="Times New Roman" w:hAnsi="Times New Roman" w:cs="Times New Roman" w:eastAsia="Times New Roman" w:hint="default"/>
                <w:sz w:val="18"/>
                <w:szCs w:val="18"/>
              </w:rPr>
            </w:pPr>
            <w:r>
              <w:rPr>
                <w:rFonts w:ascii="Times New Roman"/>
                <w:sz w:val="18"/>
              </w:rPr>
              <w:t>-76,229,7</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42.99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1,801,126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840,014.6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5" w:right="0"/>
              <w:jc w:val="left"/>
              <w:rPr>
                <w:rFonts w:ascii="Times New Roman" w:hAnsi="Times New Roman" w:cs="Times New Roman" w:eastAsia="Times New Roman" w:hint="default"/>
                <w:sz w:val="18"/>
                <w:szCs w:val="18"/>
              </w:rPr>
            </w:pPr>
            <w:r>
              <w:rPr>
                <w:rFonts w:ascii="Times New Roman"/>
                <w:sz w:val="18"/>
              </w:rPr>
              <w:t>-14,712,9</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77.91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6" w:right="0"/>
              <w:jc w:val="left"/>
              <w:rPr>
                <w:rFonts w:ascii="Times New Roman" w:hAnsi="Times New Roman" w:cs="Times New Roman" w:eastAsia="Times New Roman" w:hint="default"/>
                <w:sz w:val="18"/>
                <w:szCs w:val="18"/>
              </w:rPr>
            </w:pPr>
            <w:r>
              <w:rPr>
                <w:rFonts w:ascii="Times New Roman"/>
                <w:sz w:val="18"/>
              </w:rPr>
              <w:t>639,896,0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64.55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840,014.6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ind w:right="1394"/>
        <w:jc w:val="left"/>
        <w:rPr>
          <w:b w:val="0"/>
          <w:bCs w:val="0"/>
        </w:rPr>
      </w:pPr>
      <w:bookmarkStart w:name="12、其他权益工具投资" w:id="251"/>
      <w:bookmarkEnd w:id="251"/>
      <w:r>
        <w:rPr>
          <w:b w:val="0"/>
          <w:bCs w:val="0"/>
        </w:rPr>
      </w:r>
      <w:r>
        <w:rPr>
          <w:rFonts w:ascii="Times New Roman" w:hAnsi="Times New Roman" w:cs="Times New Roman" w:eastAsia="Times New Roman" w:hint="default"/>
        </w:rPr>
        <w:t>12</w:t>
      </w:r>
      <w:r>
        <w:rPr/>
        <w:t>、其他权益工具投资</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480"/>
        <w:gridCol w:w="2750"/>
        <w:gridCol w:w="2750"/>
      </w:tblGrid>
      <w:tr>
        <w:trPr>
          <w:trHeight w:val="402" w:hRule="exact"/>
        </w:trPr>
        <w:tc>
          <w:tcPr>
            <w:tcW w:w="44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7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4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神州数码控股有限公司</w:t>
            </w:r>
          </w:p>
        </w:tc>
        <w:tc>
          <w:tcPr>
            <w:tcW w:w="2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1,151,136,738.07</w:t>
            </w:r>
          </w:p>
        </w:tc>
        <w:tc>
          <w:tcPr>
            <w:tcW w:w="2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843,295,785.40</w:t>
            </w:r>
          </w:p>
        </w:tc>
      </w:tr>
      <w:tr>
        <w:trPr>
          <w:trHeight w:val="402" w:hRule="exact"/>
        </w:trPr>
        <w:tc>
          <w:tcPr>
            <w:tcW w:w="4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珠海国信运通股权投资基金（有限合伙）</w:t>
            </w:r>
          </w:p>
        </w:tc>
        <w:tc>
          <w:tcPr>
            <w:tcW w:w="2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30,030,800.00</w:t>
            </w:r>
          </w:p>
        </w:tc>
        <w:tc>
          <w:tcPr>
            <w:tcW w:w="2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30,030,800.00</w:t>
            </w:r>
          </w:p>
        </w:tc>
      </w:tr>
      <w:tr>
        <w:trPr>
          <w:trHeight w:val="402" w:hRule="exact"/>
        </w:trPr>
        <w:tc>
          <w:tcPr>
            <w:tcW w:w="4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广东安达金融保安押运有限公司</w:t>
            </w:r>
          </w:p>
        </w:tc>
        <w:tc>
          <w:tcPr>
            <w:tcW w:w="2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2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5,000,000.00</w:t>
            </w:r>
          </w:p>
        </w:tc>
      </w:tr>
      <w:tr>
        <w:trPr>
          <w:trHeight w:val="402" w:hRule="exact"/>
        </w:trPr>
        <w:tc>
          <w:tcPr>
            <w:tcW w:w="4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资阳雁江农村合作银行</w:t>
            </w:r>
          </w:p>
        </w:tc>
        <w:tc>
          <w:tcPr>
            <w:tcW w:w="2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17,600,000.00</w:t>
            </w:r>
          </w:p>
        </w:tc>
        <w:tc>
          <w:tcPr>
            <w:tcW w:w="2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17,600,000.00</w:t>
            </w:r>
          </w:p>
        </w:tc>
      </w:tr>
      <w:tr>
        <w:trPr>
          <w:trHeight w:val="402" w:hRule="exact"/>
        </w:trPr>
        <w:tc>
          <w:tcPr>
            <w:tcW w:w="4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锡林浩特农村合作银行</w:t>
            </w:r>
          </w:p>
        </w:tc>
        <w:tc>
          <w:tcPr>
            <w:tcW w:w="2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681,200.00</w:t>
            </w:r>
          </w:p>
        </w:tc>
        <w:tc>
          <w:tcPr>
            <w:tcW w:w="2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681,200.00</w:t>
            </w:r>
          </w:p>
        </w:tc>
      </w:tr>
      <w:tr>
        <w:trPr>
          <w:trHeight w:val="402" w:hRule="exact"/>
        </w:trPr>
        <w:tc>
          <w:tcPr>
            <w:tcW w:w="4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浙江投融天下投资管理有限公司</w:t>
            </w:r>
          </w:p>
        </w:tc>
        <w:tc>
          <w:tcPr>
            <w:tcW w:w="2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400,000.00</w:t>
            </w:r>
          </w:p>
        </w:tc>
        <w:tc>
          <w:tcPr>
            <w:tcW w:w="2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400,000.00</w:t>
            </w:r>
          </w:p>
        </w:tc>
      </w:tr>
      <w:tr>
        <w:trPr>
          <w:trHeight w:val="402" w:hRule="exact"/>
        </w:trPr>
        <w:tc>
          <w:tcPr>
            <w:tcW w:w="4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江苏富深协通科技股份有限公司</w:t>
            </w:r>
          </w:p>
        </w:tc>
        <w:tc>
          <w:tcPr>
            <w:tcW w:w="2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9,562,882.91</w:t>
            </w:r>
          </w:p>
        </w:tc>
        <w:tc>
          <w:tcPr>
            <w:tcW w:w="2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9,562,882.91</w:t>
            </w:r>
          </w:p>
        </w:tc>
      </w:tr>
      <w:tr>
        <w:trPr>
          <w:trHeight w:val="402" w:hRule="exact"/>
        </w:trPr>
        <w:tc>
          <w:tcPr>
            <w:tcW w:w="4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广东美电贝尔科技集团股份有限公司</w:t>
            </w:r>
          </w:p>
        </w:tc>
        <w:tc>
          <w:tcPr>
            <w:tcW w:w="2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14,886,006.98</w:t>
            </w:r>
          </w:p>
        </w:tc>
        <w:tc>
          <w:tcPr>
            <w:tcW w:w="275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1,229,297,627.96</w:t>
            </w:r>
          </w:p>
        </w:tc>
        <w:tc>
          <w:tcPr>
            <w:tcW w:w="2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906,570,668.31</w:t>
            </w:r>
          </w:p>
        </w:tc>
      </w:tr>
    </w:tbl>
    <w:p>
      <w:pPr>
        <w:pStyle w:val="BodyText"/>
        <w:spacing w:line="240" w:lineRule="auto" w:before="51"/>
        <w:ind w:right="1394"/>
        <w:jc w:val="left"/>
      </w:pPr>
      <w:r>
        <w:rPr/>
        <w:t>分项披露本期非交易性权益工具投资</w:t>
      </w:r>
    </w:p>
    <w:p>
      <w:pPr>
        <w:pStyle w:val="BodyText"/>
        <w:spacing w:line="240" w:lineRule="auto" w:before="115"/>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9"/>
        <w:gridCol w:w="1367"/>
        <w:gridCol w:w="1367"/>
        <w:gridCol w:w="1367"/>
        <w:gridCol w:w="1367"/>
        <w:gridCol w:w="1367"/>
        <w:gridCol w:w="1367"/>
      </w:tblGrid>
      <w:tr>
        <w:trPr>
          <w:trHeight w:val="1338"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47"/>
              <w:jc w:val="right"/>
              <w:rPr>
                <w:rFonts w:ascii="宋体" w:hAnsi="宋体" w:cs="宋体" w:eastAsia="宋体" w:hint="default"/>
                <w:sz w:val="18"/>
                <w:szCs w:val="18"/>
              </w:rPr>
            </w:pPr>
            <w:r>
              <w:rPr>
                <w:rFonts w:ascii="宋体" w:hAnsi="宋体" w:cs="宋体" w:eastAsia="宋体" w:hint="default"/>
                <w:sz w:val="18"/>
                <w:szCs w:val="18"/>
              </w:rPr>
              <w:t>确认的股利收入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累计利得</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累计损失</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8" w:right="46"/>
              <w:jc w:val="center"/>
              <w:rPr>
                <w:rFonts w:ascii="宋体" w:hAnsi="宋体" w:cs="宋体" w:eastAsia="宋体" w:hint="default"/>
                <w:sz w:val="18"/>
                <w:szCs w:val="18"/>
              </w:rPr>
            </w:pPr>
            <w:r>
              <w:rPr>
                <w:rFonts w:ascii="宋体" w:hAnsi="宋体" w:cs="宋体" w:eastAsia="宋体" w:hint="default"/>
                <w:sz w:val="18"/>
                <w:szCs w:val="18"/>
              </w:rPr>
              <w:t>其他综合收益转 入留存收益的金 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7" w:right="48"/>
              <w:jc w:val="center"/>
              <w:rPr>
                <w:rFonts w:ascii="宋体" w:hAnsi="宋体" w:cs="宋体" w:eastAsia="宋体" w:hint="default"/>
                <w:sz w:val="18"/>
                <w:szCs w:val="18"/>
              </w:rPr>
            </w:pPr>
            <w:r>
              <w:rPr>
                <w:rFonts w:ascii="宋体" w:hAnsi="宋体" w:cs="宋体" w:eastAsia="宋体" w:hint="default"/>
                <w:sz w:val="18"/>
                <w:szCs w:val="18"/>
              </w:rPr>
              <w:t>指定为以公允价 值计量且其变动 计入其他综合收 益的原因</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8" w:right="47"/>
              <w:jc w:val="center"/>
              <w:rPr>
                <w:rFonts w:ascii="宋体" w:hAnsi="宋体" w:cs="宋体" w:eastAsia="宋体" w:hint="default"/>
                <w:sz w:val="18"/>
                <w:szCs w:val="18"/>
              </w:rPr>
            </w:pPr>
            <w:r>
              <w:rPr>
                <w:rFonts w:ascii="宋体" w:hAnsi="宋体" w:cs="宋体" w:eastAsia="宋体" w:hint="default"/>
                <w:sz w:val="18"/>
                <w:szCs w:val="18"/>
              </w:rPr>
              <w:t>其他综合收益转 入留存收益的原 因</w:t>
            </w:r>
          </w:p>
        </w:tc>
      </w:tr>
      <w:tr>
        <w:trPr>
          <w:trHeight w:val="1026"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2" w:right="74"/>
              <w:jc w:val="left"/>
              <w:rPr>
                <w:rFonts w:ascii="宋体" w:hAnsi="宋体" w:cs="宋体" w:eastAsia="宋体" w:hint="default"/>
                <w:sz w:val="18"/>
                <w:szCs w:val="18"/>
              </w:rPr>
            </w:pPr>
            <w:r>
              <w:rPr>
                <w:rFonts w:ascii="宋体" w:hAnsi="宋体" w:cs="宋体" w:eastAsia="宋体" w:hint="default"/>
                <w:sz w:val="18"/>
                <w:szCs w:val="18"/>
              </w:rPr>
              <w:t>神州数码控股有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8,909,961.47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8,909,961.47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72"/>
              <w:jc w:val="both"/>
              <w:rPr>
                <w:rFonts w:ascii="宋体" w:hAnsi="宋体" w:cs="宋体" w:eastAsia="宋体" w:hint="default"/>
                <w:sz w:val="18"/>
                <w:szCs w:val="18"/>
              </w:rPr>
            </w:pPr>
            <w:r>
              <w:rPr>
                <w:rFonts w:ascii="宋体" w:hAnsi="宋体" w:cs="宋体" w:eastAsia="宋体" w:hint="default"/>
                <w:sz w:val="18"/>
                <w:szCs w:val="18"/>
              </w:rPr>
              <w:t>以非交易目的持 有的上市公司股 票。</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4"/>
              <w:jc w:val="both"/>
              <w:rPr>
                <w:rFonts w:ascii="宋体" w:hAnsi="宋体" w:cs="宋体" w:eastAsia="宋体" w:hint="default"/>
                <w:sz w:val="18"/>
                <w:szCs w:val="18"/>
              </w:rPr>
            </w:pPr>
            <w:r>
              <w:rPr>
                <w:rFonts w:ascii="宋体" w:hAnsi="宋体" w:cs="宋体" w:eastAsia="宋体" w:hint="default"/>
                <w:sz w:val="18"/>
                <w:szCs w:val="18"/>
              </w:rPr>
              <w:t>珠海国信运通股 权投资基金（有 限合伙）</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72"/>
              <w:jc w:val="left"/>
              <w:rPr>
                <w:rFonts w:ascii="宋体" w:hAnsi="宋体" w:cs="宋体" w:eastAsia="宋体" w:hint="default"/>
                <w:sz w:val="18"/>
                <w:szCs w:val="18"/>
              </w:rPr>
            </w:pPr>
            <w:r>
              <w:rPr>
                <w:rFonts w:ascii="宋体" w:hAnsi="宋体" w:cs="宋体" w:eastAsia="宋体" w:hint="default"/>
                <w:sz w:val="18"/>
                <w:szCs w:val="18"/>
              </w:rPr>
              <w:t>以非交易目的持 有的公司股权。</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74"/>
              <w:jc w:val="left"/>
              <w:rPr>
                <w:rFonts w:ascii="宋体" w:hAnsi="宋体" w:cs="宋体" w:eastAsia="宋体" w:hint="default"/>
                <w:sz w:val="18"/>
                <w:szCs w:val="18"/>
              </w:rPr>
            </w:pPr>
            <w:r>
              <w:rPr>
                <w:rFonts w:ascii="宋体" w:hAnsi="宋体" w:cs="宋体" w:eastAsia="宋体" w:hint="default"/>
                <w:sz w:val="18"/>
                <w:szCs w:val="18"/>
              </w:rPr>
              <w:t>广东安达金融保 安押运有限公司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72"/>
              <w:jc w:val="left"/>
              <w:rPr>
                <w:rFonts w:ascii="宋体" w:hAnsi="宋体" w:cs="宋体" w:eastAsia="宋体" w:hint="default"/>
                <w:sz w:val="18"/>
                <w:szCs w:val="18"/>
              </w:rPr>
            </w:pPr>
            <w:r>
              <w:rPr>
                <w:rFonts w:ascii="宋体" w:hAnsi="宋体" w:cs="宋体" w:eastAsia="宋体" w:hint="default"/>
                <w:sz w:val="18"/>
                <w:szCs w:val="18"/>
              </w:rPr>
              <w:t>以非交易目的持 有的公司股权。</w:t>
            </w: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8" w:footer="978" w:top="1100" w:bottom="1160" w:left="1020" w:right="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1369"/>
        <w:gridCol w:w="1367"/>
        <w:gridCol w:w="1367"/>
        <w:gridCol w:w="1367"/>
        <w:gridCol w:w="1367"/>
        <w:gridCol w:w="1367"/>
        <w:gridCol w:w="1367"/>
      </w:tblGrid>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74"/>
              <w:jc w:val="left"/>
              <w:rPr>
                <w:rFonts w:ascii="宋体" w:hAnsi="宋体" w:cs="宋体" w:eastAsia="宋体" w:hint="default"/>
                <w:sz w:val="18"/>
                <w:szCs w:val="18"/>
              </w:rPr>
            </w:pPr>
            <w:r>
              <w:rPr>
                <w:rFonts w:ascii="宋体" w:hAnsi="宋体" w:cs="宋体" w:eastAsia="宋体" w:hint="default"/>
                <w:sz w:val="18"/>
                <w:szCs w:val="18"/>
              </w:rPr>
              <w:t>资阳雁江农村合 作银行</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550,000.00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72"/>
              <w:jc w:val="left"/>
              <w:rPr>
                <w:rFonts w:ascii="宋体" w:hAnsi="宋体" w:cs="宋体" w:eastAsia="宋体" w:hint="default"/>
                <w:sz w:val="18"/>
                <w:szCs w:val="18"/>
              </w:rPr>
            </w:pPr>
            <w:r>
              <w:rPr>
                <w:rFonts w:ascii="宋体" w:hAnsi="宋体" w:cs="宋体" w:eastAsia="宋体" w:hint="default"/>
                <w:sz w:val="18"/>
                <w:szCs w:val="18"/>
              </w:rPr>
              <w:t>以非交易目的持 有的公司股权。</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4"/>
              <w:jc w:val="left"/>
              <w:rPr>
                <w:rFonts w:ascii="宋体" w:hAnsi="宋体" w:cs="宋体" w:eastAsia="宋体" w:hint="default"/>
                <w:sz w:val="18"/>
                <w:szCs w:val="18"/>
              </w:rPr>
            </w:pPr>
            <w:r>
              <w:rPr>
                <w:rFonts w:ascii="宋体" w:hAnsi="宋体" w:cs="宋体" w:eastAsia="宋体" w:hint="default"/>
                <w:sz w:val="18"/>
                <w:szCs w:val="18"/>
              </w:rPr>
              <w:t>锡林浩特农村合 作银行</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2"/>
              <w:jc w:val="left"/>
              <w:rPr>
                <w:rFonts w:ascii="宋体" w:hAnsi="宋体" w:cs="宋体" w:eastAsia="宋体" w:hint="default"/>
                <w:sz w:val="18"/>
                <w:szCs w:val="18"/>
              </w:rPr>
            </w:pPr>
            <w:r>
              <w:rPr>
                <w:rFonts w:ascii="宋体" w:hAnsi="宋体" w:cs="宋体" w:eastAsia="宋体" w:hint="default"/>
                <w:sz w:val="18"/>
                <w:szCs w:val="18"/>
              </w:rPr>
              <w:t>以非交易目的持 有的公司股权。</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74"/>
              <w:jc w:val="left"/>
              <w:rPr>
                <w:rFonts w:ascii="宋体" w:hAnsi="宋体" w:cs="宋体" w:eastAsia="宋体" w:hint="default"/>
                <w:sz w:val="18"/>
                <w:szCs w:val="18"/>
              </w:rPr>
            </w:pPr>
            <w:r>
              <w:rPr>
                <w:rFonts w:ascii="宋体" w:hAnsi="宋体" w:cs="宋体" w:eastAsia="宋体" w:hint="default"/>
                <w:sz w:val="18"/>
                <w:szCs w:val="18"/>
              </w:rPr>
              <w:t>浙江投融天下投 资管理有限公司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72"/>
              <w:jc w:val="left"/>
              <w:rPr>
                <w:rFonts w:ascii="宋体" w:hAnsi="宋体" w:cs="宋体" w:eastAsia="宋体" w:hint="default"/>
                <w:sz w:val="18"/>
                <w:szCs w:val="18"/>
              </w:rPr>
            </w:pPr>
            <w:r>
              <w:rPr>
                <w:rFonts w:ascii="宋体" w:hAnsi="宋体" w:cs="宋体" w:eastAsia="宋体" w:hint="default"/>
                <w:sz w:val="18"/>
                <w:szCs w:val="18"/>
              </w:rPr>
              <w:t>以非交易目的持 有的公司股权。</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4"/>
              <w:jc w:val="left"/>
              <w:rPr>
                <w:rFonts w:ascii="宋体" w:hAnsi="宋体" w:cs="宋体" w:eastAsia="宋体" w:hint="default"/>
                <w:sz w:val="18"/>
                <w:szCs w:val="18"/>
              </w:rPr>
            </w:pPr>
            <w:r>
              <w:rPr>
                <w:rFonts w:ascii="宋体" w:hAnsi="宋体" w:cs="宋体" w:eastAsia="宋体" w:hint="default"/>
                <w:sz w:val="18"/>
                <w:szCs w:val="18"/>
              </w:rPr>
              <w:t>江苏富深协通科 技股份有限公司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367,500.00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367,500.00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2"/>
              <w:jc w:val="left"/>
              <w:rPr>
                <w:rFonts w:ascii="宋体" w:hAnsi="宋体" w:cs="宋体" w:eastAsia="宋体" w:hint="default"/>
                <w:sz w:val="18"/>
                <w:szCs w:val="18"/>
              </w:rPr>
            </w:pPr>
            <w:r>
              <w:rPr>
                <w:rFonts w:ascii="宋体" w:hAnsi="宋体" w:cs="宋体" w:eastAsia="宋体" w:hint="default"/>
                <w:sz w:val="18"/>
                <w:szCs w:val="18"/>
              </w:rPr>
              <w:t>以非交易目的持 有的公司股权。</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74"/>
              <w:jc w:val="both"/>
              <w:rPr>
                <w:rFonts w:ascii="宋体" w:hAnsi="宋体" w:cs="宋体" w:eastAsia="宋体" w:hint="default"/>
                <w:sz w:val="18"/>
                <w:szCs w:val="18"/>
              </w:rPr>
            </w:pPr>
            <w:r>
              <w:rPr>
                <w:rFonts w:ascii="宋体" w:hAnsi="宋体" w:cs="宋体" w:eastAsia="宋体" w:hint="default"/>
                <w:sz w:val="18"/>
                <w:szCs w:val="18"/>
              </w:rPr>
              <w:t>广东美电贝尔科 技集团股份有限 公司</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3" w:right="72"/>
              <w:jc w:val="left"/>
              <w:rPr>
                <w:rFonts w:ascii="宋体" w:hAnsi="宋体" w:cs="宋体" w:eastAsia="宋体" w:hint="default"/>
                <w:sz w:val="18"/>
                <w:szCs w:val="18"/>
              </w:rPr>
            </w:pPr>
            <w:r>
              <w:rPr>
                <w:rFonts w:ascii="宋体" w:hAnsi="宋体" w:cs="宋体" w:eastAsia="宋体" w:hint="default"/>
                <w:sz w:val="18"/>
                <w:szCs w:val="18"/>
              </w:rPr>
              <w:t>以非交易目的持 有的公司股权。</w:t>
            </w: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4"/>
        <w:rPr>
          <w:rFonts w:ascii="宋体" w:hAnsi="宋体" w:cs="宋体" w:eastAsia="宋体" w:hint="default"/>
          <w:sz w:val="19"/>
          <w:szCs w:val="19"/>
        </w:rPr>
      </w:pPr>
    </w:p>
    <w:p>
      <w:pPr>
        <w:pStyle w:val="Heading3"/>
        <w:spacing w:line="240" w:lineRule="auto"/>
        <w:ind w:right="1394"/>
        <w:jc w:val="left"/>
        <w:rPr>
          <w:b w:val="0"/>
          <w:bCs w:val="0"/>
        </w:rPr>
      </w:pPr>
      <w:bookmarkStart w:name="13、投资性房地产" w:id="252"/>
      <w:bookmarkEnd w:id="252"/>
      <w:r>
        <w:rPr>
          <w:b w:val="0"/>
          <w:bCs w:val="0"/>
        </w:rPr>
      </w:r>
      <w:r>
        <w:rPr>
          <w:rFonts w:ascii="Times New Roman" w:hAnsi="Times New Roman" w:cs="Times New Roman" w:eastAsia="Times New Roman" w:hint="default"/>
        </w:rPr>
        <w:t>13</w:t>
      </w:r>
      <w:r>
        <w:rPr/>
        <w:t>、投资性房地产</w:t>
      </w:r>
      <w:r>
        <w:rPr>
          <w:b w:val="0"/>
          <w:bCs w:val="0"/>
        </w:rPr>
      </w:r>
    </w:p>
    <w:p>
      <w:pPr>
        <w:spacing w:line="240" w:lineRule="auto" w:before="7"/>
        <w:rPr>
          <w:rFonts w:ascii="宋体" w:hAnsi="宋体" w:cs="宋体" w:eastAsia="宋体" w:hint="default"/>
          <w:b/>
          <w:bCs/>
          <w:sz w:val="24"/>
          <w:szCs w:val="24"/>
        </w:rPr>
      </w:pPr>
    </w:p>
    <w:p>
      <w:pPr>
        <w:pStyle w:val="Heading3"/>
        <w:spacing w:line="240" w:lineRule="auto" w:before="0"/>
        <w:ind w:right="1394"/>
        <w:jc w:val="left"/>
        <w:rPr>
          <w:b w:val="0"/>
          <w:bCs w:val="0"/>
        </w:rPr>
      </w:pPr>
      <w:bookmarkStart w:name="（1）采用成本计量模式的投资性房地产" w:id="253"/>
      <w:bookmarkEnd w:id="253"/>
      <w:r>
        <w:rPr>
          <w:b w:val="0"/>
          <w:bCs w:val="0"/>
        </w:rPr>
      </w: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13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pStyle w:val="BodyText"/>
        <w:spacing w:line="240" w:lineRule="auto" w:before="103"/>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59,136,852.58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59,136,852.58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2,873,874.59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2,873,874.59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）外购</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42"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）存货</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固定资产</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在建工程转入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2,873,874.59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2,873,874.59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5"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）企业合并增加</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5,760,245.67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5,760,245.67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5,760,245.67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5,760,245.67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56,250,481.50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56,250,481.50</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77"/>
              <w:jc w:val="left"/>
              <w:rPr>
                <w:rFonts w:ascii="宋体" w:hAnsi="宋体" w:cs="宋体" w:eastAsia="宋体" w:hint="default"/>
                <w:sz w:val="18"/>
                <w:szCs w:val="18"/>
              </w:rPr>
            </w:pPr>
            <w:r>
              <w:rPr>
                <w:rFonts w:ascii="宋体" w:hAnsi="宋体" w:cs="宋体" w:eastAsia="宋体" w:hint="default"/>
                <w:sz w:val="18"/>
                <w:szCs w:val="18"/>
              </w:rPr>
              <w:t>二、累计折旧和累计摊 销</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6,244,632.24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6,244,632.24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1,624,860.87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1,624,860.87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）计提或摊销</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1,624,860.87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1,624,860.87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922,537.12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922,537.12</w:t>
            </w:r>
          </w:p>
        </w:tc>
      </w:tr>
      <w:tr>
        <w:trPr>
          <w:trHeight w:val="400"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922,537.12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922,537.12</w:t>
            </w:r>
          </w:p>
        </w:tc>
      </w:tr>
    </w:tbl>
    <w:p>
      <w:pPr>
        <w:spacing w:after="0" w:line="240" w:lineRule="auto"/>
        <w:jc w:val="right"/>
        <w:rPr>
          <w:rFonts w:ascii="Times New Roman" w:hAnsi="Times New Roman" w:cs="Times New Roman" w:eastAsia="Times New Roman" w:hint="default"/>
          <w:sz w:val="18"/>
          <w:szCs w:val="18"/>
        </w:rPr>
        <w:sectPr>
          <w:footerReference w:type="default" r:id="rId50"/>
          <w:pgSz w:w="11910" w:h="16840"/>
          <w:pgMar w:footer="978" w:header="878" w:top="1100" w:bottom="1160" w:left="1020" w:right="0"/>
          <w:pgNumType w:start="16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6,946,955.99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6,946,955.99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49,303,525.51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49,303,525.51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52,892,220.34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52,892,220.34</w:t>
            </w:r>
          </w:p>
        </w:tc>
      </w:tr>
    </w:tbl>
    <w:p>
      <w:pPr>
        <w:spacing w:line="240" w:lineRule="auto" w:before="4"/>
        <w:rPr>
          <w:rFonts w:ascii="宋体" w:hAnsi="宋体" w:cs="宋体" w:eastAsia="宋体" w:hint="default"/>
          <w:sz w:val="19"/>
          <w:szCs w:val="19"/>
        </w:rPr>
      </w:pPr>
    </w:p>
    <w:p>
      <w:pPr>
        <w:pStyle w:val="Heading3"/>
        <w:spacing w:line="240" w:lineRule="auto"/>
        <w:ind w:right="1394"/>
        <w:jc w:val="left"/>
        <w:rPr>
          <w:b w:val="0"/>
          <w:bCs w:val="0"/>
        </w:rPr>
      </w:pPr>
      <w:bookmarkStart w:name="14、固定资产" w:id="254"/>
      <w:bookmarkEnd w:id="254"/>
      <w:r>
        <w:rPr>
          <w:b w:val="0"/>
          <w:bCs w:val="0"/>
        </w:rPr>
      </w:r>
      <w:r>
        <w:rPr>
          <w:rFonts w:ascii="Times New Roman" w:hAnsi="Times New Roman" w:cs="Times New Roman" w:eastAsia="Times New Roman" w:hint="default"/>
        </w:rPr>
        <w:t>14</w:t>
      </w:r>
      <w:r>
        <w:rPr/>
        <w:t>、固定资产</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1,116,170,777.39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1,089,049,675.78</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1,116,170,777.39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1,089,049,675.78</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6"/>
          <w:szCs w:val="26"/>
        </w:rPr>
      </w:pPr>
    </w:p>
    <w:p>
      <w:pPr>
        <w:pStyle w:val="Heading3"/>
        <w:spacing w:line="240" w:lineRule="auto"/>
        <w:ind w:right="1394"/>
        <w:jc w:val="left"/>
        <w:rPr>
          <w:b w:val="0"/>
          <w:bCs w:val="0"/>
        </w:rPr>
      </w:pPr>
      <w:bookmarkStart w:name="（1）固定资产情况" w:id="255"/>
      <w:bookmarkEnd w:id="255"/>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869"/>
        <w:gridCol w:w="869"/>
        <w:gridCol w:w="869"/>
        <w:gridCol w:w="869"/>
        <w:gridCol w:w="869"/>
        <w:gridCol w:w="869"/>
        <w:gridCol w:w="869"/>
        <w:gridCol w:w="869"/>
        <w:gridCol w:w="869"/>
        <w:gridCol w:w="869"/>
        <w:gridCol w:w="869"/>
      </w:tblGrid>
      <w:tr>
        <w:trPr>
          <w:trHeight w:val="714" w:hRule="exact"/>
        </w:trPr>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8"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8" w:right="69" w:hanging="180"/>
              <w:jc w:val="left"/>
              <w:rPr>
                <w:rFonts w:ascii="宋体" w:hAnsi="宋体" w:cs="宋体" w:eastAsia="宋体" w:hint="default"/>
                <w:sz w:val="18"/>
                <w:szCs w:val="18"/>
              </w:rPr>
            </w:pPr>
            <w:r>
              <w:rPr>
                <w:rFonts w:ascii="宋体" w:hAnsi="宋体" w:cs="宋体" w:eastAsia="宋体" w:hint="default"/>
                <w:sz w:val="18"/>
                <w:szCs w:val="18"/>
              </w:rPr>
              <w:t>房屋及建 筑物</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8"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0" w:right="0"/>
              <w:jc w:val="left"/>
              <w:rPr>
                <w:rFonts w:ascii="宋体" w:hAnsi="宋体" w:cs="宋体" w:eastAsia="宋体" w:hint="default"/>
                <w:sz w:val="18"/>
                <w:szCs w:val="18"/>
              </w:rPr>
            </w:pPr>
            <w:r>
              <w:rPr>
                <w:rFonts w:ascii="宋体" w:hAnsi="宋体" w:cs="宋体" w:eastAsia="宋体" w:hint="default"/>
                <w:sz w:val="18"/>
                <w:szCs w:val="18"/>
              </w:rPr>
              <w:t>专用设备</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0"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仪器仪表</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培训设备</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68"/>
              <w:jc w:val="right"/>
              <w:rPr>
                <w:rFonts w:ascii="宋体" w:hAnsi="宋体" w:cs="宋体" w:eastAsia="宋体" w:hint="default"/>
                <w:sz w:val="18"/>
                <w:szCs w:val="18"/>
              </w:rPr>
            </w:pPr>
            <w:r>
              <w:rPr>
                <w:rFonts w:ascii="宋体" w:hAnsi="宋体" w:cs="宋体" w:eastAsia="宋体" w:hint="default"/>
                <w:sz w:val="18"/>
                <w:szCs w:val="18"/>
              </w:rPr>
              <w:t>其他设备</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6" w:right="68" w:hanging="48"/>
              <w:jc w:val="left"/>
              <w:rPr>
                <w:rFonts w:ascii="Times New Roman" w:hAnsi="Times New Roman" w:cs="Times New Roman" w:eastAsia="Times New Roman" w:hint="default"/>
                <w:sz w:val="18"/>
                <w:szCs w:val="18"/>
              </w:rPr>
            </w:pPr>
            <w:r>
              <w:rPr>
                <w:rFonts w:ascii="宋体" w:hAnsi="宋体" w:cs="宋体" w:eastAsia="宋体" w:hint="default"/>
                <w:sz w:val="18"/>
                <w:szCs w:val="18"/>
              </w:rPr>
              <w:t>营运业务 用</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ATM</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8"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714" w:hRule="exact"/>
        </w:trPr>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18"/>
                <w:sz w:val="18"/>
                <w:szCs w:val="18"/>
              </w:rPr>
              <w:t>一、账面原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值：</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60"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 余额</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5" w:right="0"/>
              <w:jc w:val="left"/>
              <w:rPr>
                <w:rFonts w:ascii="Times New Roman" w:hAnsi="Times New Roman" w:cs="Times New Roman" w:eastAsia="Times New Roman" w:hint="default"/>
                <w:sz w:val="18"/>
                <w:szCs w:val="18"/>
              </w:rPr>
            </w:pPr>
            <w:r>
              <w:rPr>
                <w:rFonts w:ascii="Times New Roman"/>
                <w:sz w:val="18"/>
              </w:rPr>
              <w:t>819,271,09</w:t>
            </w:r>
          </w:p>
          <w:p>
            <w:pPr>
              <w:pStyle w:val="TableParagraph"/>
              <w:spacing w:line="240" w:lineRule="auto" w:before="105"/>
              <w:ind w:left="521" w:right="0"/>
              <w:jc w:val="left"/>
              <w:rPr>
                <w:rFonts w:ascii="Times New Roman" w:hAnsi="Times New Roman" w:cs="Times New Roman" w:eastAsia="Times New Roman" w:hint="default"/>
                <w:sz w:val="18"/>
                <w:szCs w:val="18"/>
              </w:rPr>
            </w:pPr>
            <w:r>
              <w:rPr>
                <w:rFonts w:ascii="Times New Roman"/>
                <w:sz w:val="18"/>
              </w:rPr>
              <w:t>1.40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414,501,67</w:t>
            </w:r>
          </w:p>
          <w:p>
            <w:pPr>
              <w:pStyle w:val="TableParagraph"/>
              <w:spacing w:line="240" w:lineRule="auto" w:before="105"/>
              <w:ind w:left="521" w:right="0"/>
              <w:jc w:val="left"/>
              <w:rPr>
                <w:rFonts w:ascii="Times New Roman" w:hAnsi="Times New Roman" w:cs="Times New Roman" w:eastAsia="Times New Roman" w:hint="default"/>
                <w:sz w:val="18"/>
                <w:szCs w:val="18"/>
              </w:rPr>
            </w:pPr>
            <w:r>
              <w:rPr>
                <w:rFonts w:ascii="Times New Roman"/>
                <w:sz w:val="18"/>
              </w:rPr>
              <w:t>9.98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6" w:right="0"/>
              <w:jc w:val="left"/>
              <w:rPr>
                <w:rFonts w:ascii="Times New Roman" w:hAnsi="Times New Roman" w:cs="Times New Roman" w:eastAsia="Times New Roman" w:hint="default"/>
                <w:sz w:val="18"/>
                <w:szCs w:val="18"/>
              </w:rPr>
            </w:pPr>
            <w:r>
              <w:rPr>
                <w:rFonts w:ascii="Times New Roman"/>
                <w:sz w:val="18"/>
              </w:rPr>
              <w:t>197,934,61</w:t>
            </w:r>
          </w:p>
          <w:p>
            <w:pPr>
              <w:pStyle w:val="TableParagraph"/>
              <w:spacing w:line="240" w:lineRule="auto" w:before="105"/>
              <w:ind w:left="521" w:right="0"/>
              <w:jc w:val="left"/>
              <w:rPr>
                <w:rFonts w:ascii="Times New Roman" w:hAnsi="Times New Roman" w:cs="Times New Roman" w:eastAsia="Times New Roman" w:hint="default"/>
                <w:sz w:val="18"/>
                <w:szCs w:val="18"/>
              </w:rPr>
            </w:pPr>
            <w:r>
              <w:rPr>
                <w:rFonts w:ascii="Times New Roman"/>
                <w:sz w:val="18"/>
              </w:rPr>
              <w:t>7.26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6" w:right="0"/>
              <w:jc w:val="left"/>
              <w:rPr>
                <w:rFonts w:ascii="Times New Roman" w:hAnsi="Times New Roman" w:cs="Times New Roman" w:eastAsia="Times New Roman" w:hint="default"/>
                <w:sz w:val="18"/>
                <w:szCs w:val="18"/>
              </w:rPr>
            </w:pPr>
            <w:r>
              <w:rPr>
                <w:rFonts w:ascii="Times New Roman"/>
                <w:sz w:val="18"/>
              </w:rPr>
              <w:t>123,265,65</w:t>
            </w:r>
          </w:p>
          <w:p>
            <w:pPr>
              <w:pStyle w:val="TableParagraph"/>
              <w:spacing w:line="240" w:lineRule="auto" w:before="105"/>
              <w:ind w:left="521" w:right="0"/>
              <w:jc w:val="left"/>
              <w:rPr>
                <w:rFonts w:ascii="Times New Roman" w:hAnsi="Times New Roman" w:cs="Times New Roman" w:eastAsia="Times New Roman" w:hint="default"/>
                <w:sz w:val="18"/>
                <w:szCs w:val="18"/>
              </w:rPr>
            </w:pPr>
            <w:r>
              <w:rPr>
                <w:rFonts w:ascii="Times New Roman"/>
                <w:sz w:val="18"/>
              </w:rPr>
              <w:t>8.19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40,651,953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.36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29,105,099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.78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3,305,072.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12,367,519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5" w:right="0"/>
              <w:jc w:val="left"/>
              <w:rPr>
                <w:rFonts w:ascii="Times New Roman" w:hAnsi="Times New Roman" w:cs="Times New Roman" w:eastAsia="Times New Roman" w:hint="default"/>
                <w:sz w:val="18"/>
                <w:szCs w:val="18"/>
              </w:rPr>
            </w:pPr>
            <w:r>
              <w:rPr>
                <w:rFonts w:ascii="Times New Roman"/>
                <w:sz w:val="18"/>
              </w:rPr>
              <w:t>160,156,67</w:t>
            </w:r>
          </w:p>
          <w:p>
            <w:pPr>
              <w:pStyle w:val="TableParagraph"/>
              <w:spacing w:line="240" w:lineRule="auto" w:before="105"/>
              <w:ind w:left="520" w:right="0"/>
              <w:jc w:val="left"/>
              <w:rPr>
                <w:rFonts w:ascii="Times New Roman" w:hAnsi="Times New Roman" w:cs="Times New Roman" w:eastAsia="Times New Roman" w:hint="default"/>
                <w:sz w:val="18"/>
                <w:szCs w:val="18"/>
              </w:rPr>
            </w:pPr>
            <w:r>
              <w:rPr>
                <w:rFonts w:ascii="Times New Roman"/>
                <w:sz w:val="18"/>
              </w:rPr>
              <w:t>8.75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1" w:right="0"/>
              <w:jc w:val="left"/>
              <w:rPr>
                <w:rFonts w:ascii="Times New Roman" w:hAnsi="Times New Roman" w:cs="Times New Roman" w:eastAsia="Times New Roman" w:hint="default"/>
                <w:sz w:val="18"/>
                <w:szCs w:val="18"/>
              </w:rPr>
            </w:pPr>
            <w:r>
              <w:rPr>
                <w:rFonts w:ascii="Times New Roman"/>
                <w:sz w:val="18"/>
              </w:rPr>
              <w:t>1,800,559,</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370.92</w:t>
            </w:r>
          </w:p>
        </w:tc>
      </w:tr>
      <w:tr>
        <w:trPr>
          <w:trHeight w:val="714" w:hRule="exact"/>
        </w:trPr>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14"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 增加金额</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50,244,009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44,807,021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21,863,714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30,343,150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1,614,487.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92" w:right="0"/>
              <w:jc w:val="center"/>
              <w:rPr>
                <w:rFonts w:ascii="Times New Roman" w:hAnsi="Times New Roman" w:cs="Times New Roman" w:eastAsia="Times New Roman" w:hint="default"/>
                <w:sz w:val="18"/>
                <w:szCs w:val="18"/>
              </w:rPr>
            </w:pPr>
            <w:r>
              <w:rPr>
                <w:rFonts w:ascii="Times New Roman"/>
                <w:sz w:val="18"/>
              </w:rPr>
              <w:t>53,992.98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1,193,533.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963,232.12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43,984,785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5" w:right="0"/>
              <w:jc w:val="left"/>
              <w:rPr>
                <w:rFonts w:ascii="Times New Roman" w:hAnsi="Times New Roman" w:cs="Times New Roman" w:eastAsia="Times New Roman" w:hint="default"/>
                <w:sz w:val="18"/>
                <w:szCs w:val="18"/>
              </w:rPr>
            </w:pPr>
            <w:r>
              <w:rPr>
                <w:rFonts w:ascii="Times New Roman"/>
                <w:sz w:val="18"/>
              </w:rPr>
              <w:t>195,067,92</w:t>
            </w:r>
          </w:p>
          <w:p>
            <w:pPr>
              <w:pStyle w:val="TableParagraph"/>
              <w:spacing w:line="240" w:lineRule="auto" w:before="105"/>
              <w:ind w:left="520" w:right="0"/>
              <w:jc w:val="left"/>
              <w:rPr>
                <w:rFonts w:ascii="Times New Roman" w:hAnsi="Times New Roman" w:cs="Times New Roman" w:eastAsia="Times New Roman" w:hint="default"/>
                <w:sz w:val="18"/>
                <w:szCs w:val="18"/>
              </w:rPr>
            </w:pPr>
            <w:r>
              <w:rPr>
                <w:rFonts w:ascii="Times New Roman"/>
                <w:sz w:val="18"/>
              </w:rPr>
              <w:t>6.86</w:t>
            </w:r>
          </w:p>
        </w:tc>
      </w:tr>
      <w:tr>
        <w:trPr>
          <w:trHeight w:val="712" w:hRule="exact"/>
        </w:trPr>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23"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 购置</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8,448,221.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44,807,021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11,663,352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30,336,454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1,516,336.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2" w:right="0"/>
              <w:jc w:val="center"/>
              <w:rPr>
                <w:rFonts w:ascii="Times New Roman" w:hAnsi="Times New Roman" w:cs="Times New Roman" w:eastAsia="Times New Roman" w:hint="default"/>
                <w:sz w:val="18"/>
                <w:szCs w:val="18"/>
              </w:rPr>
            </w:pPr>
            <w:r>
              <w:rPr>
                <w:rFonts w:ascii="Times New Roman"/>
                <w:sz w:val="18"/>
              </w:rPr>
              <w:t>53,992.98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1,193,533.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316,582.34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34,139,671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5" w:right="0"/>
              <w:jc w:val="left"/>
              <w:rPr>
                <w:rFonts w:ascii="Times New Roman" w:hAnsi="Times New Roman" w:cs="Times New Roman" w:eastAsia="Times New Roman" w:hint="default"/>
                <w:sz w:val="18"/>
                <w:szCs w:val="18"/>
              </w:rPr>
            </w:pPr>
            <w:r>
              <w:rPr>
                <w:rFonts w:ascii="Times New Roman"/>
                <w:sz w:val="18"/>
              </w:rPr>
              <w:t>132,475,16</w:t>
            </w:r>
          </w:p>
          <w:p>
            <w:pPr>
              <w:pStyle w:val="TableParagraph"/>
              <w:spacing w:line="240" w:lineRule="auto" w:before="105"/>
              <w:ind w:left="520" w:right="0"/>
              <w:jc w:val="left"/>
              <w:rPr>
                <w:rFonts w:ascii="Times New Roman" w:hAnsi="Times New Roman" w:cs="Times New Roman" w:eastAsia="Times New Roman" w:hint="default"/>
                <w:sz w:val="18"/>
                <w:szCs w:val="18"/>
              </w:rPr>
            </w:pPr>
            <w:r>
              <w:rPr>
                <w:rFonts w:ascii="Times New Roman"/>
                <w:sz w:val="18"/>
              </w:rPr>
              <w:t>6.14</w:t>
            </w:r>
          </w:p>
        </w:tc>
      </w:tr>
    </w:tbl>
    <w:p>
      <w:pPr>
        <w:spacing w:after="0" w:line="240" w:lineRule="auto"/>
        <w:jc w:val="left"/>
        <w:rPr>
          <w:rFonts w:ascii="Times New Roman" w:hAnsi="Times New Roman" w:cs="Times New Roman" w:eastAsia="Times New Roman" w:hint="default"/>
          <w:sz w:val="18"/>
          <w:szCs w:val="18"/>
        </w:rPr>
        <w:sectPr>
          <w:pgSz w:w="11910" w:h="16840"/>
          <w:pgMar w:header="878" w:footer="978" w:top="1100" w:bottom="1160" w:left="102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09" w:type="dxa"/>
        <w:tblLayout w:type="fixed"/>
        <w:tblCellMar>
          <w:top w:w="0" w:type="dxa"/>
          <w:left w:w="0" w:type="dxa"/>
          <w:bottom w:w="0" w:type="dxa"/>
          <w:right w:w="0" w:type="dxa"/>
        </w:tblCellMar>
        <w:tblLook w:val="01E0"/>
      </w:tblPr>
      <w:tblGrid>
        <w:gridCol w:w="869"/>
        <w:gridCol w:w="869"/>
        <w:gridCol w:w="869"/>
        <w:gridCol w:w="869"/>
        <w:gridCol w:w="869"/>
        <w:gridCol w:w="869"/>
        <w:gridCol w:w="869"/>
        <w:gridCol w:w="869"/>
        <w:gridCol w:w="869"/>
        <w:gridCol w:w="869"/>
        <w:gridCol w:w="869"/>
      </w:tblGrid>
      <w:tr>
        <w:trPr>
          <w:trHeight w:val="1026" w:hRule="exact"/>
        </w:trPr>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0"/>
              <w:ind w:left="22" w:right="23"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 在建工程 转入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41,795,788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10,200,361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6,696.12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98,150.44</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646,649.78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9,845,114.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62,592,760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.72</w:t>
            </w:r>
          </w:p>
        </w:tc>
      </w:tr>
      <w:tr>
        <w:trPr>
          <w:trHeight w:val="1026" w:hRule="exact"/>
        </w:trPr>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3"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 企业合并 增加</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22" w:right="114"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 减少金额</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122,500.00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41,930,073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5,673,141.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26,595,420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1,766,246.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272,848.52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221,270.88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238,951.58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12,924,566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89,745,019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.44</w:t>
            </w:r>
          </w:p>
        </w:tc>
      </w:tr>
      <w:tr>
        <w:trPr>
          <w:trHeight w:val="1026" w:hRule="exact"/>
        </w:trPr>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3"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 处置或报 废</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122,500.00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41,930,073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5,673,141.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26,595,420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1,766,246.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272,848.52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221,270.88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238,951.58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12,924,566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89,745,019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.44</w:t>
            </w:r>
          </w:p>
        </w:tc>
      </w:tr>
      <w:tr>
        <w:trPr>
          <w:trHeight w:val="1026" w:hRule="exact"/>
        </w:trPr>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0"/>
              <w:ind w:left="22" w:right="23" w:firstLine="451"/>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企 业合并减 少</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60"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 余额</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5" w:right="0"/>
              <w:jc w:val="left"/>
              <w:rPr>
                <w:rFonts w:ascii="Times New Roman" w:hAnsi="Times New Roman" w:cs="Times New Roman" w:eastAsia="Times New Roman" w:hint="default"/>
                <w:sz w:val="18"/>
                <w:szCs w:val="18"/>
              </w:rPr>
            </w:pPr>
            <w:r>
              <w:rPr>
                <w:rFonts w:ascii="Times New Roman"/>
                <w:sz w:val="18"/>
              </w:rPr>
              <w:t>869,392,60</w:t>
            </w:r>
          </w:p>
          <w:p>
            <w:pPr>
              <w:pStyle w:val="TableParagraph"/>
              <w:spacing w:line="240" w:lineRule="auto" w:before="105"/>
              <w:ind w:left="521" w:right="0"/>
              <w:jc w:val="left"/>
              <w:rPr>
                <w:rFonts w:ascii="Times New Roman" w:hAnsi="Times New Roman" w:cs="Times New Roman" w:eastAsia="Times New Roman" w:hint="default"/>
                <w:sz w:val="18"/>
                <w:szCs w:val="18"/>
              </w:rPr>
            </w:pPr>
            <w:r>
              <w:rPr>
                <w:rFonts w:ascii="Times New Roman"/>
                <w:sz w:val="18"/>
              </w:rPr>
              <w:t>1.11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7" w:right="0"/>
              <w:jc w:val="left"/>
              <w:rPr>
                <w:rFonts w:ascii="Times New Roman" w:hAnsi="Times New Roman" w:cs="Times New Roman" w:eastAsia="Times New Roman" w:hint="default"/>
                <w:sz w:val="18"/>
                <w:szCs w:val="18"/>
              </w:rPr>
            </w:pPr>
            <w:r>
              <w:rPr>
                <w:rFonts w:ascii="Times New Roman"/>
                <w:sz w:val="18"/>
              </w:rPr>
              <w:t>417,378,62</w:t>
            </w:r>
          </w:p>
          <w:p>
            <w:pPr>
              <w:pStyle w:val="TableParagraph"/>
              <w:spacing w:line="240" w:lineRule="auto" w:before="105"/>
              <w:ind w:left="521" w:right="0"/>
              <w:jc w:val="left"/>
              <w:rPr>
                <w:rFonts w:ascii="Times New Roman" w:hAnsi="Times New Roman" w:cs="Times New Roman" w:eastAsia="Times New Roman" w:hint="default"/>
                <w:sz w:val="18"/>
                <w:szCs w:val="18"/>
              </w:rPr>
            </w:pPr>
            <w:r>
              <w:rPr>
                <w:rFonts w:ascii="Times New Roman"/>
                <w:sz w:val="18"/>
              </w:rPr>
              <w:t>7.37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6" w:right="0"/>
              <w:jc w:val="left"/>
              <w:rPr>
                <w:rFonts w:ascii="Times New Roman" w:hAnsi="Times New Roman" w:cs="Times New Roman" w:eastAsia="Times New Roman" w:hint="default"/>
                <w:sz w:val="18"/>
                <w:szCs w:val="18"/>
              </w:rPr>
            </w:pPr>
            <w:r>
              <w:rPr>
                <w:rFonts w:ascii="Times New Roman"/>
                <w:sz w:val="18"/>
              </w:rPr>
              <w:t>214,125,19</w:t>
            </w:r>
          </w:p>
          <w:p>
            <w:pPr>
              <w:pStyle w:val="TableParagraph"/>
              <w:spacing w:line="240" w:lineRule="auto" w:before="105"/>
              <w:ind w:left="521" w:right="0"/>
              <w:jc w:val="left"/>
              <w:rPr>
                <w:rFonts w:ascii="Times New Roman" w:hAnsi="Times New Roman" w:cs="Times New Roman" w:eastAsia="Times New Roman" w:hint="default"/>
                <w:sz w:val="18"/>
                <w:szCs w:val="18"/>
              </w:rPr>
            </w:pPr>
            <w:r>
              <w:rPr>
                <w:rFonts w:ascii="Times New Roman"/>
                <w:sz w:val="18"/>
              </w:rPr>
              <w:t>0.10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6" w:right="0"/>
              <w:jc w:val="left"/>
              <w:rPr>
                <w:rFonts w:ascii="Times New Roman" w:hAnsi="Times New Roman" w:cs="Times New Roman" w:eastAsia="Times New Roman" w:hint="default"/>
                <w:sz w:val="18"/>
                <w:szCs w:val="18"/>
              </w:rPr>
            </w:pPr>
            <w:r>
              <w:rPr>
                <w:rFonts w:ascii="Times New Roman"/>
                <w:sz w:val="18"/>
              </w:rPr>
              <w:t>127,013,38</w:t>
            </w:r>
          </w:p>
          <w:p>
            <w:pPr>
              <w:pStyle w:val="TableParagraph"/>
              <w:spacing w:line="240" w:lineRule="auto" w:before="105"/>
              <w:ind w:left="521" w:right="0"/>
              <w:jc w:val="left"/>
              <w:rPr>
                <w:rFonts w:ascii="Times New Roman" w:hAnsi="Times New Roman" w:cs="Times New Roman" w:eastAsia="Times New Roman" w:hint="default"/>
                <w:sz w:val="18"/>
                <w:szCs w:val="18"/>
              </w:rPr>
            </w:pPr>
            <w:r>
              <w:rPr>
                <w:rFonts w:ascii="Times New Roman"/>
                <w:sz w:val="18"/>
              </w:rPr>
              <w:t>7.69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40,500,194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.02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28,886,244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.24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4,277,335.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13,091,799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5" w:right="0"/>
              <w:jc w:val="left"/>
              <w:rPr>
                <w:rFonts w:ascii="Times New Roman" w:hAnsi="Times New Roman" w:cs="Times New Roman" w:eastAsia="Times New Roman" w:hint="default"/>
                <w:sz w:val="18"/>
                <w:szCs w:val="18"/>
              </w:rPr>
            </w:pPr>
            <w:r>
              <w:rPr>
                <w:rFonts w:ascii="Times New Roman"/>
                <w:sz w:val="18"/>
              </w:rPr>
              <w:t>191,216,89</w:t>
            </w:r>
          </w:p>
          <w:p>
            <w:pPr>
              <w:pStyle w:val="TableParagraph"/>
              <w:spacing w:line="240" w:lineRule="auto" w:before="105"/>
              <w:ind w:left="520" w:right="0"/>
              <w:jc w:val="left"/>
              <w:rPr>
                <w:rFonts w:ascii="Times New Roman" w:hAnsi="Times New Roman" w:cs="Times New Roman" w:eastAsia="Times New Roman" w:hint="default"/>
                <w:sz w:val="18"/>
                <w:szCs w:val="18"/>
              </w:rPr>
            </w:pPr>
            <w:r>
              <w:rPr>
                <w:rFonts w:ascii="Times New Roman"/>
                <w:sz w:val="18"/>
              </w:rPr>
              <w:t>8.19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1,905,882,</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278.34</w:t>
            </w:r>
          </w:p>
        </w:tc>
      </w:tr>
      <w:tr>
        <w:trPr>
          <w:trHeight w:val="714" w:hRule="exact"/>
        </w:trPr>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21"/>
              <w:jc w:val="left"/>
              <w:rPr>
                <w:rFonts w:ascii="宋体" w:hAnsi="宋体" w:cs="宋体" w:eastAsia="宋体" w:hint="default"/>
                <w:sz w:val="18"/>
                <w:szCs w:val="18"/>
              </w:rPr>
            </w:pPr>
            <w:r>
              <w:rPr>
                <w:rFonts w:ascii="宋体" w:hAnsi="宋体" w:cs="宋体" w:eastAsia="宋体" w:hint="default"/>
                <w:spacing w:val="-18"/>
                <w:sz w:val="18"/>
                <w:szCs w:val="18"/>
              </w:rPr>
              <w:t>二、累计折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旧</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60"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 余额</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5" w:right="0"/>
              <w:jc w:val="left"/>
              <w:rPr>
                <w:rFonts w:ascii="Times New Roman" w:hAnsi="Times New Roman" w:cs="Times New Roman" w:eastAsia="Times New Roman" w:hint="default"/>
                <w:sz w:val="18"/>
                <w:szCs w:val="18"/>
              </w:rPr>
            </w:pPr>
            <w:r>
              <w:rPr>
                <w:rFonts w:ascii="Times New Roman"/>
                <w:sz w:val="18"/>
              </w:rPr>
              <w:t>121,102,83</w:t>
            </w:r>
          </w:p>
          <w:p>
            <w:pPr>
              <w:pStyle w:val="TableParagraph"/>
              <w:spacing w:line="240" w:lineRule="auto" w:before="105"/>
              <w:ind w:left="521" w:right="0"/>
              <w:jc w:val="left"/>
              <w:rPr>
                <w:rFonts w:ascii="Times New Roman" w:hAnsi="Times New Roman" w:cs="Times New Roman" w:eastAsia="Times New Roman" w:hint="default"/>
                <w:sz w:val="18"/>
                <w:szCs w:val="18"/>
              </w:rPr>
            </w:pPr>
            <w:r>
              <w:rPr>
                <w:rFonts w:ascii="Times New Roman"/>
                <w:sz w:val="18"/>
              </w:rPr>
              <w:t>7.12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7" w:right="0"/>
              <w:jc w:val="left"/>
              <w:rPr>
                <w:rFonts w:ascii="Times New Roman" w:hAnsi="Times New Roman" w:cs="Times New Roman" w:eastAsia="Times New Roman" w:hint="default"/>
                <w:sz w:val="18"/>
                <w:szCs w:val="18"/>
              </w:rPr>
            </w:pPr>
            <w:r>
              <w:rPr>
                <w:rFonts w:ascii="Times New Roman"/>
                <w:sz w:val="18"/>
              </w:rPr>
              <w:t>262,238,40</w:t>
            </w:r>
          </w:p>
          <w:p>
            <w:pPr>
              <w:pStyle w:val="TableParagraph"/>
              <w:spacing w:line="240" w:lineRule="auto" w:before="105"/>
              <w:ind w:left="521" w:right="0"/>
              <w:jc w:val="left"/>
              <w:rPr>
                <w:rFonts w:ascii="Times New Roman" w:hAnsi="Times New Roman" w:cs="Times New Roman" w:eastAsia="Times New Roman" w:hint="default"/>
                <w:sz w:val="18"/>
                <w:szCs w:val="18"/>
              </w:rPr>
            </w:pPr>
            <w:r>
              <w:rPr>
                <w:rFonts w:ascii="Times New Roman"/>
                <w:sz w:val="18"/>
              </w:rPr>
              <w:t>8.86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6" w:right="0"/>
              <w:jc w:val="left"/>
              <w:rPr>
                <w:rFonts w:ascii="Times New Roman" w:hAnsi="Times New Roman" w:cs="Times New Roman" w:eastAsia="Times New Roman" w:hint="default"/>
                <w:sz w:val="18"/>
                <w:szCs w:val="18"/>
              </w:rPr>
            </w:pPr>
            <w:r>
              <w:rPr>
                <w:rFonts w:ascii="Times New Roman"/>
                <w:sz w:val="18"/>
              </w:rPr>
              <w:t>118,159,38</w:t>
            </w:r>
          </w:p>
          <w:p>
            <w:pPr>
              <w:pStyle w:val="TableParagraph"/>
              <w:spacing w:line="240" w:lineRule="auto" w:before="105"/>
              <w:ind w:left="521" w:right="0"/>
              <w:jc w:val="left"/>
              <w:rPr>
                <w:rFonts w:ascii="Times New Roman" w:hAnsi="Times New Roman" w:cs="Times New Roman" w:eastAsia="Times New Roman" w:hint="default"/>
                <w:sz w:val="18"/>
                <w:szCs w:val="18"/>
              </w:rPr>
            </w:pPr>
            <w:r>
              <w:rPr>
                <w:rFonts w:ascii="Times New Roman"/>
                <w:sz w:val="18"/>
              </w:rPr>
              <w:t>3.73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83,817,124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22,212,434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.29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23,369,131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.94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955,836.18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6,506,832.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65,758,868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5" w:right="0"/>
              <w:jc w:val="left"/>
              <w:rPr>
                <w:rFonts w:ascii="Times New Roman" w:hAnsi="Times New Roman" w:cs="Times New Roman" w:eastAsia="Times New Roman" w:hint="default"/>
                <w:sz w:val="18"/>
                <w:szCs w:val="18"/>
              </w:rPr>
            </w:pPr>
            <w:r>
              <w:rPr>
                <w:rFonts w:ascii="Times New Roman"/>
                <w:sz w:val="18"/>
              </w:rPr>
              <w:t>704,120,85</w:t>
            </w:r>
          </w:p>
          <w:p>
            <w:pPr>
              <w:pStyle w:val="TableParagraph"/>
              <w:spacing w:line="240" w:lineRule="auto" w:before="105"/>
              <w:ind w:left="520" w:right="0"/>
              <w:jc w:val="left"/>
              <w:rPr>
                <w:rFonts w:ascii="Times New Roman" w:hAnsi="Times New Roman" w:cs="Times New Roman" w:eastAsia="Times New Roman" w:hint="default"/>
                <w:sz w:val="18"/>
                <w:szCs w:val="18"/>
              </w:rPr>
            </w:pPr>
            <w:r>
              <w:rPr>
                <w:rFonts w:ascii="Times New Roman"/>
                <w:sz w:val="18"/>
              </w:rPr>
              <w:t>8.12</w:t>
            </w:r>
          </w:p>
        </w:tc>
      </w:tr>
      <w:tr>
        <w:trPr>
          <w:trHeight w:val="714" w:hRule="exact"/>
        </w:trPr>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22" w:right="114"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 增加金额</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22,976,488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38,713,147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29,127,188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28,497,471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3,320,331.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1,535,368.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329,916.10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714,003.30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30,387,985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5" w:right="0"/>
              <w:jc w:val="left"/>
              <w:rPr>
                <w:rFonts w:ascii="Times New Roman" w:hAnsi="Times New Roman" w:cs="Times New Roman" w:eastAsia="Times New Roman" w:hint="default"/>
                <w:sz w:val="18"/>
                <w:szCs w:val="18"/>
              </w:rPr>
            </w:pPr>
            <w:r>
              <w:rPr>
                <w:rFonts w:ascii="Times New Roman"/>
                <w:sz w:val="18"/>
              </w:rPr>
              <w:t>155,601,90</w:t>
            </w:r>
          </w:p>
          <w:p>
            <w:pPr>
              <w:pStyle w:val="TableParagraph"/>
              <w:spacing w:line="240" w:lineRule="auto" w:before="105"/>
              <w:ind w:left="520" w:right="0"/>
              <w:jc w:val="left"/>
              <w:rPr>
                <w:rFonts w:ascii="Times New Roman" w:hAnsi="Times New Roman" w:cs="Times New Roman" w:eastAsia="Times New Roman" w:hint="default"/>
                <w:sz w:val="18"/>
                <w:szCs w:val="18"/>
              </w:rPr>
            </w:pPr>
            <w:r>
              <w:rPr>
                <w:rFonts w:ascii="Times New Roman"/>
                <w:sz w:val="18"/>
              </w:rPr>
              <w:t>0.60</w:t>
            </w:r>
          </w:p>
        </w:tc>
      </w:tr>
      <w:tr>
        <w:trPr>
          <w:trHeight w:val="714" w:hRule="exact"/>
        </w:trPr>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23"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 计提</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22,976,488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38,713,147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29,127,188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28,497,471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3,320,331.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1,535,368.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329,916.10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714,003.30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30,387,985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5" w:right="0"/>
              <w:jc w:val="left"/>
              <w:rPr>
                <w:rFonts w:ascii="Times New Roman" w:hAnsi="Times New Roman" w:cs="Times New Roman" w:eastAsia="Times New Roman" w:hint="default"/>
                <w:sz w:val="18"/>
                <w:szCs w:val="18"/>
              </w:rPr>
            </w:pPr>
            <w:r>
              <w:rPr>
                <w:rFonts w:ascii="Times New Roman"/>
                <w:sz w:val="18"/>
              </w:rPr>
              <w:t>155,601,90</w:t>
            </w:r>
          </w:p>
          <w:p>
            <w:pPr>
              <w:pStyle w:val="TableParagraph"/>
              <w:spacing w:line="240" w:lineRule="auto" w:before="105"/>
              <w:ind w:left="520" w:right="0"/>
              <w:jc w:val="left"/>
              <w:rPr>
                <w:rFonts w:ascii="Times New Roman" w:hAnsi="Times New Roman" w:cs="Times New Roman" w:eastAsia="Times New Roman" w:hint="default"/>
                <w:sz w:val="18"/>
                <w:szCs w:val="18"/>
              </w:rPr>
            </w:pPr>
            <w:r>
              <w:rPr>
                <w:rFonts w:ascii="Times New Roman"/>
                <w:sz w:val="18"/>
              </w:rPr>
              <w:t>0.60</w:t>
            </w:r>
          </w:p>
        </w:tc>
      </w:tr>
      <w:tr>
        <w:trPr>
          <w:trHeight w:val="714" w:hRule="exact"/>
        </w:trPr>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22" w:right="114"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 减少金额</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70,721.96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38,231,241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3,502,723.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19,938,830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1,596,870.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259,206.10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221,270.88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96" w:right="0"/>
              <w:jc w:val="center"/>
              <w:rPr>
                <w:rFonts w:ascii="Times New Roman" w:hAnsi="Times New Roman" w:cs="Times New Roman" w:eastAsia="Times New Roman" w:hint="default"/>
                <w:sz w:val="18"/>
                <w:szCs w:val="18"/>
              </w:rPr>
            </w:pPr>
            <w:r>
              <w:rPr>
                <w:rFonts w:ascii="Times New Roman"/>
                <w:sz w:val="18"/>
              </w:rPr>
              <w:t>68,684.65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12,907,423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76,796,973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.69</w:t>
            </w:r>
          </w:p>
        </w:tc>
      </w:tr>
      <w:tr>
        <w:trPr>
          <w:trHeight w:val="1026" w:hRule="exact"/>
        </w:trPr>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3"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 处置或报 废</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70,721.96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38,231,241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3,502,723.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19,938,830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1,596,870.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259,206.10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221,270.88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96" w:right="0"/>
              <w:jc w:val="center"/>
              <w:rPr>
                <w:rFonts w:ascii="Times New Roman" w:hAnsi="Times New Roman" w:cs="Times New Roman" w:eastAsia="Times New Roman" w:hint="default"/>
                <w:sz w:val="18"/>
                <w:szCs w:val="18"/>
              </w:rPr>
            </w:pPr>
            <w:r>
              <w:rPr>
                <w:rFonts w:ascii="Times New Roman"/>
                <w:sz w:val="18"/>
              </w:rPr>
              <w:t>68,684.65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12,907,423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76,796,973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.69</w:t>
            </w:r>
          </w:p>
        </w:tc>
      </w:tr>
      <w:tr>
        <w:trPr>
          <w:trHeight w:val="1026" w:hRule="exact"/>
        </w:trPr>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0"/>
              <w:ind w:left="22" w:right="23" w:firstLine="451"/>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企 业合并减 少</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60"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 余额</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5" w:right="0"/>
              <w:jc w:val="left"/>
              <w:rPr>
                <w:rFonts w:ascii="Times New Roman" w:hAnsi="Times New Roman" w:cs="Times New Roman" w:eastAsia="Times New Roman" w:hint="default"/>
                <w:sz w:val="18"/>
                <w:szCs w:val="18"/>
              </w:rPr>
            </w:pPr>
            <w:r>
              <w:rPr>
                <w:rFonts w:ascii="Times New Roman"/>
                <w:sz w:val="18"/>
              </w:rPr>
              <w:t>144,008,60</w:t>
            </w:r>
          </w:p>
          <w:p>
            <w:pPr>
              <w:pStyle w:val="TableParagraph"/>
              <w:spacing w:line="240" w:lineRule="auto" w:before="105"/>
              <w:ind w:left="521" w:right="0"/>
              <w:jc w:val="left"/>
              <w:rPr>
                <w:rFonts w:ascii="Times New Roman" w:hAnsi="Times New Roman" w:cs="Times New Roman" w:eastAsia="Times New Roman" w:hint="default"/>
                <w:sz w:val="18"/>
                <w:szCs w:val="18"/>
              </w:rPr>
            </w:pPr>
            <w:r>
              <w:rPr>
                <w:rFonts w:ascii="Times New Roman"/>
                <w:sz w:val="18"/>
              </w:rPr>
              <w:t>3.67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7" w:right="0"/>
              <w:jc w:val="left"/>
              <w:rPr>
                <w:rFonts w:ascii="Times New Roman" w:hAnsi="Times New Roman" w:cs="Times New Roman" w:eastAsia="Times New Roman" w:hint="default"/>
                <w:sz w:val="18"/>
                <w:szCs w:val="18"/>
              </w:rPr>
            </w:pPr>
            <w:r>
              <w:rPr>
                <w:rFonts w:ascii="Times New Roman"/>
                <w:sz w:val="18"/>
              </w:rPr>
              <w:t>262,720,31</w:t>
            </w:r>
          </w:p>
          <w:p>
            <w:pPr>
              <w:pStyle w:val="TableParagraph"/>
              <w:spacing w:line="240" w:lineRule="auto" w:before="105"/>
              <w:ind w:left="521" w:right="0"/>
              <w:jc w:val="left"/>
              <w:rPr>
                <w:rFonts w:ascii="Times New Roman" w:hAnsi="Times New Roman" w:cs="Times New Roman" w:eastAsia="Times New Roman" w:hint="default"/>
                <w:sz w:val="18"/>
                <w:szCs w:val="18"/>
              </w:rPr>
            </w:pPr>
            <w:r>
              <w:rPr>
                <w:rFonts w:ascii="Times New Roman"/>
                <w:sz w:val="18"/>
              </w:rPr>
              <w:t>5.44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6" w:right="0"/>
              <w:jc w:val="left"/>
              <w:rPr>
                <w:rFonts w:ascii="Times New Roman" w:hAnsi="Times New Roman" w:cs="Times New Roman" w:eastAsia="Times New Roman" w:hint="default"/>
                <w:sz w:val="18"/>
                <w:szCs w:val="18"/>
              </w:rPr>
            </w:pPr>
            <w:r>
              <w:rPr>
                <w:rFonts w:ascii="Times New Roman"/>
                <w:sz w:val="18"/>
              </w:rPr>
              <w:t>143,783,84</w:t>
            </w:r>
          </w:p>
          <w:p>
            <w:pPr>
              <w:pStyle w:val="TableParagraph"/>
              <w:spacing w:line="240" w:lineRule="auto" w:before="105"/>
              <w:ind w:left="521" w:right="0"/>
              <w:jc w:val="left"/>
              <w:rPr>
                <w:rFonts w:ascii="Times New Roman" w:hAnsi="Times New Roman" w:cs="Times New Roman" w:eastAsia="Times New Roman" w:hint="default"/>
                <w:sz w:val="18"/>
                <w:szCs w:val="18"/>
              </w:rPr>
            </w:pPr>
            <w:r>
              <w:rPr>
                <w:rFonts w:ascii="Times New Roman"/>
                <w:sz w:val="18"/>
              </w:rPr>
              <w:t>8.40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92,375,766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23,935,894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.93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24,645,294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.08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1,064,481.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7,152,151.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83,239,429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5" w:right="0"/>
              <w:jc w:val="left"/>
              <w:rPr>
                <w:rFonts w:ascii="Times New Roman" w:hAnsi="Times New Roman" w:cs="Times New Roman" w:eastAsia="Times New Roman" w:hint="default"/>
                <w:sz w:val="18"/>
                <w:szCs w:val="18"/>
              </w:rPr>
            </w:pPr>
            <w:r>
              <w:rPr>
                <w:rFonts w:ascii="Times New Roman"/>
                <w:sz w:val="18"/>
              </w:rPr>
              <w:t>782,925,78</w:t>
            </w:r>
          </w:p>
          <w:p>
            <w:pPr>
              <w:pStyle w:val="TableParagraph"/>
              <w:spacing w:line="240" w:lineRule="auto" w:before="105"/>
              <w:ind w:left="520" w:right="0"/>
              <w:jc w:val="left"/>
              <w:rPr>
                <w:rFonts w:ascii="Times New Roman" w:hAnsi="Times New Roman" w:cs="Times New Roman" w:eastAsia="Times New Roman" w:hint="default"/>
                <w:sz w:val="18"/>
                <w:szCs w:val="18"/>
              </w:rPr>
            </w:pPr>
            <w:r>
              <w:rPr>
                <w:rFonts w:ascii="Times New Roman"/>
                <w:sz w:val="18"/>
              </w:rPr>
              <w:t>5.03</w:t>
            </w:r>
          </w:p>
        </w:tc>
      </w:tr>
      <w:tr>
        <w:trPr>
          <w:trHeight w:val="714" w:hRule="exact"/>
        </w:trPr>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21"/>
              <w:jc w:val="left"/>
              <w:rPr>
                <w:rFonts w:ascii="宋体" w:hAnsi="宋体" w:cs="宋体" w:eastAsia="宋体" w:hint="default"/>
                <w:sz w:val="18"/>
                <w:szCs w:val="18"/>
              </w:rPr>
            </w:pPr>
            <w:r>
              <w:rPr>
                <w:rFonts w:ascii="宋体" w:hAnsi="宋体" w:cs="宋体" w:eastAsia="宋体" w:hint="default"/>
                <w:spacing w:val="-18"/>
                <w:sz w:val="18"/>
                <w:szCs w:val="18"/>
              </w:rPr>
              <w:t>三、减值准</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备</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2" w:hRule="exact"/>
        </w:trPr>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60"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 余额</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1,904,641.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2,047,984.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1,329.00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1,811,124.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199,106.32</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6" w:right="0"/>
              <w:jc w:val="center"/>
              <w:rPr>
                <w:rFonts w:ascii="Times New Roman" w:hAnsi="Times New Roman" w:cs="Times New Roman" w:eastAsia="Times New Roman" w:hint="default"/>
                <w:sz w:val="18"/>
                <w:szCs w:val="18"/>
              </w:rPr>
            </w:pPr>
            <w:r>
              <w:rPr>
                <w:rFonts w:ascii="Times New Roman"/>
                <w:sz w:val="18"/>
              </w:rPr>
              <w:t>50,687.76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1,373,963.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7,388,837.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02</w:t>
            </w:r>
          </w:p>
        </w:tc>
      </w:tr>
    </w:tbl>
    <w:p>
      <w:pPr>
        <w:spacing w:after="0" w:line="240" w:lineRule="auto"/>
        <w:jc w:val="right"/>
        <w:rPr>
          <w:rFonts w:ascii="Times New Roman" w:hAnsi="Times New Roman" w:cs="Times New Roman" w:eastAsia="Times New Roman" w:hint="default"/>
          <w:sz w:val="18"/>
          <w:szCs w:val="18"/>
        </w:rPr>
        <w:sectPr>
          <w:pgSz w:w="11910" w:h="16840"/>
          <w:pgMar w:header="878" w:footer="978" w:top="1100" w:bottom="1160" w:left="102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09" w:type="dxa"/>
        <w:tblLayout w:type="fixed"/>
        <w:tblCellMar>
          <w:top w:w="0" w:type="dxa"/>
          <w:left w:w="0" w:type="dxa"/>
          <w:bottom w:w="0" w:type="dxa"/>
          <w:right w:w="0" w:type="dxa"/>
        </w:tblCellMar>
        <w:tblLook w:val="01E0"/>
      </w:tblPr>
      <w:tblGrid>
        <w:gridCol w:w="869"/>
        <w:gridCol w:w="869"/>
        <w:gridCol w:w="869"/>
        <w:gridCol w:w="869"/>
        <w:gridCol w:w="869"/>
        <w:gridCol w:w="869"/>
        <w:gridCol w:w="869"/>
        <w:gridCol w:w="869"/>
        <w:gridCol w:w="869"/>
        <w:gridCol w:w="869"/>
        <w:gridCol w:w="869"/>
      </w:tblGrid>
      <w:tr>
        <w:trPr>
          <w:trHeight w:val="714" w:hRule="exact"/>
        </w:trPr>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22" w:right="114"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 增加金额</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23"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 计提</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22" w:right="114"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 减少金额</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436,913.76</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116,347.55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49,859.79</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sz w:val="18"/>
              </w:rPr>
              <w:t>603,121.10</w:t>
            </w:r>
          </w:p>
        </w:tc>
      </w:tr>
      <w:tr>
        <w:trPr>
          <w:trHeight w:val="1026" w:hRule="exact"/>
        </w:trPr>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3"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 处置或报 废</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436,913.76</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116,347.55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49,859.79</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sz w:val="18"/>
              </w:rPr>
              <w:t>603,121.10</w:t>
            </w:r>
          </w:p>
        </w:tc>
      </w:tr>
      <w:tr>
        <w:trPr>
          <w:trHeight w:val="714" w:hRule="exact"/>
        </w:trPr>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22" w:right="160"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 余额</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1,904,641.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1,611,070.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1,329.00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1,694,777.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149,246.53</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17" w:right="0"/>
              <w:jc w:val="left"/>
              <w:rPr>
                <w:rFonts w:ascii="Times New Roman" w:hAnsi="Times New Roman" w:cs="Times New Roman" w:eastAsia="Times New Roman" w:hint="default"/>
                <w:sz w:val="18"/>
                <w:szCs w:val="18"/>
              </w:rPr>
            </w:pPr>
            <w:r>
              <w:rPr>
                <w:rFonts w:ascii="Times New Roman"/>
                <w:sz w:val="18"/>
              </w:rPr>
              <w:t>50,687.76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1,373,963.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6,785,715.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92</w:t>
            </w:r>
          </w:p>
        </w:tc>
      </w:tr>
      <w:tr>
        <w:trPr>
          <w:trHeight w:val="714" w:hRule="exact"/>
        </w:trPr>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18"/>
                <w:sz w:val="18"/>
                <w:szCs w:val="18"/>
              </w:rPr>
              <w:t>四、账面价</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值</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22" w:right="114"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 账面价值</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5" w:right="0"/>
              <w:jc w:val="left"/>
              <w:rPr>
                <w:rFonts w:ascii="Times New Roman" w:hAnsi="Times New Roman" w:cs="Times New Roman" w:eastAsia="Times New Roman" w:hint="default"/>
                <w:sz w:val="18"/>
                <w:szCs w:val="18"/>
              </w:rPr>
            </w:pPr>
            <w:r>
              <w:rPr>
                <w:rFonts w:ascii="Times New Roman"/>
                <w:sz w:val="18"/>
              </w:rPr>
              <w:t>723,479,35</w:t>
            </w:r>
          </w:p>
          <w:p>
            <w:pPr>
              <w:pStyle w:val="TableParagraph"/>
              <w:spacing w:line="240" w:lineRule="auto" w:before="105"/>
              <w:ind w:left="521" w:right="0"/>
              <w:jc w:val="left"/>
              <w:rPr>
                <w:rFonts w:ascii="Times New Roman" w:hAnsi="Times New Roman" w:cs="Times New Roman" w:eastAsia="Times New Roman" w:hint="default"/>
                <w:sz w:val="18"/>
                <w:szCs w:val="18"/>
              </w:rPr>
            </w:pPr>
            <w:r>
              <w:rPr>
                <w:rFonts w:ascii="Times New Roman"/>
                <w:sz w:val="18"/>
              </w:rPr>
              <w:t>5.66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153,047,24</w:t>
            </w:r>
          </w:p>
          <w:p>
            <w:pPr>
              <w:pStyle w:val="TableParagraph"/>
              <w:spacing w:line="240" w:lineRule="auto" w:before="105"/>
              <w:ind w:left="521" w:right="0"/>
              <w:jc w:val="left"/>
              <w:rPr>
                <w:rFonts w:ascii="Times New Roman" w:hAnsi="Times New Roman" w:cs="Times New Roman" w:eastAsia="Times New Roman" w:hint="default"/>
                <w:sz w:val="18"/>
                <w:szCs w:val="18"/>
              </w:rPr>
            </w:pPr>
            <w:r>
              <w:rPr>
                <w:rFonts w:ascii="Times New Roman"/>
                <w:sz w:val="18"/>
              </w:rPr>
              <w:t>1.65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70,340,012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32,942,844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16,415,052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.56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4,240,950.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3,212,854.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5,888,960.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5" w:right="0"/>
              <w:jc w:val="left"/>
              <w:rPr>
                <w:rFonts w:ascii="Times New Roman" w:hAnsi="Times New Roman" w:cs="Times New Roman" w:eastAsia="Times New Roman" w:hint="default"/>
                <w:sz w:val="18"/>
                <w:szCs w:val="18"/>
              </w:rPr>
            </w:pPr>
            <w:r>
              <w:rPr>
                <w:rFonts w:ascii="Times New Roman"/>
                <w:sz w:val="18"/>
              </w:rPr>
              <w:t>106,603,50</w:t>
            </w:r>
          </w:p>
          <w:p>
            <w:pPr>
              <w:pStyle w:val="TableParagraph"/>
              <w:spacing w:line="240" w:lineRule="auto" w:before="105"/>
              <w:ind w:left="520" w:right="0"/>
              <w:jc w:val="left"/>
              <w:rPr>
                <w:rFonts w:ascii="Times New Roman" w:hAnsi="Times New Roman" w:cs="Times New Roman" w:eastAsia="Times New Roman" w:hint="default"/>
                <w:sz w:val="18"/>
                <w:szCs w:val="18"/>
              </w:rPr>
            </w:pPr>
            <w:r>
              <w:rPr>
                <w:rFonts w:ascii="Times New Roman"/>
                <w:sz w:val="18"/>
              </w:rPr>
              <w:t>5.17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1" w:right="0"/>
              <w:jc w:val="left"/>
              <w:rPr>
                <w:rFonts w:ascii="Times New Roman" w:hAnsi="Times New Roman" w:cs="Times New Roman" w:eastAsia="Times New Roman" w:hint="default"/>
                <w:sz w:val="18"/>
                <w:szCs w:val="18"/>
              </w:rPr>
            </w:pPr>
            <w:r>
              <w:rPr>
                <w:rFonts w:ascii="Times New Roman"/>
                <w:sz w:val="18"/>
              </w:rPr>
              <w:t>1,116,170,</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777.39</w:t>
            </w:r>
          </w:p>
        </w:tc>
      </w:tr>
      <w:tr>
        <w:trPr>
          <w:trHeight w:val="714" w:hRule="exact"/>
        </w:trPr>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14"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 账面价值</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5" w:right="0"/>
              <w:jc w:val="left"/>
              <w:rPr>
                <w:rFonts w:ascii="Times New Roman" w:hAnsi="Times New Roman" w:cs="Times New Roman" w:eastAsia="Times New Roman" w:hint="default"/>
                <w:sz w:val="18"/>
                <w:szCs w:val="18"/>
              </w:rPr>
            </w:pPr>
            <w:r>
              <w:rPr>
                <w:rFonts w:ascii="Times New Roman"/>
                <w:sz w:val="18"/>
              </w:rPr>
              <w:t>696,263,61</w:t>
            </w:r>
          </w:p>
          <w:p>
            <w:pPr>
              <w:pStyle w:val="TableParagraph"/>
              <w:spacing w:line="240" w:lineRule="auto" w:before="105"/>
              <w:ind w:left="521" w:right="0"/>
              <w:jc w:val="left"/>
              <w:rPr>
                <w:rFonts w:ascii="Times New Roman" w:hAnsi="Times New Roman" w:cs="Times New Roman" w:eastAsia="Times New Roman" w:hint="default"/>
                <w:sz w:val="18"/>
                <w:szCs w:val="18"/>
              </w:rPr>
            </w:pPr>
            <w:r>
              <w:rPr>
                <w:rFonts w:ascii="Times New Roman"/>
                <w:sz w:val="18"/>
              </w:rPr>
              <w:t>2.50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7" w:right="0"/>
              <w:jc w:val="left"/>
              <w:rPr>
                <w:rFonts w:ascii="Times New Roman" w:hAnsi="Times New Roman" w:cs="Times New Roman" w:eastAsia="Times New Roman" w:hint="default"/>
                <w:sz w:val="18"/>
                <w:szCs w:val="18"/>
              </w:rPr>
            </w:pPr>
            <w:r>
              <w:rPr>
                <w:rFonts w:ascii="Times New Roman"/>
                <w:sz w:val="18"/>
              </w:rPr>
              <w:t>150,215,28</w:t>
            </w:r>
          </w:p>
          <w:p>
            <w:pPr>
              <w:pStyle w:val="TableParagraph"/>
              <w:spacing w:line="240" w:lineRule="auto" w:before="105"/>
              <w:ind w:left="521" w:right="0"/>
              <w:jc w:val="left"/>
              <w:rPr>
                <w:rFonts w:ascii="Times New Roman" w:hAnsi="Times New Roman" w:cs="Times New Roman" w:eastAsia="Times New Roman" w:hint="default"/>
                <w:sz w:val="18"/>
                <w:szCs w:val="18"/>
              </w:rPr>
            </w:pPr>
            <w:r>
              <w:rPr>
                <w:rFonts w:ascii="Times New Roman"/>
                <w:sz w:val="18"/>
              </w:rPr>
              <w:t>7.08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79,773,904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37,637,408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18,240,412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.75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5,735,967.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2,349,236.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5,809,998.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93,023,846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1,089,049,</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675.78</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ind w:right="1394"/>
        <w:jc w:val="left"/>
        <w:rPr>
          <w:b w:val="0"/>
          <w:bCs w:val="0"/>
        </w:rPr>
      </w:pPr>
      <w:bookmarkStart w:name="（2）暂时闲置的固定资产情况" w:id="256"/>
      <w:bookmarkEnd w:id="256"/>
      <w:r>
        <w:rPr>
          <w:b w:val="0"/>
          <w:bCs w:val="0"/>
        </w:rPr>
      </w: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532" w:right="1394"/>
        <w:jc w:val="left"/>
      </w:pPr>
      <w:bookmarkStart w:name="期末没有暂时闲置的固定资产。" w:id="257"/>
      <w:bookmarkEnd w:id="257"/>
      <w:r>
        <w:rPr/>
      </w:r>
      <w:r>
        <w:rPr/>
        <w:t>期末没有暂时闲置的固定资产。</w:t>
      </w:r>
    </w:p>
    <w:p>
      <w:pPr>
        <w:spacing w:line="240" w:lineRule="auto" w:before="11"/>
        <w:rPr>
          <w:rFonts w:ascii="宋体" w:hAnsi="宋体" w:cs="宋体" w:eastAsia="宋体" w:hint="default"/>
          <w:sz w:val="26"/>
          <w:szCs w:val="26"/>
        </w:rPr>
      </w:pPr>
    </w:p>
    <w:p>
      <w:pPr>
        <w:pStyle w:val="Heading3"/>
        <w:spacing w:line="240" w:lineRule="auto" w:before="0"/>
        <w:ind w:right="1394"/>
        <w:jc w:val="left"/>
        <w:rPr>
          <w:b w:val="0"/>
          <w:bCs w:val="0"/>
        </w:rPr>
      </w:pPr>
      <w:bookmarkStart w:name="（3）通过融资租赁租入的固定资产情况" w:id="258"/>
      <w:bookmarkEnd w:id="258"/>
      <w:r>
        <w:rPr>
          <w:b w:val="0"/>
          <w:bCs w:val="0"/>
        </w:rPr>
      </w: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7"/>
        <w:rPr>
          <w:rFonts w:ascii="宋体" w:hAnsi="宋体" w:cs="宋体" w:eastAsia="宋体" w:hint="default"/>
          <w:b/>
          <w:bCs/>
          <w:sz w:val="32"/>
          <w:szCs w:val="32"/>
        </w:rPr>
      </w:pPr>
    </w:p>
    <w:p>
      <w:pPr>
        <w:pStyle w:val="BodyText"/>
        <w:spacing w:line="240" w:lineRule="auto"/>
        <w:ind w:left="532" w:right="1394"/>
        <w:jc w:val="left"/>
      </w:pPr>
      <w:r>
        <w:rPr/>
        <w:t>本期没有通过融资租赁租入的固定资产。</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3"/>
        <w:spacing w:line="240" w:lineRule="auto" w:before="0"/>
        <w:ind w:right="1394"/>
        <w:jc w:val="left"/>
        <w:rPr>
          <w:b w:val="0"/>
          <w:bCs w:val="0"/>
        </w:rPr>
      </w:pPr>
      <w:bookmarkStart w:name="（4）通过经营租赁租出的固定资产" w:id="259"/>
      <w:bookmarkEnd w:id="259"/>
      <w:r>
        <w:rPr>
          <w:b w:val="0"/>
          <w:bCs w:val="0"/>
        </w:rPr>
      </w: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532" w:right="1394"/>
        <w:jc w:val="left"/>
      </w:pPr>
      <w:r>
        <w:rPr/>
        <w:t>本期没有通过经营租赁租出的固定资产。</w:t>
      </w:r>
    </w:p>
    <w:p>
      <w:pPr>
        <w:spacing w:line="240" w:lineRule="auto" w:before="11"/>
        <w:rPr>
          <w:rFonts w:ascii="宋体" w:hAnsi="宋体" w:cs="宋体" w:eastAsia="宋体" w:hint="default"/>
          <w:sz w:val="26"/>
          <w:szCs w:val="26"/>
        </w:rPr>
      </w:pPr>
    </w:p>
    <w:p>
      <w:pPr>
        <w:pStyle w:val="Heading3"/>
        <w:spacing w:line="240" w:lineRule="auto" w:before="0"/>
        <w:ind w:right="1394"/>
        <w:jc w:val="left"/>
        <w:rPr>
          <w:b w:val="0"/>
          <w:bCs w:val="0"/>
        </w:rPr>
      </w:pPr>
      <w:bookmarkStart w:name="（5）未办妥产权证书的固定资产情况" w:id="260"/>
      <w:bookmarkEnd w:id="260"/>
      <w:r>
        <w:rPr>
          <w:b w:val="0"/>
          <w:bCs w:val="0"/>
        </w:rPr>
      </w: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40,754,943.70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正在办理中</w:t>
            </w:r>
          </w:p>
        </w:tc>
      </w:tr>
    </w:tbl>
    <w:p>
      <w:pPr>
        <w:spacing w:line="240" w:lineRule="auto" w:before="5"/>
        <w:rPr>
          <w:rFonts w:ascii="宋体" w:hAnsi="宋体" w:cs="宋体" w:eastAsia="宋体" w:hint="default"/>
          <w:sz w:val="19"/>
          <w:szCs w:val="19"/>
        </w:rPr>
      </w:pPr>
    </w:p>
    <w:p>
      <w:pPr>
        <w:pStyle w:val="Heading3"/>
        <w:spacing w:line="240" w:lineRule="auto"/>
        <w:ind w:right="1394"/>
        <w:jc w:val="left"/>
        <w:rPr>
          <w:b w:val="0"/>
          <w:bCs w:val="0"/>
        </w:rPr>
      </w:pPr>
      <w:bookmarkStart w:name="15、在建工程" w:id="261"/>
      <w:bookmarkEnd w:id="261"/>
      <w:r>
        <w:rPr>
          <w:b w:val="0"/>
          <w:bCs w:val="0"/>
        </w:rPr>
      </w:r>
      <w:r>
        <w:rPr>
          <w:rFonts w:ascii="Times New Roman" w:hAnsi="Times New Roman" w:cs="Times New Roman" w:eastAsia="Times New Roman" w:hint="default"/>
        </w:rPr>
        <w:t>15</w:t>
      </w:r>
      <w:r>
        <w:rPr/>
        <w:t>、在建工程</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0"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878" w:footer="978" w:top="1100" w:bottom="1160" w:left="1020" w:right="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15,468,910.33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48,288,502.94</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15,468,910.33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48,288,502.94</w:t>
            </w:r>
          </w:p>
        </w:tc>
      </w:tr>
    </w:tbl>
    <w:p>
      <w:pPr>
        <w:spacing w:line="240" w:lineRule="auto" w:before="3"/>
        <w:rPr>
          <w:rFonts w:ascii="宋体" w:hAnsi="宋体" w:cs="宋体" w:eastAsia="宋体" w:hint="default"/>
          <w:sz w:val="19"/>
          <w:szCs w:val="19"/>
        </w:rPr>
      </w:pPr>
    </w:p>
    <w:p>
      <w:pPr>
        <w:pStyle w:val="Heading3"/>
        <w:spacing w:line="240" w:lineRule="auto"/>
        <w:ind w:right="1394"/>
        <w:jc w:val="left"/>
        <w:rPr>
          <w:b w:val="0"/>
          <w:bCs w:val="0"/>
        </w:rPr>
      </w:pPr>
      <w:bookmarkStart w:name="（1）在建工程情况" w:id="262"/>
      <w:bookmarkEnd w:id="262"/>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368"/>
        <w:gridCol w:w="1367"/>
        <w:gridCol w:w="1367"/>
        <w:gridCol w:w="1367"/>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零星工程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1" w:right="0"/>
              <w:jc w:val="left"/>
              <w:rPr>
                <w:rFonts w:ascii="Times New Roman" w:hAnsi="Times New Roman" w:cs="Times New Roman" w:eastAsia="Times New Roman" w:hint="default"/>
                <w:sz w:val="18"/>
                <w:szCs w:val="18"/>
              </w:rPr>
            </w:pPr>
            <w:r>
              <w:rPr>
                <w:rFonts w:ascii="Times New Roman"/>
                <w:sz w:val="18"/>
              </w:rPr>
              <w:t>15,468,910.33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9" w:right="0"/>
              <w:jc w:val="left"/>
              <w:rPr>
                <w:rFonts w:ascii="Times New Roman" w:hAnsi="Times New Roman" w:cs="Times New Roman" w:eastAsia="Times New Roman" w:hint="default"/>
                <w:sz w:val="18"/>
                <w:szCs w:val="18"/>
              </w:rPr>
            </w:pPr>
            <w:r>
              <w:rPr>
                <w:rFonts w:ascii="Times New Roman"/>
                <w:sz w:val="18"/>
              </w:rPr>
              <w:t>15,468,910.33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8" w:right="0"/>
              <w:jc w:val="left"/>
              <w:rPr>
                <w:rFonts w:ascii="Times New Roman" w:hAnsi="Times New Roman" w:cs="Times New Roman" w:eastAsia="Times New Roman" w:hint="default"/>
                <w:sz w:val="18"/>
                <w:szCs w:val="18"/>
              </w:rPr>
            </w:pPr>
            <w:r>
              <w:rPr>
                <w:rFonts w:ascii="Times New Roman"/>
                <w:sz w:val="18"/>
              </w:rPr>
              <w:t>26,065,763.54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8" w:right="0"/>
              <w:jc w:val="left"/>
              <w:rPr>
                <w:rFonts w:ascii="Times New Roman" w:hAnsi="Times New Roman" w:cs="Times New Roman" w:eastAsia="Times New Roman" w:hint="default"/>
                <w:sz w:val="18"/>
                <w:szCs w:val="18"/>
              </w:rPr>
            </w:pPr>
            <w:r>
              <w:rPr>
                <w:rFonts w:ascii="Times New Roman"/>
                <w:sz w:val="18"/>
              </w:rPr>
              <w:t>26,065,763.54</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73"/>
              <w:jc w:val="left"/>
              <w:rPr>
                <w:rFonts w:ascii="宋体" w:hAnsi="宋体" w:cs="宋体" w:eastAsia="宋体" w:hint="default"/>
                <w:sz w:val="18"/>
                <w:szCs w:val="18"/>
              </w:rPr>
            </w:pPr>
            <w:r>
              <w:rPr>
                <w:rFonts w:ascii="宋体" w:hAnsi="宋体" w:cs="宋体" w:eastAsia="宋体" w:hint="default"/>
                <w:sz w:val="18"/>
                <w:szCs w:val="18"/>
              </w:rPr>
              <w:t>黄石金安金融现 代物流园项目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298" w:right="0"/>
              <w:jc w:val="left"/>
              <w:rPr>
                <w:rFonts w:ascii="Times New Roman" w:hAnsi="Times New Roman" w:cs="Times New Roman" w:eastAsia="Times New Roman" w:hint="default"/>
                <w:sz w:val="18"/>
                <w:szCs w:val="18"/>
              </w:rPr>
            </w:pPr>
            <w:r>
              <w:rPr>
                <w:rFonts w:ascii="Times New Roman"/>
                <w:sz w:val="18"/>
              </w:rPr>
              <w:t>22,222,739.40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298" w:right="0"/>
              <w:jc w:val="left"/>
              <w:rPr>
                <w:rFonts w:ascii="Times New Roman" w:hAnsi="Times New Roman" w:cs="Times New Roman" w:eastAsia="Times New Roman" w:hint="default"/>
                <w:sz w:val="18"/>
                <w:szCs w:val="18"/>
              </w:rPr>
            </w:pPr>
            <w:r>
              <w:rPr>
                <w:rFonts w:ascii="Times New Roman"/>
                <w:sz w:val="18"/>
              </w:rPr>
              <w:t>22,222,739.40</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1" w:right="0"/>
              <w:jc w:val="left"/>
              <w:rPr>
                <w:rFonts w:ascii="Times New Roman" w:hAnsi="Times New Roman" w:cs="Times New Roman" w:eastAsia="Times New Roman" w:hint="default"/>
                <w:sz w:val="18"/>
                <w:szCs w:val="18"/>
              </w:rPr>
            </w:pPr>
            <w:r>
              <w:rPr>
                <w:rFonts w:ascii="Times New Roman"/>
                <w:sz w:val="18"/>
              </w:rPr>
              <w:t>15,468,910.33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9" w:right="0"/>
              <w:jc w:val="left"/>
              <w:rPr>
                <w:rFonts w:ascii="Times New Roman" w:hAnsi="Times New Roman" w:cs="Times New Roman" w:eastAsia="Times New Roman" w:hint="default"/>
                <w:sz w:val="18"/>
                <w:szCs w:val="18"/>
              </w:rPr>
            </w:pPr>
            <w:r>
              <w:rPr>
                <w:rFonts w:ascii="Times New Roman"/>
                <w:sz w:val="18"/>
              </w:rPr>
              <w:t>15,468,910.33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8" w:right="0"/>
              <w:jc w:val="left"/>
              <w:rPr>
                <w:rFonts w:ascii="Times New Roman" w:hAnsi="Times New Roman" w:cs="Times New Roman" w:eastAsia="Times New Roman" w:hint="default"/>
                <w:sz w:val="18"/>
                <w:szCs w:val="18"/>
              </w:rPr>
            </w:pPr>
            <w:r>
              <w:rPr>
                <w:rFonts w:ascii="Times New Roman"/>
                <w:sz w:val="18"/>
              </w:rPr>
              <w:t>48,288,502.94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8" w:right="0"/>
              <w:jc w:val="left"/>
              <w:rPr>
                <w:rFonts w:ascii="Times New Roman" w:hAnsi="Times New Roman" w:cs="Times New Roman" w:eastAsia="Times New Roman" w:hint="default"/>
                <w:sz w:val="18"/>
                <w:szCs w:val="18"/>
              </w:rPr>
            </w:pPr>
            <w:r>
              <w:rPr>
                <w:rFonts w:ascii="Times New Roman"/>
                <w:sz w:val="18"/>
              </w:rPr>
              <w:t>48,288,502.94</w:t>
            </w:r>
          </w:p>
        </w:tc>
      </w:tr>
    </w:tbl>
    <w:p>
      <w:pPr>
        <w:spacing w:line="240" w:lineRule="auto" w:before="4"/>
        <w:rPr>
          <w:rFonts w:ascii="宋体" w:hAnsi="宋体" w:cs="宋体" w:eastAsia="宋体" w:hint="default"/>
          <w:sz w:val="19"/>
          <w:szCs w:val="19"/>
        </w:rPr>
      </w:pPr>
    </w:p>
    <w:p>
      <w:pPr>
        <w:pStyle w:val="Heading3"/>
        <w:spacing w:line="240" w:lineRule="auto"/>
        <w:ind w:right="1394"/>
        <w:jc w:val="left"/>
        <w:rPr>
          <w:b w:val="0"/>
          <w:bCs w:val="0"/>
        </w:rPr>
      </w:pPr>
      <w:bookmarkStart w:name="（2）重要在建工程项目本期变动情况" w:id="263"/>
      <w:bookmarkEnd w:id="263"/>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732"/>
        <w:gridCol w:w="736"/>
        <w:gridCol w:w="736"/>
        <w:gridCol w:w="736"/>
        <w:gridCol w:w="736"/>
        <w:gridCol w:w="736"/>
        <w:gridCol w:w="736"/>
        <w:gridCol w:w="736"/>
        <w:gridCol w:w="736"/>
        <w:gridCol w:w="736"/>
        <w:gridCol w:w="736"/>
        <w:gridCol w:w="736"/>
        <w:gridCol w:w="736"/>
      </w:tblGrid>
      <w:tr>
        <w:trPr>
          <w:trHeight w:val="1338"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69" w:right="90"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91"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93" w:right="90"/>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2" w:right="92"/>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90"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2" w:right="92"/>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91"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90"/>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2"/>
              <w:jc w:val="center"/>
              <w:rPr>
                <w:rFonts w:ascii="宋体" w:hAnsi="宋体" w:cs="宋体" w:eastAsia="宋体" w:hint="default"/>
                <w:sz w:val="18"/>
                <w:szCs w:val="18"/>
              </w:rPr>
            </w:pPr>
            <w:r>
              <w:rPr>
                <w:rFonts w:ascii="宋体" w:hAnsi="宋体" w:cs="宋体" w:eastAsia="宋体" w:hint="default"/>
                <w:spacing w:val="-11"/>
                <w:sz w:val="18"/>
                <w:szCs w:val="18"/>
              </w:rPr>
              <w:t>其中：本</w:t>
            </w:r>
            <w:r>
              <w:rPr>
                <w:rFonts w:ascii="宋体" w:hAnsi="宋体" w:cs="宋体" w:eastAsia="宋体" w:hint="default"/>
                <w:sz w:val="18"/>
                <w:szCs w:val="18"/>
              </w:rPr>
              <w:t> 期利息 资本化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90"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357" w:hRule="exact"/>
        </w:trPr>
        <w:tc>
          <w:tcPr>
            <w:tcW w:w="73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黄石金</w:t>
            </w: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r>
      <w:tr>
        <w:trPr>
          <w:trHeight w:val="936" w:hRule="exact"/>
        </w:trPr>
        <w:tc>
          <w:tcPr>
            <w:tcW w:w="73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57"/>
              <w:jc w:val="both"/>
              <w:rPr>
                <w:rFonts w:ascii="宋体" w:hAnsi="宋体" w:cs="宋体" w:eastAsia="宋体" w:hint="default"/>
                <w:sz w:val="18"/>
                <w:szCs w:val="18"/>
              </w:rPr>
            </w:pPr>
            <w:r>
              <w:rPr>
                <w:rFonts w:ascii="宋体" w:hAnsi="宋体" w:cs="宋体" w:eastAsia="宋体" w:hint="default"/>
                <w:sz w:val="18"/>
                <w:szCs w:val="18"/>
              </w:rPr>
              <w:t>安金融 现代物 流园项</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46,809,6</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00.00</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22,222,7</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39.40</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6,750,16</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6.34</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28,972,9</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05.74</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29" w:right="0"/>
              <w:jc w:val="center"/>
              <w:rPr>
                <w:rFonts w:ascii="Times New Roman" w:hAnsi="Times New Roman" w:cs="Times New Roman" w:eastAsia="Times New Roman" w:hint="default"/>
                <w:sz w:val="18"/>
                <w:szCs w:val="18"/>
              </w:rPr>
            </w:pPr>
            <w:r>
              <w:rPr>
                <w:rFonts w:ascii="Times New Roman"/>
                <w:sz w:val="18"/>
              </w:rPr>
              <w:t>61.90%</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32"/>
              <w:jc w:val="center"/>
              <w:rPr>
                <w:rFonts w:ascii="Times New Roman" w:hAnsi="Times New Roman" w:cs="Times New Roman" w:eastAsia="Times New Roman" w:hint="default"/>
                <w:sz w:val="18"/>
                <w:szCs w:val="18"/>
              </w:rPr>
            </w:pPr>
            <w:r>
              <w:rPr>
                <w:rFonts w:ascii="Times New Roman"/>
                <w:sz w:val="18"/>
              </w:rPr>
              <w:t>100.00%</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21" w:right="162"/>
              <w:jc w:val="left"/>
              <w:rPr>
                <w:rFonts w:ascii="宋体" w:hAnsi="宋体" w:cs="宋体" w:eastAsia="宋体" w:hint="default"/>
                <w:sz w:val="18"/>
                <w:szCs w:val="18"/>
              </w:rPr>
            </w:pPr>
            <w:r>
              <w:rPr>
                <w:rFonts w:ascii="宋体" w:hAnsi="宋体" w:cs="宋体" w:eastAsia="宋体" w:hint="default"/>
                <w:sz w:val="18"/>
                <w:szCs w:val="18"/>
              </w:rPr>
              <w:t>募股资 金</w:t>
            </w:r>
          </w:p>
        </w:tc>
      </w:tr>
      <w:tr>
        <w:trPr>
          <w:trHeight w:val="357" w:hRule="exact"/>
        </w:trPr>
        <w:tc>
          <w:tcPr>
            <w:tcW w:w="73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目</w:t>
            </w: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46,809,6</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00.00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22,222,7</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39.40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6,750,16</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6.34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28,972,9</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05.74</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ind w:right="1394"/>
        <w:jc w:val="left"/>
        <w:rPr>
          <w:b w:val="0"/>
          <w:bCs w:val="0"/>
        </w:rPr>
      </w:pPr>
      <w:bookmarkStart w:name="16、无形资产" w:id="264"/>
      <w:bookmarkEnd w:id="264"/>
      <w:r>
        <w:rPr>
          <w:b w:val="0"/>
          <w:bCs w:val="0"/>
        </w:rPr>
      </w:r>
      <w:r>
        <w:rPr>
          <w:rFonts w:ascii="Times New Roman" w:hAnsi="Times New Roman" w:cs="Times New Roman" w:eastAsia="Times New Roman" w:hint="default"/>
        </w:rPr>
        <w:t>16</w:t>
      </w:r>
      <w:r>
        <w:rPr/>
        <w:t>、无形资产</w:t>
      </w:r>
      <w:r>
        <w:rPr>
          <w:b w:val="0"/>
          <w:bCs w:val="0"/>
        </w:rPr>
      </w:r>
    </w:p>
    <w:p>
      <w:pPr>
        <w:spacing w:line="240" w:lineRule="auto" w:before="7"/>
        <w:rPr>
          <w:rFonts w:ascii="宋体" w:hAnsi="宋体" w:cs="宋体" w:eastAsia="宋体" w:hint="default"/>
          <w:b/>
          <w:bCs/>
          <w:sz w:val="24"/>
          <w:szCs w:val="24"/>
        </w:rPr>
      </w:pPr>
    </w:p>
    <w:p>
      <w:pPr>
        <w:pStyle w:val="Heading3"/>
        <w:spacing w:line="240" w:lineRule="auto" w:before="0"/>
        <w:ind w:right="1394"/>
        <w:jc w:val="left"/>
        <w:rPr>
          <w:b w:val="0"/>
          <w:bCs w:val="0"/>
        </w:rPr>
      </w:pPr>
      <w:bookmarkStart w:name="（1）无形资产情况" w:id="265"/>
      <w:bookmarkEnd w:id="265"/>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977"/>
        <w:gridCol w:w="2268"/>
        <w:gridCol w:w="2268"/>
        <w:gridCol w:w="1985"/>
      </w:tblGrid>
      <w:tr>
        <w:trPr>
          <w:trHeight w:val="402" w:hRule="exact"/>
        </w:trPr>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303"/>
              <w:jc w:val="right"/>
              <w:rPr>
                <w:rFonts w:ascii="宋体" w:hAnsi="宋体" w:cs="宋体" w:eastAsia="宋体" w:hint="default"/>
                <w:sz w:val="18"/>
                <w:szCs w:val="18"/>
              </w:rPr>
            </w:pPr>
            <w:r>
              <w:rPr>
                <w:rFonts w:ascii="宋体" w:hAnsi="宋体" w:cs="宋体" w:eastAsia="宋体" w:hint="default"/>
                <w:sz w:val="18"/>
                <w:szCs w:val="18"/>
              </w:rPr>
              <w:t>项目</w:t>
            </w:r>
          </w:p>
        </w:tc>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79"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软件</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2268"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152,792,277.26</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37,772,411.19</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190,564,688.45</w:t>
            </w:r>
          </w:p>
        </w:tc>
      </w:tr>
      <w:tr>
        <w:trPr>
          <w:trHeight w:val="402" w:hRule="exact"/>
        </w:trPr>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68,559,641.94</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2,643,898.97</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71,203,540.91</w:t>
            </w:r>
          </w:p>
        </w:tc>
      </w:tr>
      <w:tr>
        <w:trPr>
          <w:trHeight w:val="402" w:hRule="exact"/>
        </w:trPr>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10,789,641.94</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2,049,881.88</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12,839,523.82</w:t>
            </w:r>
          </w:p>
        </w:tc>
      </w:tr>
      <w:tr>
        <w:trPr>
          <w:trHeight w:val="400" w:hRule="exact"/>
        </w:trPr>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231"/>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）内部研发</w:t>
            </w:r>
          </w:p>
        </w:tc>
        <w:tc>
          <w:tcPr>
            <w:tcW w:w="2268"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8" w:footer="978" w:top="1100" w:bottom="1160" w:left="1020" w:right="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2977"/>
        <w:gridCol w:w="2268"/>
        <w:gridCol w:w="2268"/>
        <w:gridCol w:w="1985"/>
      </w:tblGrid>
      <w:tr>
        <w:trPr>
          <w:trHeight w:val="402" w:hRule="exact"/>
        </w:trPr>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2268"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）在建工程转入</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57,770,000.00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594,017.09</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58,364,017.09</w:t>
            </w:r>
          </w:p>
        </w:tc>
      </w:tr>
      <w:tr>
        <w:trPr>
          <w:trHeight w:val="402" w:hRule="exact"/>
        </w:trPr>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2268"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2268"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221,351,919.20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40,416,310.16</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261,768,229.36</w:t>
            </w:r>
          </w:p>
        </w:tc>
      </w:tr>
      <w:tr>
        <w:trPr>
          <w:trHeight w:val="402" w:hRule="exact"/>
        </w:trPr>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2268"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13,481,784.07</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25,281,011.65</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38,762,795.72</w:t>
            </w:r>
          </w:p>
        </w:tc>
      </w:tr>
      <w:tr>
        <w:trPr>
          <w:trHeight w:val="402" w:hRule="exact"/>
        </w:trPr>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3,647,381.18</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4,866,702.99</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8,514,084.17</w:t>
            </w:r>
          </w:p>
        </w:tc>
      </w:tr>
      <w:tr>
        <w:trPr>
          <w:trHeight w:val="402" w:hRule="exact"/>
        </w:trPr>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3,647,381.18</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4,866,702.99</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8,514,084.17</w:t>
            </w:r>
          </w:p>
        </w:tc>
      </w:tr>
      <w:tr>
        <w:trPr>
          <w:trHeight w:val="402" w:hRule="exact"/>
        </w:trPr>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2268"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2268"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17,129,165.25</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30,147,714.64</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47,276,879.89</w:t>
            </w:r>
          </w:p>
        </w:tc>
      </w:tr>
      <w:tr>
        <w:trPr>
          <w:trHeight w:val="402" w:hRule="exact"/>
        </w:trPr>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2268"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2268"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1,154.69</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1,154.69</w:t>
            </w:r>
          </w:p>
        </w:tc>
      </w:tr>
      <w:tr>
        <w:trPr>
          <w:trHeight w:val="402" w:hRule="exact"/>
        </w:trPr>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2268"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2268"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2268"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2268"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2268"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1,154.69</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1,154.69</w:t>
            </w:r>
          </w:p>
        </w:tc>
      </w:tr>
      <w:tr>
        <w:trPr>
          <w:trHeight w:val="402" w:hRule="exact"/>
        </w:trPr>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2268"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204,222,753.95</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10,267,440.83</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214,490,194.78</w:t>
            </w:r>
          </w:p>
        </w:tc>
      </w:tr>
      <w:tr>
        <w:trPr>
          <w:trHeight w:val="402" w:hRule="exact"/>
        </w:trPr>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139,310,493.19</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12,490,244.85</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151,800,738.04</w:t>
            </w:r>
          </w:p>
        </w:tc>
      </w:tr>
    </w:tbl>
    <w:p>
      <w:pPr>
        <w:pStyle w:val="BodyText"/>
        <w:spacing w:line="240" w:lineRule="auto" w:before="50"/>
        <w:ind w:right="1394"/>
        <w:jc w:val="left"/>
      </w:pPr>
      <w:r>
        <w:rPr/>
        <w:t>本期末通过公司内部研发形成的无形资产占无形资产余额的比例</w:t>
      </w:r>
      <w:r>
        <w:rPr>
          <w:spacing w:val="-47"/>
        </w:rPr>
        <w:t> </w:t>
      </w:r>
      <w:r>
        <w:rPr>
          <w:rFonts w:ascii="Times New Roman" w:hAnsi="Times New Roman" w:cs="Times New Roman" w:eastAsia="Times New Roman" w:hint="default"/>
        </w:rPr>
        <w:t>0.00%</w:t>
      </w:r>
      <w:r>
        <w:rPr/>
        <w:t>。</w:t>
      </w:r>
    </w:p>
    <w:p>
      <w:pPr>
        <w:spacing w:line="240" w:lineRule="auto" w:before="13"/>
        <w:rPr>
          <w:rFonts w:ascii="宋体" w:hAnsi="宋体" w:cs="宋体" w:eastAsia="宋体" w:hint="default"/>
          <w:sz w:val="25"/>
          <w:szCs w:val="25"/>
        </w:rPr>
      </w:pPr>
    </w:p>
    <w:p>
      <w:pPr>
        <w:pStyle w:val="Heading3"/>
        <w:spacing w:line="240" w:lineRule="auto" w:before="0"/>
        <w:ind w:right="1394"/>
        <w:jc w:val="left"/>
        <w:rPr>
          <w:b w:val="0"/>
          <w:bCs w:val="0"/>
        </w:rPr>
      </w:pPr>
      <w:bookmarkStart w:name="（2）未办妥产权证书的土地使用权情况" w:id="266"/>
      <w:bookmarkEnd w:id="266"/>
      <w:r>
        <w:rPr>
          <w:b w:val="0"/>
          <w:bCs w:val="0"/>
        </w:rPr>
      </w: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新一代</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AI</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智能设备产业基地项目土地</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59,135,105.10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正在办理中</w:t>
            </w:r>
          </w:p>
        </w:tc>
      </w:tr>
    </w:tbl>
    <w:p>
      <w:pPr>
        <w:spacing w:line="240" w:lineRule="auto" w:before="3"/>
        <w:rPr>
          <w:rFonts w:ascii="宋体" w:hAnsi="宋体" w:cs="宋体" w:eastAsia="宋体" w:hint="default"/>
          <w:sz w:val="19"/>
          <w:szCs w:val="19"/>
        </w:rPr>
      </w:pPr>
    </w:p>
    <w:p>
      <w:pPr>
        <w:pStyle w:val="Heading3"/>
        <w:spacing w:line="240" w:lineRule="auto"/>
        <w:ind w:right="1394"/>
        <w:jc w:val="left"/>
        <w:rPr>
          <w:b w:val="0"/>
          <w:bCs w:val="0"/>
        </w:rPr>
      </w:pPr>
      <w:bookmarkStart w:name="17、商誉" w:id="267"/>
      <w:bookmarkEnd w:id="267"/>
      <w:r>
        <w:rPr>
          <w:b w:val="0"/>
          <w:bCs w:val="0"/>
        </w:rPr>
      </w:r>
      <w:r>
        <w:rPr>
          <w:rFonts w:ascii="Times New Roman" w:hAnsi="Times New Roman" w:cs="Times New Roman" w:eastAsia="Times New Roman" w:hint="default"/>
        </w:rPr>
        <w:t>17</w:t>
      </w:r>
      <w:r>
        <w:rPr/>
        <w:t>、商誉</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before="0"/>
        <w:ind w:right="1394"/>
        <w:jc w:val="left"/>
        <w:rPr>
          <w:b w:val="0"/>
          <w:bCs w:val="0"/>
        </w:rPr>
      </w:pPr>
      <w:bookmarkStart w:name="（1）商誉账面原值" w:id="268"/>
      <w:bookmarkEnd w:id="268"/>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835"/>
        <w:gridCol w:w="1560"/>
        <w:gridCol w:w="2126"/>
        <w:gridCol w:w="1681"/>
        <w:gridCol w:w="1367"/>
      </w:tblGrid>
      <w:tr>
        <w:trPr>
          <w:trHeight w:val="400"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1" w:right="0"/>
              <w:jc w:val="left"/>
              <w:rPr>
                <w:rFonts w:ascii="宋体" w:hAnsi="宋体" w:cs="宋体" w:eastAsia="宋体" w:hint="default"/>
                <w:sz w:val="18"/>
                <w:szCs w:val="18"/>
              </w:rPr>
            </w:pPr>
            <w:r>
              <w:rPr>
                <w:rFonts w:ascii="宋体" w:hAnsi="宋体" w:cs="宋体" w:eastAsia="宋体" w:hint="default"/>
                <w:sz w:val="18"/>
                <w:szCs w:val="18"/>
              </w:rPr>
              <w:t>被投资单位名称或形成商誉的事项</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1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9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6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7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left"/>
        <w:rPr>
          <w:rFonts w:ascii="宋体" w:hAnsi="宋体" w:cs="宋体" w:eastAsia="宋体" w:hint="default"/>
          <w:sz w:val="18"/>
          <w:szCs w:val="18"/>
        </w:rPr>
        <w:sectPr>
          <w:pgSz w:w="11910" w:h="16840"/>
          <w:pgMar w:header="878" w:footer="978" w:top="1100" w:bottom="1160" w:left="102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09" w:type="dxa"/>
        <w:tblLayout w:type="fixed"/>
        <w:tblCellMar>
          <w:top w:w="0" w:type="dxa"/>
          <w:left w:w="0" w:type="dxa"/>
          <w:bottom w:w="0" w:type="dxa"/>
          <w:right w:w="0" w:type="dxa"/>
        </w:tblCellMar>
        <w:tblLook w:val="01E0"/>
      </w:tblPr>
      <w:tblGrid>
        <w:gridCol w:w="2835"/>
        <w:gridCol w:w="1560"/>
        <w:gridCol w:w="1417"/>
        <w:gridCol w:w="709"/>
        <w:gridCol w:w="850"/>
        <w:gridCol w:w="831"/>
        <w:gridCol w:w="1367"/>
      </w:tblGrid>
      <w:tr>
        <w:trPr>
          <w:trHeight w:val="402"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2" w:right="0"/>
              <w:jc w:val="left"/>
              <w:rPr>
                <w:rFonts w:ascii="宋体" w:hAnsi="宋体" w:cs="宋体" w:eastAsia="宋体" w:hint="default"/>
                <w:sz w:val="18"/>
                <w:szCs w:val="18"/>
              </w:rPr>
            </w:pPr>
            <w:r>
              <w:rPr>
                <w:rFonts w:ascii="宋体" w:hAnsi="宋体" w:cs="宋体" w:eastAsia="宋体" w:hint="default"/>
                <w:sz w:val="18"/>
                <w:szCs w:val="18"/>
              </w:rPr>
              <w:t>企业合并形成的</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7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1" w:right="0"/>
              <w:jc w:val="left"/>
              <w:rPr>
                <w:rFonts w:ascii="宋体" w:hAnsi="宋体" w:cs="宋体" w:eastAsia="宋体" w:hint="default"/>
                <w:sz w:val="18"/>
                <w:szCs w:val="18"/>
              </w:rPr>
            </w:pPr>
            <w:r>
              <w:rPr>
                <w:rFonts w:ascii="宋体" w:hAnsi="宋体" w:cs="宋体" w:eastAsia="宋体" w:hint="default"/>
                <w:sz w:val="18"/>
                <w:szCs w:val="18"/>
              </w:rPr>
              <w:t>处置</w:t>
            </w:r>
          </w:p>
        </w:tc>
        <w:tc>
          <w:tcPr>
            <w:tcW w:w="8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4"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00"/>
              <w:jc w:val="left"/>
              <w:rPr>
                <w:rFonts w:ascii="宋体" w:hAnsi="宋体" w:cs="宋体" w:eastAsia="宋体" w:hint="default"/>
                <w:sz w:val="18"/>
                <w:szCs w:val="18"/>
              </w:rPr>
            </w:pPr>
            <w:r>
              <w:rPr>
                <w:rFonts w:ascii="宋体" w:hAnsi="宋体" w:cs="宋体" w:eastAsia="宋体" w:hint="default"/>
                <w:sz w:val="18"/>
                <w:szCs w:val="18"/>
              </w:rPr>
              <w:t>深圳广电银通金融电子科技有限公 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946,852.52</w:t>
            </w:r>
          </w:p>
        </w:tc>
        <w:tc>
          <w:tcPr>
            <w:tcW w:w="141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31"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946,852.52</w:t>
            </w:r>
          </w:p>
        </w:tc>
      </w:tr>
      <w:tr>
        <w:trPr>
          <w:trHeight w:val="402"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深圳市创自技术有限公司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104,450,394.76</w:t>
            </w:r>
          </w:p>
        </w:tc>
        <w:tc>
          <w:tcPr>
            <w:tcW w:w="141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31"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104,450,394.76</w:t>
            </w:r>
          </w:p>
        </w:tc>
      </w:tr>
      <w:tr>
        <w:trPr>
          <w:trHeight w:val="714"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00"/>
              <w:jc w:val="left"/>
              <w:rPr>
                <w:rFonts w:ascii="宋体" w:hAnsi="宋体" w:cs="宋体" w:eastAsia="宋体" w:hint="default"/>
                <w:sz w:val="18"/>
                <w:szCs w:val="18"/>
              </w:rPr>
            </w:pPr>
            <w:r>
              <w:rPr>
                <w:rFonts w:ascii="宋体" w:hAnsi="宋体" w:cs="宋体" w:eastAsia="宋体" w:hint="default"/>
                <w:sz w:val="18"/>
                <w:szCs w:val="18"/>
              </w:rPr>
              <w:t>宜昌市金牛押运护卫保安服务有限 责任公司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69,022.39</w:t>
            </w:r>
          </w:p>
        </w:tc>
        <w:tc>
          <w:tcPr>
            <w:tcW w:w="141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31"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69,022.39</w:t>
            </w:r>
          </w:p>
        </w:tc>
      </w:tr>
      <w:tr>
        <w:trPr>
          <w:trHeight w:val="402"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商洛市金盾押运有限责任公司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7,349,628.70</w:t>
            </w:r>
          </w:p>
        </w:tc>
        <w:tc>
          <w:tcPr>
            <w:tcW w:w="141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31"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7,349,628.70</w:t>
            </w:r>
          </w:p>
        </w:tc>
      </w:tr>
      <w:tr>
        <w:trPr>
          <w:trHeight w:val="402"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邵阳市保安服务有限责任公司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86,016,126.37</w:t>
            </w:r>
          </w:p>
        </w:tc>
        <w:tc>
          <w:tcPr>
            <w:tcW w:w="141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31"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86,016,126.37</w:t>
            </w:r>
          </w:p>
        </w:tc>
      </w:tr>
      <w:tr>
        <w:trPr>
          <w:trHeight w:val="402"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武威市神威保安守押有限责任公司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13,860,917.93</w:t>
            </w:r>
          </w:p>
        </w:tc>
        <w:tc>
          <w:tcPr>
            <w:tcW w:w="141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31"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13,860,917.93</w:t>
            </w:r>
          </w:p>
        </w:tc>
      </w:tr>
      <w:tr>
        <w:trPr>
          <w:trHeight w:val="714"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00"/>
              <w:jc w:val="left"/>
              <w:rPr>
                <w:rFonts w:ascii="宋体" w:hAnsi="宋体" w:cs="宋体" w:eastAsia="宋体" w:hint="default"/>
                <w:sz w:val="18"/>
                <w:szCs w:val="18"/>
              </w:rPr>
            </w:pPr>
            <w:r>
              <w:rPr>
                <w:rFonts w:ascii="宋体" w:hAnsi="宋体" w:cs="宋体" w:eastAsia="宋体" w:hint="default"/>
                <w:sz w:val="18"/>
                <w:szCs w:val="18"/>
              </w:rPr>
              <w:t>兴安盟威信保安守押服务有限责任 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707,499.91</w:t>
            </w:r>
          </w:p>
        </w:tc>
        <w:tc>
          <w:tcPr>
            <w:tcW w:w="141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31"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707,499.91</w:t>
            </w:r>
          </w:p>
        </w:tc>
      </w:tr>
      <w:tr>
        <w:trPr>
          <w:trHeight w:val="402"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巴彦淖尔天力保押有限责任公司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20,020,597.80</w:t>
            </w:r>
          </w:p>
        </w:tc>
        <w:tc>
          <w:tcPr>
            <w:tcW w:w="141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31"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20,020,597.80</w:t>
            </w:r>
          </w:p>
        </w:tc>
      </w:tr>
      <w:tr>
        <w:trPr>
          <w:trHeight w:val="402"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西安金盾押运有限公司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32,676,926.40</w:t>
            </w:r>
          </w:p>
        </w:tc>
        <w:tc>
          <w:tcPr>
            <w:tcW w:w="141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31"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32,676,926.40</w:t>
            </w:r>
          </w:p>
        </w:tc>
      </w:tr>
      <w:tr>
        <w:trPr>
          <w:trHeight w:val="402"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海南警锐押运护卫有限公司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14,855,511.06</w:t>
            </w:r>
          </w:p>
        </w:tc>
        <w:tc>
          <w:tcPr>
            <w:tcW w:w="141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31"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14,855,511.06</w:t>
            </w:r>
          </w:p>
        </w:tc>
      </w:tr>
      <w:tr>
        <w:trPr>
          <w:trHeight w:val="402"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榆林市神鹰护卫有限责任公司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10,054,173.17</w:t>
            </w:r>
          </w:p>
        </w:tc>
        <w:tc>
          <w:tcPr>
            <w:tcW w:w="141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31"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10,054,173.17</w:t>
            </w:r>
          </w:p>
        </w:tc>
      </w:tr>
      <w:tr>
        <w:trPr>
          <w:trHeight w:val="402"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新余市保安服务有限公司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10,797,386.84</w:t>
            </w:r>
          </w:p>
        </w:tc>
        <w:tc>
          <w:tcPr>
            <w:tcW w:w="141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31"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10,797,386.84</w:t>
            </w:r>
          </w:p>
        </w:tc>
      </w:tr>
      <w:tr>
        <w:trPr>
          <w:trHeight w:val="714"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00"/>
              <w:jc w:val="left"/>
              <w:rPr>
                <w:rFonts w:ascii="宋体" w:hAnsi="宋体" w:cs="宋体" w:eastAsia="宋体" w:hint="default"/>
                <w:sz w:val="18"/>
                <w:szCs w:val="18"/>
              </w:rPr>
            </w:pPr>
            <w:r>
              <w:rPr>
                <w:rFonts w:ascii="宋体" w:hAnsi="宋体" w:cs="宋体" w:eastAsia="宋体" w:hint="default"/>
                <w:sz w:val="18"/>
                <w:szCs w:val="18"/>
              </w:rPr>
              <w:t>文山州金盾保安守护押运有限责任 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11,486,574.62</w:t>
            </w:r>
          </w:p>
        </w:tc>
        <w:tc>
          <w:tcPr>
            <w:tcW w:w="141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31"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11,486,574.62</w:t>
            </w:r>
          </w:p>
        </w:tc>
      </w:tr>
      <w:tr>
        <w:trPr>
          <w:trHeight w:val="402"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新疆阿帕奇武装守护押运有限公司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1,374,476.82</w:t>
            </w:r>
          </w:p>
        </w:tc>
        <w:tc>
          <w:tcPr>
            <w:tcW w:w="141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31"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1,374,476.82</w:t>
            </w:r>
          </w:p>
        </w:tc>
      </w:tr>
      <w:tr>
        <w:trPr>
          <w:trHeight w:val="402"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黔南州蓝盾武装护运有限责任公司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5,305,011.05</w:t>
            </w:r>
          </w:p>
        </w:tc>
        <w:tc>
          <w:tcPr>
            <w:tcW w:w="141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31"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5,305,011.05</w:t>
            </w:r>
          </w:p>
        </w:tc>
      </w:tr>
      <w:tr>
        <w:trPr>
          <w:trHeight w:val="402"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资阳保安有限责任公司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4,316,476.36</w:t>
            </w:r>
          </w:p>
        </w:tc>
        <w:tc>
          <w:tcPr>
            <w:tcW w:w="141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31"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4,316,476.36</w:t>
            </w:r>
          </w:p>
        </w:tc>
      </w:tr>
      <w:tr>
        <w:trPr>
          <w:trHeight w:val="402"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平顶山鹰翔保安押运有限公司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3,714,303.14</w:t>
            </w:r>
          </w:p>
        </w:tc>
        <w:tc>
          <w:tcPr>
            <w:tcW w:w="141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31"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3,714,303.14</w:t>
            </w:r>
          </w:p>
        </w:tc>
      </w:tr>
      <w:tr>
        <w:trPr>
          <w:trHeight w:val="402"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通辽市威远护卫有限责任公司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20,677,686.66</w:t>
            </w:r>
          </w:p>
        </w:tc>
        <w:tc>
          <w:tcPr>
            <w:tcW w:w="141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31"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20,677,686.66</w:t>
            </w:r>
          </w:p>
        </w:tc>
      </w:tr>
      <w:tr>
        <w:trPr>
          <w:trHeight w:val="402"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江苏汇通金融数据股份有限公司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53,971,925.17</w:t>
            </w:r>
          </w:p>
        </w:tc>
        <w:tc>
          <w:tcPr>
            <w:tcW w:w="141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31"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53,971,925.17</w:t>
            </w:r>
          </w:p>
        </w:tc>
      </w:tr>
      <w:tr>
        <w:trPr>
          <w:trHeight w:val="714"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100"/>
              <w:jc w:val="left"/>
              <w:rPr>
                <w:rFonts w:ascii="宋体" w:hAnsi="宋体" w:cs="宋体" w:eastAsia="宋体" w:hint="default"/>
                <w:sz w:val="18"/>
                <w:szCs w:val="18"/>
              </w:rPr>
            </w:pPr>
            <w:r>
              <w:rPr>
                <w:rFonts w:ascii="宋体" w:hAnsi="宋体" w:cs="宋体" w:eastAsia="宋体" w:hint="default"/>
                <w:sz w:val="18"/>
                <w:szCs w:val="18"/>
              </w:rPr>
              <w:t>黄石市金安押运护卫保安服务有限 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14,425,818.16</w:t>
            </w:r>
          </w:p>
        </w:tc>
        <w:tc>
          <w:tcPr>
            <w:tcW w:w="141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31"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14,425,818.16</w:t>
            </w:r>
          </w:p>
        </w:tc>
      </w:tr>
      <w:tr>
        <w:trPr>
          <w:trHeight w:val="714"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00"/>
              <w:jc w:val="left"/>
              <w:rPr>
                <w:rFonts w:ascii="宋体" w:hAnsi="宋体" w:cs="宋体" w:eastAsia="宋体" w:hint="default"/>
                <w:sz w:val="18"/>
                <w:szCs w:val="18"/>
              </w:rPr>
            </w:pPr>
            <w:r>
              <w:rPr>
                <w:rFonts w:ascii="宋体" w:hAnsi="宋体" w:cs="宋体" w:eastAsia="宋体" w:hint="default"/>
                <w:sz w:val="18"/>
                <w:szCs w:val="18"/>
              </w:rPr>
              <w:t>保山安邦武装守护押运有限责任公 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16,044,354.43</w:t>
            </w:r>
          </w:p>
        </w:tc>
        <w:tc>
          <w:tcPr>
            <w:tcW w:w="141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31"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16,044,354.43</w:t>
            </w:r>
          </w:p>
        </w:tc>
      </w:tr>
      <w:tr>
        <w:trPr>
          <w:trHeight w:val="402"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鹤壁市鹏翔保安服务有限公司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4,530,121.22</w:t>
            </w:r>
          </w:p>
        </w:tc>
        <w:tc>
          <w:tcPr>
            <w:tcW w:w="141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31"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4,530,121.22</w:t>
            </w:r>
          </w:p>
        </w:tc>
      </w:tr>
      <w:tr>
        <w:trPr>
          <w:trHeight w:val="402"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益阳市保安服务有限责任公司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117,975,035.01</w:t>
            </w:r>
          </w:p>
        </w:tc>
        <w:tc>
          <w:tcPr>
            <w:tcW w:w="141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31"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117,975,035.01</w:t>
            </w:r>
          </w:p>
        </w:tc>
      </w:tr>
      <w:tr>
        <w:trPr>
          <w:trHeight w:val="402"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南县保安服务有限责任公司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4,188,062.71</w:t>
            </w:r>
          </w:p>
        </w:tc>
        <w:tc>
          <w:tcPr>
            <w:tcW w:w="141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31"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4,188,062.71</w:t>
            </w:r>
          </w:p>
        </w:tc>
      </w:tr>
      <w:tr>
        <w:trPr>
          <w:trHeight w:val="402"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锡林郭勒盟金盾保安服务有限公司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1,959,211.77</w:t>
            </w:r>
          </w:p>
        </w:tc>
        <w:tc>
          <w:tcPr>
            <w:tcW w:w="141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31"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1,959,211.77</w:t>
            </w:r>
          </w:p>
        </w:tc>
      </w:tr>
      <w:tr>
        <w:trPr>
          <w:trHeight w:val="402"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湖北融信押运保安服务有限公司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48,336,349.49</w:t>
            </w:r>
          </w:p>
        </w:tc>
        <w:tc>
          <w:tcPr>
            <w:tcW w:w="141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31"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48,336,349.49</w:t>
            </w:r>
          </w:p>
        </w:tc>
      </w:tr>
      <w:tr>
        <w:trPr>
          <w:trHeight w:val="402"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深圳市信义科技有限公司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258,138,066.49</w:t>
            </w:r>
          </w:p>
        </w:tc>
        <w:tc>
          <w:tcPr>
            <w:tcW w:w="141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31"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258,138,066.49</w:t>
            </w:r>
          </w:p>
        </w:tc>
      </w:tr>
      <w:tr>
        <w:trPr>
          <w:trHeight w:val="712"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100"/>
              <w:jc w:val="left"/>
              <w:rPr>
                <w:rFonts w:ascii="宋体" w:hAnsi="宋体" w:cs="宋体" w:eastAsia="宋体" w:hint="default"/>
                <w:sz w:val="18"/>
                <w:szCs w:val="18"/>
              </w:rPr>
            </w:pPr>
            <w:r>
              <w:rPr>
                <w:rFonts w:ascii="宋体" w:hAnsi="宋体" w:cs="宋体" w:eastAsia="宋体" w:hint="default"/>
                <w:sz w:val="18"/>
                <w:szCs w:val="18"/>
              </w:rPr>
              <w:t>北京中科江南信息技术股份有限公 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222,355,913.98</w:t>
            </w:r>
          </w:p>
        </w:tc>
        <w:tc>
          <w:tcPr>
            <w:tcW w:w="141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31"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222,355,913.98</w:t>
            </w:r>
          </w:p>
        </w:tc>
      </w:tr>
    </w:tbl>
    <w:p>
      <w:pPr>
        <w:spacing w:after="0" w:line="240" w:lineRule="auto"/>
        <w:jc w:val="right"/>
        <w:rPr>
          <w:rFonts w:ascii="Times New Roman" w:hAnsi="Times New Roman" w:cs="Times New Roman" w:eastAsia="Times New Roman" w:hint="default"/>
          <w:sz w:val="18"/>
          <w:szCs w:val="18"/>
        </w:rPr>
        <w:sectPr>
          <w:pgSz w:w="11910" w:h="16840"/>
          <w:pgMar w:header="878" w:footer="978" w:top="1100" w:bottom="1160" w:left="102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229" w:type="dxa"/>
        <w:tblLayout w:type="fixed"/>
        <w:tblCellMar>
          <w:top w:w="0" w:type="dxa"/>
          <w:left w:w="0" w:type="dxa"/>
          <w:bottom w:w="0" w:type="dxa"/>
          <w:right w:w="0" w:type="dxa"/>
        </w:tblCellMar>
        <w:tblLook w:val="01E0"/>
      </w:tblPr>
      <w:tblGrid>
        <w:gridCol w:w="2835"/>
        <w:gridCol w:w="1560"/>
        <w:gridCol w:w="1417"/>
        <w:gridCol w:w="709"/>
        <w:gridCol w:w="850"/>
        <w:gridCol w:w="831"/>
        <w:gridCol w:w="1367"/>
      </w:tblGrid>
      <w:tr>
        <w:trPr>
          <w:trHeight w:val="402"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66" w:right="0"/>
              <w:jc w:val="left"/>
              <w:rPr>
                <w:rFonts w:ascii="Times New Roman" w:hAnsi="Times New Roman" w:cs="Times New Roman" w:eastAsia="Times New Roman" w:hint="default"/>
                <w:sz w:val="18"/>
                <w:szCs w:val="18"/>
              </w:rPr>
            </w:pPr>
            <w:r>
              <w:rPr>
                <w:rFonts w:ascii="Times New Roman"/>
                <w:sz w:val="18"/>
              </w:rPr>
              <w:t>1,090,604,424.93</w:t>
            </w:r>
          </w:p>
        </w:tc>
        <w:tc>
          <w:tcPr>
            <w:tcW w:w="141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31"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1,090,604,424.93</w:t>
            </w:r>
          </w:p>
        </w:tc>
      </w:tr>
    </w:tbl>
    <w:p>
      <w:pPr>
        <w:spacing w:line="240" w:lineRule="auto" w:before="11"/>
        <w:rPr>
          <w:rFonts w:ascii="Times New Roman" w:hAnsi="Times New Roman" w:cs="Times New Roman" w:eastAsia="Times New Roman" w:hint="default"/>
          <w:sz w:val="21"/>
          <w:szCs w:val="21"/>
        </w:rPr>
      </w:pPr>
    </w:p>
    <w:p>
      <w:pPr>
        <w:pStyle w:val="Heading3"/>
        <w:spacing w:line="240" w:lineRule="auto"/>
        <w:ind w:left="232" w:right="1054"/>
        <w:jc w:val="left"/>
        <w:rPr>
          <w:b w:val="0"/>
          <w:bCs w:val="0"/>
        </w:rPr>
      </w:pPr>
      <w:bookmarkStart w:name="（2）商誉减值准备" w:id="269"/>
      <w:bookmarkEnd w:id="269"/>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229" w:type="dxa"/>
        <w:tblLayout w:type="fixed"/>
        <w:tblCellMar>
          <w:top w:w="0" w:type="dxa"/>
          <w:left w:w="0" w:type="dxa"/>
          <w:bottom w:w="0" w:type="dxa"/>
          <w:right w:w="0" w:type="dxa"/>
        </w:tblCellMar>
        <w:tblLook w:val="01E0"/>
      </w:tblPr>
      <w:tblGrid>
        <w:gridCol w:w="2835"/>
        <w:gridCol w:w="1276"/>
        <w:gridCol w:w="1276"/>
        <w:gridCol w:w="992"/>
        <w:gridCol w:w="992"/>
        <w:gridCol w:w="831"/>
        <w:gridCol w:w="1367"/>
      </w:tblGrid>
      <w:tr>
        <w:trPr>
          <w:trHeight w:val="402" w:hRule="exact"/>
        </w:trPr>
        <w:tc>
          <w:tcPr>
            <w:tcW w:w="28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61" w:right="0"/>
              <w:jc w:val="left"/>
              <w:rPr>
                <w:rFonts w:ascii="宋体" w:hAnsi="宋体" w:cs="宋体" w:eastAsia="宋体" w:hint="default"/>
                <w:sz w:val="18"/>
                <w:szCs w:val="18"/>
              </w:rPr>
            </w:pPr>
            <w:r>
              <w:rPr>
                <w:rFonts w:ascii="宋体" w:hAnsi="宋体" w:cs="宋体" w:eastAsia="宋体" w:hint="default"/>
                <w:sz w:val="18"/>
                <w:szCs w:val="18"/>
              </w:rPr>
              <w:t>被投资单位名称或形成商誉的事项</w:t>
            </w:r>
          </w:p>
        </w:tc>
        <w:tc>
          <w:tcPr>
            <w:tcW w:w="12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7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2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8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4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835" w:type="dxa"/>
            <w:vMerge/>
            <w:tcBorders>
              <w:left w:val="single" w:sz="4" w:space="0" w:color="000000"/>
              <w:bottom w:val="single" w:sz="4" w:space="0" w:color="000000"/>
              <w:right w:val="single" w:sz="4" w:space="0" w:color="000000"/>
            </w:tcBorders>
            <w:shd w:val="clear" w:color="auto" w:fill="D2D2D2"/>
          </w:tcPr>
          <w:p>
            <w:pPr/>
          </w:p>
        </w:tc>
        <w:tc>
          <w:tcPr>
            <w:tcW w:w="1276" w:type="dxa"/>
            <w:vMerge/>
            <w:tcBorders>
              <w:left w:val="single" w:sz="4" w:space="0" w:color="000000"/>
              <w:bottom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1" w:right="0"/>
              <w:jc w:val="left"/>
              <w:rPr>
                <w:rFonts w:ascii="宋体" w:hAnsi="宋体" w:cs="宋体" w:eastAsia="宋体" w:hint="default"/>
                <w:sz w:val="18"/>
                <w:szCs w:val="18"/>
              </w:rPr>
            </w:pPr>
            <w:r>
              <w:rPr>
                <w:rFonts w:ascii="宋体" w:hAnsi="宋体" w:cs="宋体" w:eastAsia="宋体" w:hint="default"/>
                <w:sz w:val="18"/>
                <w:szCs w:val="18"/>
              </w:rPr>
              <w:t>处置</w:t>
            </w:r>
          </w:p>
        </w:tc>
        <w:tc>
          <w:tcPr>
            <w:tcW w:w="8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江苏汇通金融数据股份有限公司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14,100,114.46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13,130,062.71</w:t>
            </w: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31"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27,230,177.17</w:t>
            </w:r>
          </w:p>
        </w:tc>
      </w:tr>
      <w:tr>
        <w:trPr>
          <w:trHeight w:val="402"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邵阳市保安服务有限责任公司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22,465,359.10</w:t>
            </w: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31"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22,465,359.10</w:t>
            </w:r>
          </w:p>
        </w:tc>
      </w:tr>
      <w:tr>
        <w:trPr>
          <w:trHeight w:val="402"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南县保安服务有限责任公司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4,188,062.71</w:t>
            </w: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31"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4,188,062.71</w:t>
            </w:r>
          </w:p>
        </w:tc>
      </w:tr>
      <w:tr>
        <w:trPr>
          <w:trHeight w:val="402"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西安金盾押运有限公司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32,676,926.40</w:t>
            </w: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31"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32,676,926.40</w:t>
            </w:r>
          </w:p>
        </w:tc>
      </w:tr>
      <w:tr>
        <w:trPr>
          <w:trHeight w:val="402"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海南警锐押运护卫有限公司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2,746,398.43</w:t>
            </w: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31"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2,746,398.43</w:t>
            </w:r>
          </w:p>
        </w:tc>
      </w:tr>
      <w:tr>
        <w:trPr>
          <w:trHeight w:val="402"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巴彦淖尔天力保押有限责任公司</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7,195,433.95</w:t>
            </w: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31"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7,195,433.95</w:t>
            </w:r>
          </w:p>
        </w:tc>
      </w:tr>
      <w:tr>
        <w:trPr>
          <w:trHeight w:val="402"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湖北融信押运保安服务有限公司</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15,405,284.73</w:t>
            </w: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31"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15,405,284.73</w:t>
            </w:r>
          </w:p>
        </w:tc>
      </w:tr>
      <w:tr>
        <w:trPr>
          <w:trHeight w:val="402"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76,176,861.10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35,730,781.39</w:t>
            </w: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31"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111,907,642.49</w:t>
            </w:r>
          </w:p>
        </w:tc>
      </w:tr>
    </w:tbl>
    <w:p>
      <w:pPr>
        <w:spacing w:line="240" w:lineRule="auto" w:before="7"/>
        <w:rPr>
          <w:rFonts w:ascii="宋体" w:hAnsi="宋体" w:cs="宋体" w:eastAsia="宋体" w:hint="default"/>
          <w:sz w:val="6"/>
          <w:szCs w:val="6"/>
        </w:rPr>
      </w:pPr>
    </w:p>
    <w:p>
      <w:pPr>
        <w:pStyle w:val="BodyText"/>
        <w:spacing w:line="240" w:lineRule="auto" w:before="44"/>
        <w:ind w:left="592" w:right="1054"/>
        <w:jc w:val="left"/>
      </w:pPr>
      <w:r>
        <w:rPr/>
        <w:t>评估公司对含商誉资产组可回收价值采用资产预计未来现金流量的现值方法进行评估，其关键参数如下：</w:t>
      </w:r>
    </w:p>
    <w:p>
      <w:pPr>
        <w:spacing w:line="240" w:lineRule="auto" w:before="13"/>
        <w:rPr>
          <w:rFonts w:ascii="宋体" w:hAnsi="宋体" w:cs="宋体" w:eastAsia="宋体"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2002"/>
        <w:gridCol w:w="1949"/>
        <w:gridCol w:w="2565"/>
        <w:gridCol w:w="471"/>
        <w:gridCol w:w="2257"/>
        <w:gridCol w:w="610"/>
      </w:tblGrid>
      <w:tr>
        <w:trPr>
          <w:trHeight w:val="1060" w:hRule="exact"/>
        </w:trPr>
        <w:tc>
          <w:tcPr>
            <w:tcW w:w="2002" w:type="dxa"/>
            <w:tcBorders>
              <w:top w:val="single" w:sz="12"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642"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949"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预测期</w:t>
            </w:r>
          </w:p>
        </w:tc>
        <w:tc>
          <w:tcPr>
            <w:tcW w:w="2565"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557" w:right="0"/>
              <w:jc w:val="left"/>
              <w:rPr>
                <w:rFonts w:ascii="宋体" w:hAnsi="宋体" w:cs="宋体" w:eastAsia="宋体" w:hint="default"/>
                <w:sz w:val="18"/>
                <w:szCs w:val="18"/>
              </w:rPr>
            </w:pPr>
            <w:r>
              <w:rPr>
                <w:rFonts w:ascii="宋体" w:hAnsi="宋体" w:cs="宋体" w:eastAsia="宋体" w:hint="default"/>
                <w:sz w:val="18"/>
                <w:szCs w:val="18"/>
              </w:rPr>
              <w:t>收入预测期增长率</w:t>
            </w:r>
          </w:p>
        </w:tc>
        <w:tc>
          <w:tcPr>
            <w:tcW w:w="471" w:type="dxa"/>
            <w:tcBorders>
              <w:top w:val="single" w:sz="12" w:space="0" w:color="000000"/>
              <w:left w:val="dotted" w:sz="4" w:space="0" w:color="000000"/>
              <w:bottom w:val="dotted" w:sz="4" w:space="0" w:color="000000"/>
              <w:right w:val="dotted" w:sz="4" w:space="0" w:color="000000"/>
            </w:tcBorders>
          </w:tcPr>
          <w:p>
            <w:pPr>
              <w:pStyle w:val="TableParagraph"/>
              <w:spacing w:line="326" w:lineRule="auto" w:before="87"/>
              <w:ind w:left="140" w:right="139"/>
              <w:jc w:val="both"/>
              <w:rPr>
                <w:rFonts w:ascii="宋体" w:hAnsi="宋体" w:cs="宋体" w:eastAsia="宋体" w:hint="default"/>
                <w:sz w:val="18"/>
                <w:szCs w:val="18"/>
              </w:rPr>
            </w:pPr>
            <w:r>
              <w:rPr>
                <w:rFonts w:ascii="宋体" w:hAnsi="宋体" w:cs="宋体" w:eastAsia="宋体" w:hint="default"/>
                <w:sz w:val="18"/>
                <w:szCs w:val="18"/>
              </w:rPr>
              <w:t>稳 定 期</w:t>
            </w:r>
          </w:p>
        </w:tc>
        <w:tc>
          <w:tcPr>
            <w:tcW w:w="2257"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利润率</w:t>
            </w:r>
          </w:p>
        </w:tc>
        <w:tc>
          <w:tcPr>
            <w:tcW w:w="610"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326" w:lineRule="auto"/>
              <w:ind w:left="210" w:right="123" w:hanging="92"/>
              <w:jc w:val="left"/>
              <w:rPr>
                <w:rFonts w:ascii="宋体" w:hAnsi="宋体" w:cs="宋体" w:eastAsia="宋体" w:hint="default"/>
                <w:sz w:val="18"/>
                <w:szCs w:val="18"/>
              </w:rPr>
            </w:pPr>
            <w:r>
              <w:rPr>
                <w:rFonts w:ascii="宋体" w:hAnsi="宋体" w:cs="宋体" w:eastAsia="宋体" w:hint="default"/>
                <w:sz w:val="18"/>
                <w:szCs w:val="18"/>
              </w:rPr>
              <w:t>折现 率</w:t>
            </w:r>
          </w:p>
        </w:tc>
      </w:tr>
      <w:tr>
        <w:trPr>
          <w:trHeight w:val="730" w:hRule="exact"/>
        </w:trPr>
        <w:tc>
          <w:tcPr>
            <w:tcW w:w="2002" w:type="dxa"/>
            <w:tcBorders>
              <w:top w:val="dotted" w:sz="4" w:space="0" w:color="000000"/>
              <w:left w:val="nil" w:sz="6" w:space="0" w:color="auto"/>
              <w:bottom w:val="dotted" w:sz="4" w:space="0" w:color="000000"/>
              <w:right w:val="dotted" w:sz="4" w:space="0" w:color="000000"/>
            </w:tcBorders>
          </w:tcPr>
          <w:p>
            <w:pPr>
              <w:pStyle w:val="TableParagraph"/>
              <w:spacing w:line="326" w:lineRule="auto" w:before="88"/>
              <w:ind w:left="106" w:right="102"/>
              <w:jc w:val="left"/>
              <w:rPr>
                <w:rFonts w:ascii="宋体" w:hAnsi="宋体" w:cs="宋体" w:eastAsia="宋体" w:hint="default"/>
                <w:sz w:val="18"/>
                <w:szCs w:val="18"/>
              </w:rPr>
            </w:pPr>
            <w:r>
              <w:rPr>
                <w:rFonts w:ascii="宋体" w:hAnsi="宋体" w:cs="宋体" w:eastAsia="宋体" w:hint="default"/>
                <w:spacing w:val="18"/>
                <w:sz w:val="18"/>
                <w:szCs w:val="18"/>
              </w:rPr>
              <w:t>湖北融信押运保安服</w:t>
            </w:r>
            <w:r>
              <w:rPr>
                <w:rFonts w:ascii="宋体" w:hAnsi="宋体" w:cs="宋体" w:eastAsia="宋体" w:hint="default"/>
                <w:sz w:val="18"/>
                <w:szCs w:val="18"/>
              </w:rPr>
              <w:t> 务有限公司</w:t>
            </w:r>
          </w:p>
        </w:tc>
        <w:tc>
          <w:tcPr>
            <w:tcW w:w="1949" w:type="dxa"/>
            <w:tcBorders>
              <w:top w:val="dotted" w:sz="4" w:space="0" w:color="000000"/>
              <w:left w:val="dotted" w:sz="4" w:space="0" w:color="000000"/>
              <w:bottom w:val="dotted" w:sz="4" w:space="0" w:color="000000"/>
              <w:right w:val="dotted" w:sz="4" w:space="0" w:color="000000"/>
            </w:tcBorders>
          </w:tcPr>
          <w:p>
            <w:pPr>
              <w:pStyle w:val="TableParagraph"/>
              <w:spacing w:line="307" w:lineRule="auto" w:before="88"/>
              <w:ind w:left="103" w:right="100"/>
              <w:jc w:val="left"/>
              <w:rPr>
                <w:rFonts w:ascii="宋体" w:hAnsi="宋体" w:cs="宋体" w:eastAsia="宋体" w:hint="default"/>
                <w:sz w:val="18"/>
                <w:szCs w:val="18"/>
              </w:rPr>
            </w:pPr>
            <w:r>
              <w:rPr>
                <w:rFonts w:ascii="Times New Roman" w:hAnsi="Times New Roman" w:cs="Times New Roman" w:eastAsia="Times New Roman" w:hint="default"/>
                <w:sz w:val="18"/>
                <w:szCs w:val="18"/>
              </w:rPr>
              <w:t>2020-2024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年（后续为 稳定期）</w:t>
            </w:r>
          </w:p>
        </w:tc>
        <w:tc>
          <w:tcPr>
            <w:tcW w:w="25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23.49%</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13.95%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w:t>
            </w:r>
          </w:p>
          <w:p>
            <w:pPr>
              <w:pStyle w:val="TableParagraph"/>
              <w:spacing w:line="240" w:lineRule="auto" w:before="70"/>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7.78%</w:t>
            </w:r>
            <w:r>
              <w:rPr>
                <w:rFonts w:ascii="宋体" w:hAnsi="宋体" w:cs="宋体" w:eastAsia="宋体" w:hint="default"/>
                <w:sz w:val="18"/>
                <w:szCs w:val="18"/>
              </w:rPr>
              <w:t>、</w:t>
            </w:r>
            <w:r>
              <w:rPr>
                <w:rFonts w:ascii="Times New Roman" w:hAnsi="Times New Roman" w:cs="Times New Roman" w:eastAsia="Times New Roman" w:hint="default"/>
                <w:sz w:val="18"/>
                <w:szCs w:val="18"/>
              </w:rPr>
              <w:t>0.00%</w:t>
            </w:r>
          </w:p>
        </w:tc>
        <w:tc>
          <w:tcPr>
            <w:tcW w:w="471" w:type="dxa"/>
            <w:tcBorders>
              <w:top w:val="dotted" w:sz="4" w:space="0" w:color="000000"/>
              <w:left w:val="dotted" w:sz="4" w:space="0" w:color="000000"/>
              <w:bottom w:val="dotted" w:sz="4" w:space="0" w:color="000000"/>
              <w:right w:val="dotted" w:sz="4" w:space="0" w:color="000000"/>
            </w:tcBorders>
          </w:tcPr>
          <w:p>
            <w:pPr>
              <w:pStyle w:val="TableParagraph"/>
              <w:spacing w:line="326" w:lineRule="auto" w:before="88"/>
              <w:ind w:left="101" w:right="177"/>
              <w:jc w:val="left"/>
              <w:rPr>
                <w:rFonts w:ascii="宋体" w:hAnsi="宋体" w:cs="宋体" w:eastAsia="宋体" w:hint="default"/>
                <w:sz w:val="18"/>
                <w:szCs w:val="18"/>
              </w:rPr>
            </w:pPr>
            <w:r>
              <w:rPr>
                <w:rFonts w:ascii="宋体" w:hAnsi="宋体" w:cs="宋体" w:eastAsia="宋体" w:hint="default"/>
                <w:sz w:val="18"/>
                <w:szCs w:val="18"/>
              </w:rPr>
              <w:t>持 平</w:t>
            </w:r>
          </w:p>
        </w:tc>
        <w:tc>
          <w:tcPr>
            <w:tcW w:w="2257" w:type="dxa"/>
            <w:tcBorders>
              <w:top w:val="dotted" w:sz="4" w:space="0" w:color="000000"/>
              <w:left w:val="dotted" w:sz="4" w:space="0" w:color="000000"/>
              <w:bottom w:val="dotted" w:sz="4" w:space="0" w:color="000000"/>
              <w:right w:val="dotted" w:sz="4" w:space="0" w:color="000000"/>
            </w:tcBorders>
          </w:tcPr>
          <w:p>
            <w:pPr>
              <w:pStyle w:val="TableParagraph"/>
              <w:spacing w:line="326" w:lineRule="auto" w:before="88"/>
              <w:ind w:left="103" w:right="101"/>
              <w:jc w:val="left"/>
              <w:rPr>
                <w:rFonts w:ascii="宋体" w:hAnsi="宋体" w:cs="宋体" w:eastAsia="宋体" w:hint="default"/>
                <w:sz w:val="18"/>
                <w:szCs w:val="18"/>
              </w:rPr>
            </w:pPr>
            <w:r>
              <w:rPr>
                <w:rFonts w:ascii="宋体" w:hAnsi="宋体" w:cs="宋体" w:eastAsia="宋体" w:hint="default"/>
                <w:spacing w:val="5"/>
                <w:sz w:val="18"/>
                <w:szCs w:val="18"/>
              </w:rPr>
              <w:t>根据预测的收入、成本、</w:t>
            </w:r>
            <w:r>
              <w:rPr>
                <w:rFonts w:ascii="宋体" w:hAnsi="宋体" w:cs="宋体" w:eastAsia="宋体" w:hint="default"/>
                <w:sz w:val="18"/>
                <w:szCs w:val="18"/>
              </w:rPr>
              <w:t> 费用等计算</w:t>
            </w:r>
          </w:p>
        </w:tc>
        <w:tc>
          <w:tcPr>
            <w:tcW w:w="61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8"/>
              <w:ind w:left="182" w:right="0"/>
              <w:jc w:val="left"/>
              <w:rPr>
                <w:rFonts w:ascii="Times New Roman" w:hAnsi="Times New Roman" w:cs="Times New Roman" w:eastAsia="Times New Roman" w:hint="default"/>
                <w:sz w:val="18"/>
                <w:szCs w:val="18"/>
              </w:rPr>
            </w:pPr>
            <w:r>
              <w:rPr>
                <w:rFonts w:ascii="Times New Roman"/>
                <w:sz w:val="18"/>
              </w:rPr>
              <w:t>13.3</w:t>
            </w:r>
          </w:p>
          <w:p>
            <w:pPr>
              <w:pStyle w:val="TableParagraph"/>
              <w:spacing w:line="240" w:lineRule="auto" w:before="112"/>
              <w:ind w:left="258" w:right="0"/>
              <w:jc w:val="left"/>
              <w:rPr>
                <w:rFonts w:ascii="Times New Roman" w:hAnsi="Times New Roman" w:cs="Times New Roman" w:eastAsia="Times New Roman" w:hint="default"/>
                <w:sz w:val="18"/>
                <w:szCs w:val="18"/>
              </w:rPr>
            </w:pPr>
            <w:r>
              <w:rPr>
                <w:rFonts w:ascii="Times New Roman"/>
                <w:sz w:val="18"/>
              </w:rPr>
              <w:t>0%</w:t>
            </w:r>
          </w:p>
        </w:tc>
      </w:tr>
      <w:tr>
        <w:trPr>
          <w:trHeight w:val="730" w:hRule="exact"/>
        </w:trPr>
        <w:tc>
          <w:tcPr>
            <w:tcW w:w="2002" w:type="dxa"/>
            <w:tcBorders>
              <w:top w:val="dotted" w:sz="4" w:space="0" w:color="000000"/>
              <w:left w:val="nil" w:sz="6" w:space="0" w:color="auto"/>
              <w:bottom w:val="dotted" w:sz="4" w:space="0" w:color="000000"/>
              <w:right w:val="dotted" w:sz="4" w:space="0" w:color="000000"/>
            </w:tcBorders>
          </w:tcPr>
          <w:p>
            <w:pPr>
              <w:pStyle w:val="TableParagraph"/>
              <w:spacing w:line="326" w:lineRule="auto" w:before="87"/>
              <w:ind w:left="106" w:right="102"/>
              <w:jc w:val="left"/>
              <w:rPr>
                <w:rFonts w:ascii="宋体" w:hAnsi="宋体" w:cs="宋体" w:eastAsia="宋体" w:hint="default"/>
                <w:sz w:val="18"/>
                <w:szCs w:val="18"/>
              </w:rPr>
            </w:pPr>
            <w:r>
              <w:rPr>
                <w:rFonts w:ascii="宋体" w:hAnsi="宋体" w:cs="宋体" w:eastAsia="宋体" w:hint="default"/>
                <w:spacing w:val="18"/>
                <w:sz w:val="18"/>
                <w:szCs w:val="18"/>
              </w:rPr>
              <w:t>巴彦淖尔天力保押有</w:t>
            </w:r>
            <w:r>
              <w:rPr>
                <w:rFonts w:ascii="宋体" w:hAnsi="宋体" w:cs="宋体" w:eastAsia="宋体" w:hint="default"/>
                <w:sz w:val="18"/>
                <w:szCs w:val="18"/>
              </w:rPr>
              <w:t> 限责任公司</w:t>
            </w:r>
          </w:p>
        </w:tc>
        <w:tc>
          <w:tcPr>
            <w:tcW w:w="1949" w:type="dxa"/>
            <w:tcBorders>
              <w:top w:val="dotted" w:sz="4" w:space="0" w:color="000000"/>
              <w:left w:val="dotted" w:sz="4" w:space="0" w:color="000000"/>
              <w:bottom w:val="dotted" w:sz="4" w:space="0" w:color="000000"/>
              <w:right w:val="dotted" w:sz="4" w:space="0" w:color="000000"/>
            </w:tcBorders>
          </w:tcPr>
          <w:p>
            <w:pPr>
              <w:pStyle w:val="TableParagraph"/>
              <w:spacing w:line="307" w:lineRule="auto" w:before="87"/>
              <w:ind w:left="103" w:right="100"/>
              <w:jc w:val="left"/>
              <w:rPr>
                <w:rFonts w:ascii="宋体" w:hAnsi="宋体" w:cs="宋体" w:eastAsia="宋体" w:hint="default"/>
                <w:sz w:val="18"/>
                <w:szCs w:val="18"/>
              </w:rPr>
            </w:pPr>
            <w:r>
              <w:rPr>
                <w:rFonts w:ascii="Times New Roman" w:hAnsi="Times New Roman" w:cs="Times New Roman" w:eastAsia="Times New Roman" w:hint="default"/>
                <w:sz w:val="18"/>
                <w:szCs w:val="18"/>
              </w:rPr>
              <w:t>2020-2024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年（后续为 稳定期）</w:t>
            </w:r>
          </w:p>
        </w:tc>
        <w:tc>
          <w:tcPr>
            <w:tcW w:w="2565" w:type="dxa"/>
            <w:tcBorders>
              <w:top w:val="dotted" w:sz="4" w:space="0" w:color="000000"/>
              <w:left w:val="dotted" w:sz="4" w:space="0" w:color="000000"/>
              <w:bottom w:val="dotted" w:sz="4" w:space="0" w:color="000000"/>
              <w:right w:val="dotted" w:sz="4" w:space="0" w:color="000000"/>
            </w:tcBorders>
          </w:tcPr>
          <w:p>
            <w:pPr>
              <w:pStyle w:val="TableParagraph"/>
              <w:spacing w:line="348" w:lineRule="auto" w:before="87"/>
              <w:ind w:left="103" w:right="6"/>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1"/>
                <w:w w:val="99"/>
                <w:sz w:val="18"/>
                <w:szCs w:val="18"/>
              </w:rPr>
              <w:t>-5.11%</w:t>
            </w:r>
            <w:r>
              <w:rPr>
                <w:rFonts w:ascii="宋体" w:hAnsi="宋体" w:cs="宋体" w:eastAsia="宋体" w:hint="default"/>
                <w:spacing w:val="-11"/>
                <w:w w:val="99"/>
                <w:sz w:val="18"/>
                <w:szCs w:val="18"/>
              </w:rPr>
              <w:t>、</w:t>
            </w:r>
            <w:r>
              <w:rPr>
                <w:rFonts w:ascii="Times New Roman" w:hAnsi="Times New Roman" w:cs="Times New Roman" w:eastAsia="Times New Roman" w:hint="default"/>
                <w:spacing w:val="-11"/>
                <w:w w:val="99"/>
                <w:sz w:val="18"/>
                <w:szCs w:val="18"/>
              </w:rPr>
              <w:t>0.64%</w:t>
            </w:r>
            <w:r>
              <w:rPr>
                <w:rFonts w:ascii="宋体" w:hAnsi="宋体" w:cs="宋体" w:eastAsia="宋体" w:hint="default"/>
                <w:spacing w:val="-11"/>
                <w:w w:val="99"/>
                <w:sz w:val="18"/>
                <w:szCs w:val="18"/>
              </w:rPr>
              <w:t>、</w:t>
            </w:r>
            <w:r>
              <w:rPr>
                <w:rFonts w:ascii="Times New Roman" w:hAnsi="Times New Roman" w:cs="Times New Roman" w:eastAsia="Times New Roman" w:hint="default"/>
                <w:spacing w:val="-11"/>
                <w:w w:val="99"/>
                <w:sz w:val="18"/>
                <w:szCs w:val="18"/>
              </w:rPr>
              <w:t>0.00%</w:t>
            </w:r>
            <w:r>
              <w:rPr>
                <w:rFonts w:ascii="宋体" w:hAnsi="宋体" w:cs="宋体" w:eastAsia="宋体" w:hint="default"/>
                <w:spacing w:val="-11"/>
                <w:w w:val="99"/>
                <w:sz w:val="18"/>
                <w:szCs w:val="18"/>
              </w:rPr>
              <w:t>、</w:t>
            </w:r>
            <w:r>
              <w:rPr>
                <w:rFonts w:ascii="Times New Roman" w:hAnsi="Times New Roman" w:cs="Times New Roman" w:eastAsia="Times New Roman" w:hint="default"/>
                <w:spacing w:val="-11"/>
                <w:w w:val="99"/>
                <w:sz w:val="18"/>
                <w:szCs w:val="18"/>
              </w:rPr>
              <w:t>-0.66%</w:t>
            </w:r>
            <w:r>
              <w:rPr>
                <w:rFonts w:ascii="宋体" w:hAnsi="宋体" w:cs="宋体" w:eastAsia="宋体" w:hint="default"/>
                <w:spacing w:val="-11"/>
                <w:w w:val="99"/>
                <w:sz w:val="18"/>
                <w:szCs w:val="18"/>
              </w:rPr>
              <w:t>、</w:t>
            </w:r>
            <w:r>
              <w:rPr>
                <w:rFonts w:ascii="宋体" w:hAnsi="宋体" w:cs="宋体" w:eastAsia="宋体" w:hint="default"/>
                <w:spacing w:val="-71"/>
                <w:w w:val="99"/>
                <w:sz w:val="18"/>
                <w:szCs w:val="18"/>
              </w:rPr>
              <w:t> </w:t>
            </w:r>
            <w:r>
              <w:rPr>
                <w:rFonts w:ascii="Times New Roman" w:hAnsi="Times New Roman" w:cs="Times New Roman" w:eastAsia="Times New Roman" w:hint="default"/>
                <w:sz w:val="18"/>
                <w:szCs w:val="18"/>
              </w:rPr>
              <w:t>0.00%</w:t>
            </w:r>
          </w:p>
        </w:tc>
        <w:tc>
          <w:tcPr>
            <w:tcW w:w="471" w:type="dxa"/>
            <w:tcBorders>
              <w:top w:val="dotted" w:sz="4" w:space="0" w:color="000000"/>
              <w:left w:val="dotted" w:sz="4" w:space="0" w:color="000000"/>
              <w:bottom w:val="dotted" w:sz="4" w:space="0" w:color="000000"/>
              <w:right w:val="dotted" w:sz="4" w:space="0" w:color="000000"/>
            </w:tcBorders>
          </w:tcPr>
          <w:p>
            <w:pPr>
              <w:pStyle w:val="TableParagraph"/>
              <w:spacing w:line="326" w:lineRule="auto" w:before="87"/>
              <w:ind w:left="101" w:right="177"/>
              <w:jc w:val="left"/>
              <w:rPr>
                <w:rFonts w:ascii="宋体" w:hAnsi="宋体" w:cs="宋体" w:eastAsia="宋体" w:hint="default"/>
                <w:sz w:val="18"/>
                <w:szCs w:val="18"/>
              </w:rPr>
            </w:pPr>
            <w:r>
              <w:rPr>
                <w:rFonts w:ascii="宋体" w:hAnsi="宋体" w:cs="宋体" w:eastAsia="宋体" w:hint="default"/>
                <w:sz w:val="18"/>
                <w:szCs w:val="18"/>
              </w:rPr>
              <w:t>持 平</w:t>
            </w:r>
          </w:p>
        </w:tc>
        <w:tc>
          <w:tcPr>
            <w:tcW w:w="2257" w:type="dxa"/>
            <w:tcBorders>
              <w:top w:val="dotted" w:sz="4" w:space="0" w:color="000000"/>
              <w:left w:val="dotted" w:sz="4" w:space="0" w:color="000000"/>
              <w:bottom w:val="dotted" w:sz="4" w:space="0" w:color="000000"/>
              <w:right w:val="dotted" w:sz="4" w:space="0" w:color="000000"/>
            </w:tcBorders>
          </w:tcPr>
          <w:p>
            <w:pPr>
              <w:pStyle w:val="TableParagraph"/>
              <w:spacing w:line="326" w:lineRule="auto" w:before="87"/>
              <w:ind w:left="103" w:right="101"/>
              <w:jc w:val="left"/>
              <w:rPr>
                <w:rFonts w:ascii="宋体" w:hAnsi="宋体" w:cs="宋体" w:eastAsia="宋体" w:hint="default"/>
                <w:sz w:val="18"/>
                <w:szCs w:val="18"/>
              </w:rPr>
            </w:pPr>
            <w:r>
              <w:rPr>
                <w:rFonts w:ascii="宋体" w:hAnsi="宋体" w:cs="宋体" w:eastAsia="宋体" w:hint="default"/>
                <w:spacing w:val="5"/>
                <w:sz w:val="18"/>
                <w:szCs w:val="18"/>
              </w:rPr>
              <w:t>根据预测的收入、成本、</w:t>
            </w:r>
            <w:r>
              <w:rPr>
                <w:rFonts w:ascii="宋体" w:hAnsi="宋体" w:cs="宋体" w:eastAsia="宋体" w:hint="default"/>
                <w:sz w:val="18"/>
                <w:szCs w:val="18"/>
              </w:rPr>
              <w:t> 费用等计算</w:t>
            </w:r>
          </w:p>
        </w:tc>
        <w:tc>
          <w:tcPr>
            <w:tcW w:w="61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7"/>
              <w:ind w:left="182" w:right="0"/>
              <w:jc w:val="left"/>
              <w:rPr>
                <w:rFonts w:ascii="Times New Roman" w:hAnsi="Times New Roman" w:cs="Times New Roman" w:eastAsia="Times New Roman" w:hint="default"/>
                <w:sz w:val="18"/>
                <w:szCs w:val="18"/>
              </w:rPr>
            </w:pPr>
            <w:r>
              <w:rPr>
                <w:rFonts w:ascii="Times New Roman"/>
                <w:sz w:val="18"/>
              </w:rPr>
              <w:t>14.3</w:t>
            </w:r>
          </w:p>
          <w:p>
            <w:pPr>
              <w:pStyle w:val="TableParagraph"/>
              <w:spacing w:line="240" w:lineRule="auto" w:before="114"/>
              <w:ind w:left="258" w:right="0"/>
              <w:jc w:val="left"/>
              <w:rPr>
                <w:rFonts w:ascii="Times New Roman" w:hAnsi="Times New Roman" w:cs="Times New Roman" w:eastAsia="Times New Roman" w:hint="default"/>
                <w:sz w:val="18"/>
                <w:szCs w:val="18"/>
              </w:rPr>
            </w:pPr>
            <w:r>
              <w:rPr>
                <w:rFonts w:ascii="Times New Roman"/>
                <w:sz w:val="18"/>
              </w:rPr>
              <w:t>2%</w:t>
            </w:r>
          </w:p>
        </w:tc>
      </w:tr>
      <w:tr>
        <w:trPr>
          <w:trHeight w:val="740" w:hRule="exact"/>
        </w:trPr>
        <w:tc>
          <w:tcPr>
            <w:tcW w:w="2002" w:type="dxa"/>
            <w:tcBorders>
              <w:top w:val="dotted" w:sz="4" w:space="0" w:color="000000"/>
              <w:left w:val="nil" w:sz="6" w:space="0" w:color="auto"/>
              <w:bottom w:val="single" w:sz="12" w:space="0" w:color="000000"/>
              <w:right w:val="dotted" w:sz="4" w:space="0" w:color="000000"/>
            </w:tcBorders>
          </w:tcPr>
          <w:p>
            <w:pPr>
              <w:pStyle w:val="TableParagraph"/>
              <w:spacing w:line="326" w:lineRule="auto" w:before="87"/>
              <w:ind w:left="106" w:right="102"/>
              <w:jc w:val="left"/>
              <w:rPr>
                <w:rFonts w:ascii="宋体" w:hAnsi="宋体" w:cs="宋体" w:eastAsia="宋体" w:hint="default"/>
                <w:sz w:val="18"/>
                <w:szCs w:val="18"/>
              </w:rPr>
            </w:pPr>
            <w:r>
              <w:rPr>
                <w:rFonts w:ascii="宋体" w:hAnsi="宋体" w:cs="宋体" w:eastAsia="宋体" w:hint="default"/>
                <w:spacing w:val="18"/>
                <w:sz w:val="18"/>
                <w:szCs w:val="18"/>
              </w:rPr>
              <w:t>江苏汇通金融数据股</w:t>
            </w:r>
            <w:r>
              <w:rPr>
                <w:rFonts w:ascii="宋体" w:hAnsi="宋体" w:cs="宋体" w:eastAsia="宋体" w:hint="default"/>
                <w:sz w:val="18"/>
                <w:szCs w:val="18"/>
              </w:rPr>
              <w:t> 份有限公司</w:t>
            </w:r>
          </w:p>
        </w:tc>
        <w:tc>
          <w:tcPr>
            <w:tcW w:w="1949" w:type="dxa"/>
            <w:tcBorders>
              <w:top w:val="dotted" w:sz="4" w:space="0" w:color="000000"/>
              <w:left w:val="dotted" w:sz="4" w:space="0" w:color="000000"/>
              <w:bottom w:val="single" w:sz="12" w:space="0" w:color="000000"/>
              <w:right w:val="dotted" w:sz="4" w:space="0" w:color="000000"/>
            </w:tcBorders>
          </w:tcPr>
          <w:p>
            <w:pPr/>
          </w:p>
        </w:tc>
        <w:tc>
          <w:tcPr>
            <w:tcW w:w="256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p>
        </w:tc>
        <w:tc>
          <w:tcPr>
            <w:tcW w:w="471" w:type="dxa"/>
            <w:tcBorders>
              <w:top w:val="dotted" w:sz="4" w:space="0" w:color="000000"/>
              <w:left w:val="dotted" w:sz="4" w:space="0" w:color="000000"/>
              <w:bottom w:val="single" w:sz="12" w:space="0" w:color="000000"/>
              <w:right w:val="dotted" w:sz="4" w:space="0" w:color="000000"/>
            </w:tcBorders>
          </w:tcPr>
          <w:p>
            <w:pPr/>
          </w:p>
        </w:tc>
        <w:tc>
          <w:tcPr>
            <w:tcW w:w="2257" w:type="dxa"/>
            <w:tcBorders>
              <w:top w:val="dotted" w:sz="4" w:space="0" w:color="000000"/>
              <w:left w:val="dotted" w:sz="4" w:space="0" w:color="000000"/>
              <w:bottom w:val="single" w:sz="12" w:space="0" w:color="000000"/>
              <w:right w:val="dotted" w:sz="4" w:space="0" w:color="000000"/>
            </w:tcBorders>
          </w:tcPr>
          <w:p>
            <w:pPr>
              <w:pStyle w:val="TableParagraph"/>
              <w:spacing w:line="326" w:lineRule="auto" w:before="87"/>
              <w:ind w:left="103" w:right="101"/>
              <w:jc w:val="left"/>
              <w:rPr>
                <w:rFonts w:ascii="宋体" w:hAnsi="宋体" w:cs="宋体" w:eastAsia="宋体" w:hint="default"/>
                <w:sz w:val="18"/>
                <w:szCs w:val="18"/>
              </w:rPr>
            </w:pPr>
            <w:r>
              <w:rPr>
                <w:rFonts w:ascii="宋体" w:hAnsi="宋体" w:cs="宋体" w:eastAsia="宋体" w:hint="default"/>
                <w:spacing w:val="5"/>
                <w:sz w:val="18"/>
                <w:szCs w:val="18"/>
              </w:rPr>
              <w:t>根据预测的收入、成本、</w:t>
            </w:r>
            <w:r>
              <w:rPr>
                <w:rFonts w:ascii="宋体" w:hAnsi="宋体" w:cs="宋体" w:eastAsia="宋体" w:hint="default"/>
                <w:sz w:val="18"/>
                <w:szCs w:val="18"/>
              </w:rPr>
              <w:t> 费用等计算</w:t>
            </w:r>
          </w:p>
        </w:tc>
        <w:tc>
          <w:tcPr>
            <w:tcW w:w="610" w:type="dxa"/>
            <w:tcBorders>
              <w:top w:val="dotted" w:sz="4" w:space="0" w:color="000000"/>
              <w:left w:val="dotted" w:sz="4" w:space="0" w:color="000000"/>
              <w:bottom w:val="single" w:sz="12" w:space="0" w:color="000000"/>
              <w:right w:val="nil" w:sz="6" w:space="0" w:color="auto"/>
            </w:tcBorders>
          </w:tcPr>
          <w:p>
            <w:pPr/>
          </w:p>
        </w:tc>
      </w:tr>
    </w:tbl>
    <w:p>
      <w:pPr>
        <w:spacing w:line="240" w:lineRule="auto" w:before="1"/>
        <w:rPr>
          <w:rFonts w:ascii="宋体" w:hAnsi="宋体" w:cs="宋体" w:eastAsia="宋体" w:hint="default"/>
          <w:sz w:val="5"/>
          <w:szCs w:val="5"/>
        </w:rPr>
      </w:pPr>
    </w:p>
    <w:p>
      <w:pPr>
        <w:pStyle w:val="BodyText"/>
        <w:spacing w:line="427" w:lineRule="auto" w:before="44"/>
        <w:ind w:left="232" w:right="1125"/>
        <w:jc w:val="left"/>
      </w:pPr>
      <w:r>
        <w:rPr/>
        <w:t>注</w:t>
      </w:r>
      <w:r>
        <w:rPr>
          <w:spacing w:val="-46"/>
        </w:rPr>
        <w:t> </w:t>
      </w:r>
      <w:r>
        <w:rPr>
          <w:rFonts w:ascii="Times New Roman" w:hAnsi="Times New Roman" w:cs="Times New Roman" w:eastAsia="Times New Roman" w:hint="default"/>
        </w:rPr>
        <w:t>1</w:t>
      </w:r>
      <w:r>
        <w:rPr/>
        <w:t>：根据标的的情况，评估机构采用市场法评估方法，经营性资产组的整体价值与销售收入（</w:t>
      </w:r>
      <w:r>
        <w:rPr>
          <w:spacing w:val="-3"/>
        </w:rPr>
        <w:t> </w:t>
      </w:r>
      <w:r>
        <w:rPr>
          <w:rFonts w:ascii="Times New Roman" w:hAnsi="Times New Roman" w:cs="Times New Roman" w:eastAsia="Times New Roman" w:hint="default"/>
        </w:rPr>
        <w:t>EV/S</w:t>
      </w:r>
      <w:r>
        <w:rPr/>
        <w:t>）为</w:t>
      </w:r>
      <w:r>
        <w:rPr>
          <w:spacing w:val="-48"/>
        </w:rPr>
        <w:t> </w:t>
      </w:r>
      <w:r>
        <w:rPr>
          <w:rFonts w:ascii="Times New Roman" w:hAnsi="Times New Roman" w:cs="Times New Roman" w:eastAsia="Times New Roman" w:hint="default"/>
        </w:rPr>
        <w:t>0.8893</w:t>
      </w:r>
      <w:r>
        <w:rPr/>
        <w:t>。 说明：西安金盾押运有限公司商誉在</w:t>
      </w:r>
      <w:r>
        <w:rPr>
          <w:spacing w:val="-4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年全部计提了减值；南县保安服务有限责任公司公司业务并入益阳市保安服务有 限责任公司，公司准备注销，其商誉全部计提减值；</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年邵阳市保安服务有限责任公司、海南警锐押运护卫有限公司依</w:t>
      </w:r>
    </w:p>
    <w:p>
      <w:pPr>
        <w:pStyle w:val="BodyText"/>
        <w:spacing w:line="240" w:lineRule="auto" w:before="63"/>
        <w:ind w:left="232" w:right="1054"/>
        <w:jc w:val="left"/>
      </w:pPr>
      <w:r>
        <w:rPr/>
        <w:t>据评估报告计提了减值。</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3"/>
        <w:spacing w:line="240" w:lineRule="auto" w:before="0"/>
        <w:ind w:left="232" w:right="1054"/>
        <w:jc w:val="left"/>
        <w:rPr>
          <w:b w:val="0"/>
          <w:bCs w:val="0"/>
        </w:rPr>
      </w:pPr>
      <w:bookmarkStart w:name="18、长期待摊费用" w:id="270"/>
      <w:bookmarkEnd w:id="270"/>
      <w:r>
        <w:rPr>
          <w:b w:val="0"/>
          <w:bCs w:val="0"/>
        </w:rPr>
      </w:r>
      <w:r>
        <w:rPr>
          <w:rFonts w:ascii="Times New Roman" w:hAnsi="Times New Roman" w:cs="Times New Roman" w:eastAsia="Times New Roman" w:hint="default"/>
        </w:rPr>
        <w:t>18</w:t>
      </w:r>
      <w:r>
        <w:rPr/>
        <w:t>、长期待摊费用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229" w:type="dxa"/>
        <w:tblLayout w:type="fixed"/>
        <w:tblCellMar>
          <w:top w:w="0" w:type="dxa"/>
          <w:left w:w="0" w:type="dxa"/>
          <w:bottom w:w="0" w:type="dxa"/>
          <w:right w:w="0" w:type="dxa"/>
        </w:tblCellMar>
        <w:tblLook w:val="01E0"/>
      </w:tblPr>
      <w:tblGrid>
        <w:gridCol w:w="1594"/>
        <w:gridCol w:w="1596"/>
        <w:gridCol w:w="1594"/>
        <w:gridCol w:w="1594"/>
        <w:gridCol w:w="1594"/>
        <w:gridCol w:w="1594"/>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5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52"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场地装修费及其他</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18,563,655.95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46,594,095.09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12,467,472.13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49,872.61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52,640,406.30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18,563,655.95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46,594,095.09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12,467,472.13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49,872.61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52,640,406.30</w:t>
            </w:r>
          </w:p>
        </w:tc>
      </w:tr>
    </w:tbl>
    <w:p>
      <w:pPr>
        <w:spacing w:after="0" w:line="240" w:lineRule="auto"/>
        <w:jc w:val="right"/>
        <w:rPr>
          <w:rFonts w:ascii="Times New Roman" w:hAnsi="Times New Roman" w:cs="Times New Roman" w:eastAsia="Times New Roman" w:hint="default"/>
          <w:sz w:val="18"/>
          <w:szCs w:val="18"/>
        </w:rPr>
        <w:sectPr>
          <w:pgSz w:w="11910" w:h="16840"/>
          <w:pgMar w:header="878" w:footer="978" w:top="1100" w:bottom="1160" w:left="900" w:right="0"/>
        </w:sectPr>
      </w:pPr>
    </w:p>
    <w:p>
      <w:pPr>
        <w:spacing w:line="240" w:lineRule="auto" w:before="12"/>
        <w:rPr>
          <w:rFonts w:ascii="宋体" w:hAnsi="宋体" w:cs="宋体" w:eastAsia="宋体" w:hint="default"/>
          <w:sz w:val="20"/>
          <w:szCs w:val="20"/>
        </w:rPr>
      </w:pPr>
    </w:p>
    <w:p>
      <w:pPr>
        <w:pStyle w:val="Heading3"/>
        <w:spacing w:line="240" w:lineRule="auto"/>
        <w:ind w:right="1394"/>
        <w:jc w:val="left"/>
        <w:rPr>
          <w:b w:val="0"/>
          <w:bCs w:val="0"/>
        </w:rPr>
      </w:pPr>
      <w:bookmarkStart w:name="19、递延所得税资产/递延所得税负债" w:id="271"/>
      <w:bookmarkEnd w:id="271"/>
      <w:r>
        <w:rPr>
          <w:b w:val="0"/>
          <w:bCs w:val="0"/>
        </w:rPr>
      </w:r>
      <w:r>
        <w:rPr>
          <w:rFonts w:ascii="Times New Roman" w:hAnsi="Times New Roman" w:cs="Times New Roman" w:eastAsia="Times New Roman" w:hint="default"/>
        </w:rPr>
        <w:t>19</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before="0"/>
        <w:ind w:right="1394"/>
        <w:jc w:val="left"/>
        <w:rPr>
          <w:b w:val="0"/>
          <w:bCs w:val="0"/>
        </w:rPr>
      </w:pPr>
      <w:bookmarkStart w:name="（1）未经抵销的递延所得税资产" w:id="272"/>
      <w:bookmarkEnd w:id="272"/>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84,780,834.21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13,192,950.29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113,207,514.14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17,578,752.33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40,234,895.85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6,112,333.07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39,154,642.26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5,873,196.35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93,718,396.95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17,507,951.85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89,316,979.93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18,403,876.71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68,510,595.90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10,581,222.17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66,207,686.47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9,943,689.65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预提性质负债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265,528,774.60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40,084,592.58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101,189,421.95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15,333,631.69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50,783,986.87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7,761,320.41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70,615,666.64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12,206,237.29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8,703,986.57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2,175,996.64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16,460,503.61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2,469,075.54</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77"/>
              <w:jc w:val="left"/>
              <w:rPr>
                <w:rFonts w:ascii="宋体" w:hAnsi="宋体" w:cs="宋体" w:eastAsia="宋体" w:hint="default"/>
                <w:sz w:val="18"/>
                <w:szCs w:val="18"/>
              </w:rPr>
            </w:pPr>
            <w:r>
              <w:rPr>
                <w:rFonts w:ascii="宋体" w:hAnsi="宋体" w:cs="宋体" w:eastAsia="宋体" w:hint="default"/>
                <w:sz w:val="18"/>
                <w:szCs w:val="18"/>
              </w:rPr>
              <w:t>其他权益工具投资公允 价值变动</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321,265,241.73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48,189,786.26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429,882,868.66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64,482,430.30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113,328,667.73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18,579,307.41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103,466,506.53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17,281,480.95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1,046,855,380.41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164,185,460.68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1,029,501,790.19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163,572,370.81</w:t>
            </w:r>
          </w:p>
        </w:tc>
      </w:tr>
    </w:tbl>
    <w:p>
      <w:pPr>
        <w:spacing w:line="240" w:lineRule="auto" w:before="3"/>
        <w:rPr>
          <w:rFonts w:ascii="宋体" w:hAnsi="宋体" w:cs="宋体" w:eastAsia="宋体" w:hint="default"/>
          <w:sz w:val="19"/>
          <w:szCs w:val="19"/>
        </w:rPr>
      </w:pPr>
    </w:p>
    <w:p>
      <w:pPr>
        <w:pStyle w:val="Heading3"/>
        <w:spacing w:line="240" w:lineRule="auto"/>
        <w:ind w:right="1394"/>
        <w:jc w:val="left"/>
        <w:rPr>
          <w:b w:val="0"/>
          <w:bCs w:val="0"/>
        </w:rPr>
      </w:pPr>
      <w:bookmarkStart w:name="（2）未经抵销的递延所得税负债" w:id="273"/>
      <w:bookmarkEnd w:id="273"/>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77"/>
              <w:jc w:val="left"/>
              <w:rPr>
                <w:rFonts w:ascii="宋体" w:hAnsi="宋体" w:cs="宋体" w:eastAsia="宋体" w:hint="default"/>
                <w:sz w:val="18"/>
                <w:szCs w:val="18"/>
              </w:rPr>
            </w:pPr>
            <w:r>
              <w:rPr>
                <w:rFonts w:ascii="宋体" w:hAnsi="宋体" w:cs="宋体" w:eastAsia="宋体" w:hint="default"/>
                <w:sz w:val="18"/>
                <w:szCs w:val="18"/>
              </w:rPr>
              <w:t>非同一控制企业合并资 产评估增值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40,214,581.87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10,017,686.73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47,348,891.71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11,770,849.87</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77"/>
              <w:jc w:val="left"/>
              <w:rPr>
                <w:rFonts w:ascii="宋体" w:hAnsi="宋体" w:cs="宋体" w:eastAsia="宋体" w:hint="default"/>
                <w:sz w:val="18"/>
                <w:szCs w:val="18"/>
              </w:rPr>
            </w:pPr>
            <w:r>
              <w:rPr>
                <w:rFonts w:ascii="宋体" w:hAnsi="宋体" w:cs="宋体" w:eastAsia="宋体" w:hint="default"/>
                <w:sz w:val="18"/>
                <w:szCs w:val="18"/>
              </w:rPr>
              <w:t>其他权益工具投资公允 价值变动</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159,201,000.00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23,880,150.00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159,201,000.00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23,880,150.00</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77"/>
              <w:jc w:val="left"/>
              <w:rPr>
                <w:rFonts w:ascii="宋体" w:hAnsi="宋体" w:cs="宋体" w:eastAsia="宋体" w:hint="default"/>
                <w:sz w:val="18"/>
                <w:szCs w:val="18"/>
              </w:rPr>
            </w:pPr>
            <w:r>
              <w:rPr>
                <w:rFonts w:ascii="宋体" w:hAnsi="宋体" w:cs="宋体" w:eastAsia="宋体" w:hint="default"/>
                <w:sz w:val="18"/>
                <w:szCs w:val="18"/>
              </w:rPr>
              <w:t>长期股权投资公允价值 变动</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5,057,714.64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1,264,428.66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5,057,714.64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1,264,428.66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204,473,296.51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35,162,265.39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211,607,606.35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36,915,428.53</w:t>
            </w:r>
          </w:p>
        </w:tc>
      </w:tr>
    </w:tbl>
    <w:p>
      <w:pPr>
        <w:spacing w:line="240" w:lineRule="auto" w:before="3"/>
        <w:rPr>
          <w:rFonts w:ascii="宋体" w:hAnsi="宋体" w:cs="宋体" w:eastAsia="宋体" w:hint="default"/>
          <w:sz w:val="19"/>
          <w:szCs w:val="19"/>
        </w:rPr>
      </w:pPr>
    </w:p>
    <w:p>
      <w:pPr>
        <w:pStyle w:val="Heading3"/>
        <w:spacing w:line="240" w:lineRule="auto"/>
        <w:ind w:right="1394"/>
        <w:jc w:val="left"/>
        <w:rPr>
          <w:b w:val="0"/>
          <w:bCs w:val="0"/>
        </w:rPr>
      </w:pPr>
      <w:bookmarkStart w:name="（3）以抵销后净额列示的递延所得税资产或负债" w:id="274"/>
      <w:bookmarkEnd w:id="274"/>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12" w:right="52"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22" w:right="50" w:hanging="272"/>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12" w:right="49"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22" w:right="50" w:hanging="272"/>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400"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57" w:right="0"/>
              <w:jc w:val="left"/>
              <w:rPr>
                <w:rFonts w:ascii="Times New Roman" w:hAnsi="Times New Roman" w:cs="Times New Roman" w:eastAsia="Times New Roman" w:hint="default"/>
                <w:sz w:val="18"/>
                <w:szCs w:val="18"/>
              </w:rPr>
            </w:pPr>
            <w:r>
              <w:rPr>
                <w:rFonts w:ascii="Times New Roman"/>
                <w:sz w:val="18"/>
              </w:rPr>
              <w:t>164,185,460.68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57" w:right="0"/>
              <w:jc w:val="left"/>
              <w:rPr>
                <w:rFonts w:ascii="Times New Roman" w:hAnsi="Times New Roman" w:cs="Times New Roman" w:eastAsia="Times New Roman" w:hint="default"/>
                <w:sz w:val="18"/>
                <w:szCs w:val="18"/>
              </w:rPr>
            </w:pPr>
            <w:r>
              <w:rPr>
                <w:rFonts w:ascii="Times New Roman"/>
                <w:sz w:val="18"/>
              </w:rPr>
              <w:t>163,572,370.81</w:t>
            </w:r>
          </w:p>
        </w:tc>
      </w:tr>
    </w:tbl>
    <w:p>
      <w:pPr>
        <w:spacing w:after="0" w:line="240" w:lineRule="auto"/>
        <w:jc w:val="left"/>
        <w:rPr>
          <w:rFonts w:ascii="Times New Roman" w:hAnsi="Times New Roman" w:cs="Times New Roman" w:eastAsia="Times New Roman" w:hint="default"/>
          <w:sz w:val="18"/>
          <w:szCs w:val="18"/>
        </w:rPr>
        <w:sectPr>
          <w:pgSz w:w="11910" w:h="16840"/>
          <w:pgMar w:header="878" w:footer="978" w:top="1100" w:bottom="1160" w:left="1020" w:right="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45" w:right="0"/>
              <w:jc w:val="left"/>
              <w:rPr>
                <w:rFonts w:ascii="Times New Roman" w:hAnsi="Times New Roman" w:cs="Times New Roman" w:eastAsia="Times New Roman" w:hint="default"/>
                <w:sz w:val="18"/>
                <w:szCs w:val="18"/>
              </w:rPr>
            </w:pPr>
            <w:r>
              <w:rPr>
                <w:rFonts w:ascii="Times New Roman"/>
                <w:sz w:val="18"/>
              </w:rPr>
              <w:t>35,162,265.39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46" w:right="0"/>
              <w:jc w:val="left"/>
              <w:rPr>
                <w:rFonts w:ascii="Times New Roman" w:hAnsi="Times New Roman" w:cs="Times New Roman" w:eastAsia="Times New Roman" w:hint="default"/>
                <w:sz w:val="18"/>
                <w:szCs w:val="18"/>
              </w:rPr>
            </w:pPr>
            <w:r>
              <w:rPr>
                <w:rFonts w:ascii="Times New Roman"/>
                <w:sz w:val="18"/>
              </w:rPr>
              <w:t>36,915,428.53</w:t>
            </w:r>
          </w:p>
        </w:tc>
      </w:tr>
    </w:tbl>
    <w:p>
      <w:pPr>
        <w:spacing w:line="240" w:lineRule="auto" w:before="4"/>
        <w:rPr>
          <w:rFonts w:ascii="宋体" w:hAnsi="宋体" w:cs="宋体" w:eastAsia="宋体" w:hint="default"/>
          <w:sz w:val="19"/>
          <w:szCs w:val="19"/>
        </w:rPr>
      </w:pPr>
    </w:p>
    <w:p>
      <w:pPr>
        <w:pStyle w:val="Heading3"/>
        <w:spacing w:line="240" w:lineRule="auto"/>
        <w:ind w:right="1394"/>
        <w:jc w:val="left"/>
        <w:rPr>
          <w:b w:val="0"/>
          <w:bCs w:val="0"/>
        </w:rPr>
      </w:pPr>
      <w:bookmarkStart w:name="（4）未确认递延所得税资产明细" w:id="275"/>
      <w:bookmarkEnd w:id="275"/>
      <w:r>
        <w:rPr>
          <w:b w:val="0"/>
          <w:bCs w:val="0"/>
        </w:rPr>
      </w: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417,943.70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569,335.71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75,398,511.37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73,357,213.10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75,816,455.07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73,926,548.81</w:t>
            </w:r>
          </w:p>
        </w:tc>
      </w:tr>
    </w:tbl>
    <w:p>
      <w:pPr>
        <w:spacing w:line="240" w:lineRule="auto" w:before="4"/>
        <w:rPr>
          <w:rFonts w:ascii="宋体" w:hAnsi="宋体" w:cs="宋体" w:eastAsia="宋体" w:hint="default"/>
          <w:sz w:val="19"/>
          <w:szCs w:val="19"/>
        </w:rPr>
      </w:pPr>
    </w:p>
    <w:p>
      <w:pPr>
        <w:pStyle w:val="Heading3"/>
        <w:spacing w:line="240" w:lineRule="auto"/>
        <w:ind w:right="1394"/>
        <w:jc w:val="left"/>
        <w:rPr>
          <w:b w:val="0"/>
          <w:bCs w:val="0"/>
        </w:rPr>
      </w:pPr>
      <w:bookmarkStart w:name="（5）未确认递延所得税资产的可抵扣亏损将于以下年度到期" w:id="276"/>
      <w:bookmarkEnd w:id="276"/>
      <w:r>
        <w:rPr>
          <w:b w:val="0"/>
          <w:bCs w:val="0"/>
        </w:rPr>
      </w: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89"/>
        <w:gridCol w:w="2395"/>
        <w:gridCol w:w="2392"/>
        <w:gridCol w:w="2392"/>
      </w:tblGrid>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10,010,615.67</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15,529,251.58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15,529,251.58</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28,178,358.17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28,178,358.17</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9,427,903.14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9,427,903.14</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10,211,084.54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10,211,084.54</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12,051,913.94</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75,398,511.37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73,357,213.10</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ind w:right="1394"/>
        <w:jc w:val="left"/>
        <w:rPr>
          <w:b w:val="0"/>
          <w:bCs w:val="0"/>
        </w:rPr>
      </w:pPr>
      <w:bookmarkStart w:name="20、其他非流动资产" w:id="277"/>
      <w:bookmarkEnd w:id="277"/>
      <w:r>
        <w:rPr>
          <w:b w:val="0"/>
          <w:bCs w:val="0"/>
        </w:rPr>
      </w:r>
      <w:r>
        <w:rPr>
          <w:rFonts w:ascii="Times New Roman" w:hAnsi="Times New Roman" w:cs="Times New Roman" w:eastAsia="Times New Roman" w:hint="default"/>
        </w:rPr>
        <w:t>20</w:t>
      </w:r>
      <w:r>
        <w:rPr/>
        <w:t>、其他非流动资产</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股权收购款</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固定资产购置款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13,992,975.26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17,891,297.30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13,992,975.26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18,091,297.30</w:t>
            </w:r>
          </w:p>
        </w:tc>
      </w:tr>
    </w:tbl>
    <w:p>
      <w:pPr>
        <w:spacing w:line="240" w:lineRule="auto" w:before="4"/>
        <w:rPr>
          <w:rFonts w:ascii="宋体" w:hAnsi="宋体" w:cs="宋体" w:eastAsia="宋体" w:hint="default"/>
          <w:sz w:val="19"/>
          <w:szCs w:val="19"/>
        </w:rPr>
      </w:pPr>
    </w:p>
    <w:p>
      <w:pPr>
        <w:pStyle w:val="Heading3"/>
        <w:spacing w:line="240" w:lineRule="auto"/>
        <w:ind w:right="1394"/>
        <w:jc w:val="left"/>
        <w:rPr>
          <w:b w:val="0"/>
          <w:bCs w:val="0"/>
        </w:rPr>
      </w:pPr>
      <w:bookmarkStart w:name="21、短期借款" w:id="278"/>
      <w:bookmarkEnd w:id="278"/>
      <w:r>
        <w:rPr>
          <w:b w:val="0"/>
          <w:bCs w:val="0"/>
        </w:rPr>
      </w:r>
      <w:r>
        <w:rPr>
          <w:rFonts w:ascii="Times New Roman" w:hAnsi="Times New Roman" w:cs="Times New Roman" w:eastAsia="Times New Roman" w:hint="default"/>
        </w:rPr>
        <w:t>21</w:t>
      </w:r>
      <w:r>
        <w:rPr/>
        <w:t>、短期借款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before="0"/>
        <w:ind w:right="1394"/>
        <w:jc w:val="left"/>
        <w:rPr>
          <w:b w:val="0"/>
          <w:bCs w:val="0"/>
        </w:rPr>
      </w:pPr>
      <w:bookmarkStart w:name="（1）短期借款分类" w:id="279"/>
      <w:bookmarkEnd w:id="279"/>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60,010,634.48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18,000,000.00</w:t>
            </w:r>
          </w:p>
        </w:tc>
      </w:tr>
      <w:tr>
        <w:trPr>
          <w:trHeight w:val="400"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3,000,000.00</w:t>
            </w:r>
          </w:p>
        </w:tc>
      </w:tr>
    </w:tbl>
    <w:p>
      <w:pPr>
        <w:spacing w:after="0" w:line="240" w:lineRule="auto"/>
        <w:jc w:val="right"/>
        <w:rPr>
          <w:rFonts w:ascii="Times New Roman" w:hAnsi="Times New Roman" w:cs="Times New Roman" w:eastAsia="Times New Roman" w:hint="default"/>
          <w:sz w:val="18"/>
          <w:szCs w:val="18"/>
        </w:rPr>
        <w:sectPr>
          <w:pgSz w:w="11910" w:h="16840"/>
          <w:pgMar w:header="878" w:footer="978" w:top="1100" w:bottom="1160" w:left="1020" w:right="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10,038,250.00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2,331,000.00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80,048,884.48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23,331,000.00</w:t>
            </w:r>
          </w:p>
        </w:tc>
      </w:tr>
    </w:tbl>
    <w:p>
      <w:pPr>
        <w:spacing w:line="240" w:lineRule="auto" w:before="4"/>
        <w:rPr>
          <w:rFonts w:ascii="宋体" w:hAnsi="宋体" w:cs="宋体" w:eastAsia="宋体" w:hint="default"/>
          <w:sz w:val="19"/>
          <w:szCs w:val="19"/>
        </w:rPr>
      </w:pPr>
    </w:p>
    <w:p>
      <w:pPr>
        <w:pStyle w:val="Heading3"/>
        <w:spacing w:line="240" w:lineRule="auto"/>
        <w:ind w:right="1394"/>
        <w:jc w:val="left"/>
        <w:rPr>
          <w:b w:val="0"/>
          <w:bCs w:val="0"/>
        </w:rPr>
      </w:pPr>
      <w:bookmarkStart w:name="（2）已逾期未偿还的短期借款情况" w:id="280"/>
      <w:bookmarkEnd w:id="280"/>
      <w:r>
        <w:rPr>
          <w:b w:val="0"/>
          <w:bCs w:val="0"/>
        </w:rPr>
      </w: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32" w:right="1394"/>
        <w:jc w:val="left"/>
      </w:pPr>
      <w:r>
        <w:rPr/>
        <w:t>本期末没有已逾期未偿还的短期借款。</w:t>
      </w:r>
    </w:p>
    <w:p>
      <w:pPr>
        <w:spacing w:line="240" w:lineRule="auto" w:before="11"/>
        <w:rPr>
          <w:rFonts w:ascii="宋体" w:hAnsi="宋体" w:cs="宋体" w:eastAsia="宋体" w:hint="default"/>
          <w:sz w:val="26"/>
          <w:szCs w:val="26"/>
        </w:rPr>
      </w:pPr>
    </w:p>
    <w:p>
      <w:pPr>
        <w:pStyle w:val="Heading3"/>
        <w:spacing w:line="240" w:lineRule="auto" w:before="0"/>
        <w:ind w:right="1394"/>
        <w:jc w:val="left"/>
        <w:rPr>
          <w:b w:val="0"/>
          <w:bCs w:val="0"/>
        </w:rPr>
      </w:pPr>
      <w:bookmarkStart w:name="22、应付票据" w:id="281"/>
      <w:bookmarkEnd w:id="281"/>
      <w:r>
        <w:rPr>
          <w:b w:val="0"/>
          <w:bCs w:val="0"/>
        </w:rPr>
      </w:r>
      <w:r>
        <w:rPr>
          <w:rFonts w:ascii="Times New Roman" w:hAnsi="Times New Roman" w:cs="Times New Roman" w:eastAsia="Times New Roman" w:hint="default"/>
        </w:rPr>
        <w:t>22</w:t>
      </w:r>
      <w:r>
        <w:rPr/>
        <w:t>、应付票据</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178,288,094.95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106,681,293.96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178,288,094.95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106,681,293.96</w:t>
            </w:r>
          </w:p>
        </w:tc>
      </w:tr>
    </w:tbl>
    <w:p>
      <w:pPr>
        <w:spacing w:line="240" w:lineRule="auto" w:before="3"/>
        <w:rPr>
          <w:rFonts w:ascii="宋体" w:hAnsi="宋体" w:cs="宋体" w:eastAsia="宋体" w:hint="default"/>
          <w:sz w:val="19"/>
          <w:szCs w:val="19"/>
        </w:rPr>
      </w:pPr>
    </w:p>
    <w:p>
      <w:pPr>
        <w:pStyle w:val="Heading3"/>
        <w:spacing w:line="240" w:lineRule="auto"/>
        <w:ind w:right="1394"/>
        <w:jc w:val="left"/>
        <w:rPr>
          <w:b w:val="0"/>
          <w:bCs w:val="0"/>
        </w:rPr>
      </w:pPr>
      <w:bookmarkStart w:name="23、应付账款" w:id="282"/>
      <w:bookmarkEnd w:id="282"/>
      <w:r>
        <w:rPr>
          <w:b w:val="0"/>
          <w:bCs w:val="0"/>
        </w:rPr>
      </w:r>
      <w:r>
        <w:rPr>
          <w:rFonts w:ascii="Times New Roman" w:hAnsi="Times New Roman" w:cs="Times New Roman" w:eastAsia="Times New Roman" w:hint="default"/>
        </w:rPr>
        <w:t>23</w:t>
      </w:r>
      <w:r>
        <w:rPr/>
        <w:t>、应付账款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before="0"/>
        <w:ind w:right="1394"/>
        <w:jc w:val="left"/>
        <w:rPr>
          <w:b w:val="0"/>
          <w:bCs w:val="0"/>
        </w:rPr>
      </w:pPr>
      <w:bookmarkStart w:name="（1）应付账款列示" w:id="283"/>
      <w:bookmarkEnd w:id="283"/>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943,756,049.50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703,794,362.05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46,906,383.89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74,378,608.43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17,362,869.50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33,569,047.56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23,779,238.22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11,813,243.57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1,031,804,541.11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823,555,261.61</w:t>
            </w:r>
          </w:p>
        </w:tc>
      </w:tr>
    </w:tbl>
    <w:p>
      <w:pPr>
        <w:spacing w:line="240" w:lineRule="auto" w:before="4"/>
        <w:rPr>
          <w:rFonts w:ascii="宋体" w:hAnsi="宋体" w:cs="宋体" w:eastAsia="宋体" w:hint="default"/>
          <w:sz w:val="19"/>
          <w:szCs w:val="19"/>
        </w:rPr>
      </w:pPr>
    </w:p>
    <w:p>
      <w:pPr>
        <w:pStyle w:val="Heading3"/>
        <w:spacing w:line="240" w:lineRule="auto"/>
        <w:ind w:right="1394"/>
        <w:jc w:val="left"/>
        <w:rPr>
          <w:b w:val="0"/>
          <w:bCs w:val="0"/>
        </w:rPr>
      </w:pPr>
      <w:bookmarkStart w:name="（2）账龄超过1年的重要应付账款" w:id="284"/>
      <w:bookmarkEnd w:id="284"/>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年的重要应付账款</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单位一</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5,713,355.54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未结算</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单位二</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4,066,600.00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未结算</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3,879,473.37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未结算</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单位四</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3,723,477.87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未结算</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单位五</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3,254,676.02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未结算</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20,637,582.80</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footerReference w:type="default" r:id="rId51"/>
          <w:pgSz w:w="11910" w:h="16840"/>
          <w:pgMar w:footer="978" w:header="878" w:top="1100" w:bottom="1160" w:left="1020" w:right="0"/>
          <w:pgNumType w:start="170"/>
        </w:sectPr>
      </w:pPr>
    </w:p>
    <w:p>
      <w:pPr>
        <w:spacing w:line="240" w:lineRule="auto" w:before="12"/>
        <w:rPr>
          <w:rFonts w:ascii="宋体" w:hAnsi="宋体" w:cs="宋体" w:eastAsia="宋体" w:hint="default"/>
          <w:sz w:val="20"/>
          <w:szCs w:val="20"/>
        </w:rPr>
      </w:pPr>
    </w:p>
    <w:p>
      <w:pPr>
        <w:pStyle w:val="Heading3"/>
        <w:spacing w:line="240" w:lineRule="auto"/>
        <w:ind w:right="1394"/>
        <w:jc w:val="left"/>
        <w:rPr>
          <w:b w:val="0"/>
          <w:bCs w:val="0"/>
        </w:rPr>
      </w:pPr>
      <w:bookmarkStart w:name="24、预收款项" w:id="285"/>
      <w:bookmarkEnd w:id="285"/>
      <w:r>
        <w:rPr>
          <w:b w:val="0"/>
          <w:bCs w:val="0"/>
        </w:rPr>
      </w:r>
      <w:r>
        <w:rPr>
          <w:rFonts w:ascii="Times New Roman" w:hAnsi="Times New Roman" w:cs="Times New Roman" w:eastAsia="Times New Roman" w:hint="default"/>
        </w:rPr>
        <w:t>24</w:t>
      </w:r>
      <w:r>
        <w:rPr/>
        <w:t>、预收款项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before="0"/>
        <w:ind w:right="1394"/>
        <w:jc w:val="left"/>
        <w:rPr>
          <w:b w:val="0"/>
          <w:bCs w:val="0"/>
        </w:rPr>
      </w:pPr>
      <w:bookmarkStart w:name="（1）预收款项列示" w:id="286"/>
      <w:bookmarkEnd w:id="286"/>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1,201,142,261.58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1,479,835,517.57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358,623,419.64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314,629,476.27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43,286,385.86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8,579,885.40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11,654,628.49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8,115,552.81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1,614,706,695.57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1,811,160,432.05</w:t>
            </w:r>
          </w:p>
        </w:tc>
      </w:tr>
    </w:tbl>
    <w:p>
      <w:pPr>
        <w:spacing w:line="240" w:lineRule="auto" w:before="3"/>
        <w:rPr>
          <w:rFonts w:ascii="宋体" w:hAnsi="宋体" w:cs="宋体" w:eastAsia="宋体" w:hint="default"/>
          <w:sz w:val="19"/>
          <w:szCs w:val="19"/>
        </w:rPr>
      </w:pPr>
    </w:p>
    <w:p>
      <w:pPr>
        <w:pStyle w:val="Heading3"/>
        <w:spacing w:line="240" w:lineRule="auto"/>
        <w:ind w:right="1394"/>
        <w:jc w:val="left"/>
        <w:rPr>
          <w:b w:val="0"/>
          <w:bCs w:val="0"/>
        </w:rPr>
      </w:pPr>
      <w:bookmarkStart w:name="（2）账龄超过1年的重要预收款项" w:id="287"/>
      <w:bookmarkEnd w:id="287"/>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年的重要预收款项</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单位一</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14,398,019.75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未结算</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单位二</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6,582,139.88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未结算</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单位三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5,150,232.88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未结算</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单位四</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4,770,000.00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未结算</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单位五</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4,612,344.96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未结算</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35,512,737.47</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4"/>
        <w:rPr>
          <w:rFonts w:ascii="宋体" w:hAnsi="宋体" w:cs="宋体" w:eastAsia="宋体" w:hint="default"/>
          <w:sz w:val="19"/>
          <w:szCs w:val="19"/>
        </w:rPr>
      </w:pPr>
    </w:p>
    <w:p>
      <w:pPr>
        <w:pStyle w:val="Heading3"/>
        <w:spacing w:line="240" w:lineRule="auto"/>
        <w:ind w:right="1394"/>
        <w:jc w:val="left"/>
        <w:rPr>
          <w:b w:val="0"/>
          <w:bCs w:val="0"/>
        </w:rPr>
      </w:pPr>
      <w:bookmarkStart w:name="25、应付职工薪酬" w:id="288"/>
      <w:bookmarkEnd w:id="288"/>
      <w:r>
        <w:rPr>
          <w:b w:val="0"/>
          <w:bCs w:val="0"/>
        </w:rPr>
      </w:r>
      <w:r>
        <w:rPr>
          <w:rFonts w:ascii="Times New Roman" w:hAnsi="Times New Roman" w:cs="Times New Roman" w:eastAsia="Times New Roman" w:hint="default"/>
        </w:rPr>
        <w:t>25</w:t>
      </w:r>
      <w:r>
        <w:rPr/>
        <w:t>、应付职工薪酬</w:t>
      </w:r>
      <w:r>
        <w:rPr>
          <w:b w:val="0"/>
          <w:bCs w:val="0"/>
        </w:rPr>
      </w:r>
    </w:p>
    <w:p>
      <w:pPr>
        <w:spacing w:line="240" w:lineRule="auto" w:before="7"/>
        <w:rPr>
          <w:rFonts w:ascii="宋体" w:hAnsi="宋体" w:cs="宋体" w:eastAsia="宋体" w:hint="default"/>
          <w:b/>
          <w:bCs/>
          <w:sz w:val="24"/>
          <w:szCs w:val="24"/>
        </w:rPr>
      </w:pPr>
    </w:p>
    <w:p>
      <w:pPr>
        <w:pStyle w:val="Heading3"/>
        <w:spacing w:line="240" w:lineRule="auto" w:before="0"/>
        <w:ind w:right="1394"/>
        <w:jc w:val="left"/>
        <w:rPr>
          <w:b w:val="0"/>
          <w:bCs w:val="0"/>
        </w:rPr>
      </w:pPr>
      <w:bookmarkStart w:name="（1）应付职工薪酬列示" w:id="289"/>
      <w:bookmarkEnd w:id="289"/>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519,276,586.21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2,168,309,821.51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2,146,006,562.42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541,579,845.30</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22" w:right="22"/>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1,265,370.90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153,389,331.01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153,458,180.74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1,196,521.17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1,995,983.44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2,000,983.44</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77"/>
              <w:jc w:val="left"/>
              <w:rPr>
                <w:rFonts w:ascii="宋体" w:hAnsi="宋体" w:cs="宋体" w:eastAsia="宋体" w:hint="default"/>
                <w:sz w:val="18"/>
                <w:szCs w:val="18"/>
              </w:rPr>
            </w:pPr>
            <w:r>
              <w:rPr>
                <w:rFonts w:ascii="宋体" w:hAnsi="宋体" w:cs="宋体" w:eastAsia="宋体" w:hint="default"/>
                <w:sz w:val="18"/>
                <w:szCs w:val="18"/>
              </w:rPr>
              <w:t>四、一年内到期的其他 福利</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520,546,957.11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2,323,695,135.96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2,301,465,726.60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542,776,366.47</w:t>
            </w:r>
          </w:p>
        </w:tc>
      </w:tr>
    </w:tbl>
    <w:p>
      <w:pPr>
        <w:spacing w:after="0" w:line="240" w:lineRule="auto"/>
        <w:jc w:val="right"/>
        <w:rPr>
          <w:rFonts w:ascii="Times New Roman" w:hAnsi="Times New Roman" w:cs="Times New Roman" w:eastAsia="Times New Roman" w:hint="default"/>
          <w:sz w:val="18"/>
          <w:szCs w:val="18"/>
        </w:rPr>
        <w:sectPr>
          <w:pgSz w:w="11910" w:h="16840"/>
          <w:pgMar w:header="878" w:footer="978" w:top="1100" w:bottom="1160" w:left="1020" w:right="0"/>
        </w:sectPr>
      </w:pPr>
    </w:p>
    <w:p>
      <w:pPr>
        <w:spacing w:line="240" w:lineRule="auto" w:before="12"/>
        <w:rPr>
          <w:rFonts w:ascii="宋体" w:hAnsi="宋体" w:cs="宋体" w:eastAsia="宋体" w:hint="default"/>
          <w:sz w:val="20"/>
          <w:szCs w:val="20"/>
        </w:rPr>
      </w:pPr>
    </w:p>
    <w:p>
      <w:pPr>
        <w:pStyle w:val="Heading3"/>
        <w:spacing w:line="240" w:lineRule="auto"/>
        <w:ind w:right="1394"/>
        <w:jc w:val="left"/>
        <w:rPr>
          <w:b w:val="0"/>
          <w:bCs w:val="0"/>
        </w:rPr>
      </w:pPr>
      <w:bookmarkStart w:name="（2）短期薪酬列示" w:id="290"/>
      <w:bookmarkEnd w:id="290"/>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22"/>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517,608,928.06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1,953,739,245.17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1,932,199,760.32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539,148,412.91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362,532.94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59,766,665.52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59,250,094.14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879,104.32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659,682.15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80,846,868.34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80,833,949.18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672,601.31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77"/>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529,396.63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70,020,100.97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69,966,673.83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582,823.77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7"/>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89,030.14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3,398,203.86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3,461,812.63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25,421.37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77"/>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41,255.38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7,428,563.51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7,405,462.72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64,356.17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205,899.89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65,781,470.90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65,937,854.79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49,516.00</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22"/>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、工会经费和职工教育</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经费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439,543.17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8,175,571.58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7,784,903.99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830,210.76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、短期带薪缺勤</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、短期利润分享计划</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519,276,586.21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2,168,309,821.51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2,146,006,562.42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541,579,845.30</w:t>
            </w:r>
          </w:p>
        </w:tc>
      </w:tr>
    </w:tbl>
    <w:p>
      <w:pPr>
        <w:spacing w:line="240" w:lineRule="auto" w:before="3"/>
        <w:rPr>
          <w:rFonts w:ascii="宋体" w:hAnsi="宋体" w:cs="宋体" w:eastAsia="宋体" w:hint="default"/>
          <w:sz w:val="19"/>
          <w:szCs w:val="19"/>
        </w:rPr>
      </w:pPr>
    </w:p>
    <w:p>
      <w:pPr>
        <w:pStyle w:val="Heading3"/>
        <w:spacing w:line="240" w:lineRule="auto"/>
        <w:ind w:right="1394"/>
        <w:jc w:val="left"/>
        <w:rPr>
          <w:b w:val="0"/>
          <w:bCs w:val="0"/>
        </w:rPr>
      </w:pPr>
      <w:bookmarkStart w:name="（3）设定提存计划列示" w:id="291"/>
      <w:bookmarkEnd w:id="291"/>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1,220,519.92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147,953,036.84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148,025,297.02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1,148,259.74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44,850.98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5,436,294.17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5,432,883.72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48,261.43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、企业年金缴费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1,265,370.90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153,389,331.01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153,458,180.74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1,196,521.17</w:t>
            </w:r>
          </w:p>
        </w:tc>
      </w:tr>
    </w:tbl>
    <w:p>
      <w:pPr>
        <w:spacing w:line="240" w:lineRule="auto" w:before="3"/>
        <w:rPr>
          <w:rFonts w:ascii="宋体" w:hAnsi="宋体" w:cs="宋体" w:eastAsia="宋体" w:hint="default"/>
          <w:sz w:val="19"/>
          <w:szCs w:val="19"/>
        </w:rPr>
      </w:pPr>
    </w:p>
    <w:p>
      <w:pPr>
        <w:pStyle w:val="Heading3"/>
        <w:spacing w:line="240" w:lineRule="auto"/>
        <w:ind w:right="1394"/>
        <w:jc w:val="left"/>
        <w:rPr>
          <w:b w:val="0"/>
          <w:bCs w:val="0"/>
        </w:rPr>
      </w:pPr>
      <w:bookmarkStart w:name="26、应交税费" w:id="292"/>
      <w:bookmarkEnd w:id="292"/>
      <w:r>
        <w:rPr>
          <w:b w:val="0"/>
          <w:bCs w:val="0"/>
        </w:rPr>
      </w:r>
      <w:r>
        <w:rPr>
          <w:rFonts w:ascii="Times New Roman" w:hAnsi="Times New Roman" w:cs="Times New Roman" w:eastAsia="Times New Roman" w:hint="default"/>
        </w:rPr>
        <w:t>26</w:t>
      </w:r>
      <w:r>
        <w:rPr/>
        <w:t>、应交税费</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111,718,042.16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79,870,567.27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302.31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91,968,812.41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83,181,643.19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2,784,170.49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2,479,989.05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6,269,034.84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4,104,256.07</w:t>
            </w:r>
          </w:p>
        </w:tc>
      </w:tr>
      <w:tr>
        <w:trPr>
          <w:trHeight w:val="400"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2,707,426.14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1,771,735.25</w:t>
            </w:r>
          </w:p>
        </w:tc>
      </w:tr>
    </w:tbl>
    <w:p>
      <w:pPr>
        <w:spacing w:after="0" w:line="240" w:lineRule="auto"/>
        <w:jc w:val="right"/>
        <w:rPr>
          <w:rFonts w:ascii="Times New Roman" w:hAnsi="Times New Roman" w:cs="Times New Roman" w:eastAsia="Times New Roman" w:hint="default"/>
          <w:sz w:val="18"/>
          <w:szCs w:val="18"/>
        </w:rPr>
        <w:sectPr>
          <w:pgSz w:w="11910" w:h="16840"/>
          <w:pgMar w:header="878" w:footer="978" w:top="1100" w:bottom="1160" w:left="1020" w:right="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1,790,633.50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1,176,585.82</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堤围防护费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36,528.91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32,336.50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142,032.52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251,823.44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439,766.50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1,074,669.01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405,597.88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199,145.40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土地增值税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3,103,704.97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4,560,607.13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环境保护税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3,971.88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925.24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文化事业建设费</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14,931.51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221,369,722.20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178,719,517.19</w:t>
            </w:r>
          </w:p>
        </w:tc>
      </w:tr>
    </w:tbl>
    <w:p>
      <w:pPr>
        <w:spacing w:line="240" w:lineRule="auto" w:before="4"/>
        <w:rPr>
          <w:rFonts w:ascii="宋体" w:hAnsi="宋体" w:cs="宋体" w:eastAsia="宋体" w:hint="default"/>
          <w:sz w:val="19"/>
          <w:szCs w:val="19"/>
        </w:rPr>
      </w:pPr>
    </w:p>
    <w:p>
      <w:pPr>
        <w:pStyle w:val="Heading3"/>
        <w:spacing w:line="240" w:lineRule="auto"/>
        <w:ind w:right="1394"/>
        <w:jc w:val="left"/>
        <w:rPr>
          <w:b w:val="0"/>
          <w:bCs w:val="0"/>
        </w:rPr>
      </w:pPr>
      <w:bookmarkStart w:name="27、其他应付款" w:id="293"/>
      <w:bookmarkEnd w:id="293"/>
      <w:r>
        <w:rPr>
          <w:b w:val="0"/>
          <w:bCs w:val="0"/>
        </w:rPr>
      </w:r>
      <w:r>
        <w:rPr>
          <w:rFonts w:ascii="Times New Roman" w:hAnsi="Times New Roman" w:cs="Times New Roman" w:eastAsia="Times New Roman" w:hint="default"/>
        </w:rPr>
        <w:t>27</w:t>
      </w:r>
      <w:r>
        <w:rPr/>
        <w:t>、其他应付款</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67,832.81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1,485,000.00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14,815,400.00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518,883,165.15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341,741,050.06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520,368,165.15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356,624,282.87</w:t>
            </w:r>
          </w:p>
        </w:tc>
      </w:tr>
    </w:tbl>
    <w:p>
      <w:pPr>
        <w:spacing w:line="240" w:lineRule="auto" w:before="5"/>
        <w:rPr>
          <w:rFonts w:ascii="宋体" w:hAnsi="宋体" w:cs="宋体" w:eastAsia="宋体" w:hint="default"/>
          <w:sz w:val="19"/>
          <w:szCs w:val="19"/>
        </w:rPr>
      </w:pPr>
    </w:p>
    <w:p>
      <w:pPr>
        <w:pStyle w:val="Heading3"/>
        <w:spacing w:line="240" w:lineRule="auto"/>
        <w:ind w:right="1394"/>
        <w:jc w:val="left"/>
        <w:rPr>
          <w:b w:val="0"/>
          <w:bCs w:val="0"/>
        </w:rPr>
      </w:pPr>
      <w:bookmarkStart w:name="（1）应付利息" w:id="294"/>
      <w:bookmarkEnd w:id="294"/>
      <w:r>
        <w:rPr>
          <w:b w:val="0"/>
          <w:bCs w:val="0"/>
        </w:rPr>
      </w:r>
      <w:r>
        <w:rPr/>
        <w:t>（</w:t>
      </w:r>
      <w:r>
        <w:rPr>
          <w:rFonts w:ascii="Times New Roman" w:hAnsi="Times New Roman" w:cs="Times New Roman" w:eastAsia="Times New Roman" w:hint="default"/>
        </w:rPr>
        <w:t>1</w:t>
      </w:r>
      <w:r>
        <w:rPr/>
        <w:t>）应付利息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67,832.81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67,832.81</w:t>
            </w:r>
          </w:p>
        </w:tc>
      </w:tr>
    </w:tbl>
    <w:p>
      <w:pPr>
        <w:spacing w:line="240" w:lineRule="auto" w:before="2"/>
        <w:rPr>
          <w:rFonts w:ascii="宋体" w:hAnsi="宋体" w:cs="宋体" w:eastAsia="宋体" w:hint="default"/>
          <w:sz w:val="19"/>
          <w:szCs w:val="19"/>
        </w:rPr>
      </w:pPr>
    </w:p>
    <w:p>
      <w:pPr>
        <w:pStyle w:val="Heading3"/>
        <w:spacing w:line="240" w:lineRule="auto"/>
        <w:ind w:right="1394"/>
        <w:jc w:val="left"/>
        <w:rPr>
          <w:b w:val="0"/>
          <w:bCs w:val="0"/>
        </w:rPr>
      </w:pPr>
      <w:bookmarkStart w:name="（2）应付股利" w:id="295"/>
      <w:bookmarkEnd w:id="295"/>
      <w:r>
        <w:rPr>
          <w:b w:val="0"/>
          <w:bCs w:val="0"/>
        </w:rPr>
      </w:r>
      <w:r>
        <w:rPr/>
        <w:t>（</w:t>
      </w:r>
      <w:r>
        <w:rPr>
          <w:rFonts w:ascii="Times New Roman" w:hAnsi="Times New Roman" w:cs="Times New Roman" w:eastAsia="Times New Roman" w:hint="default"/>
        </w:rPr>
        <w:t>2</w:t>
      </w:r>
      <w:r>
        <w:rPr/>
        <w:t>）应付股利</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普通股股利</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1,485,000.00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14,815,400.00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1,485,000.00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14,815,400.00</w:t>
            </w:r>
          </w:p>
        </w:tc>
      </w:tr>
    </w:tbl>
    <w:p>
      <w:pPr>
        <w:spacing w:line="240" w:lineRule="auto" w:before="3"/>
        <w:rPr>
          <w:rFonts w:ascii="宋体" w:hAnsi="宋体" w:cs="宋体" w:eastAsia="宋体" w:hint="default"/>
          <w:sz w:val="19"/>
          <w:szCs w:val="19"/>
        </w:rPr>
      </w:pPr>
    </w:p>
    <w:p>
      <w:pPr>
        <w:pStyle w:val="Heading3"/>
        <w:spacing w:line="240" w:lineRule="auto"/>
        <w:ind w:right="1394"/>
        <w:jc w:val="left"/>
        <w:rPr>
          <w:b w:val="0"/>
          <w:bCs w:val="0"/>
        </w:rPr>
      </w:pPr>
      <w:bookmarkStart w:name="（3）其他应付款" w:id="296"/>
      <w:bookmarkEnd w:id="296"/>
      <w:r>
        <w:rPr>
          <w:b w:val="0"/>
          <w:bCs w:val="0"/>
        </w:rPr>
      </w:r>
      <w:r>
        <w:rPr/>
        <w:t>（</w:t>
      </w:r>
      <w:r>
        <w:rPr>
          <w:rFonts w:ascii="Times New Roman" w:hAnsi="Times New Roman" w:cs="Times New Roman" w:eastAsia="Times New Roman" w:hint="default"/>
        </w:rPr>
        <w:t>3</w:t>
      </w:r>
      <w:r>
        <w:rPr/>
        <w:t>）其他应付款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before="0"/>
        <w:ind w:right="1394"/>
        <w:jc w:val="left"/>
        <w:rPr>
          <w:b w:val="0"/>
          <w:bCs w:val="0"/>
        </w:rPr>
      </w:pPr>
      <w:bookmarkStart w:name="1）按款项性质列示其他应付款" w:id="297"/>
      <w:bookmarkEnd w:id="297"/>
      <w:r>
        <w:rPr>
          <w:b w:val="0"/>
          <w:bCs w:val="0"/>
        </w:rPr>
      </w:r>
      <w:r>
        <w:rPr>
          <w:rFonts w:ascii="Times New Roman" w:hAnsi="Times New Roman" w:cs="Times New Roman" w:eastAsia="Times New Roman" w:hint="default"/>
        </w:rPr>
        <w:t>1</w:t>
      </w:r>
      <w:r>
        <w:rPr/>
        <w:t>）按款项性质列示其他应付款</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after="0" w:line="240" w:lineRule="auto"/>
        <w:jc w:val="right"/>
        <w:sectPr>
          <w:pgSz w:w="11910" w:h="16840"/>
          <w:pgMar w:header="878" w:footer="978" w:top="1100" w:bottom="1160" w:left="1020" w:right="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338,043,446.41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274,100,739.88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127,519,972.01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16,558,242.36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26,959,804.92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16,757,971.01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26,359,941.81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34,324,096.81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518,883,165.15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341,741,050.06</w:t>
            </w:r>
          </w:p>
        </w:tc>
      </w:tr>
    </w:tbl>
    <w:p>
      <w:pPr>
        <w:spacing w:line="240" w:lineRule="auto" w:before="3"/>
        <w:rPr>
          <w:rFonts w:ascii="宋体" w:hAnsi="宋体" w:cs="宋体" w:eastAsia="宋体" w:hint="default"/>
          <w:sz w:val="19"/>
          <w:szCs w:val="19"/>
        </w:rPr>
      </w:pPr>
    </w:p>
    <w:p>
      <w:pPr>
        <w:pStyle w:val="Heading3"/>
        <w:spacing w:line="240" w:lineRule="auto"/>
        <w:ind w:right="1394"/>
        <w:jc w:val="left"/>
        <w:rPr>
          <w:b w:val="0"/>
          <w:bCs w:val="0"/>
        </w:rPr>
      </w:pPr>
      <w:bookmarkStart w:name="2）账龄超过1年的重要其他应付款" w:id="298"/>
      <w:bookmarkEnd w:id="298"/>
      <w:r>
        <w:rPr>
          <w:b w:val="0"/>
          <w:bCs w:val="0"/>
        </w:rPr>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年的重要其他应付款</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单位一</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35,227,500.00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未结算</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单位二</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35,227,500.00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未结算</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单位三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9,900,000.00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未结算</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单位四</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未结算</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90,255,000.00</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5"/>
        <w:rPr>
          <w:rFonts w:ascii="宋体" w:hAnsi="宋体" w:cs="宋体" w:eastAsia="宋体" w:hint="default"/>
          <w:sz w:val="19"/>
          <w:szCs w:val="19"/>
        </w:rPr>
      </w:pPr>
    </w:p>
    <w:p>
      <w:pPr>
        <w:pStyle w:val="Heading3"/>
        <w:spacing w:line="240" w:lineRule="auto"/>
        <w:ind w:right="1394"/>
        <w:jc w:val="left"/>
        <w:rPr>
          <w:b w:val="0"/>
          <w:bCs w:val="0"/>
        </w:rPr>
      </w:pPr>
      <w:bookmarkStart w:name="28、长期借款" w:id="299"/>
      <w:bookmarkEnd w:id="299"/>
      <w:r>
        <w:rPr>
          <w:b w:val="0"/>
          <w:bCs w:val="0"/>
        </w:rPr>
      </w:r>
      <w:r>
        <w:rPr>
          <w:rFonts w:ascii="Times New Roman" w:hAnsi="Times New Roman" w:cs="Times New Roman" w:eastAsia="Times New Roman" w:hint="default"/>
        </w:rPr>
        <w:t>28</w:t>
      </w:r>
      <w:r>
        <w:rPr/>
        <w:t>、长期借款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before="0"/>
        <w:ind w:right="1394"/>
        <w:jc w:val="left"/>
        <w:rPr>
          <w:b w:val="0"/>
          <w:bCs w:val="0"/>
        </w:rPr>
      </w:pPr>
      <w:bookmarkStart w:name="（1）长期借款分类" w:id="300"/>
      <w:bookmarkEnd w:id="300"/>
      <w:r>
        <w:rPr>
          <w:b w:val="0"/>
          <w:bCs w:val="0"/>
        </w:rPr>
      </w:r>
      <w:r>
        <w:rPr/>
        <w:t>（</w:t>
      </w:r>
      <w:r>
        <w:rPr>
          <w:rFonts w:ascii="Times New Roman" w:hAnsi="Times New Roman" w:cs="Times New Roman" w:eastAsia="Times New Roman" w:hint="default"/>
        </w:rPr>
        <w:t>1</w:t>
      </w:r>
      <w:r>
        <w:rPr/>
        <w:t>）长期借款分类</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w:t>
            </w:r>
          </w:p>
        </w:tc>
      </w:tr>
    </w:tbl>
    <w:p>
      <w:pPr>
        <w:spacing w:line="240" w:lineRule="auto" w:before="4"/>
        <w:rPr>
          <w:rFonts w:ascii="宋体" w:hAnsi="宋体" w:cs="宋体" w:eastAsia="宋体" w:hint="default"/>
          <w:sz w:val="19"/>
          <w:szCs w:val="19"/>
        </w:rPr>
      </w:pPr>
    </w:p>
    <w:p>
      <w:pPr>
        <w:pStyle w:val="Heading3"/>
        <w:spacing w:line="240" w:lineRule="auto"/>
        <w:ind w:right="1394"/>
        <w:jc w:val="left"/>
        <w:rPr>
          <w:b w:val="0"/>
          <w:bCs w:val="0"/>
        </w:rPr>
      </w:pPr>
      <w:bookmarkStart w:name="29、递延收益" w:id="301"/>
      <w:bookmarkEnd w:id="301"/>
      <w:r>
        <w:rPr>
          <w:b w:val="0"/>
          <w:bCs w:val="0"/>
        </w:rPr>
      </w:r>
      <w:r>
        <w:rPr>
          <w:rFonts w:ascii="Times New Roman" w:hAnsi="Times New Roman" w:cs="Times New Roman" w:eastAsia="Times New Roman" w:hint="default"/>
        </w:rPr>
        <w:t>29</w:t>
      </w:r>
      <w:r>
        <w:rPr/>
        <w:t>、递延收益</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4"/>
        <w:gridCol w:w="1596"/>
        <w:gridCol w:w="1594"/>
        <w:gridCol w:w="1594"/>
        <w:gridCol w:w="1594"/>
        <w:gridCol w:w="1594"/>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71,082,333.29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26,954,354.07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46,919,367.16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51,117,320.20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71,082,333.29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26,954,354.07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46,919,367.16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51,117,320.20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3"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1394"/>
        <w:jc w:val="left"/>
      </w:pPr>
      <w:r>
        <w:rPr/>
        <w:t>涉及政府补助的项目：</w:t>
      </w:r>
    </w:p>
    <w:p>
      <w:pPr>
        <w:pStyle w:val="BodyText"/>
        <w:spacing w:line="240" w:lineRule="auto" w:before="117"/>
        <w:ind w:left="0" w:right="113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851"/>
        <w:gridCol w:w="1276"/>
        <w:gridCol w:w="1144"/>
        <w:gridCol w:w="1265"/>
        <w:gridCol w:w="1276"/>
        <w:gridCol w:w="1134"/>
        <w:gridCol w:w="567"/>
        <w:gridCol w:w="1134"/>
        <w:gridCol w:w="922"/>
      </w:tblGrid>
      <w:tr>
        <w:trPr>
          <w:trHeight w:val="1026" w:hRule="exact"/>
        </w:trPr>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 w:right="0"/>
              <w:jc w:val="center"/>
              <w:rPr>
                <w:rFonts w:ascii="宋体" w:hAnsi="宋体" w:cs="宋体" w:eastAsia="宋体" w:hint="default"/>
                <w:sz w:val="18"/>
                <w:szCs w:val="18"/>
              </w:rPr>
            </w:pPr>
            <w:r>
              <w:rPr>
                <w:rFonts w:ascii="宋体" w:hAnsi="宋体" w:cs="宋体" w:eastAsia="宋体" w:hint="default"/>
                <w:sz w:val="18"/>
                <w:szCs w:val="18"/>
              </w:rPr>
              <w:t>负债项目</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7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1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386" w:right="25" w:hanging="360"/>
              <w:jc w:val="left"/>
              <w:rPr>
                <w:rFonts w:ascii="宋体" w:hAnsi="宋体" w:cs="宋体" w:eastAsia="宋体" w:hint="default"/>
                <w:sz w:val="18"/>
                <w:szCs w:val="18"/>
              </w:rPr>
            </w:pPr>
            <w:r>
              <w:rPr>
                <w:rFonts w:ascii="宋体" w:hAnsi="宋体" w:cs="宋体" w:eastAsia="宋体" w:hint="default"/>
                <w:sz w:val="18"/>
                <w:szCs w:val="18"/>
              </w:rPr>
              <w:t>本期新增补助 金额</w:t>
            </w:r>
          </w:p>
        </w:tc>
        <w:tc>
          <w:tcPr>
            <w:tcW w:w="1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76" w:right="85" w:hanging="89"/>
              <w:jc w:val="left"/>
              <w:rPr>
                <w:rFonts w:ascii="宋体" w:hAnsi="宋体" w:cs="宋体" w:eastAsia="宋体" w:hint="default"/>
                <w:sz w:val="18"/>
                <w:szCs w:val="18"/>
              </w:rPr>
            </w:pPr>
            <w:r>
              <w:rPr>
                <w:rFonts w:ascii="宋体" w:hAnsi="宋体" w:cs="宋体" w:eastAsia="宋体" w:hint="default"/>
                <w:sz w:val="18"/>
                <w:szCs w:val="18"/>
              </w:rPr>
              <w:t>本期计入营业 外收入金额</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72" w:right="92" w:hanging="180"/>
              <w:jc w:val="left"/>
              <w:rPr>
                <w:rFonts w:ascii="宋体" w:hAnsi="宋体" w:cs="宋体" w:eastAsia="宋体" w:hint="default"/>
                <w:sz w:val="18"/>
                <w:szCs w:val="18"/>
              </w:rPr>
            </w:pPr>
            <w:r>
              <w:rPr>
                <w:rFonts w:ascii="宋体" w:hAnsi="宋体" w:cs="宋体" w:eastAsia="宋体" w:hint="default"/>
                <w:sz w:val="18"/>
                <w:szCs w:val="18"/>
              </w:rPr>
              <w:t>本期计入其他 收益金额</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12" w:right="110"/>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99" w:right="96"/>
              <w:jc w:val="left"/>
              <w:rPr>
                <w:rFonts w:ascii="宋体" w:hAnsi="宋体" w:cs="宋体" w:eastAsia="宋体" w:hint="default"/>
                <w:sz w:val="18"/>
                <w:szCs w:val="18"/>
              </w:rPr>
            </w:pPr>
            <w:r>
              <w:rPr>
                <w:rFonts w:ascii="宋体" w:hAnsi="宋体" w:cs="宋体" w:eastAsia="宋体" w:hint="default"/>
                <w:sz w:val="18"/>
                <w:szCs w:val="18"/>
              </w:rPr>
              <w:t>其他 变动</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0"/>
              <w:ind w:left="70" w:right="69" w:hanging="3"/>
              <w:jc w:val="center"/>
              <w:rPr>
                <w:rFonts w:ascii="宋体" w:hAnsi="宋体" w:cs="宋体" w:eastAsia="宋体" w:hint="default"/>
                <w:sz w:val="18"/>
                <w:szCs w:val="18"/>
              </w:rPr>
            </w:pPr>
            <w:r>
              <w:rPr>
                <w:rFonts w:ascii="宋体" w:hAnsi="宋体" w:cs="宋体" w:eastAsia="宋体" w:hint="default"/>
                <w:sz w:val="18"/>
                <w:szCs w:val="18"/>
              </w:rPr>
              <w:t>与资产相 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与收益 相关</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3"/>
              <w:jc w:val="center"/>
              <w:rPr>
                <w:rFonts w:ascii="宋体" w:hAnsi="宋体" w:cs="宋体" w:eastAsia="宋体" w:hint="default"/>
                <w:sz w:val="18"/>
                <w:szCs w:val="18"/>
              </w:rPr>
            </w:pPr>
            <w:r>
              <w:rPr>
                <w:rFonts w:ascii="宋体" w:hAnsi="宋体" w:cs="宋体" w:eastAsia="宋体" w:hint="default"/>
                <w:sz w:val="18"/>
                <w:szCs w:val="18"/>
              </w:rPr>
              <w:t>政府补助</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 w:right="0"/>
              <w:jc w:val="left"/>
              <w:rPr>
                <w:rFonts w:ascii="Times New Roman" w:hAnsi="Times New Roman" w:cs="Times New Roman" w:eastAsia="Times New Roman" w:hint="default"/>
                <w:sz w:val="18"/>
                <w:szCs w:val="18"/>
              </w:rPr>
            </w:pPr>
            <w:r>
              <w:rPr>
                <w:rFonts w:ascii="Times New Roman"/>
                <w:sz w:val="18"/>
              </w:rPr>
              <w:t>71,082,333.29</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26,954,354.07</w:t>
            </w:r>
          </w:p>
        </w:tc>
        <w:tc>
          <w:tcPr>
            <w:tcW w:w="1265"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7" w:right="0"/>
              <w:jc w:val="left"/>
              <w:rPr>
                <w:rFonts w:ascii="Times New Roman" w:hAnsi="Times New Roman" w:cs="Times New Roman" w:eastAsia="Times New Roman" w:hint="default"/>
                <w:sz w:val="18"/>
                <w:szCs w:val="18"/>
              </w:rPr>
            </w:pPr>
            <w:r>
              <w:rPr>
                <w:rFonts w:ascii="Times New Roman"/>
                <w:sz w:val="18"/>
              </w:rPr>
              <w:t>46,919,367.16</w:t>
            </w:r>
          </w:p>
        </w:tc>
        <w:tc>
          <w:tcPr>
            <w:tcW w:w="1134"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 w:right="0"/>
              <w:jc w:val="center"/>
              <w:rPr>
                <w:rFonts w:ascii="Times New Roman" w:hAnsi="Times New Roman" w:cs="Times New Roman" w:eastAsia="Times New Roman" w:hint="default"/>
                <w:sz w:val="18"/>
                <w:szCs w:val="18"/>
              </w:rPr>
            </w:pPr>
            <w:r>
              <w:rPr>
                <w:rFonts w:ascii="Times New Roman"/>
                <w:sz w:val="18"/>
              </w:rPr>
              <w:t>51,117,320.20</w:t>
            </w:r>
          </w:p>
        </w:tc>
        <w:tc>
          <w:tcPr>
            <w:tcW w:w="92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8" w:footer="978" w:top="1100" w:bottom="1160" w:left="1020" w:right="0"/>
        </w:sectPr>
      </w:pPr>
    </w:p>
    <w:p>
      <w:pPr>
        <w:spacing w:line="240" w:lineRule="auto" w:before="12"/>
        <w:rPr>
          <w:rFonts w:ascii="宋体" w:hAnsi="宋体" w:cs="宋体" w:eastAsia="宋体" w:hint="default"/>
          <w:sz w:val="20"/>
          <w:szCs w:val="20"/>
        </w:rPr>
      </w:pPr>
    </w:p>
    <w:p>
      <w:pPr>
        <w:pStyle w:val="Heading3"/>
        <w:spacing w:line="240" w:lineRule="auto"/>
        <w:ind w:right="1394"/>
        <w:jc w:val="left"/>
        <w:rPr>
          <w:b w:val="0"/>
          <w:bCs w:val="0"/>
        </w:rPr>
      </w:pPr>
      <w:bookmarkStart w:name="30、股本" w:id="302"/>
      <w:bookmarkEnd w:id="302"/>
      <w:r>
        <w:rPr>
          <w:b w:val="0"/>
          <w:bCs w:val="0"/>
        </w:rPr>
      </w:r>
      <w:r>
        <w:rPr>
          <w:rFonts w:ascii="Times New Roman" w:hAnsi="Times New Roman" w:cs="Times New Roman" w:eastAsia="Times New Roman" w:hint="default"/>
        </w:rPr>
        <w:t>30</w:t>
      </w:r>
      <w:r>
        <w:rPr/>
        <w:t>、股本</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195"/>
        <w:gridCol w:w="1357"/>
        <w:gridCol w:w="1036"/>
        <w:gridCol w:w="948"/>
        <w:gridCol w:w="1134"/>
        <w:gridCol w:w="1276"/>
        <w:gridCol w:w="1276"/>
        <w:gridCol w:w="1346"/>
      </w:tblGrid>
      <w:tr>
        <w:trPr>
          <w:trHeight w:val="402" w:hRule="exact"/>
        </w:trPr>
        <w:tc>
          <w:tcPr>
            <w:tcW w:w="1195" w:type="dxa"/>
            <w:vMerge w:val="restart"/>
            <w:tcBorders>
              <w:top w:val="single" w:sz="4" w:space="0" w:color="000000"/>
              <w:left w:val="single" w:sz="4" w:space="0" w:color="000000"/>
              <w:right w:val="single" w:sz="4" w:space="0" w:color="000000"/>
            </w:tcBorders>
            <w:shd w:val="clear" w:color="auto" w:fill="D2D2D2"/>
          </w:tcPr>
          <w:p>
            <w:pPr/>
          </w:p>
        </w:tc>
        <w:tc>
          <w:tcPr>
            <w:tcW w:w="135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1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67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4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0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195" w:type="dxa"/>
            <w:vMerge/>
            <w:tcBorders>
              <w:left w:val="single" w:sz="4" w:space="0" w:color="000000"/>
              <w:bottom w:val="single" w:sz="4" w:space="0" w:color="000000"/>
              <w:right w:val="single" w:sz="4" w:space="0" w:color="000000"/>
            </w:tcBorders>
            <w:shd w:val="clear" w:color="auto" w:fill="D2D2D2"/>
          </w:tcPr>
          <w:p>
            <w:pPr/>
          </w:p>
        </w:tc>
        <w:tc>
          <w:tcPr>
            <w:tcW w:w="1357" w:type="dxa"/>
            <w:vMerge/>
            <w:tcBorders>
              <w:left w:val="single" w:sz="4" w:space="0" w:color="000000"/>
              <w:bottom w:val="single" w:sz="4" w:space="0" w:color="000000"/>
              <w:right w:val="single" w:sz="4" w:space="0" w:color="000000"/>
            </w:tcBorders>
            <w:shd w:val="clear" w:color="auto" w:fill="D2D2D2"/>
          </w:tcPr>
          <w:p>
            <w:pPr/>
          </w:p>
        </w:tc>
        <w:tc>
          <w:tcPr>
            <w:tcW w:w="10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3"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9"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1"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346"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3" w:right="0"/>
              <w:jc w:val="left"/>
              <w:rPr>
                <w:rFonts w:ascii="Times New Roman" w:hAnsi="Times New Roman" w:cs="Times New Roman" w:eastAsia="Times New Roman" w:hint="default"/>
                <w:sz w:val="18"/>
                <w:szCs w:val="18"/>
              </w:rPr>
            </w:pPr>
            <w:r>
              <w:rPr>
                <w:rFonts w:ascii="Times New Roman"/>
                <w:sz w:val="18"/>
              </w:rPr>
              <w:t>2,428,885,725.00</w:t>
            </w:r>
          </w:p>
        </w:tc>
        <w:tc>
          <w:tcPr>
            <w:tcW w:w="1036" w:type="dxa"/>
            <w:tcBorders>
              <w:top w:val="single" w:sz="4" w:space="0" w:color="000000"/>
              <w:left w:val="single" w:sz="4" w:space="0" w:color="000000"/>
              <w:bottom w:val="single" w:sz="4" w:space="0" w:color="000000"/>
              <w:right w:val="single" w:sz="4" w:space="0" w:color="000000"/>
            </w:tcBorders>
          </w:tcPr>
          <w:p>
            <w:pPr/>
          </w:p>
        </w:tc>
        <w:tc>
          <w:tcPr>
            <w:tcW w:w="94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6" w:right="0"/>
              <w:jc w:val="center"/>
              <w:rPr>
                <w:rFonts w:ascii="Times New Roman" w:hAnsi="Times New Roman" w:cs="Times New Roman" w:eastAsia="Times New Roman" w:hint="default"/>
                <w:sz w:val="18"/>
                <w:szCs w:val="18"/>
              </w:rPr>
            </w:pPr>
            <w:r>
              <w:rPr>
                <w:rFonts w:ascii="Times New Roman"/>
                <w:sz w:val="18"/>
              </w:rPr>
              <w:t>-19,891,774.00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9" w:right="0"/>
              <w:jc w:val="left"/>
              <w:rPr>
                <w:rFonts w:ascii="Times New Roman" w:hAnsi="Times New Roman" w:cs="Times New Roman" w:eastAsia="Times New Roman" w:hint="default"/>
                <w:sz w:val="18"/>
                <w:szCs w:val="18"/>
              </w:rPr>
            </w:pPr>
            <w:r>
              <w:rPr>
                <w:rFonts w:ascii="Times New Roman"/>
                <w:sz w:val="18"/>
              </w:rPr>
              <w:t>-19,891,774.00</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1" w:right="0"/>
              <w:jc w:val="left"/>
              <w:rPr>
                <w:rFonts w:ascii="Times New Roman" w:hAnsi="Times New Roman" w:cs="Times New Roman" w:eastAsia="Times New Roman" w:hint="default"/>
                <w:sz w:val="18"/>
                <w:szCs w:val="18"/>
              </w:rPr>
            </w:pPr>
            <w:r>
              <w:rPr>
                <w:rFonts w:ascii="Times New Roman"/>
                <w:sz w:val="18"/>
              </w:rPr>
              <w:t>2,408,993,951.00</w:t>
            </w:r>
          </w:p>
        </w:tc>
      </w:tr>
    </w:tbl>
    <w:p>
      <w:pPr>
        <w:pStyle w:val="BodyText"/>
        <w:spacing w:line="240" w:lineRule="auto" w:before="46"/>
        <w:ind w:right="1394"/>
        <w:jc w:val="left"/>
      </w:pPr>
      <w:r>
        <w:rPr/>
        <w:t>说明：公司库存股注销</w:t>
      </w:r>
      <w:r>
        <w:rPr>
          <w:spacing w:val="-47"/>
        </w:rPr>
        <w:t> </w:t>
      </w:r>
      <w:r>
        <w:rPr>
          <w:rFonts w:ascii="Times New Roman" w:hAnsi="Times New Roman" w:cs="Times New Roman" w:eastAsia="Times New Roman" w:hint="default"/>
        </w:rPr>
        <w:t>19,891,774</w:t>
      </w:r>
      <w:r>
        <w:rPr>
          <w:rFonts w:ascii="Times New Roman" w:hAnsi="Times New Roman" w:cs="Times New Roman" w:eastAsia="Times New Roman" w:hint="default"/>
          <w:spacing w:val="-3"/>
        </w:rPr>
        <w:t> </w:t>
      </w:r>
      <w:r>
        <w:rPr/>
        <w:t>股。</w:t>
      </w:r>
    </w:p>
    <w:p>
      <w:pPr>
        <w:spacing w:line="240" w:lineRule="auto" w:before="10"/>
        <w:rPr>
          <w:rFonts w:ascii="宋体" w:hAnsi="宋体" w:cs="宋体" w:eastAsia="宋体" w:hint="default"/>
          <w:sz w:val="23"/>
          <w:szCs w:val="23"/>
        </w:rPr>
      </w:pPr>
    </w:p>
    <w:p>
      <w:pPr>
        <w:pStyle w:val="Heading3"/>
        <w:spacing w:line="240" w:lineRule="auto" w:before="0"/>
        <w:ind w:right="1394"/>
        <w:jc w:val="left"/>
        <w:rPr>
          <w:b w:val="0"/>
          <w:bCs w:val="0"/>
        </w:rPr>
      </w:pPr>
      <w:bookmarkStart w:name="31、资本公积" w:id="303"/>
      <w:bookmarkEnd w:id="303"/>
      <w:r>
        <w:rPr>
          <w:b w:val="0"/>
          <w:bCs w:val="0"/>
        </w:rPr>
      </w:r>
      <w:r>
        <w:rPr>
          <w:rFonts w:ascii="Times New Roman" w:hAnsi="Times New Roman" w:cs="Times New Roman" w:eastAsia="Times New Roman" w:hint="default"/>
        </w:rPr>
        <w:t>31</w:t>
      </w:r>
      <w:r>
        <w:rPr/>
        <w:t>、资本公积</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2,289,345,715.27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281,133,768.78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20" w:right="0"/>
              <w:jc w:val="left"/>
              <w:rPr>
                <w:rFonts w:ascii="Times New Roman" w:hAnsi="Times New Roman" w:cs="Times New Roman" w:eastAsia="Times New Roman" w:hint="default"/>
                <w:sz w:val="18"/>
                <w:szCs w:val="18"/>
              </w:rPr>
            </w:pPr>
            <w:r>
              <w:rPr>
                <w:rFonts w:ascii="Times New Roman"/>
                <w:sz w:val="18"/>
              </w:rPr>
              <w:t>2,008,211,946.49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8,780,104.29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8,780,104.29</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2,298,125,819.56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289,913,873.07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20" w:right="0"/>
              <w:jc w:val="left"/>
              <w:rPr>
                <w:rFonts w:ascii="Times New Roman" w:hAnsi="Times New Roman" w:cs="Times New Roman" w:eastAsia="Times New Roman" w:hint="default"/>
                <w:sz w:val="18"/>
                <w:szCs w:val="18"/>
              </w:rPr>
            </w:pPr>
            <w:r>
              <w:rPr>
                <w:rFonts w:ascii="Times New Roman"/>
                <w:sz w:val="18"/>
              </w:rPr>
              <w:t>2,008,211,946.49</w:t>
            </w:r>
          </w:p>
        </w:tc>
      </w:tr>
    </w:tbl>
    <w:p>
      <w:pPr>
        <w:spacing w:line="240" w:lineRule="auto" w:before="4"/>
        <w:rPr>
          <w:rFonts w:ascii="宋体" w:hAnsi="宋体" w:cs="宋体" w:eastAsia="宋体" w:hint="default"/>
          <w:sz w:val="19"/>
          <w:szCs w:val="19"/>
        </w:rPr>
      </w:pPr>
    </w:p>
    <w:p>
      <w:pPr>
        <w:pStyle w:val="Heading3"/>
        <w:spacing w:line="240" w:lineRule="auto"/>
        <w:ind w:right="1394"/>
        <w:jc w:val="left"/>
        <w:rPr>
          <w:b w:val="0"/>
          <w:bCs w:val="0"/>
        </w:rPr>
      </w:pPr>
      <w:bookmarkStart w:name="32、库存股" w:id="304"/>
      <w:bookmarkEnd w:id="304"/>
      <w:r>
        <w:rPr>
          <w:b w:val="0"/>
          <w:bCs w:val="0"/>
        </w:rPr>
      </w:r>
      <w:r>
        <w:rPr>
          <w:rFonts w:ascii="Times New Roman" w:hAnsi="Times New Roman" w:cs="Times New Roman" w:eastAsia="Times New Roman" w:hint="default"/>
        </w:rPr>
        <w:t>32</w:t>
      </w:r>
      <w:r>
        <w:rPr/>
        <w:t>、库存股</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股权回购</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113,006,514.72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7,242,468.72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120,248,983.44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113,006,514.72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7,242,468.72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120,248,983.44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240" w:lineRule="auto" w:before="46"/>
        <w:ind w:left="828" w:right="1394"/>
        <w:jc w:val="left"/>
      </w:pPr>
      <w:r>
        <w:rPr/>
        <w:t>说明：</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r>
        <w:rPr>
          <w:spacing w:val="-48"/>
        </w:rPr>
        <w:t> </w:t>
      </w:r>
      <w:r>
        <w:rPr>
          <w:rFonts w:ascii="Times New Roman" w:hAnsi="Times New Roman" w:cs="Times New Roman" w:eastAsia="Times New Roman" w:hint="default"/>
        </w:rPr>
        <w:t>1 </w:t>
      </w:r>
      <w:r>
        <w:rPr/>
        <w:t>月购入</w:t>
      </w:r>
      <w:r>
        <w:rPr>
          <w:spacing w:val="-48"/>
        </w:rPr>
        <w:t> </w:t>
      </w:r>
      <w:r>
        <w:rPr>
          <w:rFonts w:ascii="Times New Roman" w:hAnsi="Times New Roman" w:cs="Times New Roman" w:eastAsia="Times New Roman" w:hint="default"/>
        </w:rPr>
        <w:t>7,242,468.72</w:t>
      </w:r>
      <w:r>
        <w:rPr>
          <w:rFonts w:ascii="Times New Roman" w:hAnsi="Times New Roman" w:cs="Times New Roman" w:eastAsia="Times New Roman" w:hint="default"/>
          <w:spacing w:val="-2"/>
        </w:rPr>
        <w:t> </w:t>
      </w:r>
      <w:r>
        <w:rPr/>
        <w:t>元库存股，</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r>
        <w:rPr>
          <w:spacing w:val="-48"/>
        </w:rPr>
        <w:t> </w:t>
      </w:r>
      <w:r>
        <w:rPr>
          <w:rFonts w:ascii="Times New Roman" w:hAnsi="Times New Roman" w:cs="Times New Roman" w:eastAsia="Times New Roman" w:hint="default"/>
        </w:rPr>
        <w:t>3 </w:t>
      </w:r>
      <w:r>
        <w:rPr/>
        <w:t>月注销库存股</w:t>
      </w:r>
      <w:r>
        <w:rPr>
          <w:spacing w:val="-48"/>
        </w:rPr>
        <w:t> </w:t>
      </w:r>
      <w:r>
        <w:rPr>
          <w:rFonts w:ascii="Times New Roman" w:hAnsi="Times New Roman" w:cs="Times New Roman" w:eastAsia="Times New Roman" w:hint="default"/>
        </w:rPr>
        <w:t>120,248,983.44</w:t>
      </w:r>
      <w:r>
        <w:rPr>
          <w:rFonts w:ascii="Times New Roman" w:hAnsi="Times New Roman" w:cs="Times New Roman" w:eastAsia="Times New Roman" w:hint="default"/>
          <w:spacing w:val="-2"/>
        </w:rPr>
        <w:t> </w:t>
      </w:r>
      <w:r>
        <w:rPr/>
        <w:t>元。</w:t>
      </w:r>
    </w:p>
    <w:p>
      <w:pPr>
        <w:spacing w:line="240" w:lineRule="auto" w:before="10"/>
        <w:rPr>
          <w:rFonts w:ascii="宋体" w:hAnsi="宋体" w:cs="宋体" w:eastAsia="宋体" w:hint="default"/>
          <w:sz w:val="23"/>
          <w:szCs w:val="23"/>
        </w:rPr>
      </w:pPr>
    </w:p>
    <w:p>
      <w:pPr>
        <w:pStyle w:val="Heading3"/>
        <w:spacing w:line="240" w:lineRule="auto" w:before="0"/>
        <w:ind w:right="1394"/>
        <w:jc w:val="left"/>
        <w:rPr>
          <w:b w:val="0"/>
          <w:bCs w:val="0"/>
        </w:rPr>
      </w:pPr>
      <w:bookmarkStart w:name="33、其他综合收益" w:id="305"/>
      <w:bookmarkEnd w:id="305"/>
      <w:r>
        <w:rPr>
          <w:b w:val="0"/>
          <w:bCs w:val="0"/>
        </w:rPr>
      </w:r>
      <w:r>
        <w:rPr>
          <w:rFonts w:ascii="Times New Roman" w:hAnsi="Times New Roman" w:cs="Times New Roman" w:eastAsia="Times New Roman" w:hint="default"/>
        </w:rPr>
        <w:t>33</w:t>
      </w:r>
      <w:r>
        <w:rPr/>
        <w:t>、其他综合收益</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557"/>
        <w:gridCol w:w="974"/>
        <w:gridCol w:w="852"/>
        <w:gridCol w:w="1050"/>
        <w:gridCol w:w="852"/>
        <w:gridCol w:w="852"/>
        <w:gridCol w:w="853"/>
        <w:gridCol w:w="852"/>
        <w:gridCol w:w="726"/>
      </w:tblGrid>
      <w:tr>
        <w:trPr>
          <w:trHeight w:val="402" w:hRule="exact"/>
        </w:trPr>
        <w:tc>
          <w:tcPr>
            <w:tcW w:w="255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9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311"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9"/>
                <w:szCs w:val="19"/>
              </w:rPr>
            </w:pPr>
          </w:p>
          <w:p>
            <w:pPr>
              <w:pStyle w:val="TableParagraph"/>
              <w:spacing w:line="316" w:lineRule="auto"/>
              <w:ind w:left="267" w:right="87" w:hanging="180"/>
              <w:jc w:val="left"/>
              <w:rPr>
                <w:rFonts w:ascii="宋体" w:hAnsi="宋体" w:cs="宋体" w:eastAsia="宋体" w:hint="default"/>
                <w:sz w:val="18"/>
                <w:szCs w:val="18"/>
              </w:rPr>
            </w:pPr>
            <w:r>
              <w:rPr>
                <w:rFonts w:ascii="宋体" w:hAnsi="宋体" w:cs="宋体" w:eastAsia="宋体" w:hint="default"/>
                <w:sz w:val="18"/>
                <w:szCs w:val="18"/>
              </w:rPr>
              <w:t>期末余 额</w:t>
            </w:r>
          </w:p>
        </w:tc>
      </w:tr>
      <w:tr>
        <w:trPr>
          <w:trHeight w:val="1650" w:hRule="exact"/>
        </w:trPr>
        <w:tc>
          <w:tcPr>
            <w:tcW w:w="2557" w:type="dxa"/>
            <w:vMerge/>
            <w:tcBorders>
              <w:left w:val="single" w:sz="4" w:space="0" w:color="000000"/>
              <w:bottom w:val="single" w:sz="4" w:space="0" w:color="000000"/>
              <w:right w:val="single" w:sz="4" w:space="0" w:color="000000"/>
            </w:tcBorders>
            <w:shd w:val="clear" w:color="auto" w:fill="D2D2D2"/>
          </w:tcPr>
          <w:p>
            <w:pPr/>
          </w:p>
        </w:tc>
        <w:tc>
          <w:tcPr>
            <w:tcW w:w="974" w:type="dxa"/>
            <w:vMerge/>
            <w:tcBorders>
              <w:left w:val="single" w:sz="4" w:space="0" w:color="000000"/>
              <w:bottom w:val="single" w:sz="4" w:space="0" w:color="000000"/>
              <w:right w:val="single" w:sz="4" w:space="0" w:color="000000"/>
            </w:tcBorders>
            <w:shd w:val="clear" w:color="auto" w:fill="D2D2D2"/>
          </w:tcPr>
          <w:p>
            <w:pP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60" w:right="59"/>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0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0"/>
              <w:jc w:val="center"/>
              <w:rPr>
                <w:rFonts w:ascii="宋体" w:hAnsi="宋体" w:cs="宋体" w:eastAsia="宋体" w:hint="default"/>
                <w:sz w:val="18"/>
                <w:szCs w:val="18"/>
              </w:rPr>
            </w:pPr>
            <w:r>
              <w:rPr>
                <w:rFonts w:ascii="宋体" w:hAnsi="宋体" w:cs="宋体" w:eastAsia="宋体" w:hint="default"/>
                <w:spacing w:val="-14"/>
                <w:sz w:val="18"/>
                <w:szCs w:val="18"/>
              </w:rPr>
              <w:t>减：前期计入</w:t>
            </w:r>
            <w:r>
              <w:rPr>
                <w:rFonts w:ascii="宋体" w:hAnsi="宋体" w:cs="宋体" w:eastAsia="宋体" w:hint="default"/>
                <w:sz w:val="18"/>
                <w:szCs w:val="18"/>
              </w:rPr>
              <w:t> 其他综合收 益当期转入 损益</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1" w:right="58"/>
              <w:jc w:val="both"/>
              <w:rPr>
                <w:rFonts w:ascii="宋体" w:hAnsi="宋体" w:cs="宋体" w:eastAsia="宋体" w:hint="default"/>
                <w:sz w:val="18"/>
                <w:szCs w:val="18"/>
              </w:rPr>
            </w:pPr>
            <w:r>
              <w:rPr>
                <w:rFonts w:ascii="宋体" w:hAnsi="宋体" w:cs="宋体" w:eastAsia="宋体" w:hint="default"/>
                <w:sz w:val="18"/>
                <w:szCs w:val="18"/>
              </w:rPr>
              <w:t>减：前期 计入其他 综合收益 当期转入 留存收益</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150" w:right="58" w:hanging="89"/>
              <w:jc w:val="left"/>
              <w:rPr>
                <w:rFonts w:ascii="宋体" w:hAnsi="宋体" w:cs="宋体" w:eastAsia="宋体" w:hint="default"/>
                <w:sz w:val="18"/>
                <w:szCs w:val="18"/>
              </w:rPr>
            </w:pPr>
            <w:r>
              <w:rPr>
                <w:rFonts w:ascii="宋体" w:hAnsi="宋体" w:cs="宋体" w:eastAsia="宋体" w:hint="default"/>
                <w:sz w:val="18"/>
                <w:szCs w:val="18"/>
              </w:rPr>
              <w:t>减：所得 税费用</w:t>
            </w:r>
          </w:p>
        </w:tc>
        <w:tc>
          <w:tcPr>
            <w:tcW w:w="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61" w:right="59"/>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60" w:right="59"/>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2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25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21"/>
              <w:jc w:val="left"/>
              <w:rPr>
                <w:rFonts w:ascii="宋体" w:hAnsi="宋体" w:cs="宋体" w:eastAsia="宋体" w:hint="default"/>
                <w:sz w:val="18"/>
                <w:szCs w:val="18"/>
              </w:rPr>
            </w:pPr>
            <w:r>
              <w:rPr>
                <w:rFonts w:ascii="宋体" w:hAnsi="宋体" w:cs="宋体" w:eastAsia="宋体" w:hint="default"/>
                <w:spacing w:val="-2"/>
                <w:sz w:val="18"/>
                <w:szCs w:val="18"/>
              </w:rPr>
              <w:t>一、不能重分类进损益的其他综</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合收益</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2" w:right="0"/>
              <w:jc w:val="left"/>
              <w:rPr>
                <w:rFonts w:ascii="Times New Roman" w:hAnsi="Times New Roman" w:cs="Times New Roman" w:eastAsia="Times New Roman" w:hint="default"/>
                <w:sz w:val="18"/>
                <w:szCs w:val="18"/>
              </w:rPr>
            </w:pPr>
            <w:r>
              <w:rPr>
                <w:rFonts w:ascii="Times New Roman"/>
                <w:sz w:val="18"/>
              </w:rPr>
              <w:t>-365,400,43</w:t>
            </w:r>
          </w:p>
          <w:p>
            <w:pPr>
              <w:pStyle w:val="TableParagraph"/>
              <w:spacing w:line="240" w:lineRule="auto" w:before="105"/>
              <w:ind w:left="626" w:right="0"/>
              <w:jc w:val="left"/>
              <w:rPr>
                <w:rFonts w:ascii="Times New Roman" w:hAnsi="Times New Roman" w:cs="Times New Roman" w:eastAsia="Times New Roman" w:hint="default"/>
                <w:sz w:val="18"/>
                <w:szCs w:val="18"/>
              </w:rPr>
            </w:pPr>
            <w:r>
              <w:rPr>
                <w:rFonts w:ascii="Times New Roman"/>
                <w:sz w:val="18"/>
              </w:rPr>
              <w:t>8.36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8" w:right="0"/>
              <w:jc w:val="left"/>
              <w:rPr>
                <w:rFonts w:ascii="Times New Roman" w:hAnsi="Times New Roman" w:cs="Times New Roman" w:eastAsia="Times New Roman" w:hint="default"/>
                <w:sz w:val="18"/>
                <w:szCs w:val="18"/>
              </w:rPr>
            </w:pPr>
            <w:r>
              <w:rPr>
                <w:rFonts w:ascii="Times New Roman"/>
                <w:sz w:val="18"/>
              </w:rPr>
              <w:t>108,003,6</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80.26</w:t>
            </w:r>
          </w:p>
        </w:tc>
        <w:tc>
          <w:tcPr>
            <w:tcW w:w="10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0" w:right="0"/>
              <w:jc w:val="left"/>
              <w:rPr>
                <w:rFonts w:ascii="Times New Roman" w:hAnsi="Times New Roman" w:cs="Times New Roman" w:eastAsia="Times New Roman" w:hint="default"/>
                <w:sz w:val="18"/>
                <w:szCs w:val="18"/>
              </w:rPr>
            </w:pPr>
            <w:r>
              <w:rPr>
                <w:rFonts w:ascii="Times New Roman"/>
                <w:sz w:val="18"/>
              </w:rPr>
              <w:t>16,292,64</w:t>
            </w:r>
          </w:p>
          <w:p>
            <w:pPr>
              <w:pStyle w:val="TableParagraph"/>
              <w:spacing w:line="240" w:lineRule="auto" w:before="105"/>
              <w:ind w:left="503" w:right="0"/>
              <w:jc w:val="left"/>
              <w:rPr>
                <w:rFonts w:ascii="Times New Roman" w:hAnsi="Times New Roman" w:cs="Times New Roman" w:eastAsia="Times New Roman" w:hint="default"/>
                <w:sz w:val="18"/>
                <w:szCs w:val="18"/>
              </w:rPr>
            </w:pPr>
            <w:r>
              <w:rPr>
                <w:rFonts w:ascii="Times New Roman"/>
                <w:sz w:val="18"/>
              </w:rPr>
              <w:t>4.04</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0" w:right="0"/>
              <w:jc w:val="left"/>
              <w:rPr>
                <w:rFonts w:ascii="Times New Roman" w:hAnsi="Times New Roman" w:cs="Times New Roman" w:eastAsia="Times New Roman" w:hint="default"/>
                <w:sz w:val="18"/>
                <w:szCs w:val="18"/>
              </w:rPr>
            </w:pPr>
            <w:r>
              <w:rPr>
                <w:rFonts w:ascii="Times New Roman"/>
                <w:sz w:val="18"/>
              </w:rPr>
              <w:t>91,711,03</w:t>
            </w:r>
          </w:p>
          <w:p>
            <w:pPr>
              <w:pStyle w:val="TableParagraph"/>
              <w:spacing w:line="240" w:lineRule="auto" w:before="105"/>
              <w:ind w:left="505" w:right="0"/>
              <w:jc w:val="left"/>
              <w:rPr>
                <w:rFonts w:ascii="Times New Roman" w:hAnsi="Times New Roman" w:cs="Times New Roman" w:eastAsia="Times New Roman" w:hint="default"/>
                <w:sz w:val="18"/>
                <w:szCs w:val="18"/>
              </w:rPr>
            </w:pPr>
            <w:r>
              <w:rPr>
                <w:rFonts w:ascii="Times New Roman"/>
                <w:sz w:val="18"/>
              </w:rPr>
              <w:t>6.22</w:t>
            </w:r>
          </w:p>
        </w:tc>
        <w:tc>
          <w:tcPr>
            <w:tcW w:w="852"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7" w:right="0"/>
              <w:jc w:val="center"/>
              <w:rPr>
                <w:rFonts w:ascii="Times New Roman" w:hAnsi="Times New Roman" w:cs="Times New Roman" w:eastAsia="Times New Roman" w:hint="default"/>
                <w:sz w:val="18"/>
                <w:szCs w:val="18"/>
              </w:rPr>
            </w:pPr>
            <w:r>
              <w:rPr>
                <w:rFonts w:ascii="Times New Roman"/>
                <w:sz w:val="18"/>
              </w:rPr>
              <w:t>-273,689</w:t>
            </w:r>
          </w:p>
          <w:p>
            <w:pPr>
              <w:pStyle w:val="TableParagraph"/>
              <w:spacing w:line="240" w:lineRule="auto" w:before="105"/>
              <w:ind w:left="128" w:right="0"/>
              <w:jc w:val="center"/>
              <w:rPr>
                <w:rFonts w:ascii="Times New Roman" w:hAnsi="Times New Roman" w:cs="Times New Roman" w:eastAsia="Times New Roman" w:hint="default"/>
                <w:sz w:val="18"/>
                <w:szCs w:val="18"/>
              </w:rPr>
            </w:pPr>
            <w:r>
              <w:rPr>
                <w:rFonts w:ascii="Times New Roman"/>
                <w:sz w:val="18"/>
              </w:rPr>
              <w:t>,402.14</w:t>
            </w:r>
          </w:p>
        </w:tc>
      </w:tr>
      <w:tr>
        <w:trPr>
          <w:trHeight w:val="714" w:hRule="exact"/>
        </w:trPr>
        <w:tc>
          <w:tcPr>
            <w:tcW w:w="25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2"/>
                <w:sz w:val="18"/>
                <w:szCs w:val="18"/>
              </w:rPr>
              <w:t>其中：重新计量设定受益计划变</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动额</w:t>
            </w:r>
          </w:p>
        </w:tc>
        <w:tc>
          <w:tcPr>
            <w:tcW w:w="974"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r>
      <w:tr>
        <w:trPr>
          <w:trHeight w:val="712" w:hRule="exact"/>
        </w:trPr>
        <w:tc>
          <w:tcPr>
            <w:tcW w:w="25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182" w:firstLine="540"/>
              <w:jc w:val="left"/>
              <w:rPr>
                <w:rFonts w:ascii="宋体" w:hAnsi="宋体" w:cs="宋体" w:eastAsia="宋体" w:hint="default"/>
                <w:sz w:val="18"/>
                <w:szCs w:val="18"/>
              </w:rPr>
            </w:pPr>
            <w:r>
              <w:rPr>
                <w:rFonts w:ascii="宋体" w:hAnsi="宋体" w:cs="宋体" w:eastAsia="宋体" w:hint="default"/>
                <w:sz w:val="18"/>
                <w:szCs w:val="18"/>
              </w:rPr>
              <w:t>权益法下不能转损益的 其他综合收益</w:t>
            </w:r>
          </w:p>
        </w:tc>
        <w:tc>
          <w:tcPr>
            <w:tcW w:w="974"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8" w:footer="978" w:top="1100" w:bottom="1160" w:left="1020" w:right="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2557"/>
        <w:gridCol w:w="974"/>
        <w:gridCol w:w="852"/>
        <w:gridCol w:w="1050"/>
        <w:gridCol w:w="852"/>
        <w:gridCol w:w="852"/>
        <w:gridCol w:w="853"/>
        <w:gridCol w:w="852"/>
        <w:gridCol w:w="726"/>
      </w:tblGrid>
      <w:tr>
        <w:trPr>
          <w:trHeight w:val="714" w:hRule="exact"/>
        </w:trPr>
        <w:tc>
          <w:tcPr>
            <w:tcW w:w="25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182" w:firstLine="540"/>
              <w:jc w:val="left"/>
              <w:rPr>
                <w:rFonts w:ascii="宋体" w:hAnsi="宋体" w:cs="宋体" w:eastAsia="宋体" w:hint="default"/>
                <w:sz w:val="18"/>
                <w:szCs w:val="18"/>
              </w:rPr>
            </w:pPr>
            <w:r>
              <w:rPr>
                <w:rFonts w:ascii="宋体" w:hAnsi="宋体" w:cs="宋体" w:eastAsia="宋体" w:hint="default"/>
                <w:sz w:val="18"/>
                <w:szCs w:val="18"/>
              </w:rPr>
              <w:t>其他权益工具投资公允 价值变动</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2" w:right="0"/>
              <w:jc w:val="left"/>
              <w:rPr>
                <w:rFonts w:ascii="Times New Roman" w:hAnsi="Times New Roman" w:cs="Times New Roman" w:eastAsia="Times New Roman" w:hint="default"/>
                <w:sz w:val="18"/>
                <w:szCs w:val="18"/>
              </w:rPr>
            </w:pPr>
            <w:r>
              <w:rPr>
                <w:rFonts w:ascii="Times New Roman"/>
                <w:sz w:val="18"/>
              </w:rPr>
              <w:t>-365,400,43</w:t>
            </w:r>
          </w:p>
          <w:p>
            <w:pPr>
              <w:pStyle w:val="TableParagraph"/>
              <w:spacing w:line="240" w:lineRule="auto" w:before="105"/>
              <w:ind w:left="626" w:right="0"/>
              <w:jc w:val="left"/>
              <w:rPr>
                <w:rFonts w:ascii="Times New Roman" w:hAnsi="Times New Roman" w:cs="Times New Roman" w:eastAsia="Times New Roman" w:hint="default"/>
                <w:sz w:val="18"/>
                <w:szCs w:val="18"/>
              </w:rPr>
            </w:pPr>
            <w:r>
              <w:rPr>
                <w:rFonts w:ascii="Times New Roman"/>
                <w:sz w:val="18"/>
              </w:rPr>
              <w:t>8.36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8" w:right="0"/>
              <w:jc w:val="left"/>
              <w:rPr>
                <w:rFonts w:ascii="Times New Roman" w:hAnsi="Times New Roman" w:cs="Times New Roman" w:eastAsia="Times New Roman" w:hint="default"/>
                <w:sz w:val="18"/>
                <w:szCs w:val="18"/>
              </w:rPr>
            </w:pPr>
            <w:r>
              <w:rPr>
                <w:rFonts w:ascii="Times New Roman"/>
                <w:sz w:val="18"/>
              </w:rPr>
              <w:t>108,003,6</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80.26</w:t>
            </w:r>
          </w:p>
        </w:tc>
        <w:tc>
          <w:tcPr>
            <w:tcW w:w="10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0" w:right="0"/>
              <w:jc w:val="left"/>
              <w:rPr>
                <w:rFonts w:ascii="Times New Roman" w:hAnsi="Times New Roman" w:cs="Times New Roman" w:eastAsia="Times New Roman" w:hint="default"/>
                <w:sz w:val="18"/>
                <w:szCs w:val="18"/>
              </w:rPr>
            </w:pPr>
            <w:r>
              <w:rPr>
                <w:rFonts w:ascii="Times New Roman"/>
                <w:sz w:val="18"/>
              </w:rPr>
              <w:t>16,292,64</w:t>
            </w:r>
          </w:p>
          <w:p>
            <w:pPr>
              <w:pStyle w:val="TableParagraph"/>
              <w:spacing w:line="240" w:lineRule="auto" w:before="105"/>
              <w:ind w:left="503" w:right="0"/>
              <w:jc w:val="left"/>
              <w:rPr>
                <w:rFonts w:ascii="Times New Roman" w:hAnsi="Times New Roman" w:cs="Times New Roman" w:eastAsia="Times New Roman" w:hint="default"/>
                <w:sz w:val="18"/>
                <w:szCs w:val="18"/>
              </w:rPr>
            </w:pPr>
            <w:r>
              <w:rPr>
                <w:rFonts w:ascii="Times New Roman"/>
                <w:sz w:val="18"/>
              </w:rPr>
              <w:t>4.04</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0" w:right="0"/>
              <w:jc w:val="left"/>
              <w:rPr>
                <w:rFonts w:ascii="Times New Roman" w:hAnsi="Times New Roman" w:cs="Times New Roman" w:eastAsia="Times New Roman" w:hint="default"/>
                <w:sz w:val="18"/>
                <w:szCs w:val="18"/>
              </w:rPr>
            </w:pPr>
            <w:r>
              <w:rPr>
                <w:rFonts w:ascii="Times New Roman"/>
                <w:sz w:val="18"/>
              </w:rPr>
              <w:t>91,711,03</w:t>
            </w:r>
          </w:p>
          <w:p>
            <w:pPr>
              <w:pStyle w:val="TableParagraph"/>
              <w:spacing w:line="240" w:lineRule="auto" w:before="105"/>
              <w:ind w:left="505" w:right="0"/>
              <w:jc w:val="left"/>
              <w:rPr>
                <w:rFonts w:ascii="Times New Roman" w:hAnsi="Times New Roman" w:cs="Times New Roman" w:eastAsia="Times New Roman" w:hint="default"/>
                <w:sz w:val="18"/>
                <w:szCs w:val="18"/>
              </w:rPr>
            </w:pPr>
            <w:r>
              <w:rPr>
                <w:rFonts w:ascii="Times New Roman"/>
                <w:sz w:val="18"/>
              </w:rPr>
              <w:t>6.22</w:t>
            </w:r>
          </w:p>
        </w:tc>
        <w:tc>
          <w:tcPr>
            <w:tcW w:w="852"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7" w:right="0"/>
              <w:jc w:val="center"/>
              <w:rPr>
                <w:rFonts w:ascii="Times New Roman" w:hAnsi="Times New Roman" w:cs="Times New Roman" w:eastAsia="Times New Roman" w:hint="default"/>
                <w:sz w:val="18"/>
                <w:szCs w:val="18"/>
              </w:rPr>
            </w:pPr>
            <w:r>
              <w:rPr>
                <w:rFonts w:ascii="Times New Roman"/>
                <w:sz w:val="18"/>
              </w:rPr>
              <w:t>-273,689</w:t>
            </w:r>
          </w:p>
          <w:p>
            <w:pPr>
              <w:pStyle w:val="TableParagraph"/>
              <w:spacing w:line="240" w:lineRule="auto" w:before="105"/>
              <w:ind w:left="128" w:right="0"/>
              <w:jc w:val="center"/>
              <w:rPr>
                <w:rFonts w:ascii="Times New Roman" w:hAnsi="Times New Roman" w:cs="Times New Roman" w:eastAsia="Times New Roman" w:hint="default"/>
                <w:sz w:val="18"/>
                <w:szCs w:val="18"/>
              </w:rPr>
            </w:pPr>
            <w:r>
              <w:rPr>
                <w:rFonts w:ascii="Times New Roman"/>
                <w:sz w:val="18"/>
              </w:rPr>
              <w:t>,402.14</w:t>
            </w:r>
          </w:p>
        </w:tc>
      </w:tr>
      <w:tr>
        <w:trPr>
          <w:trHeight w:val="714" w:hRule="exact"/>
        </w:trPr>
        <w:tc>
          <w:tcPr>
            <w:tcW w:w="25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82" w:firstLine="540"/>
              <w:jc w:val="left"/>
              <w:rPr>
                <w:rFonts w:ascii="宋体" w:hAnsi="宋体" w:cs="宋体" w:eastAsia="宋体" w:hint="default"/>
                <w:sz w:val="18"/>
                <w:szCs w:val="18"/>
              </w:rPr>
            </w:pPr>
            <w:r>
              <w:rPr>
                <w:rFonts w:ascii="宋体" w:hAnsi="宋体" w:cs="宋体" w:eastAsia="宋体" w:hint="default"/>
                <w:sz w:val="18"/>
                <w:szCs w:val="18"/>
              </w:rPr>
              <w:t>企业自身信用风险公允 价值变动</w:t>
            </w:r>
          </w:p>
        </w:tc>
        <w:tc>
          <w:tcPr>
            <w:tcW w:w="974"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5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21"/>
              <w:jc w:val="left"/>
              <w:rPr>
                <w:rFonts w:ascii="宋体" w:hAnsi="宋体" w:cs="宋体" w:eastAsia="宋体" w:hint="default"/>
                <w:sz w:val="18"/>
                <w:szCs w:val="18"/>
              </w:rPr>
            </w:pPr>
            <w:r>
              <w:rPr>
                <w:rFonts w:ascii="宋体" w:hAnsi="宋体" w:cs="宋体" w:eastAsia="宋体" w:hint="default"/>
                <w:spacing w:val="-2"/>
                <w:sz w:val="18"/>
                <w:szCs w:val="18"/>
              </w:rPr>
              <w:t>二、将重分类进损益的其他综合</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收益</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-2,879,238.2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2,129,333.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52</w:t>
            </w:r>
          </w:p>
        </w:tc>
        <w:tc>
          <w:tcPr>
            <w:tcW w:w="10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2,129,333.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52</w:t>
            </w:r>
          </w:p>
        </w:tc>
        <w:tc>
          <w:tcPr>
            <w:tcW w:w="852"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8" w:right="0"/>
              <w:jc w:val="left"/>
              <w:rPr>
                <w:rFonts w:ascii="Times New Roman" w:hAnsi="Times New Roman" w:cs="Times New Roman" w:eastAsia="Times New Roman" w:hint="default"/>
                <w:sz w:val="18"/>
                <w:szCs w:val="18"/>
              </w:rPr>
            </w:pPr>
            <w:r>
              <w:rPr>
                <w:rFonts w:ascii="Times New Roman"/>
                <w:sz w:val="18"/>
              </w:rPr>
              <w:t>-749,904</w:t>
            </w:r>
          </w:p>
          <w:p>
            <w:pPr>
              <w:pStyle w:val="TableParagraph"/>
              <w:spacing w:line="240" w:lineRule="auto" w:before="105"/>
              <w:ind w:left="468" w:right="0"/>
              <w:jc w:val="left"/>
              <w:rPr>
                <w:rFonts w:ascii="Times New Roman" w:hAnsi="Times New Roman" w:cs="Times New Roman" w:eastAsia="Times New Roman" w:hint="default"/>
                <w:sz w:val="18"/>
                <w:szCs w:val="18"/>
              </w:rPr>
            </w:pPr>
            <w:r>
              <w:rPr>
                <w:rFonts w:ascii="Times New Roman"/>
                <w:sz w:val="18"/>
              </w:rPr>
              <w:t>.71</w:t>
            </w:r>
          </w:p>
        </w:tc>
      </w:tr>
      <w:tr>
        <w:trPr>
          <w:trHeight w:val="714" w:hRule="exact"/>
        </w:trPr>
        <w:tc>
          <w:tcPr>
            <w:tcW w:w="25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2"/>
                <w:sz w:val="18"/>
                <w:szCs w:val="18"/>
              </w:rPr>
              <w:t>其中：权益法下可转损益的其他</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综合收益</w:t>
            </w:r>
          </w:p>
        </w:tc>
        <w:tc>
          <w:tcPr>
            <w:tcW w:w="974"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90" w:right="0"/>
              <w:jc w:val="left"/>
              <w:rPr>
                <w:rFonts w:ascii="Times New Roman" w:hAnsi="Times New Roman" w:cs="Times New Roman" w:eastAsia="Times New Roman" w:hint="default"/>
                <w:sz w:val="18"/>
                <w:szCs w:val="18"/>
              </w:rPr>
            </w:pPr>
            <w:r>
              <w:rPr>
                <w:rFonts w:ascii="Times New Roman"/>
                <w:sz w:val="18"/>
              </w:rPr>
              <w:t>4,128.91</w:t>
            </w:r>
          </w:p>
        </w:tc>
        <w:tc>
          <w:tcPr>
            <w:tcW w:w="10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88" w:right="0"/>
              <w:jc w:val="left"/>
              <w:rPr>
                <w:rFonts w:ascii="Times New Roman" w:hAnsi="Times New Roman" w:cs="Times New Roman" w:eastAsia="Times New Roman" w:hint="default"/>
                <w:sz w:val="18"/>
                <w:szCs w:val="18"/>
              </w:rPr>
            </w:pPr>
            <w:r>
              <w:rPr>
                <w:rFonts w:ascii="Times New Roman"/>
                <w:sz w:val="18"/>
              </w:rPr>
              <w:t>4,128.91</w:t>
            </w:r>
          </w:p>
        </w:tc>
        <w:tc>
          <w:tcPr>
            <w:tcW w:w="852"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4,128.91</w:t>
            </w:r>
          </w:p>
        </w:tc>
      </w:tr>
      <w:tr>
        <w:trPr>
          <w:trHeight w:val="714" w:hRule="exact"/>
        </w:trPr>
        <w:tc>
          <w:tcPr>
            <w:tcW w:w="25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2" w:right="0"/>
              <w:jc w:val="left"/>
              <w:rPr>
                <w:rFonts w:ascii="宋体" w:hAnsi="宋体" w:cs="宋体" w:eastAsia="宋体" w:hint="default"/>
                <w:sz w:val="18"/>
                <w:szCs w:val="18"/>
              </w:rPr>
            </w:pPr>
            <w:r>
              <w:rPr>
                <w:rFonts w:ascii="宋体" w:hAnsi="宋体" w:cs="宋体" w:eastAsia="宋体" w:hint="default"/>
                <w:sz w:val="18"/>
                <w:szCs w:val="18"/>
              </w:rPr>
              <w:t>其他债权投资公允价值</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变动</w:t>
            </w:r>
          </w:p>
        </w:tc>
        <w:tc>
          <w:tcPr>
            <w:tcW w:w="974"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5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82" w:firstLine="540"/>
              <w:jc w:val="left"/>
              <w:rPr>
                <w:rFonts w:ascii="宋体" w:hAnsi="宋体" w:cs="宋体" w:eastAsia="宋体" w:hint="default"/>
                <w:sz w:val="18"/>
                <w:szCs w:val="18"/>
              </w:rPr>
            </w:pPr>
            <w:r>
              <w:rPr>
                <w:rFonts w:ascii="宋体" w:hAnsi="宋体" w:cs="宋体" w:eastAsia="宋体" w:hint="default"/>
                <w:sz w:val="18"/>
                <w:szCs w:val="18"/>
              </w:rPr>
              <w:t>金融资产重分类计入其 他综合收益的金额</w:t>
            </w:r>
          </w:p>
        </w:tc>
        <w:tc>
          <w:tcPr>
            <w:tcW w:w="974"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5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2" w:right="0"/>
              <w:jc w:val="left"/>
              <w:rPr>
                <w:rFonts w:ascii="宋体" w:hAnsi="宋体" w:cs="宋体" w:eastAsia="宋体" w:hint="default"/>
                <w:sz w:val="18"/>
                <w:szCs w:val="18"/>
              </w:rPr>
            </w:pPr>
            <w:r>
              <w:rPr>
                <w:rFonts w:ascii="宋体" w:hAnsi="宋体" w:cs="宋体" w:eastAsia="宋体" w:hint="default"/>
                <w:sz w:val="18"/>
                <w:szCs w:val="18"/>
              </w:rPr>
              <w:t>其他债权投资信用减值</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准备</w:t>
            </w:r>
          </w:p>
        </w:tc>
        <w:tc>
          <w:tcPr>
            <w:tcW w:w="974"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现金流量套期储备</w:t>
            </w:r>
          </w:p>
        </w:tc>
        <w:tc>
          <w:tcPr>
            <w:tcW w:w="974"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5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62"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-2,879,238.2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2,125,204.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61</w:t>
            </w:r>
          </w:p>
        </w:tc>
        <w:tc>
          <w:tcPr>
            <w:tcW w:w="10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2,125,204.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61</w:t>
            </w:r>
          </w:p>
        </w:tc>
        <w:tc>
          <w:tcPr>
            <w:tcW w:w="852"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8" w:right="0"/>
              <w:jc w:val="left"/>
              <w:rPr>
                <w:rFonts w:ascii="Times New Roman" w:hAnsi="Times New Roman" w:cs="Times New Roman" w:eastAsia="Times New Roman" w:hint="default"/>
                <w:sz w:val="18"/>
                <w:szCs w:val="18"/>
              </w:rPr>
            </w:pPr>
            <w:r>
              <w:rPr>
                <w:rFonts w:ascii="Times New Roman"/>
                <w:sz w:val="18"/>
              </w:rPr>
              <w:t>-754,033</w:t>
            </w:r>
          </w:p>
          <w:p>
            <w:pPr>
              <w:pStyle w:val="TableParagraph"/>
              <w:spacing w:line="240" w:lineRule="auto" w:before="105"/>
              <w:ind w:left="468" w:right="0"/>
              <w:jc w:val="left"/>
              <w:rPr>
                <w:rFonts w:ascii="Times New Roman" w:hAnsi="Times New Roman" w:cs="Times New Roman" w:eastAsia="Times New Roman" w:hint="default"/>
                <w:sz w:val="18"/>
                <w:szCs w:val="18"/>
              </w:rPr>
            </w:pPr>
            <w:r>
              <w:rPr>
                <w:rFonts w:ascii="Times New Roman"/>
                <w:sz w:val="18"/>
              </w:rPr>
              <w:t>.62</w:t>
            </w:r>
          </w:p>
        </w:tc>
      </w:tr>
      <w:tr>
        <w:trPr>
          <w:trHeight w:val="714" w:hRule="exact"/>
        </w:trPr>
        <w:tc>
          <w:tcPr>
            <w:tcW w:w="25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2" w:right="0"/>
              <w:jc w:val="left"/>
              <w:rPr>
                <w:rFonts w:ascii="Times New Roman" w:hAnsi="Times New Roman" w:cs="Times New Roman" w:eastAsia="Times New Roman" w:hint="default"/>
                <w:sz w:val="18"/>
                <w:szCs w:val="18"/>
              </w:rPr>
            </w:pPr>
            <w:r>
              <w:rPr>
                <w:rFonts w:ascii="Times New Roman"/>
                <w:sz w:val="18"/>
              </w:rPr>
              <w:t>-368,279,67</w:t>
            </w:r>
          </w:p>
          <w:p>
            <w:pPr>
              <w:pStyle w:val="TableParagraph"/>
              <w:spacing w:line="240" w:lineRule="auto" w:before="105"/>
              <w:ind w:left="626" w:right="0"/>
              <w:jc w:val="left"/>
              <w:rPr>
                <w:rFonts w:ascii="Times New Roman" w:hAnsi="Times New Roman" w:cs="Times New Roman" w:eastAsia="Times New Roman" w:hint="default"/>
                <w:sz w:val="18"/>
                <w:szCs w:val="18"/>
              </w:rPr>
            </w:pPr>
            <w:r>
              <w:rPr>
                <w:rFonts w:ascii="Times New Roman"/>
                <w:sz w:val="18"/>
              </w:rPr>
              <w:t>6.59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8" w:right="0"/>
              <w:jc w:val="left"/>
              <w:rPr>
                <w:rFonts w:ascii="Times New Roman" w:hAnsi="Times New Roman" w:cs="Times New Roman" w:eastAsia="Times New Roman" w:hint="default"/>
                <w:sz w:val="18"/>
                <w:szCs w:val="18"/>
              </w:rPr>
            </w:pPr>
            <w:r>
              <w:rPr>
                <w:rFonts w:ascii="Times New Roman"/>
                <w:sz w:val="18"/>
              </w:rPr>
              <w:t>110,133,0</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13.78</w:t>
            </w:r>
          </w:p>
        </w:tc>
        <w:tc>
          <w:tcPr>
            <w:tcW w:w="10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0" w:right="0"/>
              <w:jc w:val="left"/>
              <w:rPr>
                <w:rFonts w:ascii="Times New Roman" w:hAnsi="Times New Roman" w:cs="Times New Roman" w:eastAsia="Times New Roman" w:hint="default"/>
                <w:sz w:val="18"/>
                <w:szCs w:val="18"/>
              </w:rPr>
            </w:pPr>
            <w:r>
              <w:rPr>
                <w:rFonts w:ascii="Times New Roman"/>
                <w:sz w:val="18"/>
              </w:rPr>
              <w:t>16,292,64</w:t>
            </w:r>
          </w:p>
          <w:p>
            <w:pPr>
              <w:pStyle w:val="TableParagraph"/>
              <w:spacing w:line="240" w:lineRule="auto" w:before="105"/>
              <w:ind w:left="503" w:right="0"/>
              <w:jc w:val="left"/>
              <w:rPr>
                <w:rFonts w:ascii="Times New Roman" w:hAnsi="Times New Roman" w:cs="Times New Roman" w:eastAsia="Times New Roman" w:hint="default"/>
                <w:sz w:val="18"/>
                <w:szCs w:val="18"/>
              </w:rPr>
            </w:pPr>
            <w:r>
              <w:rPr>
                <w:rFonts w:ascii="Times New Roman"/>
                <w:sz w:val="18"/>
              </w:rPr>
              <w:t>4.04</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0" w:right="0"/>
              <w:jc w:val="left"/>
              <w:rPr>
                <w:rFonts w:ascii="Times New Roman" w:hAnsi="Times New Roman" w:cs="Times New Roman" w:eastAsia="Times New Roman" w:hint="default"/>
                <w:sz w:val="18"/>
                <w:szCs w:val="18"/>
              </w:rPr>
            </w:pPr>
            <w:r>
              <w:rPr>
                <w:rFonts w:ascii="Times New Roman"/>
                <w:sz w:val="18"/>
              </w:rPr>
              <w:t>93,840,36</w:t>
            </w:r>
          </w:p>
          <w:p>
            <w:pPr>
              <w:pStyle w:val="TableParagraph"/>
              <w:spacing w:line="240" w:lineRule="auto" w:before="105"/>
              <w:ind w:left="505" w:right="0"/>
              <w:jc w:val="left"/>
              <w:rPr>
                <w:rFonts w:ascii="Times New Roman" w:hAnsi="Times New Roman" w:cs="Times New Roman" w:eastAsia="Times New Roman" w:hint="default"/>
                <w:sz w:val="18"/>
                <w:szCs w:val="18"/>
              </w:rPr>
            </w:pPr>
            <w:r>
              <w:rPr>
                <w:rFonts w:ascii="Times New Roman"/>
                <w:sz w:val="18"/>
              </w:rPr>
              <w:t>9.74</w:t>
            </w:r>
          </w:p>
        </w:tc>
        <w:tc>
          <w:tcPr>
            <w:tcW w:w="852"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7" w:right="0"/>
              <w:jc w:val="center"/>
              <w:rPr>
                <w:rFonts w:ascii="Times New Roman" w:hAnsi="Times New Roman" w:cs="Times New Roman" w:eastAsia="Times New Roman" w:hint="default"/>
                <w:sz w:val="18"/>
                <w:szCs w:val="18"/>
              </w:rPr>
            </w:pPr>
            <w:r>
              <w:rPr>
                <w:rFonts w:ascii="Times New Roman"/>
                <w:sz w:val="18"/>
              </w:rPr>
              <w:t>-274,439</w:t>
            </w:r>
          </w:p>
          <w:p>
            <w:pPr>
              <w:pStyle w:val="TableParagraph"/>
              <w:spacing w:line="240" w:lineRule="auto" w:before="105"/>
              <w:ind w:left="128" w:right="0"/>
              <w:jc w:val="center"/>
              <w:rPr>
                <w:rFonts w:ascii="Times New Roman" w:hAnsi="Times New Roman" w:cs="Times New Roman" w:eastAsia="Times New Roman" w:hint="default"/>
                <w:sz w:val="18"/>
                <w:szCs w:val="18"/>
              </w:rPr>
            </w:pPr>
            <w:r>
              <w:rPr>
                <w:rFonts w:ascii="Times New Roman"/>
                <w:sz w:val="18"/>
              </w:rPr>
              <w:t>,306.85</w:t>
            </w:r>
          </w:p>
        </w:tc>
      </w:tr>
    </w:tbl>
    <w:p>
      <w:pPr>
        <w:spacing w:line="240" w:lineRule="auto" w:before="3"/>
        <w:rPr>
          <w:rFonts w:ascii="宋体" w:hAnsi="宋体" w:cs="宋体" w:eastAsia="宋体" w:hint="default"/>
          <w:sz w:val="19"/>
          <w:szCs w:val="19"/>
        </w:rPr>
      </w:pPr>
    </w:p>
    <w:p>
      <w:pPr>
        <w:pStyle w:val="Heading3"/>
        <w:spacing w:line="240" w:lineRule="auto"/>
        <w:ind w:right="1394"/>
        <w:jc w:val="left"/>
        <w:rPr>
          <w:b w:val="0"/>
          <w:bCs w:val="0"/>
        </w:rPr>
      </w:pPr>
      <w:bookmarkStart w:name="34、盈余公积" w:id="306"/>
      <w:bookmarkEnd w:id="306"/>
      <w:r>
        <w:rPr>
          <w:b w:val="0"/>
          <w:bCs w:val="0"/>
        </w:rPr>
      </w:r>
      <w:r>
        <w:rPr>
          <w:rFonts w:ascii="Times New Roman" w:hAnsi="Times New Roman" w:cs="Times New Roman" w:eastAsia="Times New Roman" w:hint="default"/>
        </w:rPr>
        <w:t>34</w:t>
      </w:r>
      <w:r>
        <w:rPr/>
        <w:t>、盈余公积</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628,593,583.41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53,665,918.93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682,259,502.34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628,593,583.41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53,665,918.93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682,259,502.34</w:t>
            </w:r>
          </w:p>
        </w:tc>
      </w:tr>
    </w:tbl>
    <w:p>
      <w:pPr>
        <w:spacing w:line="240" w:lineRule="auto" w:before="4"/>
        <w:rPr>
          <w:rFonts w:ascii="宋体" w:hAnsi="宋体" w:cs="宋体" w:eastAsia="宋体" w:hint="default"/>
          <w:sz w:val="19"/>
          <w:szCs w:val="19"/>
        </w:rPr>
      </w:pPr>
    </w:p>
    <w:p>
      <w:pPr>
        <w:pStyle w:val="Heading3"/>
        <w:spacing w:line="240" w:lineRule="auto"/>
        <w:ind w:right="1394"/>
        <w:jc w:val="left"/>
        <w:rPr>
          <w:b w:val="0"/>
          <w:bCs w:val="0"/>
        </w:rPr>
      </w:pPr>
      <w:bookmarkStart w:name="35、未分配利润" w:id="307"/>
      <w:bookmarkEnd w:id="307"/>
      <w:r>
        <w:rPr>
          <w:b w:val="0"/>
          <w:bCs w:val="0"/>
        </w:rPr>
      </w:r>
      <w:r>
        <w:rPr>
          <w:rFonts w:ascii="Times New Roman" w:hAnsi="Times New Roman" w:cs="Times New Roman" w:eastAsia="Times New Roman" w:hint="default"/>
        </w:rPr>
        <w:t>35</w:t>
      </w:r>
      <w:r>
        <w:rPr/>
        <w:t>、未分配利润</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725"/>
        <w:gridCol w:w="2924"/>
        <w:gridCol w:w="2918"/>
      </w:tblGrid>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3,812,670,503.86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3,641,664,705.24</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调整期初未分配利润合计数（调增</w:t>
            </w:r>
            <w:r>
              <w:rPr>
                <w:rFonts w:ascii="Times New Roman" w:hAnsi="Times New Roman" w:cs="Times New Roman" w:eastAsia="Times New Roman" w:hint="default"/>
                <w:sz w:val="18"/>
                <w:szCs w:val="18"/>
              </w:rPr>
              <w:t>+</w:t>
            </w:r>
            <w:r>
              <w:rPr>
                <w:rFonts w:ascii="宋体" w:hAnsi="宋体" w:cs="宋体" w:eastAsia="宋体" w:hint="default"/>
                <w:sz w:val="18"/>
                <w:szCs w:val="18"/>
              </w:rPr>
              <w:t>，调减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24" w:type="dxa"/>
            <w:tcBorders>
              <w:top w:val="single" w:sz="4" w:space="0" w:color="000000"/>
              <w:left w:val="single" w:sz="4" w:space="0" w:color="000000"/>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3,812,670,503.86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3,641,664,705.24</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757,975,682.12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670,297,043.52</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53,665,918.93</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13,514,099.90</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提取任意盈余公积</w:t>
            </w:r>
          </w:p>
        </w:tc>
        <w:tc>
          <w:tcPr>
            <w:tcW w:w="2924" w:type="dxa"/>
            <w:tcBorders>
              <w:top w:val="single" w:sz="4" w:space="0" w:color="000000"/>
              <w:left w:val="single" w:sz="4" w:space="0" w:color="000000"/>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提取一般风险准备</w:t>
            </w:r>
          </w:p>
        </w:tc>
        <w:tc>
          <w:tcPr>
            <w:tcW w:w="2924" w:type="dxa"/>
            <w:tcBorders>
              <w:top w:val="single" w:sz="4" w:space="0" w:color="000000"/>
              <w:left w:val="single" w:sz="4" w:space="0" w:color="000000"/>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8" w:footer="978" w:top="1100" w:bottom="1160" w:left="1020" w:right="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3725"/>
        <w:gridCol w:w="2924"/>
        <w:gridCol w:w="2918"/>
      </w:tblGrid>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289,079,274.12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485,777,145.00</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转作股本的普通股股利</w:t>
            </w:r>
          </w:p>
        </w:tc>
        <w:tc>
          <w:tcPr>
            <w:tcW w:w="2924" w:type="dxa"/>
            <w:tcBorders>
              <w:top w:val="single" w:sz="4" w:space="0" w:color="000000"/>
              <w:left w:val="single" w:sz="4" w:space="0" w:color="000000"/>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4,227,900,992.93</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3,812,670,503.86</w:t>
            </w:r>
          </w:p>
        </w:tc>
      </w:tr>
    </w:tbl>
    <w:p>
      <w:pPr>
        <w:spacing w:line="240" w:lineRule="auto" w:before="4"/>
        <w:rPr>
          <w:rFonts w:ascii="宋体" w:hAnsi="宋体" w:cs="宋体" w:eastAsia="宋体" w:hint="default"/>
          <w:sz w:val="19"/>
          <w:szCs w:val="19"/>
        </w:rPr>
      </w:pPr>
    </w:p>
    <w:p>
      <w:pPr>
        <w:pStyle w:val="Heading3"/>
        <w:spacing w:line="240" w:lineRule="auto"/>
        <w:ind w:right="1394"/>
        <w:jc w:val="left"/>
        <w:rPr>
          <w:b w:val="0"/>
          <w:bCs w:val="0"/>
        </w:rPr>
      </w:pPr>
      <w:bookmarkStart w:name="36、营业收入和营业成本" w:id="308"/>
      <w:bookmarkEnd w:id="308"/>
      <w:r>
        <w:rPr>
          <w:b w:val="0"/>
          <w:bCs w:val="0"/>
        </w:rPr>
      </w:r>
      <w:r>
        <w:rPr>
          <w:rFonts w:ascii="Times New Roman" w:hAnsi="Times New Roman" w:cs="Times New Roman" w:eastAsia="Times New Roman" w:hint="default"/>
        </w:rPr>
        <w:t>36</w:t>
      </w:r>
      <w:r>
        <w:rPr/>
        <w:t>、营业收入和营业成本</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6,490,361,612.66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3,961,203,906.85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5,458,981,768.73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3,199,915,232.35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5,903,484.18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2,576,467.49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6,496,265,096.84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3,963,780,374.34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5,458,981,768.73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3,199,915,232.35</w:t>
            </w:r>
          </w:p>
        </w:tc>
      </w:tr>
    </w:tbl>
    <w:p>
      <w:pPr>
        <w:spacing w:line="240" w:lineRule="auto" w:before="5"/>
        <w:rPr>
          <w:rFonts w:ascii="宋体" w:hAnsi="宋体" w:cs="宋体" w:eastAsia="宋体" w:hint="default"/>
          <w:sz w:val="19"/>
          <w:szCs w:val="19"/>
        </w:rPr>
      </w:pPr>
    </w:p>
    <w:p>
      <w:pPr>
        <w:pStyle w:val="Heading3"/>
        <w:spacing w:line="240" w:lineRule="auto"/>
        <w:ind w:right="1394"/>
        <w:jc w:val="left"/>
        <w:rPr>
          <w:b w:val="0"/>
          <w:bCs w:val="0"/>
        </w:rPr>
      </w:pPr>
      <w:bookmarkStart w:name="37、税金及附加" w:id="309"/>
      <w:bookmarkEnd w:id="309"/>
      <w:r>
        <w:rPr>
          <w:b w:val="0"/>
          <w:bCs w:val="0"/>
        </w:rPr>
      </w:r>
      <w:r>
        <w:rPr>
          <w:rFonts w:ascii="Times New Roman" w:hAnsi="Times New Roman" w:cs="Times New Roman" w:eastAsia="Times New Roman" w:hint="default"/>
        </w:rPr>
        <w:t>37</w:t>
      </w:r>
      <w:r>
        <w:rPr/>
        <w:t>、税金及附加</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18,917,778.68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16,659,566.90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8,249,105.79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7,262,373.89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7,400,563.04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7,833,317.22</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979,700.79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1,194,387.19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408,809.57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401,876.52</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4,591,300.23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3,744,513.44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土地增值税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1,984,986.30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2,652,190.97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堤围防护费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284,861.74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247,672.84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5,408,438.24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4,765,343.83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32,224.42</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环境保护税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17,524.21</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文化事业建设费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97,997.12</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48,341,065.71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44,793,467.22</w:t>
            </w:r>
          </w:p>
        </w:tc>
      </w:tr>
    </w:tbl>
    <w:p>
      <w:pPr>
        <w:spacing w:line="240" w:lineRule="auto" w:before="3"/>
        <w:rPr>
          <w:rFonts w:ascii="宋体" w:hAnsi="宋体" w:cs="宋体" w:eastAsia="宋体" w:hint="default"/>
          <w:sz w:val="19"/>
          <w:szCs w:val="19"/>
        </w:rPr>
      </w:pPr>
    </w:p>
    <w:p>
      <w:pPr>
        <w:pStyle w:val="Heading3"/>
        <w:spacing w:line="240" w:lineRule="auto"/>
        <w:ind w:right="1394"/>
        <w:jc w:val="left"/>
        <w:rPr>
          <w:b w:val="0"/>
          <w:bCs w:val="0"/>
        </w:rPr>
      </w:pPr>
      <w:bookmarkStart w:name="38、销售费用" w:id="310"/>
      <w:bookmarkEnd w:id="310"/>
      <w:r>
        <w:rPr>
          <w:b w:val="0"/>
          <w:bCs w:val="0"/>
        </w:rPr>
      </w:r>
      <w:r>
        <w:rPr>
          <w:rFonts w:ascii="Times New Roman" w:hAnsi="Times New Roman" w:cs="Times New Roman" w:eastAsia="Times New Roman" w:hint="default"/>
        </w:rPr>
        <w:t>38</w:t>
      </w:r>
      <w:r>
        <w:rPr/>
        <w:t>、销售费用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工资性费用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391,125,442.02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429,197,000.62</w:t>
            </w:r>
          </w:p>
        </w:tc>
      </w:tr>
      <w:tr>
        <w:trPr>
          <w:trHeight w:val="400"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67,055,255.72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64,503,324.07</w:t>
            </w:r>
          </w:p>
        </w:tc>
      </w:tr>
    </w:tbl>
    <w:p>
      <w:pPr>
        <w:spacing w:after="0" w:line="240" w:lineRule="auto"/>
        <w:jc w:val="right"/>
        <w:rPr>
          <w:rFonts w:ascii="Times New Roman" w:hAnsi="Times New Roman" w:cs="Times New Roman" w:eastAsia="Times New Roman" w:hint="default"/>
          <w:sz w:val="18"/>
          <w:szCs w:val="18"/>
        </w:rPr>
        <w:sectPr>
          <w:pgSz w:w="11910" w:h="16840"/>
          <w:pgMar w:header="878" w:footer="978" w:top="1100" w:bottom="1160" w:left="1020" w:right="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技术服务费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44,240,983.96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29,071,122.30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43,143,416.10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43,268,562.03</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28,170,098.93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23,670,413.73</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房租及物业管理费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31,067,686.16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29,445,465.71</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代理费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13,227,170.79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10,533,794.41</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101,976,984.64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84,962,964.84</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720,007,038.32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714,652,647.71</w:t>
            </w:r>
          </w:p>
        </w:tc>
      </w:tr>
    </w:tbl>
    <w:p>
      <w:pPr>
        <w:spacing w:line="240" w:lineRule="auto" w:before="4"/>
        <w:rPr>
          <w:rFonts w:ascii="宋体" w:hAnsi="宋体" w:cs="宋体" w:eastAsia="宋体" w:hint="default"/>
          <w:sz w:val="19"/>
          <w:szCs w:val="19"/>
        </w:rPr>
      </w:pPr>
    </w:p>
    <w:p>
      <w:pPr>
        <w:pStyle w:val="Heading3"/>
        <w:spacing w:line="240" w:lineRule="auto"/>
        <w:ind w:right="1394"/>
        <w:jc w:val="left"/>
        <w:rPr>
          <w:b w:val="0"/>
          <w:bCs w:val="0"/>
        </w:rPr>
      </w:pPr>
      <w:bookmarkStart w:name="39、管理费用" w:id="311"/>
      <w:bookmarkEnd w:id="311"/>
      <w:r>
        <w:rPr>
          <w:b w:val="0"/>
          <w:bCs w:val="0"/>
        </w:rPr>
      </w:r>
      <w:r>
        <w:rPr>
          <w:rFonts w:ascii="Times New Roman" w:hAnsi="Times New Roman" w:cs="Times New Roman" w:eastAsia="Times New Roman" w:hint="default"/>
        </w:rPr>
        <w:t>39</w:t>
      </w:r>
      <w:r>
        <w:rPr/>
        <w:t>、管理费用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工资性费用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242,646,952.13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236,202,917.88</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10,138,551.06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9,668,059.05</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25,539,578.90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23,358,440.24</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121,142,919.63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116,566,676.07</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399,468,001.72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385,796,093.24</w:t>
            </w:r>
          </w:p>
        </w:tc>
      </w:tr>
    </w:tbl>
    <w:p>
      <w:pPr>
        <w:spacing w:line="240" w:lineRule="auto" w:before="4"/>
        <w:rPr>
          <w:rFonts w:ascii="宋体" w:hAnsi="宋体" w:cs="宋体" w:eastAsia="宋体" w:hint="default"/>
          <w:sz w:val="19"/>
          <w:szCs w:val="19"/>
        </w:rPr>
      </w:pPr>
    </w:p>
    <w:p>
      <w:pPr>
        <w:pStyle w:val="Heading3"/>
        <w:spacing w:line="240" w:lineRule="auto"/>
        <w:ind w:right="1394"/>
        <w:jc w:val="left"/>
        <w:rPr>
          <w:b w:val="0"/>
          <w:bCs w:val="0"/>
        </w:rPr>
      </w:pPr>
      <w:bookmarkStart w:name="40、研发费用" w:id="312"/>
      <w:bookmarkEnd w:id="312"/>
      <w:r>
        <w:rPr>
          <w:b w:val="0"/>
          <w:bCs w:val="0"/>
        </w:rPr>
      </w:r>
      <w:r>
        <w:rPr>
          <w:rFonts w:ascii="Times New Roman" w:hAnsi="Times New Roman" w:cs="Times New Roman" w:eastAsia="Times New Roman" w:hint="default"/>
        </w:rPr>
        <w:t>40</w:t>
      </w:r>
      <w:r>
        <w:rPr/>
        <w:t>、研发费用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537,938,006.45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359,029,719.13</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537,938,006.45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359,029,719.13</w:t>
            </w:r>
          </w:p>
        </w:tc>
      </w:tr>
    </w:tbl>
    <w:p>
      <w:pPr>
        <w:spacing w:line="240" w:lineRule="auto" w:before="3"/>
        <w:rPr>
          <w:rFonts w:ascii="宋体" w:hAnsi="宋体" w:cs="宋体" w:eastAsia="宋体" w:hint="default"/>
          <w:sz w:val="19"/>
          <w:szCs w:val="19"/>
        </w:rPr>
      </w:pPr>
    </w:p>
    <w:p>
      <w:pPr>
        <w:pStyle w:val="Heading3"/>
        <w:spacing w:line="240" w:lineRule="auto"/>
        <w:ind w:right="1394"/>
        <w:jc w:val="left"/>
        <w:rPr>
          <w:b w:val="0"/>
          <w:bCs w:val="0"/>
        </w:rPr>
      </w:pPr>
      <w:bookmarkStart w:name="41、财务费用" w:id="313"/>
      <w:bookmarkEnd w:id="313"/>
      <w:r>
        <w:rPr>
          <w:b w:val="0"/>
          <w:bCs w:val="0"/>
        </w:rPr>
      </w:r>
      <w:r>
        <w:rPr>
          <w:rFonts w:ascii="Times New Roman" w:hAnsi="Times New Roman" w:cs="Times New Roman" w:eastAsia="Times New Roman" w:hint="default"/>
        </w:rPr>
        <w:t>41</w:t>
      </w:r>
      <w:r>
        <w:rPr/>
        <w:t>、财务费用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3,750,113.84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3,230,209.16</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59,344,922.38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46,851,336.63</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-15,946,056.60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-16,773,915.97</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2,302,060.82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2,986,252.24</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-69,238,804.32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-57,408,791.20</w:t>
            </w:r>
          </w:p>
        </w:tc>
      </w:tr>
    </w:tbl>
    <w:p>
      <w:pPr>
        <w:spacing w:line="240" w:lineRule="auto" w:before="3"/>
        <w:rPr>
          <w:rFonts w:ascii="宋体" w:hAnsi="宋体" w:cs="宋体" w:eastAsia="宋体" w:hint="default"/>
          <w:sz w:val="19"/>
          <w:szCs w:val="19"/>
        </w:rPr>
      </w:pPr>
    </w:p>
    <w:p>
      <w:pPr>
        <w:pStyle w:val="Heading3"/>
        <w:spacing w:line="240" w:lineRule="auto"/>
        <w:ind w:right="1394"/>
        <w:jc w:val="left"/>
        <w:rPr>
          <w:b w:val="0"/>
          <w:bCs w:val="0"/>
        </w:rPr>
      </w:pPr>
      <w:bookmarkStart w:name="42、其他收益" w:id="314"/>
      <w:bookmarkEnd w:id="314"/>
      <w:r>
        <w:rPr>
          <w:b w:val="0"/>
          <w:bCs w:val="0"/>
        </w:rPr>
      </w:r>
      <w:r>
        <w:rPr>
          <w:rFonts w:ascii="Times New Roman" w:hAnsi="Times New Roman" w:cs="Times New Roman" w:eastAsia="Times New Roman" w:hint="default"/>
        </w:rPr>
        <w:t>42</w:t>
      </w:r>
      <w:r>
        <w:rPr/>
        <w:t>、其他收益</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after="0" w:line="240" w:lineRule="auto"/>
        <w:jc w:val="right"/>
        <w:sectPr>
          <w:pgSz w:w="11910" w:h="16840"/>
          <w:pgMar w:header="878" w:footer="978" w:top="1100" w:bottom="1160" w:left="1020" w:right="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78"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95,578,400.47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93,234,712.92</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增值税退税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40,685,269.96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54,269,518.89</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增值税加计扣除</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6,653,482.43</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142,917,152.86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147,504,231.81</w:t>
            </w:r>
          </w:p>
        </w:tc>
      </w:tr>
    </w:tbl>
    <w:p>
      <w:pPr>
        <w:spacing w:line="240" w:lineRule="auto" w:before="4"/>
        <w:rPr>
          <w:rFonts w:ascii="宋体" w:hAnsi="宋体" w:cs="宋体" w:eastAsia="宋体" w:hint="default"/>
          <w:sz w:val="19"/>
          <w:szCs w:val="19"/>
        </w:rPr>
      </w:pPr>
    </w:p>
    <w:p>
      <w:pPr>
        <w:pStyle w:val="Heading3"/>
        <w:spacing w:line="240" w:lineRule="auto"/>
        <w:ind w:right="1394"/>
        <w:jc w:val="left"/>
        <w:rPr>
          <w:b w:val="0"/>
          <w:bCs w:val="0"/>
        </w:rPr>
      </w:pPr>
      <w:bookmarkStart w:name="43、投资收益" w:id="315"/>
      <w:bookmarkEnd w:id="315"/>
      <w:r>
        <w:rPr>
          <w:b w:val="0"/>
          <w:bCs w:val="0"/>
        </w:rPr>
      </w:r>
      <w:r>
        <w:rPr>
          <w:rFonts w:ascii="Times New Roman" w:hAnsi="Times New Roman" w:cs="Times New Roman" w:eastAsia="Times New Roman" w:hint="default"/>
        </w:rPr>
        <w:t>43</w:t>
      </w:r>
      <w:r>
        <w:rPr/>
        <w:t>、投资收益</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460"/>
        <w:gridCol w:w="3190"/>
        <w:gridCol w:w="2918"/>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16,826,457.27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14,230,072.81</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-63,038.27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-3,771,006.91</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交易性金融资产在持有期间的投资收益</w:t>
            </w:r>
          </w:p>
        </w:tc>
        <w:tc>
          <w:tcPr>
            <w:tcW w:w="3190" w:type="dxa"/>
            <w:tcBorders>
              <w:top w:val="single" w:sz="4" w:space="0" w:color="000000"/>
              <w:left w:val="single" w:sz="4" w:space="0" w:color="000000"/>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处置交易性金融资产取得的投资收益</w:t>
            </w:r>
          </w:p>
        </w:tc>
        <w:tc>
          <w:tcPr>
            <w:tcW w:w="3190" w:type="dxa"/>
            <w:tcBorders>
              <w:top w:val="single" w:sz="4" w:space="0" w:color="000000"/>
              <w:left w:val="single" w:sz="4" w:space="0" w:color="000000"/>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85"/>
              <w:jc w:val="left"/>
              <w:rPr>
                <w:rFonts w:ascii="宋体" w:hAnsi="宋体" w:cs="宋体" w:eastAsia="宋体" w:hint="default"/>
                <w:sz w:val="18"/>
                <w:szCs w:val="18"/>
              </w:rPr>
            </w:pPr>
            <w:r>
              <w:rPr>
                <w:rFonts w:ascii="宋体" w:hAnsi="宋体" w:cs="宋体" w:eastAsia="宋体" w:hint="default"/>
                <w:sz w:val="18"/>
                <w:szCs w:val="18"/>
              </w:rPr>
              <w:t>其他权益工具投资在持有期间取得的股利 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9,917,461.47</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持有至到期投资在持有期间的投资收益</w:t>
            </w:r>
          </w:p>
        </w:tc>
        <w:tc>
          <w:tcPr>
            <w:tcW w:w="3190" w:type="dxa"/>
            <w:tcBorders>
              <w:top w:val="single" w:sz="4" w:space="0" w:color="000000"/>
              <w:left w:val="single" w:sz="4" w:space="0" w:color="000000"/>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190" w:type="dxa"/>
            <w:tcBorders>
              <w:top w:val="single" w:sz="4" w:space="0" w:color="000000"/>
              <w:left w:val="single" w:sz="4" w:space="0" w:color="000000"/>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1,100,000.00</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处置可供出售金融资产取得的投资收益</w:t>
            </w:r>
          </w:p>
        </w:tc>
        <w:tc>
          <w:tcPr>
            <w:tcW w:w="3190" w:type="dxa"/>
            <w:tcBorders>
              <w:top w:val="single" w:sz="4" w:space="0" w:color="000000"/>
              <w:left w:val="single" w:sz="4" w:space="0" w:color="000000"/>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-1,450,342.88</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处置持有至到期投资取得的投资收益</w:t>
            </w:r>
          </w:p>
        </w:tc>
        <w:tc>
          <w:tcPr>
            <w:tcW w:w="3190" w:type="dxa"/>
            <w:tcBorders>
              <w:top w:val="single" w:sz="4" w:space="0" w:color="000000"/>
              <w:left w:val="single" w:sz="4" w:space="0" w:color="000000"/>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22"/>
              <w:jc w:val="left"/>
              <w:rPr>
                <w:rFonts w:ascii="宋体" w:hAnsi="宋体" w:cs="宋体" w:eastAsia="宋体" w:hint="default"/>
                <w:sz w:val="18"/>
                <w:szCs w:val="18"/>
              </w:rPr>
            </w:pPr>
            <w:r>
              <w:rPr>
                <w:rFonts w:ascii="宋体" w:hAnsi="宋体" w:cs="宋体" w:eastAsia="宋体" w:hint="default"/>
                <w:spacing w:val="-1"/>
                <w:sz w:val="18"/>
                <w:szCs w:val="18"/>
              </w:rPr>
              <w:t>丧失控制权后，剩余股权按公允价值重新计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量产生的利得</w:t>
            </w:r>
          </w:p>
        </w:tc>
        <w:tc>
          <w:tcPr>
            <w:tcW w:w="3190" w:type="dxa"/>
            <w:tcBorders>
              <w:top w:val="single" w:sz="4" w:space="0" w:color="000000"/>
              <w:left w:val="single" w:sz="4" w:space="0" w:color="000000"/>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债权投资在持有期间取得的利息收入</w:t>
            </w:r>
          </w:p>
        </w:tc>
        <w:tc>
          <w:tcPr>
            <w:tcW w:w="3190" w:type="dxa"/>
            <w:tcBorders>
              <w:top w:val="single" w:sz="4" w:space="0" w:color="000000"/>
              <w:left w:val="single" w:sz="4" w:space="0" w:color="000000"/>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其他债权投资在持有期间取得的利息收入</w:t>
            </w:r>
          </w:p>
        </w:tc>
        <w:tc>
          <w:tcPr>
            <w:tcW w:w="3190" w:type="dxa"/>
            <w:tcBorders>
              <w:top w:val="single" w:sz="4" w:space="0" w:color="000000"/>
              <w:left w:val="single" w:sz="4" w:space="0" w:color="000000"/>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处置其他债权投资取得的投资收益</w:t>
            </w:r>
          </w:p>
        </w:tc>
        <w:tc>
          <w:tcPr>
            <w:tcW w:w="3190" w:type="dxa"/>
            <w:tcBorders>
              <w:top w:val="single" w:sz="4" w:space="0" w:color="000000"/>
              <w:left w:val="single" w:sz="4" w:space="0" w:color="000000"/>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理财投资收益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48,445,582.62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88,641,684.75</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国债回购收益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198,096.17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165,062.55</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5,057,714.64</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75,324,559.26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103,973,184.96</w:t>
            </w:r>
          </w:p>
        </w:tc>
      </w:tr>
    </w:tbl>
    <w:p>
      <w:pPr>
        <w:spacing w:line="240" w:lineRule="auto" w:before="4"/>
        <w:rPr>
          <w:rFonts w:ascii="宋体" w:hAnsi="宋体" w:cs="宋体" w:eastAsia="宋体" w:hint="default"/>
          <w:sz w:val="19"/>
          <w:szCs w:val="19"/>
        </w:rPr>
      </w:pPr>
    </w:p>
    <w:p>
      <w:pPr>
        <w:pStyle w:val="Heading3"/>
        <w:spacing w:line="240" w:lineRule="auto"/>
        <w:ind w:right="1394"/>
        <w:jc w:val="left"/>
        <w:rPr>
          <w:b w:val="0"/>
          <w:bCs w:val="0"/>
        </w:rPr>
      </w:pPr>
      <w:bookmarkStart w:name="44、信用减值损失" w:id="316"/>
      <w:bookmarkEnd w:id="316"/>
      <w:r>
        <w:rPr>
          <w:b w:val="0"/>
          <w:bCs w:val="0"/>
        </w:rPr>
      </w:r>
      <w:r>
        <w:rPr>
          <w:rFonts w:ascii="Times New Roman" w:hAnsi="Times New Roman" w:cs="Times New Roman" w:eastAsia="Times New Roman" w:hint="default"/>
        </w:rPr>
        <w:t>44</w:t>
      </w:r>
      <w:r>
        <w:rPr/>
        <w:t>、信用减值损失</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其他应收款坏账损失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-426,511.33</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长期应收款坏账损失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-459,466.50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8" w:footer="978" w:top="1100" w:bottom="1160" w:left="1020" w:right="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应收账款坏账损失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-8,923,888.29</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-9,809,866.12</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ind w:right="1394"/>
        <w:jc w:val="left"/>
        <w:rPr>
          <w:b w:val="0"/>
          <w:bCs w:val="0"/>
        </w:rPr>
      </w:pPr>
      <w:bookmarkStart w:name="45、资产减值损失" w:id="317"/>
      <w:bookmarkEnd w:id="317"/>
      <w:r>
        <w:rPr>
          <w:b w:val="0"/>
          <w:bCs w:val="0"/>
        </w:rPr>
      </w:r>
      <w:r>
        <w:rPr>
          <w:rFonts w:ascii="Times New Roman" w:hAnsi="Times New Roman" w:cs="Times New Roman" w:eastAsia="Times New Roman" w:hint="default"/>
        </w:rPr>
        <w:t>45</w:t>
      </w:r>
      <w:r>
        <w:rPr/>
        <w:t>、资产减值损失</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-35,406,010.57</w:t>
            </w:r>
          </w:p>
        </w:tc>
      </w:tr>
      <w:tr>
        <w:trPr>
          <w:trHeight w:val="714"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92"/>
              <w:jc w:val="left"/>
              <w:rPr>
                <w:rFonts w:ascii="宋体" w:hAnsi="宋体" w:cs="宋体" w:eastAsia="宋体" w:hint="default"/>
                <w:sz w:val="18"/>
                <w:szCs w:val="18"/>
              </w:rPr>
            </w:pPr>
            <w:r>
              <w:rPr>
                <w:rFonts w:ascii="宋体" w:hAnsi="宋体" w:cs="宋体" w:eastAsia="宋体" w:hint="default"/>
                <w:sz w:val="18"/>
                <w:szCs w:val="18"/>
              </w:rPr>
              <w:t>二、存货跌价损失及合同履约成本减值 损失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-32,488,059.53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-72,363,843.21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三、可供出售金融资产减值损失</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四、持有至到期投资减值损失</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五、长期股权投资减值损失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-840,014.64</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六、投资性房地产减值损失</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七、固定资产减值损失</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-1,449,362.13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八、工程物资减值损失</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九、在建工程减值损失</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十、生产性生物资产减值损失</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十一、油气资产减值损失</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十二、无形资产减值损失</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十三、商誉减值损失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-35,730,781.39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-43,499,934.70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十四、其他</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-4,784,788.02</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-69,058,855.56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-157,503,938.63</w:t>
            </w:r>
          </w:p>
        </w:tc>
      </w:tr>
    </w:tbl>
    <w:p>
      <w:pPr>
        <w:pStyle w:val="BodyText"/>
        <w:spacing w:line="240" w:lineRule="auto" w:before="51"/>
        <w:ind w:left="0" w:right="1132"/>
        <w:jc w:val="right"/>
      </w:pPr>
      <w:r>
        <w:rPr/>
        <w:t>单位：</w:t>
      </w:r>
      <w:r>
        <w:rPr>
          <w:spacing w:val="-2"/>
        </w:rPr>
        <w:t> </w:t>
      </w:r>
      <w:r>
        <w:rPr/>
        <w:t>元</w:t>
      </w:r>
    </w:p>
    <w:p>
      <w:pPr>
        <w:spacing w:line="240" w:lineRule="auto" w:before="3"/>
        <w:rPr>
          <w:rFonts w:ascii="宋体" w:hAnsi="宋体" w:cs="宋体" w:eastAsia="宋体" w:hint="default"/>
          <w:sz w:val="24"/>
          <w:szCs w:val="24"/>
        </w:rPr>
      </w:pPr>
    </w:p>
    <w:p>
      <w:pPr>
        <w:pStyle w:val="Heading3"/>
        <w:spacing w:line="240" w:lineRule="auto"/>
        <w:ind w:right="1394"/>
        <w:jc w:val="left"/>
        <w:rPr>
          <w:b w:val="0"/>
          <w:bCs w:val="0"/>
        </w:rPr>
      </w:pPr>
      <w:bookmarkStart w:name="46、资产处置收益" w:id="318"/>
      <w:bookmarkEnd w:id="318"/>
      <w:r>
        <w:rPr>
          <w:b w:val="0"/>
          <w:bCs w:val="0"/>
        </w:rPr>
      </w:r>
      <w:r>
        <w:rPr>
          <w:rFonts w:ascii="Times New Roman" w:hAnsi="Times New Roman" w:cs="Times New Roman" w:eastAsia="Times New Roman" w:hint="default"/>
        </w:rPr>
        <w:t>46</w:t>
      </w:r>
      <w:r>
        <w:rPr/>
        <w:t>、资产处置收益</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8"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固定资产处置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768,179.93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826,749.98</w:t>
            </w:r>
          </w:p>
        </w:tc>
      </w:tr>
    </w:tbl>
    <w:p>
      <w:pPr>
        <w:spacing w:line="240" w:lineRule="auto" w:before="4"/>
        <w:rPr>
          <w:rFonts w:ascii="宋体" w:hAnsi="宋体" w:cs="宋体" w:eastAsia="宋体" w:hint="default"/>
          <w:sz w:val="19"/>
          <w:szCs w:val="19"/>
        </w:rPr>
      </w:pPr>
    </w:p>
    <w:p>
      <w:pPr>
        <w:pStyle w:val="Heading3"/>
        <w:spacing w:line="240" w:lineRule="auto"/>
        <w:ind w:right="1394"/>
        <w:jc w:val="left"/>
        <w:rPr>
          <w:b w:val="0"/>
          <w:bCs w:val="0"/>
        </w:rPr>
      </w:pPr>
      <w:bookmarkStart w:name="47、营业外收入" w:id="319"/>
      <w:bookmarkEnd w:id="319"/>
      <w:r>
        <w:rPr>
          <w:b w:val="0"/>
          <w:bCs w:val="0"/>
        </w:rPr>
      </w:r>
      <w:r>
        <w:rPr>
          <w:rFonts w:ascii="Times New Roman" w:hAnsi="Times New Roman" w:cs="Times New Roman" w:eastAsia="Times New Roman" w:hint="default"/>
        </w:rPr>
        <w:t>47</w:t>
      </w:r>
      <w:r>
        <w:rPr/>
        <w:t>、营业外收入</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89"/>
        <w:gridCol w:w="2395"/>
        <w:gridCol w:w="2392"/>
        <w:gridCol w:w="2392"/>
      </w:tblGrid>
      <w:tr>
        <w:trPr>
          <w:trHeight w:val="714"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42"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100" w:right="108" w:hanging="989"/>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0"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处置固定资产利得</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52" w:right="0"/>
              <w:jc w:val="left"/>
              <w:rPr>
                <w:rFonts w:ascii="Times New Roman" w:hAnsi="Times New Roman" w:cs="Times New Roman" w:eastAsia="Times New Roman" w:hint="default"/>
                <w:sz w:val="18"/>
                <w:szCs w:val="18"/>
              </w:rPr>
            </w:pPr>
            <w:r>
              <w:rPr>
                <w:rFonts w:ascii="Times New Roman"/>
                <w:sz w:val="18"/>
              </w:rPr>
              <w:t>122,983.93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85,021.79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49" w:right="0"/>
              <w:jc w:val="left"/>
              <w:rPr>
                <w:rFonts w:ascii="Times New Roman" w:hAnsi="Times New Roman" w:cs="Times New Roman" w:eastAsia="Times New Roman" w:hint="default"/>
                <w:sz w:val="18"/>
                <w:szCs w:val="18"/>
              </w:rPr>
            </w:pPr>
            <w:r>
              <w:rPr>
                <w:rFonts w:ascii="Times New Roman"/>
                <w:sz w:val="18"/>
              </w:rPr>
              <w:t>122,983.93</w:t>
            </w:r>
          </w:p>
        </w:tc>
      </w:tr>
    </w:tbl>
    <w:p>
      <w:pPr>
        <w:spacing w:after="0" w:line="240" w:lineRule="auto"/>
        <w:jc w:val="left"/>
        <w:rPr>
          <w:rFonts w:ascii="Times New Roman" w:hAnsi="Times New Roman" w:cs="Times New Roman" w:eastAsia="Times New Roman" w:hint="default"/>
          <w:sz w:val="18"/>
          <w:szCs w:val="18"/>
        </w:rPr>
        <w:sectPr>
          <w:footerReference w:type="default" r:id="rId52"/>
          <w:pgSz w:w="11910" w:h="16840"/>
          <w:pgMar w:footer="978" w:header="878" w:top="1100" w:bottom="1160" w:left="1020" w:right="0"/>
          <w:pgNumType w:start="18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2389"/>
        <w:gridCol w:w="2395"/>
        <w:gridCol w:w="2392"/>
        <w:gridCol w:w="2392"/>
      </w:tblGrid>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罚款及违约金赔款利得</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97,870.54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183,772.30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97,870.54</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19,998,345.35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5,845,886.13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19,998,345.35</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20,219,199.82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6,114,680.22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20,219,199.82</w:t>
            </w:r>
          </w:p>
        </w:tc>
      </w:tr>
    </w:tbl>
    <w:p>
      <w:pPr>
        <w:spacing w:line="240" w:lineRule="auto" w:before="4"/>
        <w:rPr>
          <w:rFonts w:ascii="宋体" w:hAnsi="宋体" w:cs="宋体" w:eastAsia="宋体" w:hint="default"/>
          <w:sz w:val="19"/>
          <w:szCs w:val="19"/>
        </w:rPr>
      </w:pPr>
    </w:p>
    <w:p>
      <w:pPr>
        <w:pStyle w:val="Heading3"/>
        <w:spacing w:line="240" w:lineRule="auto"/>
        <w:ind w:right="1394"/>
        <w:jc w:val="left"/>
        <w:rPr>
          <w:b w:val="0"/>
          <w:bCs w:val="0"/>
        </w:rPr>
      </w:pPr>
      <w:bookmarkStart w:name="48、营业外支出" w:id="320"/>
      <w:bookmarkEnd w:id="320"/>
      <w:r>
        <w:rPr>
          <w:b w:val="0"/>
          <w:bCs w:val="0"/>
        </w:rPr>
      </w:r>
      <w:r>
        <w:rPr>
          <w:rFonts w:ascii="Times New Roman" w:hAnsi="Times New Roman" w:cs="Times New Roman" w:eastAsia="Times New Roman" w:hint="default"/>
        </w:rPr>
        <w:t>48</w:t>
      </w:r>
      <w:r>
        <w:rPr/>
        <w:t>、营业外支出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89"/>
        <w:gridCol w:w="2395"/>
        <w:gridCol w:w="2392"/>
        <w:gridCol w:w="2392"/>
      </w:tblGrid>
      <w:tr>
        <w:trPr>
          <w:trHeight w:val="714"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42"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100" w:right="108" w:hanging="989"/>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27,435.00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110,000.00</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固定资产处置损失</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2,353,328.33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1,174,253.45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2,353,328.33</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罚款及滞纳金</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1,145,673.31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2,443,739.17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1,145,673.31</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流动资产处置损失</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15,377,482.45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8,377,262.11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15,377,482.45</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赔款支出</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860,147.59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514,253.04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860,147.59</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2,532,699.65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896,189.04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2,532,699.65</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22,379,331.33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13,433,131.81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22,379,331.33</w:t>
            </w:r>
          </w:p>
        </w:tc>
      </w:tr>
    </w:tbl>
    <w:p>
      <w:pPr>
        <w:spacing w:line="240" w:lineRule="auto" w:before="4"/>
        <w:rPr>
          <w:rFonts w:ascii="宋体" w:hAnsi="宋体" w:cs="宋体" w:eastAsia="宋体" w:hint="default"/>
          <w:sz w:val="19"/>
          <w:szCs w:val="19"/>
        </w:rPr>
      </w:pPr>
    </w:p>
    <w:p>
      <w:pPr>
        <w:pStyle w:val="Heading3"/>
        <w:spacing w:line="240" w:lineRule="auto"/>
        <w:ind w:right="1394"/>
        <w:jc w:val="left"/>
        <w:rPr>
          <w:b w:val="0"/>
          <w:bCs w:val="0"/>
        </w:rPr>
      </w:pPr>
      <w:bookmarkStart w:name="49、所得税费用" w:id="321"/>
      <w:bookmarkEnd w:id="321"/>
      <w:r>
        <w:rPr>
          <w:b w:val="0"/>
          <w:bCs w:val="0"/>
        </w:rPr>
      </w:r>
      <w:r>
        <w:rPr>
          <w:rFonts w:ascii="Times New Roman" w:hAnsi="Times New Roman" w:cs="Times New Roman" w:eastAsia="Times New Roman" w:hint="default"/>
        </w:rPr>
        <w:t>49</w:t>
      </w:r>
      <w:r>
        <w:rPr/>
        <w:t>、所得税费用</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before="0"/>
        <w:ind w:right="1394"/>
        <w:jc w:val="left"/>
        <w:rPr>
          <w:b w:val="0"/>
          <w:bCs w:val="0"/>
        </w:rPr>
      </w:pPr>
      <w:bookmarkStart w:name="（1）所得税费用表" w:id="322"/>
      <w:bookmarkEnd w:id="322"/>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169,302,571.66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135,114,713.63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-18,658,897.05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-11,977,192.31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上年企业所得税汇算清缴补计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-70,099.01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-7,457,637.68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150,573,575.60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115,679,883.64</w:t>
            </w:r>
          </w:p>
        </w:tc>
      </w:tr>
    </w:tbl>
    <w:p>
      <w:pPr>
        <w:spacing w:line="240" w:lineRule="auto" w:before="2"/>
        <w:rPr>
          <w:rFonts w:ascii="宋体" w:hAnsi="宋体" w:cs="宋体" w:eastAsia="宋体" w:hint="default"/>
          <w:sz w:val="19"/>
          <w:szCs w:val="19"/>
        </w:rPr>
      </w:pPr>
    </w:p>
    <w:p>
      <w:pPr>
        <w:pStyle w:val="Heading3"/>
        <w:spacing w:line="240" w:lineRule="auto"/>
        <w:ind w:right="1394"/>
        <w:jc w:val="left"/>
        <w:rPr>
          <w:b w:val="0"/>
          <w:bCs w:val="0"/>
        </w:rPr>
      </w:pPr>
      <w:bookmarkStart w:name="（2）会计利润与所得税费用调整过程" w:id="323"/>
      <w:bookmarkEnd w:id="323"/>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79"/>
        <w:gridCol w:w="4789"/>
      </w:tblGrid>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1,033,950,453.48</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155,092,568.02</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19,469,737.81</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-70,099.01</w:t>
            </w:r>
          </w:p>
        </w:tc>
      </w:tr>
      <w:tr>
        <w:trPr>
          <w:trHeight w:val="400"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-3,989,809.00</w:t>
            </w:r>
          </w:p>
        </w:tc>
      </w:tr>
    </w:tbl>
    <w:p>
      <w:pPr>
        <w:spacing w:after="0" w:line="240" w:lineRule="auto"/>
        <w:jc w:val="right"/>
        <w:rPr>
          <w:rFonts w:ascii="Times New Roman" w:hAnsi="Times New Roman" w:cs="Times New Roman" w:eastAsia="Times New Roman" w:hint="default"/>
          <w:sz w:val="18"/>
          <w:szCs w:val="18"/>
        </w:rPr>
        <w:sectPr>
          <w:pgSz w:w="11910" w:h="16840"/>
          <w:pgMar w:header="878" w:footer="978" w:top="1100" w:bottom="1160" w:left="1020" w:right="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4779"/>
        <w:gridCol w:w="4789"/>
      </w:tblGrid>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18,618,737.41</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-973.95</w:t>
            </w:r>
          </w:p>
        </w:tc>
      </w:tr>
      <w:tr>
        <w:trPr>
          <w:trHeight w:val="714"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64"/>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5,002,544.65</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税率变动对期初递延所得税余额的影响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4,932,437.44</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加计扣除的成本、费用的影响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-48,481,567.77</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150,573,575.60</w:t>
            </w:r>
          </w:p>
        </w:tc>
      </w:tr>
    </w:tbl>
    <w:p>
      <w:pPr>
        <w:spacing w:line="240" w:lineRule="auto" w:before="3"/>
        <w:rPr>
          <w:rFonts w:ascii="宋体" w:hAnsi="宋体" w:cs="宋体" w:eastAsia="宋体" w:hint="default"/>
          <w:sz w:val="19"/>
          <w:szCs w:val="19"/>
        </w:rPr>
      </w:pPr>
    </w:p>
    <w:p>
      <w:pPr>
        <w:pStyle w:val="Heading3"/>
        <w:spacing w:line="240" w:lineRule="auto"/>
        <w:ind w:right="1394"/>
        <w:jc w:val="left"/>
        <w:rPr>
          <w:b w:val="0"/>
          <w:bCs w:val="0"/>
        </w:rPr>
      </w:pPr>
      <w:bookmarkStart w:name="50、现金流量表项目" w:id="324"/>
      <w:bookmarkEnd w:id="324"/>
      <w:r>
        <w:rPr>
          <w:b w:val="0"/>
          <w:bCs w:val="0"/>
        </w:rPr>
      </w:r>
      <w:r>
        <w:rPr>
          <w:rFonts w:ascii="Times New Roman" w:hAnsi="Times New Roman" w:cs="Times New Roman" w:eastAsia="Times New Roman" w:hint="default"/>
        </w:rPr>
        <w:t>50</w:t>
      </w:r>
      <w:r>
        <w:rPr/>
        <w:t>、现金流量表项目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before="0"/>
        <w:ind w:right="1394"/>
        <w:jc w:val="left"/>
        <w:rPr>
          <w:b w:val="0"/>
          <w:bCs w:val="0"/>
        </w:rPr>
      </w:pPr>
      <w:bookmarkStart w:name="（1）收到的其他与经营活动有关的现金" w:id="325"/>
      <w:bookmarkEnd w:id="325"/>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政府补助或专项拨款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78,399,704.97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91,698,906.89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收回员工借款等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16,770,314.78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18,179,310.26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59,344,922.38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46,851,336.63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收取押金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75,151,289.05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40,520,510.69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其他往来款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269,875,398.17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236,245,607.76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499,541,629.35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433,495,672.23</w:t>
            </w:r>
          </w:p>
        </w:tc>
      </w:tr>
    </w:tbl>
    <w:p>
      <w:pPr>
        <w:spacing w:line="240" w:lineRule="auto" w:before="4"/>
        <w:rPr>
          <w:rFonts w:ascii="宋体" w:hAnsi="宋体" w:cs="宋体" w:eastAsia="宋体" w:hint="default"/>
          <w:sz w:val="19"/>
          <w:szCs w:val="19"/>
        </w:rPr>
      </w:pPr>
    </w:p>
    <w:p>
      <w:pPr>
        <w:pStyle w:val="Heading3"/>
        <w:spacing w:line="240" w:lineRule="auto"/>
        <w:ind w:right="1394"/>
        <w:jc w:val="left"/>
        <w:rPr>
          <w:b w:val="0"/>
          <w:bCs w:val="0"/>
        </w:rPr>
      </w:pPr>
      <w:bookmarkStart w:name="（2）支付的其他与经营活动有关的现金" w:id="326"/>
      <w:bookmarkEnd w:id="326"/>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付现费用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502,802,257.61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450,803,238.73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职工借款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33,035,314.25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33,669,441.39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支付押金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97,847,838.28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70,553,231.18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其他往来款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240,283,723.31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304,161,678.36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873,969,133.45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859,187,589.66</w:t>
            </w:r>
          </w:p>
        </w:tc>
      </w:tr>
    </w:tbl>
    <w:p>
      <w:pPr>
        <w:spacing w:line="240" w:lineRule="auto" w:before="4"/>
        <w:rPr>
          <w:rFonts w:ascii="宋体" w:hAnsi="宋体" w:cs="宋体" w:eastAsia="宋体" w:hint="default"/>
          <w:sz w:val="19"/>
          <w:szCs w:val="19"/>
        </w:rPr>
      </w:pPr>
    </w:p>
    <w:p>
      <w:pPr>
        <w:pStyle w:val="Heading3"/>
        <w:spacing w:line="240" w:lineRule="auto"/>
        <w:ind w:right="1394"/>
        <w:jc w:val="left"/>
        <w:rPr>
          <w:b w:val="0"/>
          <w:bCs w:val="0"/>
        </w:rPr>
      </w:pPr>
      <w:bookmarkStart w:name="（3）支付的其他与筹资活动有关的现金" w:id="327"/>
      <w:bookmarkEnd w:id="327"/>
      <w:r>
        <w:rPr>
          <w:b w:val="0"/>
          <w:bCs w:val="0"/>
        </w:rPr>
      </w:r>
      <w:r>
        <w:rPr/>
        <w:t>（</w:t>
      </w:r>
      <w:r>
        <w:rPr>
          <w:rFonts w:ascii="Times New Roman" w:hAnsi="Times New Roman" w:cs="Times New Roman" w:eastAsia="Times New Roman" w:hint="default"/>
        </w:rPr>
        <w:t>3</w:t>
      </w:r>
      <w:r>
        <w:rPr/>
        <w:t>）支付的其他与筹资活动有关的现金</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股权回购</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7,242,468.72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30" w:right="0"/>
              <w:jc w:val="left"/>
              <w:rPr>
                <w:rFonts w:ascii="Times New Roman" w:hAnsi="Times New Roman" w:cs="Times New Roman" w:eastAsia="Times New Roman" w:hint="default"/>
                <w:sz w:val="18"/>
                <w:szCs w:val="18"/>
              </w:rPr>
            </w:pPr>
            <w:r>
              <w:rPr>
                <w:rFonts w:ascii="Times New Roman"/>
                <w:sz w:val="18"/>
              </w:rPr>
              <w:t>113,006,514.72</w:t>
            </w:r>
          </w:p>
        </w:tc>
      </w:tr>
      <w:tr>
        <w:trPr>
          <w:trHeight w:val="400"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支付少数股东股权转让款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176,502,453.00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8" w:footer="978" w:top="1100" w:bottom="1160" w:left="1020" w:right="0"/>
        </w:sectPr>
      </w:pPr>
    </w:p>
    <w:p>
      <w:pPr>
        <w:spacing w:line="240" w:lineRule="auto" w:before="8"/>
        <w:rPr>
          <w:rFonts w:ascii="宋体" w:hAnsi="宋体" w:cs="宋体" w:eastAsia="宋体" w:hint="default"/>
          <w:sz w:val="24"/>
          <w:szCs w:val="24"/>
        </w:rPr>
      </w:pPr>
      <w:r>
        <w:rPr/>
        <w:pict>
          <v:shape style="position:absolute;margin-left:217.199997pt;margin-top:479.400024pt;width:158.6pt;height:19.7pt;mso-position-horizontal-relative:page;mso-position-vertical-relative:page;z-index:-1487224" type="#_x0000_t202" filled="false" stroked="false">
            <v:textbox inset="0,0,0,0">
              <w:txbxContent>
                <w:p>
                  <w:pPr>
                    <w:pStyle w:val="BodyText"/>
                    <w:spacing w:line="240" w:lineRule="auto" w:before="52"/>
                    <w:ind w:left="0" w:right="0"/>
                    <w:jc w:val="left"/>
                  </w:pPr>
                  <w:r>
                    <w:rPr/>
                    <w:t>）</w:t>
                  </w:r>
                </w:p>
              </w:txbxContent>
            </v:textbox>
            <w10:wrap type="none"/>
          </v:shape>
        </w:pict>
      </w:r>
      <w:r>
        <w:rPr/>
        <w:pict>
          <v:shape style="position:absolute;margin-left:217.199997pt;margin-top:499.500031pt;width:158.6pt;height:19.7pt;mso-position-horizontal-relative:page;mso-position-vertical-relative:page;z-index:-1487200" type="#_x0000_t202" filled="false" stroked="false">
            <v:textbox inset="0,0,0,0">
              <w:txbxContent>
                <w:p>
                  <w:pPr>
                    <w:pStyle w:val="BodyText"/>
                    <w:spacing w:line="240" w:lineRule="auto" w:before="53"/>
                    <w:ind w:left="0" w:right="0"/>
                    <w:jc w:val="left"/>
                  </w:pPr>
                  <w:r>
                    <w:rPr/>
                    <w:t>）</w:t>
                  </w:r>
                </w:p>
              </w:txbxContent>
            </v:textbox>
            <w10:wrap type="none"/>
          </v:shape>
        </w:pict>
      </w:r>
      <w:r>
        <w:rPr/>
        <w:pict>
          <v:group style="position:absolute;margin-left:223.199997pt;margin-top:479.400024pt;width:152.6pt;height:39.950pt;mso-position-horizontal-relative:page;mso-position-vertical-relative:page;z-index:-1487176" coordorigin="4464,9588" coordsize="3052,799">
            <v:group style="position:absolute;left:4464;top:9588;width:3052;height:397" coordorigin="4464,9588" coordsize="3052,397">
              <v:shape style="position:absolute;left:4464;top:9588;width:3052;height:397" coordorigin="4464,9588" coordsize="3052,397" path="m4464,9588l7516,9588,7516,9985,4464,9985,4464,9588xe" filled="true" fillcolor="#ffffff" stroked="false">
                <v:path arrowok="t"/>
                <v:fill type="solid"/>
              </v:shape>
            </v:group>
            <v:group style="position:absolute;left:4464;top:9990;width:3052;height:397" coordorigin="4464,9990" coordsize="3052,397">
              <v:shape style="position:absolute;left:4464;top:9990;width:3052;height:397" coordorigin="4464,9990" coordsize="3052,397" path="m4464,9990l7516,9990,7516,10387,4464,10387,4464,9990xe" filled="true" fillcolor="#ffffff" stroked="false">
                <v:path arrowok="t"/>
                <v:fill type="solid"/>
              </v:shape>
            </v:group>
            <w10:wrap type="none"/>
          </v:group>
        </w:pict>
      </w: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34" w:right="0"/>
              <w:jc w:val="left"/>
              <w:rPr>
                <w:rFonts w:ascii="Times New Roman" w:hAnsi="Times New Roman" w:cs="Times New Roman" w:eastAsia="Times New Roman" w:hint="default"/>
                <w:sz w:val="18"/>
                <w:szCs w:val="18"/>
              </w:rPr>
            </w:pPr>
            <w:r>
              <w:rPr>
                <w:rFonts w:ascii="Times New Roman"/>
                <w:sz w:val="18"/>
              </w:rPr>
              <w:t>183,744,921.72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30" w:right="0"/>
              <w:jc w:val="left"/>
              <w:rPr>
                <w:rFonts w:ascii="Times New Roman" w:hAnsi="Times New Roman" w:cs="Times New Roman" w:eastAsia="Times New Roman" w:hint="default"/>
                <w:sz w:val="18"/>
                <w:szCs w:val="18"/>
              </w:rPr>
            </w:pPr>
            <w:r>
              <w:rPr>
                <w:rFonts w:ascii="Times New Roman"/>
                <w:sz w:val="18"/>
              </w:rPr>
              <w:t>113,006,514.72</w:t>
            </w:r>
          </w:p>
        </w:tc>
      </w:tr>
    </w:tbl>
    <w:p>
      <w:pPr>
        <w:spacing w:line="240" w:lineRule="auto" w:before="4"/>
        <w:rPr>
          <w:rFonts w:ascii="宋体" w:hAnsi="宋体" w:cs="宋体" w:eastAsia="宋体" w:hint="default"/>
          <w:sz w:val="19"/>
          <w:szCs w:val="19"/>
        </w:rPr>
      </w:pPr>
    </w:p>
    <w:p>
      <w:pPr>
        <w:pStyle w:val="Heading3"/>
        <w:spacing w:line="240" w:lineRule="auto"/>
        <w:ind w:right="1394"/>
        <w:jc w:val="left"/>
        <w:rPr>
          <w:b w:val="0"/>
          <w:bCs w:val="0"/>
        </w:rPr>
      </w:pPr>
      <w:bookmarkStart w:name="51、现金流量表补充资料" w:id="328"/>
      <w:bookmarkEnd w:id="328"/>
      <w:r>
        <w:rPr>
          <w:b w:val="0"/>
          <w:bCs w:val="0"/>
        </w:rPr>
      </w:r>
      <w:r>
        <w:rPr>
          <w:rFonts w:ascii="Times New Roman" w:hAnsi="Times New Roman" w:cs="Times New Roman" w:eastAsia="Times New Roman" w:hint="default"/>
        </w:rPr>
        <w:t>51</w:t>
      </w:r>
      <w:r>
        <w:rPr/>
        <w:t>、现金流量表补充资料</w:t>
      </w:r>
      <w:r>
        <w:rPr>
          <w:b w:val="0"/>
          <w:bCs w:val="0"/>
        </w:rPr>
      </w:r>
    </w:p>
    <w:p>
      <w:pPr>
        <w:spacing w:line="240" w:lineRule="auto" w:before="7"/>
        <w:rPr>
          <w:rFonts w:ascii="宋体" w:hAnsi="宋体" w:cs="宋体" w:eastAsia="宋体" w:hint="default"/>
          <w:b/>
          <w:bCs/>
          <w:sz w:val="24"/>
          <w:szCs w:val="24"/>
        </w:rPr>
      </w:pPr>
    </w:p>
    <w:p>
      <w:pPr>
        <w:pStyle w:val="Heading3"/>
        <w:spacing w:line="240" w:lineRule="auto" w:before="0"/>
        <w:ind w:right="1394"/>
        <w:jc w:val="left"/>
        <w:rPr>
          <w:b w:val="0"/>
          <w:bCs w:val="0"/>
        </w:rPr>
      </w:pPr>
      <w:bookmarkStart w:name="（1）现金流量表补充资料" w:id="329"/>
      <w:bookmarkEnd w:id="329"/>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27"/>
        <w:gridCol w:w="3057"/>
        <w:gridCol w:w="3184"/>
      </w:tblGrid>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883,376,877.88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784,005,293.17</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78,868,721.68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157,503,938.63</w:t>
            </w:r>
          </w:p>
        </w:tc>
      </w:tr>
      <w:tr>
        <w:trPr>
          <w:trHeight w:val="71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2"/>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157,226,761.47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143,206,594.76</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使用权资产折旧</w:t>
            </w:r>
          </w:p>
        </w:tc>
        <w:tc>
          <w:tcPr>
            <w:tcW w:w="3057" w:type="dxa"/>
            <w:tcBorders>
              <w:top w:val="single" w:sz="4" w:space="0" w:color="000000"/>
              <w:left w:val="single" w:sz="4" w:space="0" w:color="000000"/>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8,514,084.17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8,586,591.19</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12,467,472.13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11,475,524.06</w:t>
            </w:r>
          </w:p>
        </w:tc>
      </w:tr>
      <w:tr>
        <w:trPr>
          <w:trHeight w:val="71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2"/>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-768,179.93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-826,749.98</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2,230,344.40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1,089,231.66</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7" w:type="dxa"/>
            <w:tcBorders>
              <w:top w:val="single" w:sz="4" w:space="0" w:color="000000"/>
              <w:left w:val="single" w:sz="4" w:space="0" w:color="000000"/>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-12,601,701.05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-12,166,772.22</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-75,324,559.26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Times New Roman" w:hAnsi="Times New Roman" w:cs="Times New Roman" w:eastAsia="Times New Roman" w:hint="default"/>
                <w:sz w:val="18"/>
                <w:szCs w:val="18"/>
              </w:rPr>
            </w:pPr>
            <w:r>
              <w:rPr>
                <w:rFonts w:ascii="Times New Roman"/>
                <w:spacing w:val="-1"/>
                <w:sz w:val="18"/>
              </w:rPr>
              <w:t>-103,973,184.96</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-16,905,733.91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-59,558,817.24</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递延所得税负债增加（减少以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-1,753,163.14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Times New Roman" w:hAnsi="Times New Roman" w:cs="Times New Roman" w:eastAsia="Times New Roman" w:hint="default"/>
                <w:sz w:val="18"/>
                <w:szCs w:val="18"/>
              </w:rPr>
            </w:pPr>
            <w:r>
              <w:rPr>
                <w:rFonts w:ascii="Times New Roman"/>
                <w:spacing w:val="-1"/>
                <w:sz w:val="18"/>
              </w:rPr>
              <w:t>-16,512,640.25</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-31,061,366.69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53,039,946.36</w:t>
            </w:r>
          </w:p>
        </w:tc>
      </w:tr>
      <w:tr>
        <w:trPr>
          <w:trHeight w:val="71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74"/>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-324,718,534.22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-191,727,603.41</w:t>
            </w:r>
          </w:p>
        </w:tc>
      </w:tr>
      <w:tr>
        <w:trPr>
          <w:trHeight w:val="71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74"/>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249,101,430.76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192,792,456.44</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57" w:type="dxa"/>
            <w:tcBorders>
              <w:top w:val="single" w:sz="4" w:space="0" w:color="000000"/>
              <w:left w:val="single" w:sz="4" w:space="0" w:color="000000"/>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928,652,454.29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966,933,808.21</w:t>
            </w:r>
          </w:p>
        </w:tc>
      </w:tr>
      <w:tr>
        <w:trPr>
          <w:trHeight w:val="71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4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3057" w:type="dxa"/>
            <w:tcBorders>
              <w:top w:val="single" w:sz="4" w:space="0" w:color="000000"/>
              <w:left w:val="single" w:sz="4" w:space="0" w:color="000000"/>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3057" w:type="dxa"/>
            <w:tcBorders>
              <w:top w:val="single" w:sz="4" w:space="0" w:color="000000"/>
              <w:left w:val="single" w:sz="4" w:space="0" w:color="000000"/>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3057" w:type="dxa"/>
            <w:tcBorders>
              <w:top w:val="single" w:sz="4" w:space="0" w:color="000000"/>
              <w:left w:val="single" w:sz="4" w:space="0" w:color="000000"/>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78" w:footer="978" w:top="1100" w:bottom="1160" w:left="1020" w:right="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3327"/>
        <w:gridCol w:w="3057"/>
        <w:gridCol w:w="3184"/>
      </w:tblGrid>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4,452,037,427.49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4,234,069,111.22</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4,234,069,111.22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3,701,187,691.11</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3057" w:type="dxa"/>
            <w:tcBorders>
              <w:top w:val="single" w:sz="4" w:space="0" w:color="000000"/>
              <w:left w:val="single" w:sz="4" w:space="0" w:color="000000"/>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3057" w:type="dxa"/>
            <w:tcBorders>
              <w:top w:val="single" w:sz="4" w:space="0" w:color="000000"/>
              <w:left w:val="single" w:sz="4" w:space="0" w:color="000000"/>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217,968,316.27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532,881,420.11</w:t>
            </w:r>
          </w:p>
        </w:tc>
      </w:tr>
    </w:tbl>
    <w:p>
      <w:pPr>
        <w:spacing w:line="240" w:lineRule="auto" w:before="4"/>
        <w:rPr>
          <w:rFonts w:ascii="宋体" w:hAnsi="宋体" w:cs="宋体" w:eastAsia="宋体" w:hint="default"/>
          <w:sz w:val="19"/>
          <w:szCs w:val="19"/>
        </w:rPr>
      </w:pPr>
    </w:p>
    <w:p>
      <w:pPr>
        <w:pStyle w:val="Heading3"/>
        <w:spacing w:line="240" w:lineRule="auto"/>
        <w:ind w:right="1394"/>
        <w:jc w:val="left"/>
        <w:rPr>
          <w:b w:val="0"/>
          <w:bCs w:val="0"/>
        </w:rPr>
      </w:pPr>
      <w:bookmarkStart w:name="（2）本期支付的取得子公司的现金净额" w:id="330"/>
      <w:bookmarkEnd w:id="330"/>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64" w:right="1394"/>
        <w:jc w:val="left"/>
      </w:pPr>
      <w:r>
        <w:rPr/>
        <w:t>本期未发生该事项。</w:t>
      </w:r>
    </w:p>
    <w:p>
      <w:pPr>
        <w:spacing w:line="240" w:lineRule="auto" w:before="11"/>
        <w:rPr>
          <w:rFonts w:ascii="宋体" w:hAnsi="宋体" w:cs="宋体" w:eastAsia="宋体" w:hint="default"/>
          <w:sz w:val="26"/>
          <w:szCs w:val="26"/>
        </w:rPr>
      </w:pPr>
    </w:p>
    <w:p>
      <w:pPr>
        <w:pStyle w:val="Heading3"/>
        <w:spacing w:line="240" w:lineRule="auto" w:before="0"/>
        <w:ind w:right="1394"/>
        <w:jc w:val="left"/>
        <w:rPr>
          <w:b w:val="0"/>
          <w:bCs w:val="0"/>
        </w:rPr>
      </w:pPr>
      <w:bookmarkStart w:name="（3）本期收到的处置子公司的现金净额" w:id="331"/>
      <w:bookmarkEnd w:id="331"/>
      <w:r>
        <w:rPr>
          <w:b w:val="0"/>
          <w:bCs w:val="0"/>
        </w:rPr>
      </w: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988"/>
        <w:gridCol w:w="4580"/>
      </w:tblGrid>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本期处置子公司于本期收到的现金或现金等价物</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574,000.00</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锡林郭勒盟安逸物业服务有限责任公司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574,000.00</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减：丧失控制权日子公司持有的现金及现金等价物</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1,244,876.37</w:t>
            </w:r>
          </w:p>
        </w:tc>
      </w:tr>
      <w:tr>
        <w:trPr>
          <w:trHeight w:val="53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4"/>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6"/>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锡林郭勒盟安逸物业服务有限责任公司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1,244,876.37</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加：以前期间处置子公司于本期收到的现金或现金等价物</w:t>
            </w:r>
          </w:p>
        </w:tc>
        <w:tc>
          <w:tcPr>
            <w:tcW w:w="45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处置子公司收到的现金净额</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-670,876.37</w:t>
            </w:r>
          </w:p>
        </w:tc>
      </w:tr>
    </w:tbl>
    <w:p>
      <w:pPr>
        <w:spacing w:line="240" w:lineRule="auto" w:before="4"/>
        <w:rPr>
          <w:rFonts w:ascii="宋体" w:hAnsi="宋体" w:cs="宋体" w:eastAsia="宋体" w:hint="default"/>
          <w:sz w:val="19"/>
          <w:szCs w:val="19"/>
        </w:rPr>
      </w:pPr>
    </w:p>
    <w:p>
      <w:pPr>
        <w:pStyle w:val="Heading3"/>
        <w:spacing w:line="240" w:lineRule="auto"/>
        <w:ind w:right="1394"/>
        <w:jc w:val="left"/>
        <w:rPr>
          <w:b w:val="0"/>
          <w:bCs w:val="0"/>
        </w:rPr>
      </w:pPr>
      <w:bookmarkStart w:name="（4）现金和现金等价物的构成" w:id="332"/>
      <w:bookmarkEnd w:id="332"/>
      <w:r>
        <w:rPr>
          <w:b w:val="0"/>
          <w:bCs w:val="0"/>
        </w:rPr>
      </w: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27"/>
        <w:gridCol w:w="3057"/>
        <w:gridCol w:w="3184"/>
      </w:tblGrid>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4,452,037,427.49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4,234,069,111.22</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4,033,630.30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5,579,516.05</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4,263,666,928.39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4,228,489,595.17</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32"/>
              <w:jc w:val="righ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184,336,868.80</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32"/>
              <w:jc w:val="right"/>
              <w:rPr>
                <w:rFonts w:ascii="宋体" w:hAnsi="宋体" w:cs="宋体" w:eastAsia="宋体" w:hint="default"/>
                <w:sz w:val="18"/>
                <w:szCs w:val="18"/>
              </w:rPr>
            </w:pPr>
            <w:r>
              <w:rPr>
                <w:rFonts w:ascii="宋体" w:hAnsi="宋体" w:cs="宋体" w:eastAsia="宋体" w:hint="default"/>
                <w:sz w:val="18"/>
                <w:szCs w:val="18"/>
              </w:rPr>
              <w:t>可用于支付的存放中央银行款项</w:t>
            </w:r>
          </w:p>
        </w:tc>
        <w:tc>
          <w:tcPr>
            <w:tcW w:w="3057" w:type="dxa"/>
            <w:tcBorders>
              <w:top w:val="single" w:sz="4" w:space="0" w:color="000000"/>
              <w:left w:val="single" w:sz="4" w:space="0" w:color="000000"/>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2" w:right="0"/>
              <w:jc w:val="left"/>
              <w:rPr>
                <w:rFonts w:ascii="宋体" w:hAnsi="宋体" w:cs="宋体" w:eastAsia="宋体" w:hint="default"/>
                <w:sz w:val="18"/>
                <w:szCs w:val="18"/>
              </w:rPr>
            </w:pPr>
            <w:r>
              <w:rPr>
                <w:rFonts w:ascii="宋体" w:hAnsi="宋体" w:cs="宋体" w:eastAsia="宋体" w:hint="default"/>
                <w:sz w:val="18"/>
                <w:szCs w:val="18"/>
              </w:rPr>
              <w:t>存放同业款项</w:t>
            </w:r>
          </w:p>
        </w:tc>
        <w:tc>
          <w:tcPr>
            <w:tcW w:w="3057" w:type="dxa"/>
            <w:tcBorders>
              <w:top w:val="single" w:sz="4" w:space="0" w:color="000000"/>
              <w:left w:val="single" w:sz="4" w:space="0" w:color="000000"/>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拆放同业款项</w:t>
            </w:r>
          </w:p>
        </w:tc>
        <w:tc>
          <w:tcPr>
            <w:tcW w:w="3057" w:type="dxa"/>
            <w:tcBorders>
              <w:top w:val="single" w:sz="4" w:space="0" w:color="000000"/>
              <w:left w:val="single" w:sz="4" w:space="0" w:color="000000"/>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二、现金等价物</w:t>
            </w:r>
          </w:p>
        </w:tc>
        <w:tc>
          <w:tcPr>
            <w:tcW w:w="3057" w:type="dxa"/>
            <w:tcBorders>
              <w:top w:val="single" w:sz="4" w:space="0" w:color="000000"/>
              <w:left w:val="single" w:sz="4" w:space="0" w:color="000000"/>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8" w:footer="978" w:top="1100" w:bottom="1160" w:left="1020" w:right="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3327"/>
        <w:gridCol w:w="3057"/>
        <w:gridCol w:w="3184"/>
      </w:tblGrid>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其中：三个月内到期的债券投资</w:t>
            </w:r>
          </w:p>
        </w:tc>
        <w:tc>
          <w:tcPr>
            <w:tcW w:w="3057" w:type="dxa"/>
            <w:tcBorders>
              <w:top w:val="single" w:sz="4" w:space="0" w:color="000000"/>
              <w:left w:val="single" w:sz="4" w:space="0" w:color="000000"/>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4,452,037,427.49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4,234,069,111.22</w:t>
            </w:r>
          </w:p>
        </w:tc>
      </w:tr>
      <w:tr>
        <w:trPr>
          <w:trHeight w:val="71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52"/>
              <w:jc w:val="left"/>
              <w:rPr>
                <w:rFonts w:ascii="宋体" w:hAnsi="宋体" w:cs="宋体" w:eastAsia="宋体" w:hint="default"/>
                <w:sz w:val="18"/>
                <w:szCs w:val="18"/>
              </w:rPr>
            </w:pPr>
            <w:r>
              <w:rPr>
                <w:rFonts w:ascii="宋体" w:hAnsi="宋体" w:cs="宋体" w:eastAsia="宋体" w:hint="default"/>
                <w:sz w:val="18"/>
                <w:szCs w:val="18"/>
              </w:rPr>
              <w:t>其中：母公司或集团内子公司使用受限制 的现金和现金等价物</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30,878,640.12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15,719,362.11</w:t>
            </w:r>
          </w:p>
        </w:tc>
      </w:tr>
    </w:tbl>
    <w:p>
      <w:pPr>
        <w:spacing w:line="240" w:lineRule="auto" w:before="4"/>
        <w:rPr>
          <w:rFonts w:ascii="宋体" w:hAnsi="宋体" w:cs="宋体" w:eastAsia="宋体" w:hint="default"/>
          <w:sz w:val="19"/>
          <w:szCs w:val="19"/>
        </w:rPr>
      </w:pPr>
    </w:p>
    <w:p>
      <w:pPr>
        <w:spacing w:line="506" w:lineRule="auto" w:before="34"/>
        <w:ind w:left="472" w:right="5797" w:hanging="360"/>
        <w:jc w:val="left"/>
        <w:rPr>
          <w:rFonts w:ascii="宋体" w:hAnsi="宋体" w:cs="宋体" w:eastAsia="宋体" w:hint="default"/>
          <w:sz w:val="21"/>
          <w:szCs w:val="21"/>
        </w:rPr>
      </w:pPr>
      <w:bookmarkStart w:name="52、所有者权益变动表项目注释" w:id="333"/>
      <w:bookmarkEnd w:id="333"/>
      <w:r>
        <w:rPr/>
      </w:r>
      <w:r>
        <w:rPr>
          <w:rFonts w:ascii="Times New Roman" w:hAnsi="Times New Roman" w:cs="Times New Roman" w:eastAsia="Times New Roman" w:hint="default"/>
          <w:b/>
          <w:bCs/>
          <w:sz w:val="21"/>
          <w:szCs w:val="21"/>
        </w:rPr>
        <w:t>52</w:t>
      </w:r>
      <w:r>
        <w:rPr>
          <w:rFonts w:ascii="宋体" w:hAnsi="宋体" w:cs="宋体" w:eastAsia="宋体" w:hint="default"/>
          <w:b/>
          <w:bCs/>
          <w:sz w:val="21"/>
          <w:szCs w:val="21"/>
        </w:rPr>
        <w:t>、所有者权益变动表项目注释</w:t>
      </w:r>
      <w:r>
        <w:rPr>
          <w:rFonts w:ascii="宋体" w:hAnsi="宋体" w:cs="宋体" w:eastAsia="宋体" w:hint="default"/>
          <w:b/>
          <w:bCs/>
          <w:w w:val="99"/>
          <w:sz w:val="21"/>
          <w:szCs w:val="21"/>
        </w:rPr>
        <w:t> </w:t>
      </w:r>
      <w:r>
        <w:rPr>
          <w:rFonts w:ascii="宋体" w:hAnsi="宋体" w:cs="宋体" w:eastAsia="宋体" w:hint="default"/>
          <w:sz w:val="21"/>
          <w:szCs w:val="21"/>
        </w:rPr>
        <w:t>本期没有对上年期末余额进行调整的</w:t>
      </w:r>
      <w:r>
        <w:rPr>
          <w:rFonts w:ascii="Times New Roman" w:hAnsi="Times New Roman" w:cs="Times New Roman" w:eastAsia="Times New Roman" w:hint="default"/>
          <w:sz w:val="21"/>
          <w:szCs w:val="21"/>
        </w:rPr>
        <w:t>“</w:t>
      </w:r>
      <w:r>
        <w:rPr>
          <w:rFonts w:ascii="宋体" w:hAnsi="宋体" w:cs="宋体" w:eastAsia="宋体" w:hint="default"/>
          <w:sz w:val="21"/>
          <w:szCs w:val="21"/>
        </w:rPr>
        <w:t>其他</w:t>
      </w:r>
      <w:r>
        <w:rPr>
          <w:rFonts w:ascii="Times New Roman" w:hAnsi="Times New Roman" w:cs="Times New Roman" w:eastAsia="Times New Roman" w:hint="default"/>
          <w:sz w:val="21"/>
          <w:szCs w:val="21"/>
        </w:rPr>
        <w:t>”</w:t>
      </w:r>
      <w:r>
        <w:rPr>
          <w:rFonts w:ascii="宋体" w:hAnsi="宋体" w:cs="宋体" w:eastAsia="宋体" w:hint="default"/>
          <w:sz w:val="21"/>
          <w:szCs w:val="21"/>
        </w:rPr>
        <w:t>项目。</w:t>
      </w:r>
    </w:p>
    <w:p>
      <w:pPr>
        <w:spacing w:line="240" w:lineRule="auto" w:before="9"/>
        <w:rPr>
          <w:rFonts w:ascii="宋体" w:hAnsi="宋体" w:cs="宋体" w:eastAsia="宋体" w:hint="default"/>
          <w:sz w:val="28"/>
          <w:szCs w:val="28"/>
        </w:rPr>
      </w:pPr>
    </w:p>
    <w:p>
      <w:pPr>
        <w:pStyle w:val="Heading3"/>
        <w:spacing w:line="240" w:lineRule="auto" w:before="0"/>
        <w:ind w:right="1394"/>
        <w:jc w:val="left"/>
        <w:rPr>
          <w:b w:val="0"/>
          <w:bCs w:val="0"/>
        </w:rPr>
      </w:pPr>
      <w:bookmarkStart w:name="53、所有权或使用权受到限制的资产" w:id="334"/>
      <w:bookmarkEnd w:id="334"/>
      <w:r>
        <w:rPr>
          <w:b w:val="0"/>
          <w:bCs w:val="0"/>
        </w:rPr>
      </w:r>
      <w:r>
        <w:rPr>
          <w:rFonts w:ascii="Times New Roman" w:hAnsi="Times New Roman" w:cs="Times New Roman" w:eastAsia="Times New Roman" w:hint="default"/>
        </w:rPr>
        <w:t>53</w:t>
      </w:r>
      <w:r>
        <w:rPr/>
        <w:t>、所有权或使用权受到限制的资产</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27"/>
        <w:gridCol w:w="2627"/>
        <w:gridCol w:w="3614"/>
      </w:tblGrid>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26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68"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30,878,640.12</w:t>
            </w:r>
          </w:p>
        </w:tc>
        <w:tc>
          <w:tcPr>
            <w:tcW w:w="3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银行保证金、履约保证金和财政监管资金</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12,045,319.30</w:t>
            </w:r>
          </w:p>
        </w:tc>
        <w:tc>
          <w:tcPr>
            <w:tcW w:w="3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银行质押</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84,575,000.00</w:t>
            </w:r>
          </w:p>
        </w:tc>
        <w:tc>
          <w:tcPr>
            <w:tcW w:w="3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127,498,959.42</w:t>
            </w:r>
          </w:p>
        </w:tc>
        <w:tc>
          <w:tcPr>
            <w:tcW w:w="3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3"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78" w:footer="978" w:top="1100" w:bottom="1160" w:left="1020" w:right="0"/>
        </w:sectPr>
      </w:pPr>
    </w:p>
    <w:p>
      <w:pPr>
        <w:pStyle w:val="Heading4"/>
        <w:spacing w:line="240" w:lineRule="auto" w:before="41"/>
        <w:ind w:left="952" w:right="0"/>
        <w:jc w:val="left"/>
      </w:pPr>
      <w:r>
        <w:rPr/>
        <w:t>应收票据质押明细：</w:t>
      </w:r>
    </w:p>
    <w:p>
      <w:pPr>
        <w:spacing w:line="240" w:lineRule="auto" w:before="0"/>
        <w:rPr>
          <w:rFonts w:ascii="宋体" w:hAnsi="宋体" w:cs="宋体" w:eastAsia="宋体" w:hint="default"/>
          <w:sz w:val="3"/>
          <w:szCs w:val="3"/>
        </w:rPr>
      </w:pPr>
    </w:p>
    <w:tbl>
      <w:tblPr>
        <w:tblW w:w="0" w:type="auto"/>
        <w:jc w:val="left"/>
        <w:tblInd w:w="127" w:type="dxa"/>
        <w:tblLayout w:type="fixed"/>
        <w:tblCellMar>
          <w:top w:w="0" w:type="dxa"/>
          <w:left w:w="0" w:type="dxa"/>
          <w:bottom w:w="0" w:type="dxa"/>
          <w:right w:w="0" w:type="dxa"/>
        </w:tblCellMar>
        <w:tblLook w:val="01E0"/>
      </w:tblPr>
      <w:tblGrid>
        <w:gridCol w:w="1803"/>
        <w:gridCol w:w="1804"/>
        <w:gridCol w:w="3216"/>
        <w:gridCol w:w="1825"/>
        <w:gridCol w:w="1803"/>
        <w:gridCol w:w="1920"/>
        <w:gridCol w:w="1803"/>
      </w:tblGrid>
      <w:tr>
        <w:trPr>
          <w:trHeight w:val="402" w:hRule="exact"/>
        </w:trPr>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出质人</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质权人</w:t>
            </w:r>
          </w:p>
        </w:tc>
        <w:tc>
          <w:tcPr>
            <w:tcW w:w="3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票号</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47" w:right="0"/>
              <w:jc w:val="left"/>
              <w:rPr>
                <w:rFonts w:ascii="宋体" w:hAnsi="宋体" w:cs="宋体" w:eastAsia="宋体" w:hint="default"/>
                <w:sz w:val="18"/>
                <w:szCs w:val="18"/>
              </w:rPr>
            </w:pPr>
            <w:r>
              <w:rPr>
                <w:rFonts w:ascii="宋体" w:hAnsi="宋体" w:cs="宋体" w:eastAsia="宋体" w:hint="default"/>
                <w:sz w:val="18"/>
                <w:szCs w:val="18"/>
              </w:rPr>
              <w:t>出质日期</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36" w:right="0"/>
              <w:jc w:val="left"/>
              <w:rPr>
                <w:rFonts w:ascii="宋体" w:hAnsi="宋体" w:cs="宋体" w:eastAsia="宋体" w:hint="default"/>
                <w:sz w:val="18"/>
                <w:szCs w:val="18"/>
              </w:rPr>
            </w:pPr>
            <w:r>
              <w:rPr>
                <w:rFonts w:ascii="宋体" w:hAnsi="宋体" w:cs="宋体" w:eastAsia="宋体" w:hint="default"/>
                <w:sz w:val="18"/>
                <w:szCs w:val="18"/>
              </w:rPr>
              <w:t>出票银行</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714" w:hRule="exact"/>
        </w:trPr>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34"/>
              <w:ind w:left="103" w:right="102"/>
              <w:jc w:val="left"/>
              <w:rPr>
                <w:rFonts w:ascii="宋体" w:hAnsi="宋体" w:cs="宋体" w:eastAsia="宋体" w:hint="default"/>
                <w:sz w:val="20"/>
                <w:szCs w:val="20"/>
              </w:rPr>
            </w:pPr>
            <w:r>
              <w:rPr>
                <w:rFonts w:ascii="宋体" w:hAnsi="宋体" w:cs="宋体" w:eastAsia="宋体" w:hint="default"/>
                <w:sz w:val="20"/>
                <w:szCs w:val="20"/>
              </w:rPr>
              <w:t>广</w:t>
            </w:r>
            <w:r>
              <w:rPr>
                <w:rFonts w:ascii="宋体" w:hAnsi="宋体" w:cs="宋体" w:eastAsia="宋体" w:hint="default"/>
                <w:spacing w:val="-71"/>
                <w:sz w:val="20"/>
                <w:szCs w:val="20"/>
              </w:rPr>
              <w:t> </w:t>
            </w:r>
            <w:r>
              <w:rPr>
                <w:rFonts w:ascii="宋体" w:hAnsi="宋体" w:cs="宋体" w:eastAsia="宋体" w:hint="default"/>
                <w:sz w:val="20"/>
                <w:szCs w:val="20"/>
              </w:rPr>
              <w:t>州</w:t>
            </w:r>
            <w:r>
              <w:rPr>
                <w:rFonts w:ascii="宋体" w:hAnsi="宋体" w:cs="宋体" w:eastAsia="宋体" w:hint="default"/>
                <w:spacing w:val="-69"/>
                <w:sz w:val="20"/>
                <w:szCs w:val="20"/>
              </w:rPr>
              <w:t> </w:t>
            </w:r>
            <w:r>
              <w:rPr>
                <w:rFonts w:ascii="宋体" w:hAnsi="宋体" w:cs="宋体" w:eastAsia="宋体" w:hint="default"/>
                <w:sz w:val="20"/>
                <w:szCs w:val="20"/>
              </w:rPr>
              <w:t>广</w:t>
            </w:r>
            <w:r>
              <w:rPr>
                <w:rFonts w:ascii="宋体" w:hAnsi="宋体" w:cs="宋体" w:eastAsia="宋体" w:hint="default"/>
                <w:spacing w:val="-71"/>
                <w:sz w:val="20"/>
                <w:szCs w:val="20"/>
              </w:rPr>
              <w:t> </w:t>
            </w:r>
            <w:r>
              <w:rPr>
                <w:rFonts w:ascii="宋体" w:hAnsi="宋体" w:cs="宋体" w:eastAsia="宋体" w:hint="default"/>
                <w:sz w:val="20"/>
                <w:szCs w:val="20"/>
              </w:rPr>
              <w:t>电</w:t>
            </w:r>
            <w:r>
              <w:rPr>
                <w:rFonts w:ascii="宋体" w:hAnsi="宋体" w:cs="宋体" w:eastAsia="宋体" w:hint="default"/>
                <w:spacing w:val="-71"/>
                <w:sz w:val="20"/>
                <w:szCs w:val="20"/>
              </w:rPr>
              <w:t> </w:t>
            </w:r>
            <w:r>
              <w:rPr>
                <w:rFonts w:ascii="宋体" w:hAnsi="宋体" w:cs="宋体" w:eastAsia="宋体" w:hint="default"/>
                <w:sz w:val="20"/>
                <w:szCs w:val="20"/>
              </w:rPr>
              <w:t>运</w:t>
            </w:r>
            <w:r>
              <w:rPr>
                <w:rFonts w:ascii="宋体" w:hAnsi="宋体" w:cs="宋体" w:eastAsia="宋体" w:hint="default"/>
                <w:spacing w:val="-69"/>
                <w:sz w:val="20"/>
                <w:szCs w:val="20"/>
              </w:rPr>
              <w:t> </w:t>
            </w:r>
            <w:r>
              <w:rPr>
                <w:rFonts w:ascii="宋体" w:hAnsi="宋体" w:cs="宋体" w:eastAsia="宋体" w:hint="default"/>
                <w:sz w:val="20"/>
                <w:szCs w:val="20"/>
              </w:rPr>
              <w:t>通</w:t>
            </w:r>
            <w:r>
              <w:rPr>
                <w:rFonts w:ascii="宋体" w:hAnsi="宋体" w:cs="宋体" w:eastAsia="宋体" w:hint="default"/>
                <w:spacing w:val="-71"/>
                <w:sz w:val="20"/>
                <w:szCs w:val="20"/>
              </w:rPr>
              <w:t> </w:t>
            </w:r>
            <w:r>
              <w:rPr>
                <w:rFonts w:ascii="宋体" w:hAnsi="宋体" w:cs="宋体" w:eastAsia="宋体" w:hint="default"/>
                <w:sz w:val="20"/>
                <w:szCs w:val="20"/>
              </w:rPr>
              <w:t>智</w:t>
            </w:r>
            <w:r>
              <w:rPr>
                <w:rFonts w:ascii="宋体" w:hAnsi="宋体" w:cs="宋体" w:eastAsia="宋体" w:hint="default"/>
                <w:w w:val="99"/>
                <w:sz w:val="20"/>
                <w:szCs w:val="20"/>
              </w:rPr>
              <w:t> </w:t>
            </w:r>
            <w:r>
              <w:rPr>
                <w:rFonts w:ascii="宋体" w:hAnsi="宋体" w:cs="宋体" w:eastAsia="宋体" w:hint="default"/>
                <w:sz w:val="20"/>
                <w:szCs w:val="20"/>
              </w:rPr>
              <w:t>能科技有限公司</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34"/>
              <w:ind w:left="102" w:right="103"/>
              <w:jc w:val="left"/>
              <w:rPr>
                <w:rFonts w:ascii="宋体" w:hAnsi="宋体" w:cs="宋体" w:eastAsia="宋体" w:hint="default"/>
                <w:sz w:val="20"/>
                <w:szCs w:val="20"/>
              </w:rPr>
            </w:pPr>
            <w:r>
              <w:rPr>
                <w:rFonts w:ascii="宋体" w:hAnsi="宋体" w:cs="宋体" w:eastAsia="宋体" w:hint="default"/>
                <w:sz w:val="20"/>
                <w:szCs w:val="20"/>
              </w:rPr>
              <w:t>招</w:t>
            </w:r>
            <w:r>
              <w:rPr>
                <w:rFonts w:ascii="宋体" w:hAnsi="宋体" w:cs="宋体" w:eastAsia="宋体" w:hint="default"/>
                <w:spacing w:val="-71"/>
                <w:sz w:val="20"/>
                <w:szCs w:val="20"/>
              </w:rPr>
              <w:t> </w:t>
            </w:r>
            <w:r>
              <w:rPr>
                <w:rFonts w:ascii="宋体" w:hAnsi="宋体" w:cs="宋体" w:eastAsia="宋体" w:hint="default"/>
                <w:sz w:val="20"/>
                <w:szCs w:val="20"/>
              </w:rPr>
              <w:t>商</w:t>
            </w:r>
            <w:r>
              <w:rPr>
                <w:rFonts w:ascii="宋体" w:hAnsi="宋体" w:cs="宋体" w:eastAsia="宋体" w:hint="default"/>
                <w:spacing w:val="-69"/>
                <w:sz w:val="20"/>
                <w:szCs w:val="20"/>
              </w:rPr>
              <w:t> </w:t>
            </w:r>
            <w:r>
              <w:rPr>
                <w:rFonts w:ascii="宋体" w:hAnsi="宋体" w:cs="宋体" w:eastAsia="宋体" w:hint="default"/>
                <w:sz w:val="20"/>
                <w:szCs w:val="20"/>
              </w:rPr>
              <w:t>银</w:t>
            </w:r>
            <w:r>
              <w:rPr>
                <w:rFonts w:ascii="宋体" w:hAnsi="宋体" w:cs="宋体" w:eastAsia="宋体" w:hint="default"/>
                <w:spacing w:val="-71"/>
                <w:sz w:val="20"/>
                <w:szCs w:val="20"/>
              </w:rPr>
              <w:t> </w:t>
            </w:r>
            <w:r>
              <w:rPr>
                <w:rFonts w:ascii="宋体" w:hAnsi="宋体" w:cs="宋体" w:eastAsia="宋体" w:hint="default"/>
                <w:sz w:val="20"/>
                <w:szCs w:val="20"/>
              </w:rPr>
              <w:t>行</w:t>
            </w:r>
            <w:r>
              <w:rPr>
                <w:rFonts w:ascii="宋体" w:hAnsi="宋体" w:cs="宋体" w:eastAsia="宋体" w:hint="default"/>
                <w:spacing w:val="-69"/>
                <w:sz w:val="20"/>
                <w:szCs w:val="20"/>
              </w:rPr>
              <w:t> </w:t>
            </w:r>
            <w:r>
              <w:rPr>
                <w:rFonts w:ascii="宋体" w:hAnsi="宋体" w:cs="宋体" w:eastAsia="宋体" w:hint="default"/>
                <w:sz w:val="20"/>
                <w:szCs w:val="20"/>
              </w:rPr>
              <w:t>股</w:t>
            </w:r>
            <w:r>
              <w:rPr>
                <w:rFonts w:ascii="宋体" w:hAnsi="宋体" w:cs="宋体" w:eastAsia="宋体" w:hint="default"/>
                <w:spacing w:val="-71"/>
                <w:sz w:val="20"/>
                <w:szCs w:val="20"/>
              </w:rPr>
              <w:t> </w:t>
            </w:r>
            <w:r>
              <w:rPr>
                <w:rFonts w:ascii="宋体" w:hAnsi="宋体" w:cs="宋体" w:eastAsia="宋体" w:hint="default"/>
                <w:sz w:val="20"/>
                <w:szCs w:val="20"/>
              </w:rPr>
              <w:t>份</w:t>
            </w:r>
            <w:r>
              <w:rPr>
                <w:rFonts w:ascii="宋体" w:hAnsi="宋体" w:cs="宋体" w:eastAsia="宋体" w:hint="default"/>
                <w:spacing w:val="-71"/>
                <w:sz w:val="20"/>
                <w:szCs w:val="20"/>
              </w:rPr>
              <w:t> </w:t>
            </w:r>
            <w:r>
              <w:rPr>
                <w:rFonts w:ascii="宋体" w:hAnsi="宋体" w:cs="宋体" w:eastAsia="宋体" w:hint="default"/>
                <w:sz w:val="20"/>
                <w:szCs w:val="20"/>
              </w:rPr>
              <w:t>有</w:t>
            </w:r>
            <w:r>
              <w:rPr>
                <w:rFonts w:ascii="宋体" w:hAnsi="宋体" w:cs="宋体" w:eastAsia="宋体" w:hint="default"/>
                <w:w w:val="99"/>
                <w:sz w:val="20"/>
                <w:szCs w:val="20"/>
              </w:rPr>
              <w:t> </w:t>
            </w:r>
            <w:r>
              <w:rPr>
                <w:rFonts w:ascii="宋体" w:hAnsi="宋体" w:cs="宋体" w:eastAsia="宋体" w:hint="default"/>
                <w:sz w:val="20"/>
                <w:szCs w:val="20"/>
              </w:rPr>
              <w:t>限公司广州分行</w:t>
            </w:r>
          </w:p>
        </w:tc>
        <w:tc>
          <w:tcPr>
            <w:tcW w:w="3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20"/>
                <w:szCs w:val="20"/>
              </w:rPr>
            </w:pPr>
            <w:r>
              <w:rPr>
                <w:rFonts w:ascii="Times New Roman"/>
                <w:sz w:val="20"/>
              </w:rPr>
              <w:t>110433105386520190701426660638</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34"/>
              <w:ind w:left="102" w:right="102"/>
              <w:jc w:val="left"/>
              <w:rPr>
                <w:rFonts w:ascii="宋体" w:hAnsi="宋体" w:cs="宋体" w:eastAsia="宋体" w:hint="default"/>
                <w:sz w:val="20"/>
                <w:szCs w:val="20"/>
              </w:rPr>
            </w:pPr>
            <w:r>
              <w:rPr>
                <w:rFonts w:ascii="宋体" w:hAnsi="宋体" w:cs="宋体" w:eastAsia="宋体" w:hint="default"/>
                <w:sz w:val="20"/>
                <w:szCs w:val="20"/>
              </w:rPr>
              <w:t>中</w:t>
            </w:r>
            <w:r>
              <w:rPr>
                <w:rFonts w:ascii="宋体" w:hAnsi="宋体" w:cs="宋体" w:eastAsia="宋体" w:hint="default"/>
                <w:spacing w:val="-71"/>
                <w:sz w:val="20"/>
                <w:szCs w:val="20"/>
              </w:rPr>
              <w:t> </w:t>
            </w:r>
            <w:r>
              <w:rPr>
                <w:rFonts w:ascii="宋体" w:hAnsi="宋体" w:cs="宋体" w:eastAsia="宋体" w:hint="default"/>
                <w:sz w:val="20"/>
                <w:szCs w:val="20"/>
              </w:rPr>
              <w:t>国</w:t>
            </w:r>
            <w:r>
              <w:rPr>
                <w:rFonts w:ascii="宋体" w:hAnsi="宋体" w:cs="宋体" w:eastAsia="宋体" w:hint="default"/>
                <w:spacing w:val="-69"/>
                <w:sz w:val="20"/>
                <w:szCs w:val="20"/>
              </w:rPr>
              <w:t> </w:t>
            </w:r>
            <w:r>
              <w:rPr>
                <w:rFonts w:ascii="宋体" w:hAnsi="宋体" w:cs="宋体" w:eastAsia="宋体" w:hint="default"/>
                <w:sz w:val="20"/>
                <w:szCs w:val="20"/>
              </w:rPr>
              <w:t>银</w:t>
            </w:r>
            <w:r>
              <w:rPr>
                <w:rFonts w:ascii="宋体" w:hAnsi="宋体" w:cs="宋体" w:eastAsia="宋体" w:hint="default"/>
                <w:spacing w:val="-71"/>
                <w:sz w:val="20"/>
                <w:szCs w:val="20"/>
              </w:rPr>
              <w:t> </w:t>
            </w:r>
            <w:r>
              <w:rPr>
                <w:rFonts w:ascii="宋体" w:hAnsi="宋体" w:cs="宋体" w:eastAsia="宋体" w:hint="default"/>
                <w:sz w:val="20"/>
                <w:szCs w:val="20"/>
              </w:rPr>
              <w:t>行</w:t>
            </w:r>
            <w:r>
              <w:rPr>
                <w:rFonts w:ascii="宋体" w:hAnsi="宋体" w:cs="宋体" w:eastAsia="宋体" w:hint="default"/>
                <w:spacing w:val="-71"/>
                <w:sz w:val="20"/>
                <w:szCs w:val="20"/>
              </w:rPr>
              <w:t> </w:t>
            </w:r>
            <w:r>
              <w:rPr>
                <w:rFonts w:ascii="宋体" w:hAnsi="宋体" w:cs="宋体" w:eastAsia="宋体" w:hint="default"/>
                <w:sz w:val="20"/>
                <w:szCs w:val="20"/>
              </w:rPr>
              <w:t>杭</w:t>
            </w:r>
            <w:r>
              <w:rPr>
                <w:rFonts w:ascii="宋体" w:hAnsi="宋体" w:cs="宋体" w:eastAsia="宋体" w:hint="default"/>
                <w:spacing w:val="-69"/>
                <w:sz w:val="20"/>
                <w:szCs w:val="20"/>
              </w:rPr>
              <w:t> </w:t>
            </w:r>
            <w:r>
              <w:rPr>
                <w:rFonts w:ascii="宋体" w:hAnsi="宋体" w:cs="宋体" w:eastAsia="宋体" w:hint="default"/>
                <w:sz w:val="20"/>
                <w:szCs w:val="20"/>
              </w:rPr>
              <w:t>州</w:t>
            </w:r>
            <w:r>
              <w:rPr>
                <w:rFonts w:ascii="宋体" w:hAnsi="宋体" w:cs="宋体" w:eastAsia="宋体" w:hint="default"/>
                <w:spacing w:val="-71"/>
                <w:sz w:val="20"/>
                <w:szCs w:val="20"/>
              </w:rPr>
              <w:t> </w:t>
            </w:r>
            <w:r>
              <w:rPr>
                <w:rFonts w:ascii="宋体" w:hAnsi="宋体" w:cs="宋体" w:eastAsia="宋体" w:hint="default"/>
                <w:sz w:val="20"/>
                <w:szCs w:val="20"/>
              </w:rPr>
              <w:t>市</w:t>
            </w:r>
            <w:r>
              <w:rPr>
                <w:rFonts w:ascii="宋体" w:hAnsi="宋体" w:cs="宋体" w:eastAsia="宋体" w:hint="default"/>
                <w:w w:val="99"/>
                <w:sz w:val="20"/>
                <w:szCs w:val="20"/>
              </w:rPr>
              <w:t> </w:t>
            </w:r>
            <w:r>
              <w:rPr>
                <w:rFonts w:ascii="宋体" w:hAnsi="宋体" w:cs="宋体" w:eastAsia="宋体" w:hint="default"/>
                <w:sz w:val="20"/>
                <w:szCs w:val="20"/>
              </w:rPr>
              <w:t>庆春支行</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02" w:right="0"/>
              <w:jc w:val="left"/>
              <w:rPr>
                <w:rFonts w:ascii="Times New Roman" w:hAnsi="Times New Roman" w:cs="Times New Roman" w:eastAsia="Times New Roman" w:hint="default"/>
                <w:sz w:val="20"/>
                <w:szCs w:val="20"/>
              </w:rPr>
            </w:pPr>
            <w:r>
              <w:rPr>
                <w:rFonts w:ascii="Times New Roman"/>
                <w:sz w:val="20"/>
              </w:rPr>
              <w:t>2,594,077.47</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4" w:right="0"/>
              <w:jc w:val="left"/>
              <w:rPr>
                <w:rFonts w:ascii="宋体" w:hAnsi="宋体" w:cs="宋体" w:eastAsia="宋体" w:hint="default"/>
                <w:sz w:val="20"/>
                <w:szCs w:val="20"/>
              </w:rPr>
            </w:pPr>
            <w:r>
              <w:rPr>
                <w:rFonts w:ascii="宋体" w:hAnsi="宋体" w:cs="宋体" w:eastAsia="宋体" w:hint="default"/>
                <w:sz w:val="20"/>
                <w:szCs w:val="20"/>
              </w:rPr>
              <w:t>票据池业务质押</w:t>
            </w:r>
          </w:p>
        </w:tc>
      </w:tr>
      <w:tr>
        <w:trPr>
          <w:trHeight w:val="1026" w:hRule="exact"/>
        </w:trPr>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85" w:lineRule="auto"/>
              <w:ind w:left="103" w:right="102"/>
              <w:jc w:val="left"/>
              <w:rPr>
                <w:rFonts w:ascii="宋体" w:hAnsi="宋体" w:cs="宋体" w:eastAsia="宋体" w:hint="default"/>
                <w:sz w:val="20"/>
                <w:szCs w:val="20"/>
              </w:rPr>
            </w:pPr>
            <w:r>
              <w:rPr>
                <w:rFonts w:ascii="宋体" w:hAnsi="宋体" w:cs="宋体" w:eastAsia="宋体" w:hint="default"/>
                <w:sz w:val="20"/>
                <w:szCs w:val="20"/>
              </w:rPr>
              <w:t>广</w:t>
            </w:r>
            <w:r>
              <w:rPr>
                <w:rFonts w:ascii="宋体" w:hAnsi="宋体" w:cs="宋体" w:eastAsia="宋体" w:hint="default"/>
                <w:spacing w:val="-71"/>
                <w:sz w:val="20"/>
                <w:szCs w:val="20"/>
              </w:rPr>
              <w:t> </w:t>
            </w:r>
            <w:r>
              <w:rPr>
                <w:rFonts w:ascii="宋体" w:hAnsi="宋体" w:cs="宋体" w:eastAsia="宋体" w:hint="default"/>
                <w:sz w:val="20"/>
                <w:szCs w:val="20"/>
              </w:rPr>
              <w:t>州</w:t>
            </w:r>
            <w:r>
              <w:rPr>
                <w:rFonts w:ascii="宋体" w:hAnsi="宋体" w:cs="宋体" w:eastAsia="宋体" w:hint="default"/>
                <w:spacing w:val="-69"/>
                <w:sz w:val="20"/>
                <w:szCs w:val="20"/>
              </w:rPr>
              <w:t> </w:t>
            </w:r>
            <w:r>
              <w:rPr>
                <w:rFonts w:ascii="宋体" w:hAnsi="宋体" w:cs="宋体" w:eastAsia="宋体" w:hint="default"/>
                <w:sz w:val="20"/>
                <w:szCs w:val="20"/>
              </w:rPr>
              <w:t>广</w:t>
            </w:r>
            <w:r>
              <w:rPr>
                <w:rFonts w:ascii="宋体" w:hAnsi="宋体" w:cs="宋体" w:eastAsia="宋体" w:hint="default"/>
                <w:spacing w:val="-71"/>
                <w:sz w:val="20"/>
                <w:szCs w:val="20"/>
              </w:rPr>
              <w:t> </w:t>
            </w:r>
            <w:r>
              <w:rPr>
                <w:rFonts w:ascii="宋体" w:hAnsi="宋体" w:cs="宋体" w:eastAsia="宋体" w:hint="default"/>
                <w:sz w:val="20"/>
                <w:szCs w:val="20"/>
              </w:rPr>
              <w:t>电</w:t>
            </w:r>
            <w:r>
              <w:rPr>
                <w:rFonts w:ascii="宋体" w:hAnsi="宋体" w:cs="宋体" w:eastAsia="宋体" w:hint="default"/>
                <w:spacing w:val="-71"/>
                <w:sz w:val="20"/>
                <w:szCs w:val="20"/>
              </w:rPr>
              <w:t> </w:t>
            </w:r>
            <w:r>
              <w:rPr>
                <w:rFonts w:ascii="宋体" w:hAnsi="宋体" w:cs="宋体" w:eastAsia="宋体" w:hint="default"/>
                <w:sz w:val="20"/>
                <w:szCs w:val="20"/>
              </w:rPr>
              <w:t>运</w:t>
            </w:r>
            <w:r>
              <w:rPr>
                <w:rFonts w:ascii="宋体" w:hAnsi="宋体" w:cs="宋体" w:eastAsia="宋体" w:hint="default"/>
                <w:spacing w:val="-69"/>
                <w:sz w:val="20"/>
                <w:szCs w:val="20"/>
              </w:rPr>
              <w:t> </w:t>
            </w:r>
            <w:r>
              <w:rPr>
                <w:rFonts w:ascii="宋体" w:hAnsi="宋体" w:cs="宋体" w:eastAsia="宋体" w:hint="default"/>
                <w:sz w:val="20"/>
                <w:szCs w:val="20"/>
              </w:rPr>
              <w:t>通</w:t>
            </w:r>
            <w:r>
              <w:rPr>
                <w:rFonts w:ascii="宋体" w:hAnsi="宋体" w:cs="宋体" w:eastAsia="宋体" w:hint="default"/>
                <w:spacing w:val="-71"/>
                <w:sz w:val="20"/>
                <w:szCs w:val="20"/>
              </w:rPr>
              <w:t> </w:t>
            </w:r>
            <w:r>
              <w:rPr>
                <w:rFonts w:ascii="宋体" w:hAnsi="宋体" w:cs="宋体" w:eastAsia="宋体" w:hint="default"/>
                <w:sz w:val="20"/>
                <w:szCs w:val="20"/>
              </w:rPr>
              <w:t>智</w:t>
            </w:r>
            <w:r>
              <w:rPr>
                <w:rFonts w:ascii="宋体" w:hAnsi="宋体" w:cs="宋体" w:eastAsia="宋体" w:hint="default"/>
                <w:w w:val="99"/>
                <w:sz w:val="20"/>
                <w:szCs w:val="20"/>
              </w:rPr>
              <w:t> </w:t>
            </w:r>
            <w:r>
              <w:rPr>
                <w:rFonts w:ascii="宋体" w:hAnsi="宋体" w:cs="宋体" w:eastAsia="宋体" w:hint="default"/>
                <w:sz w:val="20"/>
                <w:szCs w:val="20"/>
              </w:rPr>
              <w:t>能科技有限公司</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85" w:lineRule="auto"/>
              <w:ind w:left="102" w:right="103"/>
              <w:jc w:val="left"/>
              <w:rPr>
                <w:rFonts w:ascii="宋体" w:hAnsi="宋体" w:cs="宋体" w:eastAsia="宋体" w:hint="default"/>
                <w:sz w:val="20"/>
                <w:szCs w:val="20"/>
              </w:rPr>
            </w:pPr>
            <w:r>
              <w:rPr>
                <w:rFonts w:ascii="宋体" w:hAnsi="宋体" w:cs="宋体" w:eastAsia="宋体" w:hint="default"/>
                <w:sz w:val="20"/>
                <w:szCs w:val="20"/>
              </w:rPr>
              <w:t>招</w:t>
            </w:r>
            <w:r>
              <w:rPr>
                <w:rFonts w:ascii="宋体" w:hAnsi="宋体" w:cs="宋体" w:eastAsia="宋体" w:hint="default"/>
                <w:spacing w:val="-71"/>
                <w:sz w:val="20"/>
                <w:szCs w:val="20"/>
              </w:rPr>
              <w:t> </w:t>
            </w:r>
            <w:r>
              <w:rPr>
                <w:rFonts w:ascii="宋体" w:hAnsi="宋体" w:cs="宋体" w:eastAsia="宋体" w:hint="default"/>
                <w:sz w:val="20"/>
                <w:szCs w:val="20"/>
              </w:rPr>
              <w:t>商</w:t>
            </w:r>
            <w:r>
              <w:rPr>
                <w:rFonts w:ascii="宋体" w:hAnsi="宋体" w:cs="宋体" w:eastAsia="宋体" w:hint="default"/>
                <w:spacing w:val="-69"/>
                <w:sz w:val="20"/>
                <w:szCs w:val="20"/>
              </w:rPr>
              <w:t> </w:t>
            </w:r>
            <w:r>
              <w:rPr>
                <w:rFonts w:ascii="宋体" w:hAnsi="宋体" w:cs="宋体" w:eastAsia="宋体" w:hint="default"/>
                <w:sz w:val="20"/>
                <w:szCs w:val="20"/>
              </w:rPr>
              <w:t>银</w:t>
            </w:r>
            <w:r>
              <w:rPr>
                <w:rFonts w:ascii="宋体" w:hAnsi="宋体" w:cs="宋体" w:eastAsia="宋体" w:hint="default"/>
                <w:spacing w:val="-71"/>
                <w:sz w:val="20"/>
                <w:szCs w:val="20"/>
              </w:rPr>
              <w:t> </w:t>
            </w:r>
            <w:r>
              <w:rPr>
                <w:rFonts w:ascii="宋体" w:hAnsi="宋体" w:cs="宋体" w:eastAsia="宋体" w:hint="default"/>
                <w:sz w:val="20"/>
                <w:szCs w:val="20"/>
              </w:rPr>
              <w:t>行</w:t>
            </w:r>
            <w:r>
              <w:rPr>
                <w:rFonts w:ascii="宋体" w:hAnsi="宋体" w:cs="宋体" w:eastAsia="宋体" w:hint="default"/>
                <w:spacing w:val="-69"/>
                <w:sz w:val="20"/>
                <w:szCs w:val="20"/>
              </w:rPr>
              <w:t> </w:t>
            </w:r>
            <w:r>
              <w:rPr>
                <w:rFonts w:ascii="宋体" w:hAnsi="宋体" w:cs="宋体" w:eastAsia="宋体" w:hint="default"/>
                <w:sz w:val="20"/>
                <w:szCs w:val="20"/>
              </w:rPr>
              <w:t>股</w:t>
            </w:r>
            <w:r>
              <w:rPr>
                <w:rFonts w:ascii="宋体" w:hAnsi="宋体" w:cs="宋体" w:eastAsia="宋体" w:hint="default"/>
                <w:spacing w:val="-71"/>
                <w:sz w:val="20"/>
                <w:szCs w:val="20"/>
              </w:rPr>
              <w:t> </w:t>
            </w:r>
            <w:r>
              <w:rPr>
                <w:rFonts w:ascii="宋体" w:hAnsi="宋体" w:cs="宋体" w:eastAsia="宋体" w:hint="default"/>
                <w:sz w:val="20"/>
                <w:szCs w:val="20"/>
              </w:rPr>
              <w:t>份</w:t>
            </w:r>
            <w:r>
              <w:rPr>
                <w:rFonts w:ascii="宋体" w:hAnsi="宋体" w:cs="宋体" w:eastAsia="宋体" w:hint="default"/>
                <w:spacing w:val="-71"/>
                <w:sz w:val="20"/>
                <w:szCs w:val="20"/>
              </w:rPr>
              <w:t> </w:t>
            </w:r>
            <w:r>
              <w:rPr>
                <w:rFonts w:ascii="宋体" w:hAnsi="宋体" w:cs="宋体" w:eastAsia="宋体" w:hint="default"/>
                <w:sz w:val="20"/>
                <w:szCs w:val="20"/>
              </w:rPr>
              <w:t>有</w:t>
            </w:r>
            <w:r>
              <w:rPr>
                <w:rFonts w:ascii="宋体" w:hAnsi="宋体" w:cs="宋体" w:eastAsia="宋体" w:hint="default"/>
                <w:w w:val="99"/>
                <w:sz w:val="20"/>
                <w:szCs w:val="20"/>
              </w:rPr>
              <w:t> </w:t>
            </w:r>
            <w:r>
              <w:rPr>
                <w:rFonts w:ascii="宋体" w:hAnsi="宋体" w:cs="宋体" w:eastAsia="宋体" w:hint="default"/>
                <w:sz w:val="20"/>
                <w:szCs w:val="20"/>
              </w:rPr>
              <w:t>限公司广州分行</w:t>
            </w:r>
          </w:p>
        </w:tc>
        <w:tc>
          <w:tcPr>
            <w:tcW w:w="3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left="1" w:right="0"/>
              <w:jc w:val="center"/>
              <w:rPr>
                <w:rFonts w:ascii="Times New Roman" w:hAnsi="Times New Roman" w:cs="Times New Roman" w:eastAsia="Times New Roman" w:hint="default"/>
                <w:sz w:val="20"/>
                <w:szCs w:val="20"/>
              </w:rPr>
            </w:pPr>
            <w:r>
              <w:rPr>
                <w:rFonts w:ascii="Times New Roman"/>
                <w:sz w:val="20"/>
              </w:rPr>
              <w:t>110258100007220190815454443512</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36"/>
              <w:ind w:left="102" w:right="102"/>
              <w:jc w:val="both"/>
              <w:rPr>
                <w:rFonts w:ascii="宋体" w:hAnsi="宋体" w:cs="宋体" w:eastAsia="宋体" w:hint="default"/>
                <w:sz w:val="20"/>
                <w:szCs w:val="20"/>
              </w:rPr>
            </w:pPr>
            <w:r>
              <w:rPr>
                <w:rFonts w:ascii="宋体" w:hAnsi="宋体" w:cs="宋体" w:eastAsia="宋体" w:hint="default"/>
                <w:sz w:val="20"/>
                <w:szCs w:val="20"/>
              </w:rPr>
              <w:t>中</w:t>
            </w:r>
            <w:r>
              <w:rPr>
                <w:rFonts w:ascii="宋体" w:hAnsi="宋体" w:cs="宋体" w:eastAsia="宋体" w:hint="default"/>
                <w:spacing w:val="-71"/>
                <w:sz w:val="20"/>
                <w:szCs w:val="20"/>
              </w:rPr>
              <w:t> </w:t>
            </w:r>
            <w:r>
              <w:rPr>
                <w:rFonts w:ascii="宋体" w:hAnsi="宋体" w:cs="宋体" w:eastAsia="宋体" w:hint="default"/>
                <w:sz w:val="20"/>
                <w:szCs w:val="20"/>
              </w:rPr>
              <w:t>国</w:t>
            </w:r>
            <w:r>
              <w:rPr>
                <w:rFonts w:ascii="宋体" w:hAnsi="宋体" w:cs="宋体" w:eastAsia="宋体" w:hint="default"/>
                <w:spacing w:val="-69"/>
                <w:sz w:val="20"/>
                <w:szCs w:val="20"/>
              </w:rPr>
              <w:t> </w:t>
            </w:r>
            <w:r>
              <w:rPr>
                <w:rFonts w:ascii="宋体" w:hAnsi="宋体" w:cs="宋体" w:eastAsia="宋体" w:hint="default"/>
                <w:sz w:val="20"/>
                <w:szCs w:val="20"/>
              </w:rPr>
              <w:t>工</w:t>
            </w:r>
            <w:r>
              <w:rPr>
                <w:rFonts w:ascii="宋体" w:hAnsi="宋体" w:cs="宋体" w:eastAsia="宋体" w:hint="default"/>
                <w:spacing w:val="-71"/>
                <w:sz w:val="20"/>
                <w:szCs w:val="20"/>
              </w:rPr>
              <w:t> </w:t>
            </w:r>
            <w:r>
              <w:rPr>
                <w:rFonts w:ascii="宋体" w:hAnsi="宋体" w:cs="宋体" w:eastAsia="宋体" w:hint="default"/>
                <w:sz w:val="20"/>
                <w:szCs w:val="20"/>
              </w:rPr>
              <w:t>商</w:t>
            </w:r>
            <w:r>
              <w:rPr>
                <w:rFonts w:ascii="宋体" w:hAnsi="宋体" w:cs="宋体" w:eastAsia="宋体" w:hint="default"/>
                <w:spacing w:val="-71"/>
                <w:sz w:val="20"/>
                <w:szCs w:val="20"/>
              </w:rPr>
              <w:t> </w:t>
            </w:r>
            <w:r>
              <w:rPr>
                <w:rFonts w:ascii="宋体" w:hAnsi="宋体" w:cs="宋体" w:eastAsia="宋体" w:hint="default"/>
                <w:sz w:val="20"/>
                <w:szCs w:val="20"/>
              </w:rPr>
              <w:t>银</w:t>
            </w:r>
            <w:r>
              <w:rPr>
                <w:rFonts w:ascii="宋体" w:hAnsi="宋体" w:cs="宋体" w:eastAsia="宋体" w:hint="default"/>
                <w:spacing w:val="-69"/>
                <w:sz w:val="20"/>
                <w:szCs w:val="20"/>
              </w:rPr>
              <w:t> </w:t>
            </w:r>
            <w:r>
              <w:rPr>
                <w:rFonts w:ascii="宋体" w:hAnsi="宋体" w:cs="宋体" w:eastAsia="宋体" w:hint="default"/>
                <w:sz w:val="20"/>
                <w:szCs w:val="20"/>
              </w:rPr>
              <w:t>行</w:t>
            </w:r>
            <w:r>
              <w:rPr>
                <w:rFonts w:ascii="宋体" w:hAnsi="宋体" w:cs="宋体" w:eastAsia="宋体" w:hint="default"/>
                <w:spacing w:val="-71"/>
                <w:sz w:val="20"/>
                <w:szCs w:val="20"/>
              </w:rPr>
              <w:t> </w:t>
            </w:r>
            <w:r>
              <w:rPr>
                <w:rFonts w:ascii="宋体" w:hAnsi="宋体" w:cs="宋体" w:eastAsia="宋体" w:hint="default"/>
                <w:sz w:val="20"/>
                <w:szCs w:val="20"/>
              </w:rPr>
              <w:t>股</w:t>
            </w:r>
            <w:r>
              <w:rPr>
                <w:rFonts w:ascii="宋体" w:hAnsi="宋体" w:cs="宋体" w:eastAsia="宋体" w:hint="default"/>
                <w:w w:val="99"/>
                <w:sz w:val="20"/>
                <w:szCs w:val="20"/>
              </w:rPr>
              <w:t> </w:t>
            </w:r>
            <w:r>
              <w:rPr>
                <w:rFonts w:ascii="宋体" w:hAnsi="宋体" w:cs="宋体" w:eastAsia="宋体" w:hint="default"/>
                <w:sz w:val="20"/>
                <w:szCs w:val="20"/>
              </w:rPr>
              <w:t>份</w:t>
            </w:r>
            <w:r>
              <w:rPr>
                <w:rFonts w:ascii="宋体" w:hAnsi="宋体" w:cs="宋体" w:eastAsia="宋体" w:hint="default"/>
                <w:spacing w:val="-71"/>
                <w:sz w:val="20"/>
                <w:szCs w:val="20"/>
              </w:rPr>
              <w:t> </w:t>
            </w:r>
            <w:r>
              <w:rPr>
                <w:rFonts w:ascii="宋体" w:hAnsi="宋体" w:cs="宋体" w:eastAsia="宋体" w:hint="default"/>
                <w:sz w:val="20"/>
                <w:szCs w:val="20"/>
              </w:rPr>
              <w:t>有</w:t>
            </w:r>
            <w:r>
              <w:rPr>
                <w:rFonts w:ascii="宋体" w:hAnsi="宋体" w:cs="宋体" w:eastAsia="宋体" w:hint="default"/>
                <w:spacing w:val="-69"/>
                <w:sz w:val="20"/>
                <w:szCs w:val="20"/>
              </w:rPr>
              <w:t> </w:t>
            </w:r>
            <w:r>
              <w:rPr>
                <w:rFonts w:ascii="宋体" w:hAnsi="宋体" w:cs="宋体" w:eastAsia="宋体" w:hint="default"/>
                <w:sz w:val="20"/>
                <w:szCs w:val="20"/>
              </w:rPr>
              <w:t>限</w:t>
            </w:r>
            <w:r>
              <w:rPr>
                <w:rFonts w:ascii="宋体" w:hAnsi="宋体" w:cs="宋体" w:eastAsia="宋体" w:hint="default"/>
                <w:spacing w:val="-71"/>
                <w:sz w:val="20"/>
                <w:szCs w:val="20"/>
              </w:rPr>
              <w:t> </w:t>
            </w:r>
            <w:r>
              <w:rPr>
                <w:rFonts w:ascii="宋体" w:hAnsi="宋体" w:cs="宋体" w:eastAsia="宋体" w:hint="default"/>
                <w:sz w:val="20"/>
                <w:szCs w:val="20"/>
              </w:rPr>
              <w:t>公</w:t>
            </w:r>
            <w:r>
              <w:rPr>
                <w:rFonts w:ascii="宋体" w:hAnsi="宋体" w:cs="宋体" w:eastAsia="宋体" w:hint="default"/>
                <w:spacing w:val="-71"/>
                <w:sz w:val="20"/>
                <w:szCs w:val="20"/>
              </w:rPr>
              <w:t> </w:t>
            </w:r>
            <w:r>
              <w:rPr>
                <w:rFonts w:ascii="宋体" w:hAnsi="宋体" w:cs="宋体" w:eastAsia="宋体" w:hint="default"/>
                <w:sz w:val="20"/>
                <w:szCs w:val="20"/>
              </w:rPr>
              <w:t>司</w:t>
            </w:r>
            <w:r>
              <w:rPr>
                <w:rFonts w:ascii="宋体" w:hAnsi="宋体" w:cs="宋体" w:eastAsia="宋体" w:hint="default"/>
                <w:spacing w:val="-69"/>
                <w:sz w:val="20"/>
                <w:szCs w:val="20"/>
              </w:rPr>
              <w:t> </w:t>
            </w:r>
            <w:r>
              <w:rPr>
                <w:rFonts w:ascii="宋体" w:hAnsi="宋体" w:cs="宋体" w:eastAsia="宋体" w:hint="default"/>
                <w:sz w:val="20"/>
                <w:szCs w:val="20"/>
              </w:rPr>
              <w:t>广</w:t>
            </w:r>
            <w:r>
              <w:rPr>
                <w:rFonts w:ascii="宋体" w:hAnsi="宋体" w:cs="宋体" w:eastAsia="宋体" w:hint="default"/>
                <w:spacing w:val="-71"/>
                <w:sz w:val="20"/>
                <w:szCs w:val="20"/>
              </w:rPr>
              <w:t> </w:t>
            </w:r>
            <w:r>
              <w:rPr>
                <w:rFonts w:ascii="宋体" w:hAnsi="宋体" w:cs="宋体" w:eastAsia="宋体" w:hint="default"/>
                <w:sz w:val="20"/>
                <w:szCs w:val="20"/>
              </w:rPr>
              <w:t>州</w:t>
            </w:r>
            <w:r>
              <w:rPr>
                <w:rFonts w:ascii="宋体" w:hAnsi="宋体" w:cs="宋体" w:eastAsia="宋体" w:hint="default"/>
                <w:w w:val="99"/>
                <w:sz w:val="20"/>
                <w:szCs w:val="20"/>
              </w:rPr>
              <w:t> </w:t>
            </w:r>
            <w:r>
              <w:rPr>
                <w:rFonts w:ascii="宋体" w:hAnsi="宋体" w:cs="宋体" w:eastAsia="宋体" w:hint="default"/>
                <w:sz w:val="20"/>
                <w:szCs w:val="20"/>
              </w:rPr>
              <w:t>白云路支行</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left="202" w:right="0"/>
              <w:jc w:val="left"/>
              <w:rPr>
                <w:rFonts w:ascii="Times New Roman" w:hAnsi="Times New Roman" w:cs="Times New Roman" w:eastAsia="Times New Roman" w:hint="default"/>
                <w:sz w:val="20"/>
                <w:szCs w:val="20"/>
              </w:rPr>
            </w:pPr>
            <w:r>
              <w:rPr>
                <w:rFonts w:ascii="Times New Roman"/>
                <w:sz w:val="20"/>
              </w:rPr>
              <w:t>9,451,241.83</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104" w:right="0"/>
              <w:jc w:val="left"/>
              <w:rPr>
                <w:rFonts w:ascii="宋体" w:hAnsi="宋体" w:cs="宋体" w:eastAsia="宋体" w:hint="default"/>
                <w:sz w:val="20"/>
                <w:szCs w:val="20"/>
              </w:rPr>
            </w:pPr>
            <w:r>
              <w:rPr>
                <w:rFonts w:ascii="宋体" w:hAnsi="宋体" w:cs="宋体" w:eastAsia="宋体" w:hint="default"/>
                <w:sz w:val="20"/>
                <w:szCs w:val="20"/>
              </w:rPr>
              <w:t>票据池业务质押</w:t>
            </w:r>
          </w:p>
        </w:tc>
      </w:tr>
    </w:tbl>
    <w:p>
      <w:pPr>
        <w:pStyle w:val="Heading4"/>
        <w:spacing w:line="240" w:lineRule="auto" w:before="27"/>
        <w:ind w:left="952" w:right="0"/>
        <w:jc w:val="left"/>
      </w:pPr>
      <w:r>
        <w:rPr/>
        <w:t>应收账款质押情况：</w:t>
      </w:r>
    </w:p>
    <w:p>
      <w:pPr>
        <w:spacing w:line="240" w:lineRule="auto" w:before="12"/>
        <w:rPr>
          <w:rFonts w:ascii="宋体" w:hAnsi="宋体" w:cs="宋体" w:eastAsia="宋体" w:hint="default"/>
          <w:sz w:val="2"/>
          <w:szCs w:val="2"/>
        </w:rPr>
      </w:pPr>
    </w:p>
    <w:tbl>
      <w:tblPr>
        <w:tblW w:w="0" w:type="auto"/>
        <w:jc w:val="left"/>
        <w:tblInd w:w="117" w:type="dxa"/>
        <w:tblLayout w:type="fixed"/>
        <w:tblCellMar>
          <w:top w:w="0" w:type="dxa"/>
          <w:left w:w="0" w:type="dxa"/>
          <w:bottom w:w="0" w:type="dxa"/>
          <w:right w:w="0" w:type="dxa"/>
        </w:tblCellMar>
        <w:tblLook w:val="01E0"/>
      </w:tblPr>
      <w:tblGrid>
        <w:gridCol w:w="399"/>
        <w:gridCol w:w="1411"/>
        <w:gridCol w:w="1131"/>
        <w:gridCol w:w="1420"/>
        <w:gridCol w:w="707"/>
        <w:gridCol w:w="1417"/>
        <w:gridCol w:w="1278"/>
        <w:gridCol w:w="1134"/>
        <w:gridCol w:w="707"/>
        <w:gridCol w:w="2978"/>
        <w:gridCol w:w="1558"/>
      </w:tblGrid>
      <w:tr>
        <w:trPr>
          <w:trHeight w:val="780" w:hRule="exact"/>
        </w:trPr>
        <w:tc>
          <w:tcPr>
            <w:tcW w:w="399" w:type="dxa"/>
            <w:tcBorders>
              <w:top w:val="single" w:sz="12" w:space="0" w:color="000000"/>
              <w:left w:val="nil" w:sz="6" w:space="0" w:color="auto"/>
              <w:bottom w:val="dotted" w:sz="4" w:space="0" w:color="000000"/>
              <w:right w:val="dotted" w:sz="4" w:space="0" w:color="000000"/>
            </w:tcBorders>
          </w:tcPr>
          <w:p>
            <w:pPr>
              <w:pStyle w:val="TableParagraph"/>
              <w:spacing w:line="348" w:lineRule="auto" w:before="104"/>
              <w:ind w:left="108" w:right="104"/>
              <w:jc w:val="left"/>
              <w:rPr>
                <w:rFonts w:ascii="宋体" w:hAnsi="宋体" w:cs="宋体" w:eastAsia="宋体" w:hint="default"/>
                <w:sz w:val="18"/>
                <w:szCs w:val="18"/>
              </w:rPr>
            </w:pPr>
            <w:r>
              <w:rPr>
                <w:rFonts w:ascii="宋体" w:hAnsi="宋体" w:cs="宋体" w:eastAsia="宋体" w:hint="default"/>
                <w:sz w:val="18"/>
                <w:szCs w:val="18"/>
              </w:rPr>
              <w:t>序 号</w:t>
            </w:r>
          </w:p>
        </w:tc>
        <w:tc>
          <w:tcPr>
            <w:tcW w:w="1411"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借款合同编号</w:t>
            </w:r>
          </w:p>
        </w:tc>
        <w:tc>
          <w:tcPr>
            <w:tcW w:w="1131"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出质人</w:t>
            </w:r>
          </w:p>
        </w:tc>
        <w:tc>
          <w:tcPr>
            <w:tcW w:w="142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35" w:right="0"/>
              <w:jc w:val="left"/>
              <w:rPr>
                <w:rFonts w:ascii="宋体" w:hAnsi="宋体" w:cs="宋体" w:eastAsia="宋体" w:hint="default"/>
                <w:sz w:val="18"/>
                <w:szCs w:val="18"/>
              </w:rPr>
            </w:pPr>
            <w:r>
              <w:rPr>
                <w:rFonts w:ascii="宋体" w:hAnsi="宋体" w:cs="宋体" w:eastAsia="宋体" w:hint="default"/>
                <w:sz w:val="18"/>
                <w:szCs w:val="18"/>
              </w:rPr>
              <w:t>质权人</w:t>
            </w:r>
          </w:p>
        </w:tc>
        <w:tc>
          <w:tcPr>
            <w:tcW w:w="707" w:type="dxa"/>
            <w:tcBorders>
              <w:top w:val="single" w:sz="12" w:space="0" w:color="000000"/>
              <w:left w:val="dotted" w:sz="4" w:space="0" w:color="000000"/>
              <w:bottom w:val="dotted" w:sz="4" w:space="0" w:color="000000"/>
              <w:right w:val="dotted" w:sz="4" w:space="0" w:color="000000"/>
            </w:tcBorders>
          </w:tcPr>
          <w:p>
            <w:pPr>
              <w:pStyle w:val="TableParagraph"/>
              <w:spacing w:line="348" w:lineRule="auto" w:before="104"/>
              <w:ind w:left="167" w:right="167"/>
              <w:jc w:val="left"/>
              <w:rPr>
                <w:rFonts w:ascii="宋体" w:hAnsi="宋体" w:cs="宋体" w:eastAsia="宋体" w:hint="default"/>
                <w:sz w:val="18"/>
                <w:szCs w:val="18"/>
              </w:rPr>
            </w:pPr>
            <w:r>
              <w:rPr>
                <w:rFonts w:ascii="宋体" w:hAnsi="宋体" w:cs="宋体" w:eastAsia="宋体" w:hint="default"/>
                <w:sz w:val="18"/>
                <w:szCs w:val="18"/>
              </w:rPr>
              <w:t>借款 用途</w:t>
            </w:r>
          </w:p>
        </w:tc>
        <w:tc>
          <w:tcPr>
            <w:tcW w:w="1417"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借款金额</w:t>
            </w:r>
          </w:p>
        </w:tc>
        <w:tc>
          <w:tcPr>
            <w:tcW w:w="127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借款期限</w:t>
            </w:r>
          </w:p>
        </w:tc>
        <w:tc>
          <w:tcPr>
            <w:tcW w:w="113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25"/>
              <w:jc w:val="right"/>
              <w:rPr>
                <w:rFonts w:ascii="宋体" w:hAnsi="宋体" w:cs="宋体" w:eastAsia="宋体" w:hint="default"/>
                <w:sz w:val="18"/>
                <w:szCs w:val="18"/>
              </w:rPr>
            </w:pPr>
            <w:r>
              <w:rPr>
                <w:rFonts w:ascii="宋体" w:hAnsi="宋体" w:cs="宋体" w:eastAsia="宋体" w:hint="default"/>
                <w:spacing w:val="-1"/>
                <w:sz w:val="18"/>
                <w:szCs w:val="18"/>
              </w:rPr>
              <w:t>利率（</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p>
        </w:tc>
        <w:tc>
          <w:tcPr>
            <w:tcW w:w="707" w:type="dxa"/>
            <w:tcBorders>
              <w:top w:val="single" w:sz="12" w:space="0" w:color="000000"/>
              <w:left w:val="dotted" w:sz="4" w:space="0" w:color="000000"/>
              <w:bottom w:val="dotted" w:sz="4" w:space="0" w:color="000000"/>
              <w:right w:val="dotted" w:sz="4" w:space="0" w:color="000000"/>
            </w:tcBorders>
          </w:tcPr>
          <w:p>
            <w:pPr>
              <w:pStyle w:val="TableParagraph"/>
              <w:spacing w:line="348" w:lineRule="auto" w:before="104"/>
              <w:ind w:left="167" w:right="167"/>
              <w:jc w:val="left"/>
              <w:rPr>
                <w:rFonts w:ascii="宋体" w:hAnsi="宋体" w:cs="宋体" w:eastAsia="宋体" w:hint="default"/>
                <w:sz w:val="18"/>
                <w:szCs w:val="18"/>
              </w:rPr>
            </w:pPr>
            <w:r>
              <w:rPr>
                <w:rFonts w:ascii="宋体" w:hAnsi="宋体" w:cs="宋体" w:eastAsia="宋体" w:hint="default"/>
                <w:sz w:val="18"/>
                <w:szCs w:val="18"/>
              </w:rPr>
              <w:t>担保 情况</w:t>
            </w:r>
          </w:p>
        </w:tc>
        <w:tc>
          <w:tcPr>
            <w:tcW w:w="297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质押项目</w:t>
            </w:r>
          </w:p>
        </w:tc>
        <w:tc>
          <w:tcPr>
            <w:tcW w:w="1558"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33" w:right="0"/>
              <w:jc w:val="left"/>
              <w:rPr>
                <w:rFonts w:ascii="宋体" w:hAnsi="宋体" w:cs="宋体" w:eastAsia="宋体" w:hint="default"/>
                <w:sz w:val="18"/>
                <w:szCs w:val="18"/>
              </w:rPr>
            </w:pPr>
            <w:r>
              <w:rPr>
                <w:rFonts w:ascii="宋体" w:hAnsi="宋体" w:cs="宋体" w:eastAsia="宋体" w:hint="default"/>
                <w:sz w:val="18"/>
                <w:szCs w:val="18"/>
              </w:rPr>
              <w:t>质押合同编号</w:t>
            </w:r>
          </w:p>
        </w:tc>
      </w:tr>
      <w:tr>
        <w:trPr>
          <w:trHeight w:val="2810" w:hRule="exact"/>
        </w:trPr>
        <w:tc>
          <w:tcPr>
            <w:tcW w:w="399"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108" w:right="0"/>
              <w:jc w:val="left"/>
              <w:rPr>
                <w:rFonts w:ascii="Times New Roman" w:hAnsi="Times New Roman" w:cs="Times New Roman" w:eastAsia="Times New Roman" w:hint="default"/>
                <w:sz w:val="20"/>
                <w:szCs w:val="20"/>
              </w:rPr>
            </w:pPr>
            <w:r>
              <w:rPr>
                <w:rFonts w:ascii="Times New Roman"/>
                <w:w w:val="99"/>
                <w:sz w:val="20"/>
              </w:rPr>
              <w:t>1</w:t>
            </w:r>
            <w:r>
              <w:rPr>
                <w:rFonts w:ascii="Times New Roman"/>
                <w:sz w:val="20"/>
              </w:rPr>
            </w:r>
          </w:p>
        </w:tc>
        <w:tc>
          <w:tcPr>
            <w:tcW w:w="141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302" w:lineRule="auto" w:before="144"/>
              <w:ind w:left="102" w:right="101"/>
              <w:jc w:val="both"/>
              <w:rPr>
                <w:rFonts w:ascii="宋体" w:hAnsi="宋体" w:cs="宋体" w:eastAsia="宋体" w:hint="default"/>
                <w:sz w:val="20"/>
                <w:szCs w:val="20"/>
              </w:rPr>
            </w:pPr>
            <w:r>
              <w:rPr>
                <w:rFonts w:ascii="Times New Roman" w:hAnsi="Times New Roman" w:cs="Times New Roman" w:eastAsia="Times New Roman" w:hint="default"/>
                <w:sz w:val="20"/>
                <w:szCs w:val="20"/>
              </w:rPr>
              <w:t>2019 </w:t>
            </w:r>
            <w:r>
              <w:rPr>
                <w:rFonts w:ascii="宋体" w:hAnsi="宋体" w:cs="宋体" w:eastAsia="宋体" w:hint="default"/>
                <w:sz w:val="20"/>
                <w:szCs w:val="20"/>
              </w:rPr>
              <w:t>年 圳</w:t>
            </w:r>
            <w:r>
              <w:rPr>
                <w:rFonts w:ascii="宋体" w:hAnsi="宋体" w:cs="宋体" w:eastAsia="宋体" w:hint="default"/>
                <w:spacing w:val="-58"/>
                <w:sz w:val="20"/>
                <w:szCs w:val="20"/>
              </w:rPr>
              <w:t> </w:t>
            </w:r>
            <w:r>
              <w:rPr>
                <w:rFonts w:ascii="宋体" w:hAnsi="宋体" w:cs="宋体" w:eastAsia="宋体" w:hint="default"/>
                <w:sz w:val="20"/>
                <w:szCs w:val="20"/>
              </w:rPr>
              <w:t>中</w:t>
            </w:r>
            <w:r>
              <w:rPr>
                <w:rFonts w:ascii="宋体" w:hAnsi="宋体" w:cs="宋体" w:eastAsia="宋体" w:hint="default"/>
                <w:w w:val="99"/>
                <w:sz w:val="20"/>
                <w:szCs w:val="20"/>
              </w:rPr>
              <w:t> </w:t>
            </w:r>
            <w:r>
              <w:rPr>
                <w:rFonts w:ascii="宋体" w:hAnsi="宋体" w:cs="宋体" w:eastAsia="宋体" w:hint="default"/>
                <w:sz w:val="20"/>
                <w:szCs w:val="20"/>
              </w:rPr>
              <w:t>银</w:t>
            </w:r>
            <w:r>
              <w:rPr>
                <w:rFonts w:ascii="宋体" w:hAnsi="宋体" w:cs="宋体" w:eastAsia="宋体" w:hint="default"/>
                <w:spacing w:val="-52"/>
                <w:sz w:val="20"/>
                <w:szCs w:val="20"/>
              </w:rPr>
              <w:t> </w:t>
            </w:r>
            <w:r>
              <w:rPr>
                <w:rFonts w:ascii="宋体" w:hAnsi="宋体" w:cs="宋体" w:eastAsia="宋体" w:hint="default"/>
                <w:sz w:val="20"/>
                <w:szCs w:val="20"/>
              </w:rPr>
              <w:t>布</w:t>
            </w:r>
            <w:r>
              <w:rPr>
                <w:rFonts w:ascii="宋体" w:hAnsi="宋体" w:cs="宋体" w:eastAsia="宋体" w:hint="default"/>
                <w:spacing w:val="-54"/>
                <w:sz w:val="20"/>
                <w:szCs w:val="20"/>
              </w:rPr>
              <w:t> </w:t>
            </w:r>
            <w:r>
              <w:rPr>
                <w:rFonts w:ascii="宋体" w:hAnsi="宋体" w:cs="宋体" w:eastAsia="宋体" w:hint="default"/>
                <w:sz w:val="20"/>
                <w:szCs w:val="20"/>
              </w:rPr>
              <w:t>借</w:t>
            </w:r>
            <w:r>
              <w:rPr>
                <w:rFonts w:ascii="宋体" w:hAnsi="宋体" w:cs="宋体" w:eastAsia="宋体" w:hint="default"/>
                <w:spacing w:val="-52"/>
                <w:sz w:val="20"/>
                <w:szCs w:val="20"/>
              </w:rPr>
              <w:t> </w:t>
            </w:r>
            <w:r>
              <w:rPr>
                <w:rFonts w:ascii="宋体" w:hAnsi="宋体" w:cs="宋体" w:eastAsia="宋体" w:hint="default"/>
                <w:sz w:val="20"/>
                <w:szCs w:val="20"/>
              </w:rPr>
              <w:t>字</w:t>
            </w:r>
            <w:r>
              <w:rPr>
                <w:rFonts w:ascii="宋体" w:hAnsi="宋体" w:cs="宋体" w:eastAsia="宋体" w:hint="default"/>
                <w:spacing w:val="-52"/>
                <w:sz w:val="20"/>
                <w:szCs w:val="20"/>
              </w:rPr>
              <w:t> </w:t>
            </w:r>
            <w:r>
              <w:rPr>
                <w:rFonts w:ascii="宋体" w:hAnsi="宋体" w:cs="宋体" w:eastAsia="宋体" w:hint="default"/>
                <w:sz w:val="20"/>
                <w:szCs w:val="20"/>
              </w:rPr>
              <w:t>第</w:t>
            </w:r>
            <w:r>
              <w:rPr>
                <w:rFonts w:ascii="宋体" w:hAnsi="宋体" w:cs="宋体" w:eastAsia="宋体" w:hint="default"/>
                <w:w w:val="99"/>
                <w:sz w:val="20"/>
                <w:szCs w:val="20"/>
              </w:rPr>
              <w:t> </w:t>
            </w:r>
            <w:r>
              <w:rPr>
                <w:rFonts w:ascii="Times New Roman" w:hAnsi="Times New Roman" w:cs="Times New Roman" w:eastAsia="Times New Roman" w:hint="default"/>
                <w:sz w:val="20"/>
                <w:szCs w:val="20"/>
              </w:rPr>
              <w:t>0070</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号</w:t>
            </w:r>
          </w:p>
        </w:tc>
        <w:tc>
          <w:tcPr>
            <w:tcW w:w="11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312" w:lineRule="auto" w:before="144"/>
              <w:ind w:left="102" w:right="102"/>
              <w:jc w:val="both"/>
              <w:rPr>
                <w:rFonts w:ascii="宋体" w:hAnsi="宋体" w:cs="宋体" w:eastAsia="宋体" w:hint="default"/>
                <w:sz w:val="20"/>
                <w:szCs w:val="20"/>
              </w:rPr>
            </w:pPr>
            <w:r>
              <w:rPr>
                <w:rFonts w:ascii="宋体" w:hAnsi="宋体" w:cs="宋体" w:eastAsia="宋体" w:hint="default"/>
                <w:sz w:val="20"/>
                <w:szCs w:val="20"/>
              </w:rPr>
              <w:t>深</w:t>
            </w:r>
            <w:r>
              <w:rPr>
                <w:rFonts w:ascii="宋体" w:hAnsi="宋体" w:cs="宋体" w:eastAsia="宋体" w:hint="default"/>
                <w:spacing w:val="-64"/>
                <w:sz w:val="20"/>
                <w:szCs w:val="20"/>
              </w:rPr>
              <w:t> </w:t>
            </w:r>
            <w:r>
              <w:rPr>
                <w:rFonts w:ascii="宋体" w:hAnsi="宋体" w:cs="宋体" w:eastAsia="宋体" w:hint="default"/>
                <w:sz w:val="20"/>
                <w:szCs w:val="20"/>
              </w:rPr>
              <w:t>圳</w:t>
            </w:r>
            <w:r>
              <w:rPr>
                <w:rFonts w:ascii="宋体" w:hAnsi="宋体" w:cs="宋体" w:eastAsia="宋体" w:hint="default"/>
                <w:spacing w:val="-61"/>
                <w:sz w:val="20"/>
                <w:szCs w:val="20"/>
              </w:rPr>
              <w:t> </w:t>
            </w:r>
            <w:r>
              <w:rPr>
                <w:rFonts w:ascii="宋体" w:hAnsi="宋体" w:cs="宋体" w:eastAsia="宋体" w:hint="default"/>
                <w:sz w:val="20"/>
                <w:szCs w:val="20"/>
              </w:rPr>
              <w:t>市</w:t>
            </w:r>
            <w:r>
              <w:rPr>
                <w:rFonts w:ascii="宋体" w:hAnsi="宋体" w:cs="宋体" w:eastAsia="宋体" w:hint="default"/>
                <w:spacing w:val="-64"/>
                <w:sz w:val="20"/>
                <w:szCs w:val="20"/>
              </w:rPr>
              <w:t> </w:t>
            </w:r>
            <w:r>
              <w:rPr>
                <w:rFonts w:ascii="宋体" w:hAnsi="宋体" w:cs="宋体" w:eastAsia="宋体" w:hint="default"/>
                <w:sz w:val="20"/>
                <w:szCs w:val="20"/>
              </w:rPr>
              <w:t>信</w:t>
            </w:r>
            <w:r>
              <w:rPr>
                <w:rFonts w:ascii="宋体" w:hAnsi="宋体" w:cs="宋体" w:eastAsia="宋体" w:hint="default"/>
                <w:w w:val="99"/>
                <w:sz w:val="20"/>
                <w:szCs w:val="20"/>
              </w:rPr>
              <w:t> </w:t>
            </w:r>
            <w:r>
              <w:rPr>
                <w:rFonts w:ascii="宋体" w:hAnsi="宋体" w:cs="宋体" w:eastAsia="宋体" w:hint="default"/>
                <w:sz w:val="20"/>
                <w:szCs w:val="20"/>
              </w:rPr>
              <w:t>义</w:t>
            </w:r>
            <w:r>
              <w:rPr>
                <w:rFonts w:ascii="宋体" w:hAnsi="宋体" w:cs="宋体" w:eastAsia="宋体" w:hint="default"/>
                <w:spacing w:val="-64"/>
                <w:sz w:val="20"/>
                <w:szCs w:val="20"/>
              </w:rPr>
              <w:t> </w:t>
            </w:r>
            <w:r>
              <w:rPr>
                <w:rFonts w:ascii="宋体" w:hAnsi="宋体" w:cs="宋体" w:eastAsia="宋体" w:hint="default"/>
                <w:sz w:val="20"/>
                <w:szCs w:val="20"/>
              </w:rPr>
              <w:t>科</w:t>
            </w:r>
            <w:r>
              <w:rPr>
                <w:rFonts w:ascii="宋体" w:hAnsi="宋体" w:cs="宋体" w:eastAsia="宋体" w:hint="default"/>
                <w:spacing w:val="-61"/>
                <w:sz w:val="20"/>
                <w:szCs w:val="20"/>
              </w:rPr>
              <w:t> </w:t>
            </w:r>
            <w:r>
              <w:rPr>
                <w:rFonts w:ascii="宋体" w:hAnsi="宋体" w:cs="宋体" w:eastAsia="宋体" w:hint="default"/>
                <w:sz w:val="20"/>
                <w:szCs w:val="20"/>
              </w:rPr>
              <w:t>技</w:t>
            </w:r>
            <w:r>
              <w:rPr>
                <w:rFonts w:ascii="宋体" w:hAnsi="宋体" w:cs="宋体" w:eastAsia="宋体" w:hint="default"/>
                <w:spacing w:val="-64"/>
                <w:sz w:val="20"/>
                <w:szCs w:val="20"/>
              </w:rPr>
              <w:t> </w:t>
            </w:r>
            <w:r>
              <w:rPr>
                <w:rFonts w:ascii="宋体" w:hAnsi="宋体" w:cs="宋体" w:eastAsia="宋体" w:hint="default"/>
                <w:sz w:val="20"/>
                <w:szCs w:val="20"/>
              </w:rPr>
              <w:t>有</w:t>
            </w:r>
            <w:r>
              <w:rPr>
                <w:rFonts w:ascii="宋体" w:hAnsi="宋体" w:cs="宋体" w:eastAsia="宋体" w:hint="default"/>
                <w:w w:val="99"/>
                <w:sz w:val="20"/>
                <w:szCs w:val="20"/>
              </w:rPr>
              <w:t> </w:t>
            </w:r>
            <w:r>
              <w:rPr>
                <w:rFonts w:ascii="宋体" w:hAnsi="宋体" w:cs="宋体" w:eastAsia="宋体" w:hint="default"/>
                <w:sz w:val="20"/>
                <w:szCs w:val="20"/>
              </w:rPr>
              <w:t>限公司</w:t>
            </w:r>
          </w:p>
        </w:tc>
        <w:tc>
          <w:tcPr>
            <w:tcW w:w="14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312" w:lineRule="auto" w:before="144"/>
              <w:ind w:left="102" w:right="104"/>
              <w:jc w:val="both"/>
              <w:rPr>
                <w:rFonts w:ascii="宋体" w:hAnsi="宋体" w:cs="宋体" w:eastAsia="宋体" w:hint="default"/>
                <w:sz w:val="20"/>
                <w:szCs w:val="20"/>
              </w:rPr>
            </w:pPr>
            <w:r>
              <w:rPr>
                <w:rFonts w:ascii="宋体" w:hAnsi="宋体" w:cs="宋体" w:eastAsia="宋体" w:hint="default"/>
                <w:sz w:val="20"/>
                <w:szCs w:val="20"/>
              </w:rPr>
              <w:t>中国银行股份</w:t>
            </w:r>
            <w:r>
              <w:rPr>
                <w:rFonts w:ascii="宋体" w:hAnsi="宋体" w:cs="宋体" w:eastAsia="宋体" w:hint="default"/>
                <w:w w:val="99"/>
                <w:sz w:val="20"/>
                <w:szCs w:val="20"/>
              </w:rPr>
              <w:t> </w:t>
            </w:r>
            <w:r>
              <w:rPr>
                <w:rFonts w:ascii="宋体" w:hAnsi="宋体" w:cs="宋体" w:eastAsia="宋体" w:hint="default"/>
                <w:sz w:val="20"/>
                <w:szCs w:val="20"/>
              </w:rPr>
              <w:t>有限公司深圳</w:t>
            </w:r>
            <w:r>
              <w:rPr>
                <w:rFonts w:ascii="宋体" w:hAnsi="宋体" w:cs="宋体" w:eastAsia="宋体" w:hint="default"/>
                <w:w w:val="99"/>
                <w:sz w:val="20"/>
                <w:szCs w:val="20"/>
              </w:rPr>
              <w:t> </w:t>
            </w:r>
            <w:r>
              <w:rPr>
                <w:rFonts w:ascii="宋体" w:hAnsi="宋体" w:cs="宋体" w:eastAsia="宋体" w:hint="default"/>
                <w:sz w:val="20"/>
                <w:szCs w:val="20"/>
              </w:rPr>
              <w:t>布吉支行</w:t>
            </w:r>
          </w:p>
        </w:tc>
        <w:tc>
          <w:tcPr>
            <w:tcW w:w="70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312" w:lineRule="auto" w:before="144"/>
              <w:ind w:left="148" w:right="148"/>
              <w:jc w:val="both"/>
              <w:rPr>
                <w:rFonts w:ascii="宋体" w:hAnsi="宋体" w:cs="宋体" w:eastAsia="宋体" w:hint="default"/>
                <w:sz w:val="20"/>
                <w:szCs w:val="20"/>
              </w:rPr>
            </w:pPr>
            <w:r>
              <w:rPr>
                <w:rFonts w:ascii="宋体" w:hAnsi="宋体" w:cs="宋体" w:eastAsia="宋体" w:hint="default"/>
                <w:sz w:val="20"/>
                <w:szCs w:val="20"/>
              </w:rPr>
              <w:t>采购</w:t>
            </w:r>
            <w:r>
              <w:rPr>
                <w:rFonts w:ascii="宋体" w:hAnsi="宋体" w:cs="宋体" w:eastAsia="宋体" w:hint="default"/>
                <w:w w:val="99"/>
                <w:sz w:val="20"/>
                <w:szCs w:val="20"/>
              </w:rPr>
              <w:t> </w:t>
            </w:r>
            <w:r>
              <w:rPr>
                <w:rFonts w:ascii="宋体" w:hAnsi="宋体" w:cs="宋体" w:eastAsia="宋体" w:hint="default"/>
                <w:sz w:val="20"/>
                <w:szCs w:val="20"/>
              </w:rPr>
              <w:t>原材</w:t>
            </w:r>
            <w:r>
              <w:rPr>
                <w:rFonts w:ascii="宋体" w:hAnsi="宋体" w:cs="宋体" w:eastAsia="宋体" w:hint="default"/>
                <w:w w:val="99"/>
                <w:sz w:val="20"/>
                <w:szCs w:val="20"/>
              </w:rPr>
              <w:t> </w:t>
            </w:r>
            <w:r>
              <w:rPr>
                <w:rFonts w:ascii="宋体" w:hAnsi="宋体" w:cs="宋体" w:eastAsia="宋体" w:hint="default"/>
                <w:sz w:val="20"/>
                <w:szCs w:val="20"/>
              </w:rPr>
              <w:t>料</w:t>
            </w:r>
          </w:p>
        </w:tc>
        <w:tc>
          <w:tcPr>
            <w:tcW w:w="14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20"/>
                <w:szCs w:val="20"/>
              </w:rPr>
            </w:pPr>
            <w:r>
              <w:rPr>
                <w:rFonts w:ascii="Times New Roman"/>
                <w:w w:val="95"/>
                <w:sz w:val="20"/>
              </w:rPr>
              <w:t>30,000,000.00</w:t>
            </w:r>
            <w:r>
              <w:rPr>
                <w:rFonts w:ascii="Times New Roman"/>
                <w:sz w:val="20"/>
              </w:rPr>
            </w:r>
          </w:p>
        </w:tc>
        <w:tc>
          <w:tcPr>
            <w:tcW w:w="12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2019-7-26</w:t>
            </w:r>
            <w:r>
              <w:rPr>
                <w:rFonts w:ascii="Times New Roman" w:hAnsi="Times New Roman" w:cs="Times New Roman" w:eastAsia="Times New Roman" w:hint="default"/>
                <w:spacing w:val="-25"/>
                <w:sz w:val="20"/>
                <w:szCs w:val="20"/>
              </w:rPr>
              <w:t> </w:t>
            </w:r>
            <w:r>
              <w:rPr>
                <w:rFonts w:ascii="宋体" w:hAnsi="宋体" w:cs="宋体" w:eastAsia="宋体" w:hint="default"/>
                <w:sz w:val="20"/>
                <w:szCs w:val="20"/>
              </w:rPr>
              <w:t>至</w:t>
            </w:r>
          </w:p>
          <w:p>
            <w:pPr>
              <w:pStyle w:val="TableParagraph"/>
              <w:spacing w:line="240" w:lineRule="auto" w:before="108"/>
              <w:ind w:right="0"/>
              <w:jc w:val="center"/>
              <w:rPr>
                <w:rFonts w:ascii="Times New Roman" w:hAnsi="Times New Roman" w:cs="Times New Roman" w:eastAsia="Times New Roman" w:hint="default"/>
                <w:sz w:val="20"/>
                <w:szCs w:val="20"/>
              </w:rPr>
            </w:pPr>
            <w:r>
              <w:rPr>
                <w:rFonts w:ascii="Times New Roman"/>
                <w:sz w:val="20"/>
              </w:rPr>
              <w:t>2020-7-26</w:t>
            </w:r>
          </w:p>
        </w:tc>
        <w:tc>
          <w:tcPr>
            <w:tcW w:w="11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w w:val="95"/>
                <w:sz w:val="20"/>
              </w:rPr>
              <w:t>5.87250%</w:t>
            </w:r>
            <w:r>
              <w:rPr>
                <w:rFonts w:ascii="Times New Roman"/>
                <w:sz w:val="20"/>
              </w:rPr>
            </w:r>
          </w:p>
        </w:tc>
        <w:tc>
          <w:tcPr>
            <w:tcW w:w="70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312" w:lineRule="auto" w:before="144"/>
              <w:ind w:left="148" w:right="148"/>
              <w:jc w:val="both"/>
              <w:rPr>
                <w:rFonts w:ascii="宋体" w:hAnsi="宋体" w:cs="宋体" w:eastAsia="宋体" w:hint="default"/>
                <w:sz w:val="20"/>
                <w:szCs w:val="20"/>
              </w:rPr>
            </w:pPr>
            <w:r>
              <w:rPr>
                <w:rFonts w:ascii="宋体" w:hAnsi="宋体" w:cs="宋体" w:eastAsia="宋体" w:hint="default"/>
                <w:sz w:val="20"/>
                <w:szCs w:val="20"/>
              </w:rPr>
              <w:t>应收</w:t>
            </w:r>
            <w:r>
              <w:rPr>
                <w:rFonts w:ascii="宋体" w:hAnsi="宋体" w:cs="宋体" w:eastAsia="宋体" w:hint="default"/>
                <w:w w:val="99"/>
                <w:sz w:val="20"/>
                <w:szCs w:val="20"/>
              </w:rPr>
              <w:t> </w:t>
            </w:r>
            <w:r>
              <w:rPr>
                <w:rFonts w:ascii="宋体" w:hAnsi="宋体" w:cs="宋体" w:eastAsia="宋体" w:hint="default"/>
                <w:sz w:val="20"/>
                <w:szCs w:val="20"/>
              </w:rPr>
              <w:t>账款</w:t>
            </w:r>
            <w:r>
              <w:rPr>
                <w:rFonts w:ascii="宋体" w:hAnsi="宋体" w:cs="宋体" w:eastAsia="宋体" w:hint="default"/>
                <w:w w:val="99"/>
                <w:sz w:val="20"/>
                <w:szCs w:val="20"/>
              </w:rPr>
              <w:t> </w:t>
            </w:r>
            <w:r>
              <w:rPr>
                <w:rFonts w:ascii="宋体" w:hAnsi="宋体" w:cs="宋体" w:eastAsia="宋体" w:hint="default"/>
                <w:sz w:val="20"/>
                <w:szCs w:val="20"/>
              </w:rPr>
              <w:t>质押</w:t>
            </w:r>
          </w:p>
        </w:tc>
        <w:tc>
          <w:tcPr>
            <w:tcW w:w="2978" w:type="dxa"/>
            <w:tcBorders>
              <w:top w:val="dotted" w:sz="4" w:space="0" w:color="000000"/>
              <w:left w:val="dotted" w:sz="4" w:space="0" w:color="000000"/>
              <w:bottom w:val="dotted" w:sz="4" w:space="0" w:color="000000"/>
              <w:right w:val="dotted" w:sz="4" w:space="0" w:color="000000"/>
            </w:tcBorders>
          </w:tcPr>
          <w:p>
            <w:pPr>
              <w:pStyle w:val="TableParagraph"/>
              <w:spacing w:line="295" w:lineRule="auto" w:before="80"/>
              <w:ind w:left="104" w:right="64"/>
              <w:jc w:val="left"/>
              <w:rPr>
                <w:rFonts w:ascii="宋体" w:hAnsi="宋体" w:cs="宋体" w:eastAsia="宋体" w:hint="default"/>
                <w:sz w:val="20"/>
                <w:szCs w:val="20"/>
              </w:rPr>
            </w:pPr>
            <w:r>
              <w:rPr>
                <w:rFonts w:ascii="宋体" w:hAnsi="宋体" w:cs="宋体" w:eastAsia="宋体" w:hint="default"/>
                <w:sz w:val="20"/>
                <w:szCs w:val="20"/>
              </w:rPr>
              <w:t>龙岗区“互联网</w:t>
            </w:r>
            <w:r>
              <w:rPr>
                <w:rFonts w:ascii="Times New Roman" w:hAnsi="Times New Roman" w:cs="Times New Roman" w:eastAsia="Times New Roman" w:hint="default"/>
                <w:sz w:val="20"/>
                <w:szCs w:val="20"/>
              </w:rPr>
              <w:t>+</w:t>
            </w:r>
            <w:r>
              <w:rPr>
                <w:rFonts w:ascii="宋体" w:hAnsi="宋体" w:cs="宋体" w:eastAsia="宋体" w:hint="default"/>
                <w:sz w:val="20"/>
                <w:szCs w:val="20"/>
              </w:rPr>
              <w:t>明厨亮灶”项</w:t>
            </w:r>
            <w:r>
              <w:rPr>
                <w:rFonts w:ascii="宋体" w:hAnsi="宋体" w:cs="宋体" w:eastAsia="宋体" w:hint="default"/>
                <w:w w:val="99"/>
                <w:sz w:val="20"/>
                <w:szCs w:val="20"/>
              </w:rPr>
              <w:t> </w:t>
            </w:r>
            <w:r>
              <w:rPr>
                <w:rFonts w:ascii="宋体" w:hAnsi="宋体" w:cs="宋体" w:eastAsia="宋体" w:hint="default"/>
                <w:sz w:val="20"/>
                <w:szCs w:val="20"/>
              </w:rPr>
              <w:t>目</w:t>
            </w:r>
            <w:r>
              <w:rPr>
                <w:rFonts w:ascii="Times New Roman" w:hAnsi="Times New Roman" w:cs="Times New Roman" w:eastAsia="Times New Roman" w:hint="default"/>
                <w:sz w:val="20"/>
                <w:szCs w:val="20"/>
              </w:rPr>
              <w:t>/</w:t>
            </w:r>
            <w:r>
              <w:rPr>
                <w:rFonts w:ascii="宋体" w:hAnsi="宋体" w:cs="宋体" w:eastAsia="宋体" w:hint="default"/>
                <w:sz w:val="20"/>
                <w:szCs w:val="20"/>
              </w:rPr>
              <w:t>罗湖公安分局人像识别系统</w:t>
            </w:r>
            <w:r>
              <w:rPr>
                <w:rFonts w:ascii="宋体" w:hAnsi="宋体" w:cs="宋体" w:eastAsia="宋体" w:hint="default"/>
                <w:w w:val="99"/>
                <w:sz w:val="20"/>
                <w:szCs w:val="20"/>
              </w:rPr>
              <w:t> </w:t>
            </w:r>
            <w:r>
              <w:rPr>
                <w:rFonts w:ascii="宋体" w:hAnsi="宋体" w:cs="宋体" w:eastAsia="宋体" w:hint="default"/>
                <w:sz w:val="20"/>
                <w:szCs w:val="20"/>
              </w:rPr>
              <w:t>建设采购项目合同（部分前端）</w:t>
            </w:r>
          </w:p>
          <w:p>
            <w:pPr>
              <w:pStyle w:val="TableParagraph"/>
              <w:spacing w:line="302" w:lineRule="auto" w:before="33"/>
              <w:ind w:left="104" w:right="143"/>
              <w:jc w:val="left"/>
              <w:rPr>
                <w:rFonts w:ascii="宋体" w:hAnsi="宋体" w:cs="宋体" w:eastAsia="宋体" w:hint="default"/>
                <w:sz w:val="20"/>
                <w:szCs w:val="20"/>
              </w:rPr>
            </w:pPr>
            <w:r>
              <w:rPr>
                <w:rFonts w:ascii="Times New Roman" w:hAnsi="Times New Roman" w:cs="Times New Roman" w:eastAsia="Times New Roman" w:hint="default"/>
                <w:sz w:val="20"/>
                <w:szCs w:val="20"/>
              </w:rPr>
              <w:t>/</w:t>
            </w:r>
            <w:r>
              <w:rPr>
                <w:rFonts w:ascii="宋体" w:hAnsi="宋体" w:cs="宋体" w:eastAsia="宋体" w:hint="default"/>
                <w:sz w:val="20"/>
                <w:szCs w:val="20"/>
              </w:rPr>
              <w:t>雪亮工程四期项目</w:t>
            </w:r>
            <w:r>
              <w:rPr>
                <w:rFonts w:ascii="Times New Roman" w:hAnsi="Times New Roman" w:cs="Times New Roman" w:eastAsia="Times New Roman" w:hint="default"/>
                <w:sz w:val="20"/>
                <w:szCs w:val="20"/>
              </w:rPr>
              <w:t>-</w:t>
            </w:r>
            <w:r>
              <w:rPr>
                <w:rFonts w:ascii="宋体" w:hAnsi="宋体" w:cs="宋体" w:eastAsia="宋体" w:hint="default"/>
                <w:sz w:val="20"/>
                <w:szCs w:val="20"/>
              </w:rPr>
              <w:t>系统集成部</w:t>
            </w:r>
            <w:r>
              <w:rPr>
                <w:rFonts w:ascii="宋体" w:hAnsi="宋体" w:cs="宋体" w:eastAsia="宋体" w:hint="default"/>
                <w:w w:val="99"/>
                <w:sz w:val="20"/>
                <w:szCs w:val="20"/>
              </w:rPr>
              <w:t> </w:t>
            </w:r>
            <w:r>
              <w:rPr>
                <w:rFonts w:ascii="宋体" w:hAnsi="宋体" w:cs="宋体" w:eastAsia="宋体" w:hint="default"/>
                <w:sz w:val="20"/>
                <w:szCs w:val="20"/>
              </w:rPr>
              <w:t>分（</w:t>
            </w:r>
            <w:r>
              <w:rPr>
                <w:rFonts w:ascii="Times New Roman" w:hAnsi="Times New Roman" w:cs="Times New Roman" w:eastAsia="Times New Roman" w:hint="default"/>
                <w:sz w:val="20"/>
                <w:szCs w:val="20"/>
              </w:rPr>
              <w:t>EPC</w:t>
            </w:r>
            <w:r>
              <w:rPr>
                <w:rFonts w:ascii="Times New Roman" w:hAnsi="Times New Roman" w:cs="Times New Roman" w:eastAsia="Times New Roman" w:hint="default"/>
                <w:spacing w:val="-4"/>
                <w:sz w:val="20"/>
                <w:szCs w:val="20"/>
              </w:rPr>
              <w:t> </w:t>
            </w:r>
            <w:r>
              <w:rPr>
                <w:rFonts w:ascii="宋体" w:hAnsi="宋体" w:cs="宋体" w:eastAsia="宋体" w:hint="default"/>
                <w:sz w:val="20"/>
                <w:szCs w:val="20"/>
              </w:rPr>
              <w:t>总承包）</w:t>
            </w:r>
            <w:r>
              <w:rPr>
                <w:rFonts w:ascii="Times New Roman" w:hAnsi="Times New Roman" w:cs="Times New Roman" w:eastAsia="Times New Roman" w:hint="default"/>
                <w:sz w:val="20"/>
                <w:szCs w:val="20"/>
              </w:rPr>
              <w:t>/</w:t>
            </w:r>
            <w:r>
              <w:rPr>
                <w:rFonts w:ascii="宋体" w:hAnsi="宋体" w:cs="宋体" w:eastAsia="宋体" w:hint="default"/>
                <w:sz w:val="20"/>
                <w:szCs w:val="20"/>
              </w:rPr>
              <w:t>深圳市公安</w:t>
            </w:r>
            <w:r>
              <w:rPr>
                <w:rFonts w:ascii="宋体" w:hAnsi="宋体" w:cs="宋体" w:eastAsia="宋体" w:hint="default"/>
                <w:w w:val="99"/>
                <w:sz w:val="20"/>
                <w:szCs w:val="20"/>
              </w:rPr>
              <w:t> </w:t>
            </w:r>
            <w:r>
              <w:rPr>
                <w:rFonts w:ascii="宋体" w:hAnsi="宋体" w:cs="宋体" w:eastAsia="宋体" w:hint="default"/>
                <w:sz w:val="20"/>
                <w:szCs w:val="20"/>
              </w:rPr>
              <w:t>局南山分局南山区平安平安城</w:t>
            </w:r>
            <w:r>
              <w:rPr>
                <w:rFonts w:ascii="宋体" w:hAnsi="宋体" w:cs="宋体" w:eastAsia="宋体" w:hint="default"/>
                <w:w w:val="99"/>
                <w:sz w:val="20"/>
                <w:szCs w:val="20"/>
              </w:rPr>
              <w:t> </w:t>
            </w:r>
            <w:r>
              <w:rPr>
                <w:rFonts w:ascii="宋体" w:hAnsi="宋体" w:cs="宋体" w:eastAsia="宋体" w:hint="default"/>
                <w:sz w:val="20"/>
                <w:szCs w:val="20"/>
              </w:rPr>
              <w:t>市一类点高清视频监控二期项</w:t>
            </w:r>
            <w:r>
              <w:rPr>
                <w:rFonts w:ascii="宋体" w:hAnsi="宋体" w:cs="宋体" w:eastAsia="宋体" w:hint="default"/>
                <w:w w:val="99"/>
                <w:sz w:val="20"/>
                <w:szCs w:val="20"/>
              </w:rPr>
              <w:t> </w:t>
            </w:r>
            <w:r>
              <w:rPr>
                <w:rFonts w:ascii="宋体" w:hAnsi="宋体" w:cs="宋体" w:eastAsia="宋体" w:hint="default"/>
                <w:sz w:val="20"/>
                <w:szCs w:val="20"/>
              </w:rPr>
              <w:t>目设备采购合同</w:t>
            </w:r>
          </w:p>
        </w:tc>
        <w:tc>
          <w:tcPr>
            <w:tcW w:w="1558"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5"/>
                <w:szCs w:val="25"/>
              </w:rPr>
            </w:pPr>
          </w:p>
          <w:p>
            <w:pPr>
              <w:pStyle w:val="TableParagraph"/>
              <w:spacing w:line="240" w:lineRule="auto"/>
              <w:ind w:left="101"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2019</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圳中银布</w:t>
            </w:r>
          </w:p>
          <w:p>
            <w:pPr>
              <w:pStyle w:val="TableParagraph"/>
              <w:spacing w:line="300" w:lineRule="auto" w:before="64"/>
              <w:ind w:left="101" w:right="106"/>
              <w:jc w:val="left"/>
              <w:rPr>
                <w:rFonts w:ascii="宋体" w:hAnsi="宋体" w:cs="宋体" w:eastAsia="宋体" w:hint="default"/>
                <w:sz w:val="20"/>
                <w:szCs w:val="20"/>
              </w:rPr>
            </w:pPr>
            <w:r>
              <w:rPr>
                <w:rFonts w:ascii="宋体" w:hAnsi="宋体" w:cs="宋体" w:eastAsia="宋体" w:hint="default"/>
                <w:sz w:val="20"/>
                <w:szCs w:val="20"/>
              </w:rPr>
              <w:t>应质字第</w:t>
            </w:r>
            <w:r>
              <w:rPr>
                <w:rFonts w:ascii="宋体" w:hAnsi="宋体" w:cs="宋体" w:eastAsia="宋体" w:hint="default"/>
                <w:spacing w:val="-60"/>
                <w:sz w:val="20"/>
                <w:szCs w:val="20"/>
              </w:rPr>
              <w:t> </w:t>
            </w:r>
            <w:r>
              <w:rPr>
                <w:rFonts w:ascii="Times New Roman" w:hAnsi="Times New Roman" w:cs="Times New Roman" w:eastAsia="Times New Roman" w:hint="default"/>
                <w:sz w:val="20"/>
                <w:szCs w:val="20"/>
              </w:rPr>
              <w:t>00033</w:t>
            </w:r>
            <w:r>
              <w:rPr>
                <w:rFonts w:ascii="Times New Roman" w:hAnsi="Times New Roman" w:cs="Times New Roman" w:eastAsia="Times New Roman" w:hint="default"/>
                <w:w w:val="99"/>
                <w:sz w:val="20"/>
                <w:szCs w:val="20"/>
              </w:rPr>
              <w:t> </w:t>
            </w:r>
            <w:r>
              <w:rPr>
                <w:rFonts w:ascii="宋体" w:hAnsi="宋体" w:cs="宋体" w:eastAsia="宋体" w:hint="default"/>
                <w:sz w:val="20"/>
                <w:szCs w:val="20"/>
              </w:rPr>
              <w:t>号</w:t>
            </w:r>
            <w:r>
              <w:rPr>
                <w:rFonts w:ascii="Times New Roman" w:hAnsi="Times New Roman" w:cs="Times New Roman" w:eastAsia="Times New Roman" w:hint="default"/>
                <w:sz w:val="20"/>
                <w:szCs w:val="20"/>
              </w:rPr>
              <w:t>/2018</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圳中银</w:t>
            </w:r>
            <w:r>
              <w:rPr>
                <w:rFonts w:ascii="宋体" w:hAnsi="宋体" w:cs="宋体" w:eastAsia="宋体" w:hint="default"/>
                <w:w w:val="99"/>
                <w:sz w:val="20"/>
                <w:szCs w:val="20"/>
              </w:rPr>
              <w:t> </w:t>
            </w:r>
            <w:r>
              <w:rPr>
                <w:rFonts w:ascii="宋体" w:hAnsi="宋体" w:cs="宋体" w:eastAsia="宋体" w:hint="default"/>
                <w:sz w:val="20"/>
                <w:szCs w:val="20"/>
              </w:rPr>
              <w:t>布应质字第</w:t>
            </w:r>
            <w:r>
              <w:rPr>
                <w:rFonts w:ascii="宋体" w:hAnsi="宋体" w:cs="宋体" w:eastAsia="宋体" w:hint="default"/>
                <w:w w:val="99"/>
                <w:sz w:val="20"/>
                <w:szCs w:val="20"/>
              </w:rPr>
              <w:t> </w:t>
            </w:r>
            <w:r>
              <w:rPr>
                <w:rFonts w:ascii="Times New Roman" w:hAnsi="Times New Roman" w:cs="Times New Roman" w:eastAsia="Times New Roman" w:hint="default"/>
                <w:sz w:val="20"/>
                <w:szCs w:val="20"/>
              </w:rPr>
              <w:t>00048</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号</w:t>
            </w:r>
          </w:p>
        </w:tc>
      </w:tr>
      <w:tr>
        <w:trPr>
          <w:trHeight w:val="1110" w:hRule="exact"/>
        </w:trPr>
        <w:tc>
          <w:tcPr>
            <w:tcW w:w="399"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08" w:right="0"/>
              <w:jc w:val="left"/>
              <w:rPr>
                <w:rFonts w:ascii="Times New Roman" w:hAnsi="Times New Roman" w:cs="Times New Roman" w:eastAsia="Times New Roman" w:hint="default"/>
                <w:sz w:val="20"/>
                <w:szCs w:val="20"/>
              </w:rPr>
            </w:pPr>
            <w:r>
              <w:rPr>
                <w:rFonts w:ascii="Times New Roman"/>
                <w:w w:val="99"/>
                <w:sz w:val="20"/>
              </w:rPr>
              <w:t>2</w:t>
            </w:r>
            <w:r>
              <w:rPr>
                <w:rFonts w:ascii="Times New Roman"/>
                <w:sz w:val="20"/>
              </w:rPr>
            </w:r>
          </w:p>
        </w:tc>
        <w:tc>
          <w:tcPr>
            <w:tcW w:w="141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7"/>
              <w:ind w:left="102" w:right="0"/>
              <w:jc w:val="left"/>
              <w:rPr>
                <w:rFonts w:ascii="Times New Roman" w:hAnsi="Times New Roman" w:cs="Times New Roman" w:eastAsia="Times New Roman" w:hint="default"/>
                <w:sz w:val="20"/>
                <w:szCs w:val="20"/>
              </w:rPr>
            </w:pPr>
            <w:r>
              <w:rPr>
                <w:rFonts w:ascii="Times New Roman"/>
                <w:sz w:val="20"/>
              </w:rPr>
              <w:t>0400000012-2</w:t>
            </w:r>
          </w:p>
          <w:p>
            <w:pPr>
              <w:pStyle w:val="TableParagraph"/>
              <w:spacing w:line="295" w:lineRule="auto" w:before="61"/>
              <w:ind w:left="102" w:right="3"/>
              <w:jc w:val="left"/>
              <w:rPr>
                <w:rFonts w:ascii="宋体" w:hAnsi="宋体" w:cs="宋体" w:eastAsia="宋体" w:hint="default"/>
                <w:sz w:val="20"/>
                <w:szCs w:val="20"/>
              </w:rPr>
            </w:pPr>
            <w:r>
              <w:rPr>
                <w:rFonts w:ascii="Times New Roman" w:hAnsi="Times New Roman" w:cs="Times New Roman" w:eastAsia="Times New Roman" w:hint="default"/>
                <w:sz w:val="20"/>
                <w:szCs w:val="20"/>
              </w:rPr>
              <w:t>019</w:t>
            </w:r>
            <w:r>
              <w:rPr>
                <w:rFonts w:ascii="Times New Roman" w:hAnsi="Times New Roman" w:cs="Times New Roman" w:eastAsia="Times New Roman" w:hint="default"/>
                <w:spacing w:val="-3"/>
                <w:sz w:val="20"/>
                <w:szCs w:val="20"/>
              </w:rPr>
              <w:t> </w:t>
            </w:r>
            <w:r>
              <w:rPr>
                <w:rFonts w:ascii="宋体" w:hAnsi="宋体" w:cs="宋体" w:eastAsia="宋体" w:hint="default"/>
                <w:spacing w:val="-11"/>
                <w:sz w:val="20"/>
                <w:szCs w:val="20"/>
              </w:rPr>
              <w:t>年（蛇口）</w:t>
            </w:r>
            <w:r>
              <w:rPr>
                <w:rFonts w:ascii="宋体" w:hAnsi="宋体" w:cs="宋体" w:eastAsia="宋体" w:hint="default"/>
                <w:w w:val="99"/>
                <w:sz w:val="20"/>
                <w:szCs w:val="20"/>
              </w:rPr>
              <w:t> </w:t>
            </w:r>
            <w:r>
              <w:rPr>
                <w:rFonts w:ascii="宋体" w:hAnsi="宋体" w:cs="宋体" w:eastAsia="宋体" w:hint="default"/>
                <w:sz w:val="20"/>
                <w:szCs w:val="20"/>
              </w:rPr>
              <w:t>字</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000501</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号</w:t>
            </w:r>
          </w:p>
        </w:tc>
        <w:tc>
          <w:tcPr>
            <w:tcW w:w="1131" w:type="dxa"/>
            <w:tcBorders>
              <w:top w:val="dotted" w:sz="4" w:space="0" w:color="000000"/>
              <w:left w:val="dotted" w:sz="4" w:space="0" w:color="000000"/>
              <w:bottom w:val="dotted" w:sz="4" w:space="0" w:color="000000"/>
              <w:right w:val="dotted" w:sz="4" w:space="0" w:color="000000"/>
            </w:tcBorders>
          </w:tcPr>
          <w:p>
            <w:pPr>
              <w:pStyle w:val="TableParagraph"/>
              <w:spacing w:line="312" w:lineRule="auto" w:before="80"/>
              <w:ind w:left="102" w:right="102"/>
              <w:jc w:val="both"/>
              <w:rPr>
                <w:rFonts w:ascii="宋体" w:hAnsi="宋体" w:cs="宋体" w:eastAsia="宋体" w:hint="default"/>
                <w:sz w:val="20"/>
                <w:szCs w:val="20"/>
              </w:rPr>
            </w:pPr>
            <w:r>
              <w:rPr>
                <w:rFonts w:ascii="宋体" w:hAnsi="宋体" w:cs="宋体" w:eastAsia="宋体" w:hint="default"/>
                <w:sz w:val="20"/>
                <w:szCs w:val="20"/>
              </w:rPr>
              <w:t>深</w:t>
            </w:r>
            <w:r>
              <w:rPr>
                <w:rFonts w:ascii="宋体" w:hAnsi="宋体" w:cs="宋体" w:eastAsia="宋体" w:hint="default"/>
                <w:spacing w:val="-64"/>
                <w:sz w:val="20"/>
                <w:szCs w:val="20"/>
              </w:rPr>
              <w:t> </w:t>
            </w:r>
            <w:r>
              <w:rPr>
                <w:rFonts w:ascii="宋体" w:hAnsi="宋体" w:cs="宋体" w:eastAsia="宋体" w:hint="default"/>
                <w:sz w:val="20"/>
                <w:szCs w:val="20"/>
              </w:rPr>
              <w:t>圳</w:t>
            </w:r>
            <w:r>
              <w:rPr>
                <w:rFonts w:ascii="宋体" w:hAnsi="宋体" w:cs="宋体" w:eastAsia="宋体" w:hint="default"/>
                <w:spacing w:val="-61"/>
                <w:sz w:val="20"/>
                <w:szCs w:val="20"/>
              </w:rPr>
              <w:t> </w:t>
            </w:r>
            <w:r>
              <w:rPr>
                <w:rFonts w:ascii="宋体" w:hAnsi="宋体" w:cs="宋体" w:eastAsia="宋体" w:hint="default"/>
                <w:sz w:val="20"/>
                <w:szCs w:val="20"/>
              </w:rPr>
              <w:t>市</w:t>
            </w:r>
            <w:r>
              <w:rPr>
                <w:rFonts w:ascii="宋体" w:hAnsi="宋体" w:cs="宋体" w:eastAsia="宋体" w:hint="default"/>
                <w:spacing w:val="-64"/>
                <w:sz w:val="20"/>
                <w:szCs w:val="20"/>
              </w:rPr>
              <w:t> </w:t>
            </w:r>
            <w:r>
              <w:rPr>
                <w:rFonts w:ascii="宋体" w:hAnsi="宋体" w:cs="宋体" w:eastAsia="宋体" w:hint="default"/>
                <w:sz w:val="20"/>
                <w:szCs w:val="20"/>
              </w:rPr>
              <w:t>信</w:t>
            </w:r>
            <w:r>
              <w:rPr>
                <w:rFonts w:ascii="宋体" w:hAnsi="宋体" w:cs="宋体" w:eastAsia="宋体" w:hint="default"/>
                <w:w w:val="99"/>
                <w:sz w:val="20"/>
                <w:szCs w:val="20"/>
              </w:rPr>
              <w:t> </w:t>
            </w:r>
            <w:r>
              <w:rPr>
                <w:rFonts w:ascii="宋体" w:hAnsi="宋体" w:cs="宋体" w:eastAsia="宋体" w:hint="default"/>
                <w:sz w:val="20"/>
                <w:szCs w:val="20"/>
              </w:rPr>
              <w:t>义</w:t>
            </w:r>
            <w:r>
              <w:rPr>
                <w:rFonts w:ascii="宋体" w:hAnsi="宋体" w:cs="宋体" w:eastAsia="宋体" w:hint="default"/>
                <w:spacing w:val="-64"/>
                <w:sz w:val="20"/>
                <w:szCs w:val="20"/>
              </w:rPr>
              <w:t> </w:t>
            </w:r>
            <w:r>
              <w:rPr>
                <w:rFonts w:ascii="宋体" w:hAnsi="宋体" w:cs="宋体" w:eastAsia="宋体" w:hint="default"/>
                <w:sz w:val="20"/>
                <w:szCs w:val="20"/>
              </w:rPr>
              <w:t>科</w:t>
            </w:r>
            <w:r>
              <w:rPr>
                <w:rFonts w:ascii="宋体" w:hAnsi="宋体" w:cs="宋体" w:eastAsia="宋体" w:hint="default"/>
                <w:spacing w:val="-61"/>
                <w:sz w:val="20"/>
                <w:szCs w:val="20"/>
              </w:rPr>
              <w:t> </w:t>
            </w:r>
            <w:r>
              <w:rPr>
                <w:rFonts w:ascii="宋体" w:hAnsi="宋体" w:cs="宋体" w:eastAsia="宋体" w:hint="default"/>
                <w:sz w:val="20"/>
                <w:szCs w:val="20"/>
              </w:rPr>
              <w:t>技</w:t>
            </w:r>
            <w:r>
              <w:rPr>
                <w:rFonts w:ascii="宋体" w:hAnsi="宋体" w:cs="宋体" w:eastAsia="宋体" w:hint="default"/>
                <w:spacing w:val="-64"/>
                <w:sz w:val="20"/>
                <w:szCs w:val="20"/>
              </w:rPr>
              <w:t> </w:t>
            </w:r>
            <w:r>
              <w:rPr>
                <w:rFonts w:ascii="宋体" w:hAnsi="宋体" w:cs="宋体" w:eastAsia="宋体" w:hint="default"/>
                <w:sz w:val="20"/>
                <w:szCs w:val="20"/>
              </w:rPr>
              <w:t>有</w:t>
            </w:r>
            <w:r>
              <w:rPr>
                <w:rFonts w:ascii="宋体" w:hAnsi="宋体" w:cs="宋体" w:eastAsia="宋体" w:hint="default"/>
                <w:w w:val="99"/>
                <w:sz w:val="20"/>
                <w:szCs w:val="20"/>
              </w:rPr>
              <w:t> </w:t>
            </w:r>
            <w:r>
              <w:rPr>
                <w:rFonts w:ascii="宋体" w:hAnsi="宋体" w:cs="宋体" w:eastAsia="宋体" w:hint="default"/>
                <w:sz w:val="20"/>
                <w:szCs w:val="20"/>
              </w:rPr>
              <w:t>限公司</w:t>
            </w:r>
          </w:p>
        </w:tc>
        <w:tc>
          <w:tcPr>
            <w:tcW w:w="1420" w:type="dxa"/>
            <w:tcBorders>
              <w:top w:val="dotted" w:sz="4" w:space="0" w:color="000000"/>
              <w:left w:val="dotted" w:sz="4" w:space="0" w:color="000000"/>
              <w:bottom w:val="dotted" w:sz="4" w:space="0" w:color="000000"/>
              <w:right w:val="dotted" w:sz="4" w:space="0" w:color="000000"/>
            </w:tcBorders>
          </w:tcPr>
          <w:p>
            <w:pPr>
              <w:pStyle w:val="TableParagraph"/>
              <w:spacing w:line="312" w:lineRule="auto" w:before="80"/>
              <w:ind w:left="102" w:right="104"/>
              <w:jc w:val="both"/>
              <w:rPr>
                <w:rFonts w:ascii="宋体" w:hAnsi="宋体" w:cs="宋体" w:eastAsia="宋体" w:hint="default"/>
                <w:sz w:val="20"/>
                <w:szCs w:val="20"/>
              </w:rPr>
            </w:pPr>
            <w:r>
              <w:rPr>
                <w:rFonts w:ascii="宋体" w:hAnsi="宋体" w:cs="宋体" w:eastAsia="宋体" w:hint="default"/>
                <w:sz w:val="20"/>
                <w:szCs w:val="20"/>
              </w:rPr>
              <w:t>中国工商银行</w:t>
            </w:r>
            <w:r>
              <w:rPr>
                <w:rFonts w:ascii="宋体" w:hAnsi="宋体" w:cs="宋体" w:eastAsia="宋体" w:hint="default"/>
                <w:w w:val="99"/>
                <w:sz w:val="20"/>
                <w:szCs w:val="20"/>
              </w:rPr>
              <w:t> </w:t>
            </w:r>
            <w:r>
              <w:rPr>
                <w:rFonts w:ascii="宋体" w:hAnsi="宋体" w:cs="宋体" w:eastAsia="宋体" w:hint="default"/>
                <w:sz w:val="20"/>
                <w:szCs w:val="20"/>
              </w:rPr>
              <w:t>股份有限公司</w:t>
            </w:r>
            <w:r>
              <w:rPr>
                <w:rFonts w:ascii="宋体" w:hAnsi="宋体" w:cs="宋体" w:eastAsia="宋体" w:hint="default"/>
                <w:w w:val="99"/>
                <w:sz w:val="20"/>
                <w:szCs w:val="20"/>
              </w:rPr>
              <w:t> </w:t>
            </w:r>
            <w:r>
              <w:rPr>
                <w:rFonts w:ascii="宋体" w:hAnsi="宋体" w:cs="宋体" w:eastAsia="宋体" w:hint="default"/>
                <w:sz w:val="20"/>
                <w:szCs w:val="20"/>
              </w:rPr>
              <w:t>深圳蛇口支行</w:t>
            </w:r>
          </w:p>
        </w:tc>
        <w:tc>
          <w:tcPr>
            <w:tcW w:w="70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312" w:lineRule="auto"/>
              <w:ind w:left="148" w:right="148"/>
              <w:jc w:val="left"/>
              <w:rPr>
                <w:rFonts w:ascii="宋体" w:hAnsi="宋体" w:cs="宋体" w:eastAsia="宋体" w:hint="default"/>
                <w:sz w:val="20"/>
                <w:szCs w:val="20"/>
              </w:rPr>
            </w:pPr>
            <w:r>
              <w:rPr>
                <w:rFonts w:ascii="宋体" w:hAnsi="宋体" w:cs="宋体" w:eastAsia="宋体" w:hint="default"/>
                <w:sz w:val="20"/>
                <w:szCs w:val="20"/>
              </w:rPr>
              <w:t>经营</w:t>
            </w:r>
            <w:r>
              <w:rPr>
                <w:rFonts w:ascii="宋体" w:hAnsi="宋体" w:cs="宋体" w:eastAsia="宋体" w:hint="default"/>
                <w:w w:val="99"/>
                <w:sz w:val="20"/>
                <w:szCs w:val="20"/>
              </w:rPr>
              <w:t> </w:t>
            </w:r>
            <w:r>
              <w:rPr>
                <w:rFonts w:ascii="宋体" w:hAnsi="宋体" w:cs="宋体" w:eastAsia="宋体" w:hint="default"/>
                <w:sz w:val="20"/>
                <w:szCs w:val="20"/>
              </w:rPr>
              <w:t>周转</w:t>
            </w:r>
          </w:p>
        </w:tc>
        <w:tc>
          <w:tcPr>
            <w:tcW w:w="14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20"/>
                <w:szCs w:val="20"/>
              </w:rPr>
            </w:pPr>
            <w:r>
              <w:rPr>
                <w:rFonts w:ascii="Times New Roman"/>
                <w:w w:val="95"/>
                <w:sz w:val="20"/>
              </w:rPr>
              <w:t>2,858,695.00</w:t>
            </w:r>
            <w:r>
              <w:rPr>
                <w:rFonts w:ascii="Times New Roman"/>
                <w:sz w:val="20"/>
              </w:rPr>
            </w:r>
          </w:p>
        </w:tc>
        <w:tc>
          <w:tcPr>
            <w:tcW w:w="12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72" w:right="0"/>
              <w:jc w:val="left"/>
              <w:rPr>
                <w:rFonts w:ascii="Times New Roman" w:hAnsi="Times New Roman" w:cs="Times New Roman" w:eastAsia="Times New Roman" w:hint="default"/>
                <w:sz w:val="20"/>
                <w:szCs w:val="20"/>
              </w:rPr>
            </w:pPr>
            <w:r>
              <w:rPr>
                <w:rFonts w:ascii="Times New Roman"/>
                <w:sz w:val="20"/>
              </w:rPr>
              <w:t>2019-11-19</w:t>
            </w:r>
          </w:p>
          <w:p>
            <w:pPr>
              <w:pStyle w:val="TableParagraph"/>
              <w:spacing w:line="240" w:lineRule="auto" w:before="64"/>
              <w:ind w:left="102"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至</w:t>
            </w:r>
            <w:r>
              <w:rPr>
                <w:rFonts w:ascii="宋体" w:hAnsi="宋体" w:cs="宋体" w:eastAsia="宋体" w:hint="default"/>
                <w:spacing w:val="-77"/>
                <w:sz w:val="20"/>
                <w:szCs w:val="20"/>
              </w:rPr>
              <w:t> </w:t>
            </w:r>
            <w:r>
              <w:rPr>
                <w:rFonts w:ascii="Times New Roman" w:hAnsi="Times New Roman" w:cs="Times New Roman" w:eastAsia="Times New Roman" w:hint="default"/>
                <w:sz w:val="20"/>
                <w:szCs w:val="20"/>
              </w:rPr>
              <w:t>2020-11-4</w:t>
            </w:r>
          </w:p>
        </w:tc>
        <w:tc>
          <w:tcPr>
            <w:tcW w:w="11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w w:val="95"/>
                <w:sz w:val="20"/>
              </w:rPr>
              <w:t>5.43750%</w:t>
            </w:r>
            <w:r>
              <w:rPr>
                <w:rFonts w:ascii="Times New Roman"/>
                <w:sz w:val="20"/>
              </w:rPr>
            </w:r>
          </w:p>
        </w:tc>
        <w:tc>
          <w:tcPr>
            <w:tcW w:w="707" w:type="dxa"/>
            <w:tcBorders>
              <w:top w:val="dotted" w:sz="4" w:space="0" w:color="000000"/>
              <w:left w:val="dotted" w:sz="4" w:space="0" w:color="000000"/>
              <w:bottom w:val="dotted" w:sz="4" w:space="0" w:color="000000"/>
              <w:right w:val="dotted" w:sz="4" w:space="0" w:color="000000"/>
            </w:tcBorders>
          </w:tcPr>
          <w:p>
            <w:pPr>
              <w:pStyle w:val="TableParagraph"/>
              <w:spacing w:line="312" w:lineRule="auto" w:before="80"/>
              <w:ind w:left="148" w:right="148"/>
              <w:jc w:val="both"/>
              <w:rPr>
                <w:rFonts w:ascii="宋体" w:hAnsi="宋体" w:cs="宋体" w:eastAsia="宋体" w:hint="default"/>
                <w:sz w:val="20"/>
                <w:szCs w:val="20"/>
              </w:rPr>
            </w:pPr>
            <w:r>
              <w:rPr>
                <w:rFonts w:ascii="宋体" w:hAnsi="宋体" w:cs="宋体" w:eastAsia="宋体" w:hint="default"/>
                <w:sz w:val="20"/>
                <w:szCs w:val="20"/>
              </w:rPr>
              <w:t>应收</w:t>
            </w:r>
            <w:r>
              <w:rPr>
                <w:rFonts w:ascii="宋体" w:hAnsi="宋体" w:cs="宋体" w:eastAsia="宋体" w:hint="default"/>
                <w:w w:val="99"/>
                <w:sz w:val="20"/>
                <w:szCs w:val="20"/>
              </w:rPr>
              <w:t> </w:t>
            </w:r>
            <w:r>
              <w:rPr>
                <w:rFonts w:ascii="宋体" w:hAnsi="宋体" w:cs="宋体" w:eastAsia="宋体" w:hint="default"/>
                <w:sz w:val="20"/>
                <w:szCs w:val="20"/>
              </w:rPr>
              <w:t>账款</w:t>
            </w:r>
            <w:r>
              <w:rPr>
                <w:rFonts w:ascii="宋体" w:hAnsi="宋体" w:cs="宋体" w:eastAsia="宋体" w:hint="default"/>
                <w:w w:val="99"/>
                <w:sz w:val="20"/>
                <w:szCs w:val="20"/>
              </w:rPr>
              <w:t> </w:t>
            </w:r>
            <w:r>
              <w:rPr>
                <w:rFonts w:ascii="宋体" w:hAnsi="宋体" w:cs="宋体" w:eastAsia="宋体" w:hint="default"/>
                <w:sz w:val="20"/>
                <w:szCs w:val="20"/>
              </w:rPr>
              <w:t>质押</w:t>
            </w:r>
          </w:p>
        </w:tc>
        <w:tc>
          <w:tcPr>
            <w:tcW w:w="29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312" w:lineRule="auto"/>
              <w:ind w:left="104" w:right="263"/>
              <w:jc w:val="left"/>
              <w:rPr>
                <w:rFonts w:ascii="宋体" w:hAnsi="宋体" w:cs="宋体" w:eastAsia="宋体" w:hint="default"/>
                <w:sz w:val="20"/>
                <w:szCs w:val="20"/>
              </w:rPr>
            </w:pPr>
            <w:r>
              <w:rPr>
                <w:rFonts w:ascii="宋体" w:hAnsi="宋体" w:cs="宋体" w:eastAsia="宋体" w:hint="default"/>
                <w:sz w:val="20"/>
                <w:szCs w:val="20"/>
              </w:rPr>
              <w:t>南山区数字政务局南山区远程</w:t>
            </w:r>
            <w:r>
              <w:rPr>
                <w:rFonts w:ascii="宋体" w:hAnsi="宋体" w:cs="宋体" w:eastAsia="宋体" w:hint="default"/>
                <w:w w:val="99"/>
                <w:sz w:val="20"/>
                <w:szCs w:val="20"/>
              </w:rPr>
              <w:t> </w:t>
            </w:r>
            <w:r>
              <w:rPr>
                <w:rFonts w:ascii="宋体" w:hAnsi="宋体" w:cs="宋体" w:eastAsia="宋体" w:hint="default"/>
                <w:sz w:val="20"/>
                <w:szCs w:val="20"/>
              </w:rPr>
              <w:t>监控和多方会议</w:t>
            </w:r>
          </w:p>
        </w:tc>
        <w:tc>
          <w:tcPr>
            <w:tcW w:w="155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7"/>
              <w:ind w:left="101" w:right="0"/>
              <w:jc w:val="left"/>
              <w:rPr>
                <w:rFonts w:ascii="Times New Roman" w:hAnsi="Times New Roman" w:cs="Times New Roman" w:eastAsia="Times New Roman" w:hint="default"/>
                <w:sz w:val="20"/>
                <w:szCs w:val="20"/>
              </w:rPr>
            </w:pPr>
            <w:r>
              <w:rPr>
                <w:rFonts w:ascii="Times New Roman"/>
                <w:sz w:val="20"/>
              </w:rPr>
              <w:t>40000202-2019</w:t>
            </w:r>
          </w:p>
          <w:p>
            <w:pPr>
              <w:pStyle w:val="TableParagraph"/>
              <w:spacing w:line="312" w:lineRule="auto" w:before="61"/>
              <w:ind w:left="101" w:right="50"/>
              <w:jc w:val="left"/>
              <w:rPr>
                <w:rFonts w:ascii="宋体" w:hAnsi="宋体" w:cs="宋体" w:eastAsia="宋体" w:hint="default"/>
                <w:sz w:val="20"/>
                <w:szCs w:val="20"/>
              </w:rPr>
            </w:pPr>
            <w:r>
              <w:rPr>
                <w:rFonts w:ascii="宋体" w:hAnsi="宋体" w:cs="宋体" w:eastAsia="宋体" w:hint="default"/>
                <w:sz w:val="20"/>
                <w:szCs w:val="20"/>
              </w:rPr>
              <w:t>年蛇口（附质）</w:t>
            </w:r>
            <w:r>
              <w:rPr>
                <w:rFonts w:ascii="宋体" w:hAnsi="宋体" w:cs="宋体" w:eastAsia="宋体" w:hint="default"/>
                <w:w w:val="99"/>
                <w:sz w:val="20"/>
                <w:szCs w:val="20"/>
              </w:rPr>
              <w:t> </w:t>
            </w:r>
            <w:r>
              <w:rPr>
                <w:rFonts w:ascii="宋体" w:hAnsi="宋体" w:cs="宋体" w:eastAsia="宋体" w:hint="default"/>
                <w:sz w:val="20"/>
                <w:szCs w:val="20"/>
              </w:rPr>
              <w:t>字</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0401</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号</w:t>
            </w:r>
          </w:p>
        </w:tc>
      </w:tr>
      <w:tr>
        <w:trPr>
          <w:trHeight w:val="1110" w:hRule="exact"/>
        </w:trPr>
        <w:tc>
          <w:tcPr>
            <w:tcW w:w="399"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8" w:right="0"/>
              <w:jc w:val="left"/>
              <w:rPr>
                <w:rFonts w:ascii="Times New Roman" w:hAnsi="Times New Roman" w:cs="Times New Roman" w:eastAsia="Times New Roman" w:hint="default"/>
                <w:sz w:val="20"/>
                <w:szCs w:val="20"/>
              </w:rPr>
            </w:pPr>
            <w:r>
              <w:rPr>
                <w:rFonts w:ascii="Times New Roman"/>
                <w:w w:val="99"/>
                <w:sz w:val="20"/>
              </w:rPr>
              <w:t>3</w:t>
            </w:r>
            <w:r>
              <w:rPr>
                <w:rFonts w:ascii="Times New Roman"/>
                <w:sz w:val="20"/>
              </w:rPr>
            </w:r>
          </w:p>
        </w:tc>
        <w:tc>
          <w:tcPr>
            <w:tcW w:w="141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6"/>
              <w:ind w:left="102" w:right="0"/>
              <w:jc w:val="left"/>
              <w:rPr>
                <w:rFonts w:ascii="Times New Roman" w:hAnsi="Times New Roman" w:cs="Times New Roman" w:eastAsia="Times New Roman" w:hint="default"/>
                <w:sz w:val="20"/>
                <w:szCs w:val="20"/>
              </w:rPr>
            </w:pPr>
            <w:r>
              <w:rPr>
                <w:rFonts w:ascii="Times New Roman"/>
                <w:sz w:val="20"/>
              </w:rPr>
              <w:t>0400000012-2</w:t>
            </w:r>
          </w:p>
          <w:p>
            <w:pPr>
              <w:pStyle w:val="TableParagraph"/>
              <w:spacing w:line="292" w:lineRule="auto" w:before="64"/>
              <w:ind w:left="102" w:right="3"/>
              <w:jc w:val="left"/>
              <w:rPr>
                <w:rFonts w:ascii="宋体" w:hAnsi="宋体" w:cs="宋体" w:eastAsia="宋体" w:hint="default"/>
                <w:sz w:val="20"/>
                <w:szCs w:val="20"/>
              </w:rPr>
            </w:pPr>
            <w:r>
              <w:rPr>
                <w:rFonts w:ascii="Times New Roman" w:hAnsi="Times New Roman" w:cs="Times New Roman" w:eastAsia="Times New Roman" w:hint="default"/>
                <w:sz w:val="20"/>
                <w:szCs w:val="20"/>
              </w:rPr>
              <w:t>019</w:t>
            </w:r>
            <w:r>
              <w:rPr>
                <w:rFonts w:ascii="Times New Roman" w:hAnsi="Times New Roman" w:cs="Times New Roman" w:eastAsia="Times New Roman" w:hint="default"/>
                <w:spacing w:val="-3"/>
                <w:sz w:val="20"/>
                <w:szCs w:val="20"/>
              </w:rPr>
              <w:t> </w:t>
            </w:r>
            <w:r>
              <w:rPr>
                <w:rFonts w:ascii="宋体" w:hAnsi="宋体" w:cs="宋体" w:eastAsia="宋体" w:hint="default"/>
                <w:spacing w:val="-11"/>
                <w:sz w:val="20"/>
                <w:szCs w:val="20"/>
              </w:rPr>
              <w:t>年（蛇口）</w:t>
            </w:r>
            <w:r>
              <w:rPr>
                <w:rFonts w:ascii="宋体" w:hAnsi="宋体" w:cs="宋体" w:eastAsia="宋体" w:hint="default"/>
                <w:w w:val="99"/>
                <w:sz w:val="20"/>
                <w:szCs w:val="20"/>
              </w:rPr>
              <w:t> </w:t>
            </w:r>
            <w:r>
              <w:rPr>
                <w:rFonts w:ascii="宋体" w:hAnsi="宋体" w:cs="宋体" w:eastAsia="宋体" w:hint="default"/>
                <w:sz w:val="20"/>
                <w:szCs w:val="20"/>
              </w:rPr>
              <w:t>字</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000501</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号</w:t>
            </w:r>
          </w:p>
        </w:tc>
        <w:tc>
          <w:tcPr>
            <w:tcW w:w="1131" w:type="dxa"/>
            <w:tcBorders>
              <w:top w:val="dotted" w:sz="4" w:space="0" w:color="000000"/>
              <w:left w:val="dotted" w:sz="4" w:space="0" w:color="000000"/>
              <w:bottom w:val="dotted" w:sz="4" w:space="0" w:color="000000"/>
              <w:right w:val="dotted" w:sz="4" w:space="0" w:color="000000"/>
            </w:tcBorders>
          </w:tcPr>
          <w:p>
            <w:pPr>
              <w:pStyle w:val="TableParagraph"/>
              <w:spacing w:line="312" w:lineRule="auto" w:before="79"/>
              <w:ind w:left="102" w:right="102"/>
              <w:jc w:val="both"/>
              <w:rPr>
                <w:rFonts w:ascii="宋体" w:hAnsi="宋体" w:cs="宋体" w:eastAsia="宋体" w:hint="default"/>
                <w:sz w:val="20"/>
                <w:szCs w:val="20"/>
              </w:rPr>
            </w:pPr>
            <w:r>
              <w:rPr>
                <w:rFonts w:ascii="宋体" w:hAnsi="宋体" w:cs="宋体" w:eastAsia="宋体" w:hint="default"/>
                <w:sz w:val="20"/>
                <w:szCs w:val="20"/>
              </w:rPr>
              <w:t>深</w:t>
            </w:r>
            <w:r>
              <w:rPr>
                <w:rFonts w:ascii="宋体" w:hAnsi="宋体" w:cs="宋体" w:eastAsia="宋体" w:hint="default"/>
                <w:spacing w:val="-64"/>
                <w:sz w:val="20"/>
                <w:szCs w:val="20"/>
              </w:rPr>
              <w:t> </w:t>
            </w:r>
            <w:r>
              <w:rPr>
                <w:rFonts w:ascii="宋体" w:hAnsi="宋体" w:cs="宋体" w:eastAsia="宋体" w:hint="default"/>
                <w:sz w:val="20"/>
                <w:szCs w:val="20"/>
              </w:rPr>
              <w:t>圳</w:t>
            </w:r>
            <w:r>
              <w:rPr>
                <w:rFonts w:ascii="宋体" w:hAnsi="宋体" w:cs="宋体" w:eastAsia="宋体" w:hint="default"/>
                <w:spacing w:val="-61"/>
                <w:sz w:val="20"/>
                <w:szCs w:val="20"/>
              </w:rPr>
              <w:t> </w:t>
            </w:r>
            <w:r>
              <w:rPr>
                <w:rFonts w:ascii="宋体" w:hAnsi="宋体" w:cs="宋体" w:eastAsia="宋体" w:hint="default"/>
                <w:sz w:val="20"/>
                <w:szCs w:val="20"/>
              </w:rPr>
              <w:t>市</w:t>
            </w:r>
            <w:r>
              <w:rPr>
                <w:rFonts w:ascii="宋体" w:hAnsi="宋体" w:cs="宋体" w:eastAsia="宋体" w:hint="default"/>
                <w:spacing w:val="-64"/>
                <w:sz w:val="20"/>
                <w:szCs w:val="20"/>
              </w:rPr>
              <w:t> </w:t>
            </w:r>
            <w:r>
              <w:rPr>
                <w:rFonts w:ascii="宋体" w:hAnsi="宋体" w:cs="宋体" w:eastAsia="宋体" w:hint="default"/>
                <w:sz w:val="20"/>
                <w:szCs w:val="20"/>
              </w:rPr>
              <w:t>信</w:t>
            </w:r>
            <w:r>
              <w:rPr>
                <w:rFonts w:ascii="宋体" w:hAnsi="宋体" w:cs="宋体" w:eastAsia="宋体" w:hint="default"/>
                <w:w w:val="99"/>
                <w:sz w:val="20"/>
                <w:szCs w:val="20"/>
              </w:rPr>
              <w:t> </w:t>
            </w:r>
            <w:r>
              <w:rPr>
                <w:rFonts w:ascii="宋体" w:hAnsi="宋体" w:cs="宋体" w:eastAsia="宋体" w:hint="default"/>
                <w:sz w:val="20"/>
                <w:szCs w:val="20"/>
              </w:rPr>
              <w:t>义</w:t>
            </w:r>
            <w:r>
              <w:rPr>
                <w:rFonts w:ascii="宋体" w:hAnsi="宋体" w:cs="宋体" w:eastAsia="宋体" w:hint="default"/>
                <w:spacing w:val="-64"/>
                <w:sz w:val="20"/>
                <w:szCs w:val="20"/>
              </w:rPr>
              <w:t> </w:t>
            </w:r>
            <w:r>
              <w:rPr>
                <w:rFonts w:ascii="宋体" w:hAnsi="宋体" w:cs="宋体" w:eastAsia="宋体" w:hint="default"/>
                <w:sz w:val="20"/>
                <w:szCs w:val="20"/>
              </w:rPr>
              <w:t>科</w:t>
            </w:r>
            <w:r>
              <w:rPr>
                <w:rFonts w:ascii="宋体" w:hAnsi="宋体" w:cs="宋体" w:eastAsia="宋体" w:hint="default"/>
                <w:spacing w:val="-61"/>
                <w:sz w:val="20"/>
                <w:szCs w:val="20"/>
              </w:rPr>
              <w:t> </w:t>
            </w:r>
            <w:r>
              <w:rPr>
                <w:rFonts w:ascii="宋体" w:hAnsi="宋体" w:cs="宋体" w:eastAsia="宋体" w:hint="default"/>
                <w:sz w:val="20"/>
                <w:szCs w:val="20"/>
              </w:rPr>
              <w:t>技</w:t>
            </w:r>
            <w:r>
              <w:rPr>
                <w:rFonts w:ascii="宋体" w:hAnsi="宋体" w:cs="宋体" w:eastAsia="宋体" w:hint="default"/>
                <w:spacing w:val="-64"/>
                <w:sz w:val="20"/>
                <w:szCs w:val="20"/>
              </w:rPr>
              <w:t> </w:t>
            </w:r>
            <w:r>
              <w:rPr>
                <w:rFonts w:ascii="宋体" w:hAnsi="宋体" w:cs="宋体" w:eastAsia="宋体" w:hint="default"/>
                <w:sz w:val="20"/>
                <w:szCs w:val="20"/>
              </w:rPr>
              <w:t>有</w:t>
            </w:r>
            <w:r>
              <w:rPr>
                <w:rFonts w:ascii="宋体" w:hAnsi="宋体" w:cs="宋体" w:eastAsia="宋体" w:hint="default"/>
                <w:w w:val="99"/>
                <w:sz w:val="20"/>
                <w:szCs w:val="20"/>
              </w:rPr>
              <w:t> </w:t>
            </w:r>
            <w:r>
              <w:rPr>
                <w:rFonts w:ascii="宋体" w:hAnsi="宋体" w:cs="宋体" w:eastAsia="宋体" w:hint="default"/>
                <w:sz w:val="20"/>
                <w:szCs w:val="20"/>
              </w:rPr>
              <w:t>限公司</w:t>
            </w:r>
          </w:p>
        </w:tc>
        <w:tc>
          <w:tcPr>
            <w:tcW w:w="1420" w:type="dxa"/>
            <w:tcBorders>
              <w:top w:val="dotted" w:sz="4" w:space="0" w:color="000000"/>
              <w:left w:val="dotted" w:sz="4" w:space="0" w:color="000000"/>
              <w:bottom w:val="dotted" w:sz="4" w:space="0" w:color="000000"/>
              <w:right w:val="dotted" w:sz="4" w:space="0" w:color="000000"/>
            </w:tcBorders>
          </w:tcPr>
          <w:p>
            <w:pPr>
              <w:pStyle w:val="TableParagraph"/>
              <w:spacing w:line="312" w:lineRule="auto" w:before="79"/>
              <w:ind w:left="102" w:right="104"/>
              <w:jc w:val="both"/>
              <w:rPr>
                <w:rFonts w:ascii="宋体" w:hAnsi="宋体" w:cs="宋体" w:eastAsia="宋体" w:hint="default"/>
                <w:sz w:val="20"/>
                <w:szCs w:val="20"/>
              </w:rPr>
            </w:pPr>
            <w:r>
              <w:rPr>
                <w:rFonts w:ascii="宋体" w:hAnsi="宋体" w:cs="宋体" w:eastAsia="宋体" w:hint="default"/>
                <w:sz w:val="20"/>
                <w:szCs w:val="20"/>
              </w:rPr>
              <w:t>中国工商银行</w:t>
            </w:r>
            <w:r>
              <w:rPr>
                <w:rFonts w:ascii="宋体" w:hAnsi="宋体" w:cs="宋体" w:eastAsia="宋体" w:hint="default"/>
                <w:w w:val="99"/>
                <w:sz w:val="20"/>
                <w:szCs w:val="20"/>
              </w:rPr>
              <w:t> </w:t>
            </w:r>
            <w:r>
              <w:rPr>
                <w:rFonts w:ascii="宋体" w:hAnsi="宋体" w:cs="宋体" w:eastAsia="宋体" w:hint="default"/>
                <w:sz w:val="20"/>
                <w:szCs w:val="20"/>
              </w:rPr>
              <w:t>股份有限公司</w:t>
            </w:r>
            <w:r>
              <w:rPr>
                <w:rFonts w:ascii="宋体" w:hAnsi="宋体" w:cs="宋体" w:eastAsia="宋体" w:hint="default"/>
                <w:w w:val="99"/>
                <w:sz w:val="20"/>
                <w:szCs w:val="20"/>
              </w:rPr>
              <w:t> </w:t>
            </w:r>
            <w:r>
              <w:rPr>
                <w:rFonts w:ascii="宋体" w:hAnsi="宋体" w:cs="宋体" w:eastAsia="宋体" w:hint="default"/>
                <w:sz w:val="20"/>
                <w:szCs w:val="20"/>
              </w:rPr>
              <w:t>深圳蛇口支行</w:t>
            </w:r>
          </w:p>
        </w:tc>
        <w:tc>
          <w:tcPr>
            <w:tcW w:w="70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312" w:lineRule="auto"/>
              <w:ind w:left="148" w:right="148"/>
              <w:jc w:val="left"/>
              <w:rPr>
                <w:rFonts w:ascii="宋体" w:hAnsi="宋体" w:cs="宋体" w:eastAsia="宋体" w:hint="default"/>
                <w:sz w:val="20"/>
                <w:szCs w:val="20"/>
              </w:rPr>
            </w:pPr>
            <w:r>
              <w:rPr>
                <w:rFonts w:ascii="宋体" w:hAnsi="宋体" w:cs="宋体" w:eastAsia="宋体" w:hint="default"/>
                <w:sz w:val="20"/>
                <w:szCs w:val="20"/>
              </w:rPr>
              <w:t>经营</w:t>
            </w:r>
            <w:r>
              <w:rPr>
                <w:rFonts w:ascii="宋体" w:hAnsi="宋体" w:cs="宋体" w:eastAsia="宋体" w:hint="default"/>
                <w:w w:val="99"/>
                <w:sz w:val="20"/>
                <w:szCs w:val="20"/>
              </w:rPr>
              <w:t> </w:t>
            </w:r>
            <w:r>
              <w:rPr>
                <w:rFonts w:ascii="宋体" w:hAnsi="宋体" w:cs="宋体" w:eastAsia="宋体" w:hint="default"/>
                <w:sz w:val="20"/>
                <w:szCs w:val="20"/>
              </w:rPr>
              <w:t>周转</w:t>
            </w:r>
          </w:p>
        </w:tc>
        <w:tc>
          <w:tcPr>
            <w:tcW w:w="14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20"/>
                <w:szCs w:val="20"/>
              </w:rPr>
            </w:pPr>
            <w:r>
              <w:rPr>
                <w:rFonts w:ascii="Times New Roman"/>
                <w:w w:val="95"/>
                <w:sz w:val="20"/>
              </w:rPr>
              <w:t>6,594,804.80</w:t>
            </w:r>
            <w:r>
              <w:rPr>
                <w:rFonts w:ascii="Times New Roman"/>
                <w:sz w:val="20"/>
              </w:rPr>
            </w:r>
          </w:p>
        </w:tc>
        <w:tc>
          <w:tcPr>
            <w:tcW w:w="12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72" w:right="0"/>
              <w:jc w:val="left"/>
              <w:rPr>
                <w:rFonts w:ascii="Times New Roman" w:hAnsi="Times New Roman" w:cs="Times New Roman" w:eastAsia="Times New Roman" w:hint="default"/>
                <w:sz w:val="20"/>
                <w:szCs w:val="20"/>
              </w:rPr>
            </w:pPr>
            <w:r>
              <w:rPr>
                <w:rFonts w:ascii="Times New Roman"/>
                <w:sz w:val="20"/>
              </w:rPr>
              <w:t>2019-11-25</w:t>
            </w:r>
          </w:p>
          <w:p>
            <w:pPr>
              <w:pStyle w:val="TableParagraph"/>
              <w:spacing w:line="240" w:lineRule="auto" w:before="64"/>
              <w:ind w:left="102"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至</w:t>
            </w:r>
            <w:r>
              <w:rPr>
                <w:rFonts w:ascii="宋体" w:hAnsi="宋体" w:cs="宋体" w:eastAsia="宋体" w:hint="default"/>
                <w:spacing w:val="-77"/>
                <w:sz w:val="20"/>
                <w:szCs w:val="20"/>
              </w:rPr>
              <w:t> </w:t>
            </w:r>
            <w:r>
              <w:rPr>
                <w:rFonts w:ascii="Times New Roman" w:hAnsi="Times New Roman" w:cs="Times New Roman" w:eastAsia="Times New Roman" w:hint="default"/>
                <w:sz w:val="20"/>
                <w:szCs w:val="20"/>
              </w:rPr>
              <w:t>2020-11-4</w:t>
            </w:r>
          </w:p>
        </w:tc>
        <w:tc>
          <w:tcPr>
            <w:tcW w:w="11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w w:val="95"/>
                <w:sz w:val="20"/>
              </w:rPr>
              <w:t>5.38750%</w:t>
            </w:r>
            <w:r>
              <w:rPr>
                <w:rFonts w:ascii="Times New Roman"/>
                <w:sz w:val="20"/>
              </w:rPr>
            </w:r>
          </w:p>
        </w:tc>
        <w:tc>
          <w:tcPr>
            <w:tcW w:w="707" w:type="dxa"/>
            <w:tcBorders>
              <w:top w:val="dotted" w:sz="4" w:space="0" w:color="000000"/>
              <w:left w:val="dotted" w:sz="4" w:space="0" w:color="000000"/>
              <w:bottom w:val="dotted" w:sz="4" w:space="0" w:color="000000"/>
              <w:right w:val="dotted" w:sz="4" w:space="0" w:color="000000"/>
            </w:tcBorders>
          </w:tcPr>
          <w:p>
            <w:pPr>
              <w:pStyle w:val="TableParagraph"/>
              <w:spacing w:line="312" w:lineRule="auto" w:before="79"/>
              <w:ind w:left="148" w:right="148"/>
              <w:jc w:val="both"/>
              <w:rPr>
                <w:rFonts w:ascii="宋体" w:hAnsi="宋体" w:cs="宋体" w:eastAsia="宋体" w:hint="default"/>
                <w:sz w:val="20"/>
                <w:szCs w:val="20"/>
              </w:rPr>
            </w:pPr>
            <w:r>
              <w:rPr>
                <w:rFonts w:ascii="宋体" w:hAnsi="宋体" w:cs="宋体" w:eastAsia="宋体" w:hint="default"/>
                <w:sz w:val="20"/>
                <w:szCs w:val="20"/>
              </w:rPr>
              <w:t>应收</w:t>
            </w:r>
            <w:r>
              <w:rPr>
                <w:rFonts w:ascii="宋体" w:hAnsi="宋体" w:cs="宋体" w:eastAsia="宋体" w:hint="default"/>
                <w:w w:val="99"/>
                <w:sz w:val="20"/>
                <w:szCs w:val="20"/>
              </w:rPr>
              <w:t> </w:t>
            </w:r>
            <w:r>
              <w:rPr>
                <w:rFonts w:ascii="宋体" w:hAnsi="宋体" w:cs="宋体" w:eastAsia="宋体" w:hint="default"/>
                <w:sz w:val="20"/>
                <w:szCs w:val="20"/>
              </w:rPr>
              <w:t>账款</w:t>
            </w:r>
            <w:r>
              <w:rPr>
                <w:rFonts w:ascii="宋体" w:hAnsi="宋体" w:cs="宋体" w:eastAsia="宋体" w:hint="default"/>
                <w:w w:val="99"/>
                <w:sz w:val="20"/>
                <w:szCs w:val="20"/>
              </w:rPr>
              <w:t> </w:t>
            </w:r>
            <w:r>
              <w:rPr>
                <w:rFonts w:ascii="宋体" w:hAnsi="宋体" w:cs="宋体" w:eastAsia="宋体" w:hint="default"/>
                <w:sz w:val="20"/>
                <w:szCs w:val="20"/>
              </w:rPr>
              <w:t>质押</w:t>
            </w:r>
          </w:p>
        </w:tc>
        <w:tc>
          <w:tcPr>
            <w:tcW w:w="29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312" w:lineRule="auto"/>
              <w:ind w:left="104" w:right="263"/>
              <w:jc w:val="left"/>
              <w:rPr>
                <w:rFonts w:ascii="宋体" w:hAnsi="宋体" w:cs="宋体" w:eastAsia="宋体" w:hint="default"/>
                <w:sz w:val="20"/>
                <w:szCs w:val="20"/>
              </w:rPr>
            </w:pPr>
            <w:r>
              <w:rPr>
                <w:rFonts w:ascii="宋体" w:hAnsi="宋体" w:cs="宋体" w:eastAsia="宋体" w:hint="default"/>
                <w:sz w:val="20"/>
                <w:szCs w:val="20"/>
              </w:rPr>
              <w:t>南山区数字政务局南山区远程</w:t>
            </w:r>
            <w:r>
              <w:rPr>
                <w:rFonts w:ascii="宋体" w:hAnsi="宋体" w:cs="宋体" w:eastAsia="宋体" w:hint="default"/>
                <w:w w:val="99"/>
                <w:sz w:val="20"/>
                <w:szCs w:val="20"/>
              </w:rPr>
              <w:t> </w:t>
            </w:r>
            <w:r>
              <w:rPr>
                <w:rFonts w:ascii="宋体" w:hAnsi="宋体" w:cs="宋体" w:eastAsia="宋体" w:hint="default"/>
                <w:sz w:val="20"/>
                <w:szCs w:val="20"/>
              </w:rPr>
              <w:t>监控和多方会议</w:t>
            </w:r>
          </w:p>
        </w:tc>
        <w:tc>
          <w:tcPr>
            <w:tcW w:w="155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6"/>
              <w:ind w:left="101" w:right="0"/>
              <w:jc w:val="left"/>
              <w:rPr>
                <w:rFonts w:ascii="Times New Roman" w:hAnsi="Times New Roman" w:cs="Times New Roman" w:eastAsia="Times New Roman" w:hint="default"/>
                <w:sz w:val="20"/>
                <w:szCs w:val="20"/>
              </w:rPr>
            </w:pPr>
            <w:r>
              <w:rPr>
                <w:rFonts w:ascii="Times New Roman"/>
                <w:sz w:val="20"/>
              </w:rPr>
              <w:t>40000202-2019</w:t>
            </w:r>
          </w:p>
          <w:p>
            <w:pPr>
              <w:pStyle w:val="TableParagraph"/>
              <w:spacing w:line="309" w:lineRule="auto" w:before="64"/>
              <w:ind w:left="101" w:right="50"/>
              <w:jc w:val="left"/>
              <w:rPr>
                <w:rFonts w:ascii="宋体" w:hAnsi="宋体" w:cs="宋体" w:eastAsia="宋体" w:hint="default"/>
                <w:sz w:val="20"/>
                <w:szCs w:val="20"/>
              </w:rPr>
            </w:pPr>
            <w:r>
              <w:rPr>
                <w:rFonts w:ascii="宋体" w:hAnsi="宋体" w:cs="宋体" w:eastAsia="宋体" w:hint="default"/>
                <w:sz w:val="20"/>
                <w:szCs w:val="20"/>
              </w:rPr>
              <w:t>年蛇口（附质）</w:t>
            </w:r>
            <w:r>
              <w:rPr>
                <w:rFonts w:ascii="宋体" w:hAnsi="宋体" w:cs="宋体" w:eastAsia="宋体" w:hint="default"/>
                <w:w w:val="99"/>
                <w:sz w:val="20"/>
                <w:szCs w:val="20"/>
              </w:rPr>
              <w:t> </w:t>
            </w:r>
            <w:r>
              <w:rPr>
                <w:rFonts w:ascii="宋体" w:hAnsi="宋体" w:cs="宋体" w:eastAsia="宋体" w:hint="default"/>
                <w:sz w:val="20"/>
                <w:szCs w:val="20"/>
              </w:rPr>
              <w:t>字</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0401</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号</w:t>
            </w:r>
          </w:p>
        </w:tc>
      </w:tr>
      <w:tr>
        <w:trPr>
          <w:trHeight w:val="778" w:hRule="exact"/>
        </w:trPr>
        <w:tc>
          <w:tcPr>
            <w:tcW w:w="399"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08" w:right="0"/>
              <w:jc w:val="left"/>
              <w:rPr>
                <w:rFonts w:ascii="Times New Roman" w:hAnsi="Times New Roman" w:cs="Times New Roman" w:eastAsia="Times New Roman" w:hint="default"/>
                <w:sz w:val="20"/>
                <w:szCs w:val="20"/>
              </w:rPr>
            </w:pPr>
            <w:r>
              <w:rPr>
                <w:rFonts w:ascii="Times New Roman"/>
                <w:w w:val="99"/>
                <w:sz w:val="20"/>
              </w:rPr>
              <w:t>4</w:t>
            </w:r>
            <w:r>
              <w:rPr>
                <w:rFonts w:ascii="Times New Roman"/>
                <w:sz w:val="20"/>
              </w:rPr>
            </w:r>
          </w:p>
        </w:tc>
        <w:tc>
          <w:tcPr>
            <w:tcW w:w="141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46"/>
              <w:ind w:left="102" w:right="0"/>
              <w:jc w:val="left"/>
              <w:rPr>
                <w:rFonts w:ascii="Times New Roman" w:hAnsi="Times New Roman" w:cs="Times New Roman" w:eastAsia="Times New Roman" w:hint="default"/>
                <w:sz w:val="20"/>
                <w:szCs w:val="20"/>
              </w:rPr>
            </w:pPr>
            <w:r>
              <w:rPr>
                <w:rFonts w:ascii="Times New Roman"/>
                <w:sz w:val="20"/>
              </w:rPr>
              <w:t>0400000012-2</w:t>
            </w:r>
          </w:p>
          <w:p>
            <w:pPr>
              <w:pStyle w:val="TableParagraph"/>
              <w:spacing w:line="240" w:lineRule="auto" w:before="64"/>
              <w:ind w:left="10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019</w:t>
            </w:r>
            <w:r>
              <w:rPr>
                <w:rFonts w:ascii="Times New Roman" w:hAnsi="Times New Roman" w:cs="Times New Roman" w:eastAsia="Times New Roman" w:hint="default"/>
                <w:spacing w:val="-4"/>
                <w:sz w:val="20"/>
                <w:szCs w:val="20"/>
              </w:rPr>
              <w:t> </w:t>
            </w:r>
            <w:r>
              <w:rPr>
                <w:rFonts w:ascii="宋体" w:hAnsi="宋体" w:cs="宋体" w:eastAsia="宋体" w:hint="default"/>
                <w:spacing w:val="-11"/>
                <w:sz w:val="20"/>
                <w:szCs w:val="20"/>
              </w:rPr>
              <w:t>年（蛇口）</w:t>
            </w:r>
          </w:p>
        </w:tc>
        <w:tc>
          <w:tcPr>
            <w:tcW w:w="1131" w:type="dxa"/>
            <w:tcBorders>
              <w:top w:val="dotted" w:sz="4" w:space="0" w:color="000000"/>
              <w:left w:val="dotted" w:sz="4" w:space="0" w:color="000000"/>
              <w:bottom w:val="single" w:sz="12" w:space="0" w:color="000000"/>
              <w:right w:val="dotted" w:sz="4" w:space="0" w:color="000000"/>
            </w:tcBorders>
          </w:tcPr>
          <w:p>
            <w:pPr>
              <w:pStyle w:val="TableParagraph"/>
              <w:spacing w:line="312" w:lineRule="auto" w:before="100"/>
              <w:ind w:left="102" w:right="102"/>
              <w:jc w:val="left"/>
              <w:rPr>
                <w:rFonts w:ascii="宋体" w:hAnsi="宋体" w:cs="宋体" w:eastAsia="宋体" w:hint="default"/>
                <w:sz w:val="20"/>
                <w:szCs w:val="20"/>
              </w:rPr>
            </w:pPr>
            <w:r>
              <w:rPr>
                <w:rFonts w:ascii="宋体" w:hAnsi="宋体" w:cs="宋体" w:eastAsia="宋体" w:hint="default"/>
                <w:sz w:val="20"/>
                <w:szCs w:val="20"/>
              </w:rPr>
              <w:t>深</w:t>
            </w:r>
            <w:r>
              <w:rPr>
                <w:rFonts w:ascii="宋体" w:hAnsi="宋体" w:cs="宋体" w:eastAsia="宋体" w:hint="default"/>
                <w:spacing w:val="-64"/>
                <w:sz w:val="20"/>
                <w:szCs w:val="20"/>
              </w:rPr>
              <w:t> </w:t>
            </w:r>
            <w:r>
              <w:rPr>
                <w:rFonts w:ascii="宋体" w:hAnsi="宋体" w:cs="宋体" w:eastAsia="宋体" w:hint="default"/>
                <w:sz w:val="20"/>
                <w:szCs w:val="20"/>
              </w:rPr>
              <w:t>圳</w:t>
            </w:r>
            <w:r>
              <w:rPr>
                <w:rFonts w:ascii="宋体" w:hAnsi="宋体" w:cs="宋体" w:eastAsia="宋体" w:hint="default"/>
                <w:spacing w:val="-61"/>
                <w:sz w:val="20"/>
                <w:szCs w:val="20"/>
              </w:rPr>
              <w:t> </w:t>
            </w:r>
            <w:r>
              <w:rPr>
                <w:rFonts w:ascii="宋体" w:hAnsi="宋体" w:cs="宋体" w:eastAsia="宋体" w:hint="default"/>
                <w:sz w:val="20"/>
                <w:szCs w:val="20"/>
              </w:rPr>
              <w:t>市</w:t>
            </w:r>
            <w:r>
              <w:rPr>
                <w:rFonts w:ascii="宋体" w:hAnsi="宋体" w:cs="宋体" w:eastAsia="宋体" w:hint="default"/>
                <w:spacing w:val="-64"/>
                <w:sz w:val="20"/>
                <w:szCs w:val="20"/>
              </w:rPr>
              <w:t> </w:t>
            </w:r>
            <w:r>
              <w:rPr>
                <w:rFonts w:ascii="宋体" w:hAnsi="宋体" w:cs="宋体" w:eastAsia="宋体" w:hint="default"/>
                <w:sz w:val="20"/>
                <w:szCs w:val="20"/>
              </w:rPr>
              <w:t>信</w:t>
            </w:r>
            <w:r>
              <w:rPr>
                <w:rFonts w:ascii="宋体" w:hAnsi="宋体" w:cs="宋体" w:eastAsia="宋体" w:hint="default"/>
                <w:w w:val="99"/>
                <w:sz w:val="20"/>
                <w:szCs w:val="20"/>
              </w:rPr>
              <w:t> </w:t>
            </w:r>
            <w:r>
              <w:rPr>
                <w:rFonts w:ascii="宋体" w:hAnsi="宋体" w:cs="宋体" w:eastAsia="宋体" w:hint="default"/>
                <w:sz w:val="20"/>
                <w:szCs w:val="20"/>
              </w:rPr>
              <w:t>义</w:t>
            </w:r>
            <w:r>
              <w:rPr>
                <w:rFonts w:ascii="宋体" w:hAnsi="宋体" w:cs="宋体" w:eastAsia="宋体" w:hint="default"/>
                <w:spacing w:val="-64"/>
                <w:sz w:val="20"/>
                <w:szCs w:val="20"/>
              </w:rPr>
              <w:t> </w:t>
            </w:r>
            <w:r>
              <w:rPr>
                <w:rFonts w:ascii="宋体" w:hAnsi="宋体" w:cs="宋体" w:eastAsia="宋体" w:hint="default"/>
                <w:sz w:val="20"/>
                <w:szCs w:val="20"/>
              </w:rPr>
              <w:t>科</w:t>
            </w:r>
            <w:r>
              <w:rPr>
                <w:rFonts w:ascii="宋体" w:hAnsi="宋体" w:cs="宋体" w:eastAsia="宋体" w:hint="default"/>
                <w:spacing w:val="-61"/>
                <w:sz w:val="20"/>
                <w:szCs w:val="20"/>
              </w:rPr>
              <w:t> </w:t>
            </w:r>
            <w:r>
              <w:rPr>
                <w:rFonts w:ascii="宋体" w:hAnsi="宋体" w:cs="宋体" w:eastAsia="宋体" w:hint="default"/>
                <w:sz w:val="20"/>
                <w:szCs w:val="20"/>
              </w:rPr>
              <w:t>技</w:t>
            </w:r>
            <w:r>
              <w:rPr>
                <w:rFonts w:ascii="宋体" w:hAnsi="宋体" w:cs="宋体" w:eastAsia="宋体" w:hint="default"/>
                <w:spacing w:val="-64"/>
                <w:sz w:val="20"/>
                <w:szCs w:val="20"/>
              </w:rPr>
              <w:t> </w:t>
            </w:r>
            <w:r>
              <w:rPr>
                <w:rFonts w:ascii="宋体" w:hAnsi="宋体" w:cs="宋体" w:eastAsia="宋体" w:hint="default"/>
                <w:sz w:val="20"/>
                <w:szCs w:val="20"/>
              </w:rPr>
              <w:t>有</w:t>
            </w:r>
          </w:p>
        </w:tc>
        <w:tc>
          <w:tcPr>
            <w:tcW w:w="1420" w:type="dxa"/>
            <w:tcBorders>
              <w:top w:val="dotted" w:sz="4" w:space="0" w:color="000000"/>
              <w:left w:val="dotted" w:sz="4" w:space="0" w:color="000000"/>
              <w:bottom w:val="single" w:sz="12" w:space="0" w:color="000000"/>
              <w:right w:val="dotted" w:sz="4" w:space="0" w:color="000000"/>
            </w:tcBorders>
          </w:tcPr>
          <w:p>
            <w:pPr>
              <w:pStyle w:val="TableParagraph"/>
              <w:spacing w:line="312" w:lineRule="auto" w:before="100"/>
              <w:ind w:left="102" w:right="104"/>
              <w:jc w:val="left"/>
              <w:rPr>
                <w:rFonts w:ascii="宋体" w:hAnsi="宋体" w:cs="宋体" w:eastAsia="宋体" w:hint="default"/>
                <w:sz w:val="20"/>
                <w:szCs w:val="20"/>
              </w:rPr>
            </w:pPr>
            <w:r>
              <w:rPr>
                <w:rFonts w:ascii="宋体" w:hAnsi="宋体" w:cs="宋体" w:eastAsia="宋体" w:hint="default"/>
                <w:sz w:val="20"/>
                <w:szCs w:val="20"/>
              </w:rPr>
              <w:t>中国工商银行</w:t>
            </w:r>
            <w:r>
              <w:rPr>
                <w:rFonts w:ascii="宋体" w:hAnsi="宋体" w:cs="宋体" w:eastAsia="宋体" w:hint="default"/>
                <w:w w:val="99"/>
                <w:sz w:val="20"/>
                <w:szCs w:val="20"/>
              </w:rPr>
              <w:t> </w:t>
            </w:r>
            <w:r>
              <w:rPr>
                <w:rFonts w:ascii="宋体" w:hAnsi="宋体" w:cs="宋体" w:eastAsia="宋体" w:hint="default"/>
                <w:sz w:val="20"/>
                <w:szCs w:val="20"/>
              </w:rPr>
              <w:t>股份有限公司</w:t>
            </w:r>
          </w:p>
        </w:tc>
        <w:tc>
          <w:tcPr>
            <w:tcW w:w="707" w:type="dxa"/>
            <w:tcBorders>
              <w:top w:val="dotted" w:sz="4" w:space="0" w:color="000000"/>
              <w:left w:val="dotted" w:sz="4" w:space="0" w:color="000000"/>
              <w:bottom w:val="single" w:sz="12" w:space="0" w:color="000000"/>
              <w:right w:val="dotted" w:sz="4" w:space="0" w:color="000000"/>
            </w:tcBorders>
          </w:tcPr>
          <w:p>
            <w:pPr>
              <w:pStyle w:val="TableParagraph"/>
              <w:spacing w:line="309" w:lineRule="auto" w:before="80"/>
              <w:ind w:left="148" w:right="148"/>
              <w:jc w:val="left"/>
              <w:rPr>
                <w:rFonts w:ascii="宋体" w:hAnsi="宋体" w:cs="宋体" w:eastAsia="宋体" w:hint="default"/>
                <w:sz w:val="20"/>
                <w:szCs w:val="20"/>
              </w:rPr>
            </w:pPr>
            <w:r>
              <w:rPr>
                <w:rFonts w:ascii="宋体" w:hAnsi="宋体" w:cs="宋体" w:eastAsia="宋体" w:hint="default"/>
                <w:sz w:val="20"/>
                <w:szCs w:val="20"/>
              </w:rPr>
              <w:t>经营</w:t>
            </w:r>
            <w:r>
              <w:rPr>
                <w:rFonts w:ascii="宋体" w:hAnsi="宋体" w:cs="宋体" w:eastAsia="宋体" w:hint="default"/>
                <w:w w:val="99"/>
                <w:sz w:val="20"/>
                <w:szCs w:val="20"/>
              </w:rPr>
              <w:t> </w:t>
            </w:r>
            <w:r>
              <w:rPr>
                <w:rFonts w:ascii="宋体" w:hAnsi="宋体" w:cs="宋体" w:eastAsia="宋体" w:hint="default"/>
                <w:sz w:val="20"/>
                <w:szCs w:val="20"/>
              </w:rPr>
              <w:t>周转</w:t>
            </w:r>
          </w:p>
        </w:tc>
        <w:tc>
          <w:tcPr>
            <w:tcW w:w="141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20"/>
                <w:szCs w:val="20"/>
              </w:rPr>
            </w:pPr>
            <w:r>
              <w:rPr>
                <w:rFonts w:ascii="Times New Roman"/>
                <w:w w:val="95"/>
                <w:sz w:val="20"/>
              </w:rPr>
              <w:t>457,527.40</w:t>
            </w:r>
            <w:r>
              <w:rPr>
                <w:rFonts w:ascii="Times New Roman"/>
                <w:sz w:val="20"/>
              </w:rPr>
            </w:r>
          </w:p>
        </w:tc>
        <w:tc>
          <w:tcPr>
            <w:tcW w:w="127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27"/>
              <w:ind w:left="172" w:right="0"/>
              <w:jc w:val="left"/>
              <w:rPr>
                <w:rFonts w:ascii="Times New Roman" w:hAnsi="Times New Roman" w:cs="Times New Roman" w:eastAsia="Times New Roman" w:hint="default"/>
                <w:sz w:val="20"/>
                <w:szCs w:val="20"/>
              </w:rPr>
            </w:pPr>
            <w:r>
              <w:rPr>
                <w:rFonts w:ascii="Times New Roman"/>
                <w:sz w:val="20"/>
              </w:rPr>
              <w:t>2019-11-27</w:t>
            </w:r>
          </w:p>
          <w:p>
            <w:pPr>
              <w:pStyle w:val="TableParagraph"/>
              <w:spacing w:line="240" w:lineRule="auto" w:before="61"/>
              <w:ind w:left="102"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至</w:t>
            </w:r>
            <w:r>
              <w:rPr>
                <w:rFonts w:ascii="宋体" w:hAnsi="宋体" w:cs="宋体" w:eastAsia="宋体" w:hint="default"/>
                <w:spacing w:val="-77"/>
                <w:sz w:val="20"/>
                <w:szCs w:val="20"/>
              </w:rPr>
              <w:t> </w:t>
            </w:r>
            <w:r>
              <w:rPr>
                <w:rFonts w:ascii="Times New Roman" w:hAnsi="Times New Roman" w:cs="Times New Roman" w:eastAsia="Times New Roman" w:hint="default"/>
                <w:sz w:val="20"/>
                <w:szCs w:val="20"/>
              </w:rPr>
              <w:t>2020-11-4</w:t>
            </w:r>
          </w:p>
        </w:tc>
        <w:tc>
          <w:tcPr>
            <w:tcW w:w="113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w w:val="95"/>
                <w:sz w:val="20"/>
              </w:rPr>
              <w:t>5.38750%</w:t>
            </w:r>
            <w:r>
              <w:rPr>
                <w:rFonts w:ascii="Times New Roman"/>
                <w:sz w:val="20"/>
              </w:rPr>
            </w:r>
          </w:p>
        </w:tc>
        <w:tc>
          <w:tcPr>
            <w:tcW w:w="707" w:type="dxa"/>
            <w:tcBorders>
              <w:top w:val="dotted" w:sz="4" w:space="0" w:color="000000"/>
              <w:left w:val="dotted" w:sz="4" w:space="0" w:color="000000"/>
              <w:bottom w:val="single" w:sz="12" w:space="0" w:color="000000"/>
              <w:right w:val="dotted" w:sz="4" w:space="0" w:color="000000"/>
            </w:tcBorders>
          </w:tcPr>
          <w:p>
            <w:pPr>
              <w:pStyle w:val="TableParagraph"/>
              <w:spacing w:line="312" w:lineRule="auto" w:before="100"/>
              <w:ind w:left="148" w:right="148"/>
              <w:jc w:val="left"/>
              <w:rPr>
                <w:rFonts w:ascii="宋体" w:hAnsi="宋体" w:cs="宋体" w:eastAsia="宋体" w:hint="default"/>
                <w:sz w:val="20"/>
                <w:szCs w:val="20"/>
              </w:rPr>
            </w:pPr>
            <w:r>
              <w:rPr>
                <w:rFonts w:ascii="宋体" w:hAnsi="宋体" w:cs="宋体" w:eastAsia="宋体" w:hint="default"/>
                <w:sz w:val="20"/>
                <w:szCs w:val="20"/>
              </w:rPr>
              <w:t>应收</w:t>
            </w:r>
            <w:r>
              <w:rPr>
                <w:rFonts w:ascii="宋体" w:hAnsi="宋体" w:cs="宋体" w:eastAsia="宋体" w:hint="default"/>
                <w:w w:val="99"/>
                <w:sz w:val="20"/>
                <w:szCs w:val="20"/>
              </w:rPr>
              <w:t> </w:t>
            </w:r>
            <w:r>
              <w:rPr>
                <w:rFonts w:ascii="宋体" w:hAnsi="宋体" w:cs="宋体" w:eastAsia="宋体" w:hint="default"/>
                <w:sz w:val="20"/>
                <w:szCs w:val="20"/>
              </w:rPr>
              <w:t>账款</w:t>
            </w:r>
          </w:p>
        </w:tc>
        <w:tc>
          <w:tcPr>
            <w:tcW w:w="2978" w:type="dxa"/>
            <w:tcBorders>
              <w:top w:val="dotted" w:sz="4" w:space="0" w:color="000000"/>
              <w:left w:val="dotted" w:sz="4" w:space="0" w:color="000000"/>
              <w:bottom w:val="single" w:sz="12" w:space="0" w:color="000000"/>
              <w:right w:val="dotted" w:sz="4" w:space="0" w:color="000000"/>
            </w:tcBorders>
          </w:tcPr>
          <w:p>
            <w:pPr>
              <w:pStyle w:val="TableParagraph"/>
              <w:spacing w:line="309" w:lineRule="auto" w:before="80"/>
              <w:ind w:left="104" w:right="263"/>
              <w:jc w:val="left"/>
              <w:rPr>
                <w:rFonts w:ascii="宋体" w:hAnsi="宋体" w:cs="宋体" w:eastAsia="宋体" w:hint="default"/>
                <w:sz w:val="20"/>
                <w:szCs w:val="20"/>
              </w:rPr>
            </w:pPr>
            <w:r>
              <w:rPr>
                <w:rFonts w:ascii="宋体" w:hAnsi="宋体" w:cs="宋体" w:eastAsia="宋体" w:hint="default"/>
                <w:sz w:val="20"/>
                <w:szCs w:val="20"/>
              </w:rPr>
              <w:t>南山区数字政务局南山区远程</w:t>
            </w:r>
            <w:r>
              <w:rPr>
                <w:rFonts w:ascii="宋体" w:hAnsi="宋体" w:cs="宋体" w:eastAsia="宋体" w:hint="default"/>
                <w:w w:val="99"/>
                <w:sz w:val="20"/>
                <w:szCs w:val="20"/>
              </w:rPr>
              <w:t> </w:t>
            </w:r>
            <w:r>
              <w:rPr>
                <w:rFonts w:ascii="宋体" w:hAnsi="宋体" w:cs="宋体" w:eastAsia="宋体" w:hint="default"/>
                <w:sz w:val="20"/>
                <w:szCs w:val="20"/>
              </w:rPr>
              <w:t>监控和多方会议</w:t>
            </w:r>
          </w:p>
        </w:tc>
        <w:tc>
          <w:tcPr>
            <w:tcW w:w="1558"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46"/>
              <w:ind w:left="101" w:right="0"/>
              <w:jc w:val="left"/>
              <w:rPr>
                <w:rFonts w:ascii="Times New Roman" w:hAnsi="Times New Roman" w:cs="Times New Roman" w:eastAsia="Times New Roman" w:hint="default"/>
                <w:sz w:val="20"/>
                <w:szCs w:val="20"/>
              </w:rPr>
            </w:pPr>
            <w:r>
              <w:rPr>
                <w:rFonts w:ascii="Times New Roman"/>
                <w:sz w:val="20"/>
              </w:rPr>
              <w:t>40000202-2019</w:t>
            </w:r>
          </w:p>
          <w:p>
            <w:pPr>
              <w:pStyle w:val="TableParagraph"/>
              <w:spacing w:line="240" w:lineRule="auto" w:before="64"/>
              <w:ind w:left="101" w:right="0"/>
              <w:jc w:val="left"/>
              <w:rPr>
                <w:rFonts w:ascii="宋体" w:hAnsi="宋体" w:cs="宋体" w:eastAsia="宋体" w:hint="default"/>
                <w:sz w:val="20"/>
                <w:szCs w:val="20"/>
              </w:rPr>
            </w:pPr>
            <w:r>
              <w:rPr>
                <w:rFonts w:ascii="宋体" w:hAnsi="宋体" w:cs="宋体" w:eastAsia="宋体" w:hint="default"/>
                <w:sz w:val="20"/>
                <w:szCs w:val="20"/>
              </w:rPr>
              <w:t>年蛇口（附质）</w:t>
            </w:r>
          </w:p>
        </w:tc>
      </w:tr>
    </w:tbl>
    <w:p>
      <w:pPr>
        <w:spacing w:after="0" w:line="240" w:lineRule="auto"/>
        <w:jc w:val="left"/>
        <w:rPr>
          <w:rFonts w:ascii="宋体" w:hAnsi="宋体" w:cs="宋体" w:eastAsia="宋体" w:hint="default"/>
          <w:sz w:val="20"/>
          <w:szCs w:val="20"/>
        </w:rPr>
        <w:sectPr>
          <w:headerReference w:type="default" r:id="rId53"/>
          <w:footerReference w:type="default" r:id="rId54"/>
          <w:pgSz w:w="16840" w:h="11910" w:orient="landscape"/>
          <w:pgMar w:header="878" w:footer="978" w:top="1100" w:bottom="1160" w:left="1200" w:right="1220"/>
          <w:pgNumType w:start="186"/>
        </w:sectPr>
      </w:pPr>
    </w:p>
    <w:tbl>
      <w:tblPr>
        <w:tblW w:w="0" w:type="auto"/>
        <w:jc w:val="left"/>
        <w:tblInd w:w="117" w:type="dxa"/>
        <w:tblLayout w:type="fixed"/>
        <w:tblCellMar>
          <w:top w:w="0" w:type="dxa"/>
          <w:left w:w="0" w:type="dxa"/>
          <w:bottom w:w="0" w:type="dxa"/>
          <w:right w:w="0" w:type="dxa"/>
        </w:tblCellMar>
        <w:tblLook w:val="01E0"/>
      </w:tblPr>
      <w:tblGrid>
        <w:gridCol w:w="399"/>
        <w:gridCol w:w="1411"/>
        <w:gridCol w:w="1131"/>
        <w:gridCol w:w="1420"/>
        <w:gridCol w:w="707"/>
        <w:gridCol w:w="1417"/>
        <w:gridCol w:w="1278"/>
        <w:gridCol w:w="1134"/>
        <w:gridCol w:w="707"/>
        <w:gridCol w:w="2978"/>
        <w:gridCol w:w="1558"/>
      </w:tblGrid>
      <w:tr>
        <w:trPr>
          <w:trHeight w:val="780" w:hRule="exact"/>
        </w:trPr>
        <w:tc>
          <w:tcPr>
            <w:tcW w:w="399" w:type="dxa"/>
            <w:tcBorders>
              <w:top w:val="single" w:sz="12" w:space="0" w:color="000000"/>
              <w:left w:val="nil" w:sz="6" w:space="0" w:color="auto"/>
              <w:bottom w:val="dotted" w:sz="4" w:space="0" w:color="000000"/>
              <w:right w:val="dotted" w:sz="4" w:space="0" w:color="000000"/>
            </w:tcBorders>
          </w:tcPr>
          <w:p>
            <w:pPr>
              <w:pStyle w:val="TableParagraph"/>
              <w:spacing w:line="348" w:lineRule="auto" w:before="104"/>
              <w:ind w:left="108" w:right="104"/>
              <w:jc w:val="left"/>
              <w:rPr>
                <w:rFonts w:ascii="宋体" w:hAnsi="宋体" w:cs="宋体" w:eastAsia="宋体" w:hint="default"/>
                <w:sz w:val="18"/>
                <w:szCs w:val="18"/>
              </w:rPr>
            </w:pPr>
            <w:r>
              <w:rPr>
                <w:rFonts w:ascii="宋体" w:hAnsi="宋体" w:cs="宋体" w:eastAsia="宋体" w:hint="default"/>
                <w:sz w:val="18"/>
                <w:szCs w:val="18"/>
              </w:rPr>
              <w:t>序 号</w:t>
            </w:r>
          </w:p>
        </w:tc>
        <w:tc>
          <w:tcPr>
            <w:tcW w:w="1411"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59"/>
              <w:jc w:val="right"/>
              <w:rPr>
                <w:rFonts w:ascii="宋体" w:hAnsi="宋体" w:cs="宋体" w:eastAsia="宋体" w:hint="default"/>
                <w:sz w:val="18"/>
                <w:szCs w:val="18"/>
              </w:rPr>
            </w:pPr>
            <w:r>
              <w:rPr>
                <w:rFonts w:ascii="宋体" w:hAnsi="宋体" w:cs="宋体" w:eastAsia="宋体" w:hint="default"/>
                <w:sz w:val="18"/>
                <w:szCs w:val="18"/>
              </w:rPr>
              <w:t>借款合同编号</w:t>
            </w:r>
          </w:p>
        </w:tc>
        <w:tc>
          <w:tcPr>
            <w:tcW w:w="1131"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出质人</w:t>
            </w:r>
          </w:p>
        </w:tc>
        <w:tc>
          <w:tcPr>
            <w:tcW w:w="142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质权人</w:t>
            </w:r>
          </w:p>
        </w:tc>
        <w:tc>
          <w:tcPr>
            <w:tcW w:w="707" w:type="dxa"/>
            <w:tcBorders>
              <w:top w:val="single" w:sz="12" w:space="0" w:color="000000"/>
              <w:left w:val="dotted" w:sz="4" w:space="0" w:color="000000"/>
              <w:bottom w:val="dotted" w:sz="4" w:space="0" w:color="000000"/>
              <w:right w:val="dotted" w:sz="4" w:space="0" w:color="000000"/>
            </w:tcBorders>
          </w:tcPr>
          <w:p>
            <w:pPr>
              <w:pStyle w:val="TableParagraph"/>
              <w:spacing w:line="348" w:lineRule="auto" w:before="104"/>
              <w:ind w:left="167" w:right="167"/>
              <w:jc w:val="left"/>
              <w:rPr>
                <w:rFonts w:ascii="宋体" w:hAnsi="宋体" w:cs="宋体" w:eastAsia="宋体" w:hint="default"/>
                <w:sz w:val="18"/>
                <w:szCs w:val="18"/>
              </w:rPr>
            </w:pPr>
            <w:r>
              <w:rPr>
                <w:rFonts w:ascii="宋体" w:hAnsi="宋体" w:cs="宋体" w:eastAsia="宋体" w:hint="default"/>
                <w:sz w:val="18"/>
                <w:szCs w:val="18"/>
              </w:rPr>
              <w:t>借款 用途</w:t>
            </w:r>
          </w:p>
        </w:tc>
        <w:tc>
          <w:tcPr>
            <w:tcW w:w="1417"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借款金额</w:t>
            </w:r>
          </w:p>
        </w:tc>
        <w:tc>
          <w:tcPr>
            <w:tcW w:w="127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借款期限</w:t>
            </w:r>
          </w:p>
        </w:tc>
        <w:tc>
          <w:tcPr>
            <w:tcW w:w="113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25"/>
              <w:jc w:val="right"/>
              <w:rPr>
                <w:rFonts w:ascii="宋体" w:hAnsi="宋体" w:cs="宋体" w:eastAsia="宋体" w:hint="default"/>
                <w:sz w:val="18"/>
                <w:szCs w:val="18"/>
              </w:rPr>
            </w:pPr>
            <w:r>
              <w:rPr>
                <w:rFonts w:ascii="宋体" w:hAnsi="宋体" w:cs="宋体" w:eastAsia="宋体" w:hint="default"/>
                <w:spacing w:val="-1"/>
                <w:sz w:val="18"/>
                <w:szCs w:val="18"/>
              </w:rPr>
              <w:t>利率（</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p>
        </w:tc>
        <w:tc>
          <w:tcPr>
            <w:tcW w:w="707" w:type="dxa"/>
            <w:tcBorders>
              <w:top w:val="single" w:sz="12" w:space="0" w:color="000000"/>
              <w:left w:val="dotted" w:sz="4" w:space="0" w:color="000000"/>
              <w:bottom w:val="dotted" w:sz="4" w:space="0" w:color="000000"/>
              <w:right w:val="dotted" w:sz="4" w:space="0" w:color="000000"/>
            </w:tcBorders>
          </w:tcPr>
          <w:p>
            <w:pPr>
              <w:pStyle w:val="TableParagraph"/>
              <w:spacing w:line="348" w:lineRule="auto" w:before="104"/>
              <w:ind w:left="167" w:right="167"/>
              <w:jc w:val="left"/>
              <w:rPr>
                <w:rFonts w:ascii="宋体" w:hAnsi="宋体" w:cs="宋体" w:eastAsia="宋体" w:hint="default"/>
                <w:sz w:val="18"/>
                <w:szCs w:val="18"/>
              </w:rPr>
            </w:pPr>
            <w:r>
              <w:rPr>
                <w:rFonts w:ascii="宋体" w:hAnsi="宋体" w:cs="宋体" w:eastAsia="宋体" w:hint="default"/>
                <w:sz w:val="18"/>
                <w:szCs w:val="18"/>
              </w:rPr>
              <w:t>担保 情况</w:t>
            </w:r>
          </w:p>
        </w:tc>
        <w:tc>
          <w:tcPr>
            <w:tcW w:w="297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质押项目</w:t>
            </w:r>
          </w:p>
        </w:tc>
        <w:tc>
          <w:tcPr>
            <w:tcW w:w="1558"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33" w:right="0"/>
              <w:jc w:val="left"/>
              <w:rPr>
                <w:rFonts w:ascii="宋体" w:hAnsi="宋体" w:cs="宋体" w:eastAsia="宋体" w:hint="default"/>
                <w:sz w:val="18"/>
                <w:szCs w:val="18"/>
              </w:rPr>
            </w:pPr>
            <w:r>
              <w:rPr>
                <w:rFonts w:ascii="宋体" w:hAnsi="宋体" w:cs="宋体" w:eastAsia="宋体" w:hint="default"/>
                <w:sz w:val="18"/>
                <w:szCs w:val="18"/>
              </w:rPr>
              <w:t>质押合同编号</w:t>
            </w:r>
          </w:p>
        </w:tc>
      </w:tr>
      <w:tr>
        <w:trPr>
          <w:trHeight w:val="390" w:hRule="exact"/>
        </w:trPr>
        <w:tc>
          <w:tcPr>
            <w:tcW w:w="399" w:type="dxa"/>
            <w:tcBorders>
              <w:top w:val="dotted" w:sz="4" w:space="0" w:color="000000"/>
              <w:left w:val="nil" w:sz="6" w:space="0" w:color="auto"/>
              <w:bottom w:val="dotted" w:sz="4" w:space="0" w:color="000000"/>
              <w:right w:val="dotted" w:sz="4" w:space="0" w:color="000000"/>
            </w:tcBorders>
          </w:tcPr>
          <w:p>
            <w:pPr/>
          </w:p>
        </w:tc>
        <w:tc>
          <w:tcPr>
            <w:tcW w:w="141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9"/>
              <w:ind w:right="197"/>
              <w:jc w:val="right"/>
              <w:rPr>
                <w:rFonts w:ascii="宋体" w:hAnsi="宋体" w:cs="宋体" w:eastAsia="宋体" w:hint="default"/>
                <w:sz w:val="20"/>
                <w:szCs w:val="20"/>
              </w:rPr>
            </w:pPr>
            <w:r>
              <w:rPr>
                <w:rFonts w:ascii="宋体" w:hAnsi="宋体" w:cs="宋体" w:eastAsia="宋体" w:hint="default"/>
                <w:sz w:val="20"/>
                <w:szCs w:val="20"/>
              </w:rPr>
              <w:t>字</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000501</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号</w:t>
            </w:r>
          </w:p>
        </w:tc>
        <w:tc>
          <w:tcPr>
            <w:tcW w:w="11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9"/>
              <w:ind w:left="102" w:right="0"/>
              <w:jc w:val="left"/>
              <w:rPr>
                <w:rFonts w:ascii="宋体" w:hAnsi="宋体" w:cs="宋体" w:eastAsia="宋体" w:hint="default"/>
                <w:sz w:val="20"/>
                <w:szCs w:val="20"/>
              </w:rPr>
            </w:pPr>
            <w:r>
              <w:rPr>
                <w:rFonts w:ascii="宋体" w:hAnsi="宋体" w:cs="宋体" w:eastAsia="宋体" w:hint="default"/>
                <w:sz w:val="20"/>
                <w:szCs w:val="20"/>
              </w:rPr>
              <w:t>限公司</w:t>
            </w:r>
          </w:p>
        </w:tc>
        <w:tc>
          <w:tcPr>
            <w:tcW w:w="14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9"/>
              <w:ind w:right="4"/>
              <w:jc w:val="center"/>
              <w:rPr>
                <w:rFonts w:ascii="宋体" w:hAnsi="宋体" w:cs="宋体" w:eastAsia="宋体" w:hint="default"/>
                <w:sz w:val="20"/>
                <w:szCs w:val="20"/>
              </w:rPr>
            </w:pPr>
            <w:r>
              <w:rPr>
                <w:rFonts w:ascii="宋体" w:hAnsi="宋体" w:cs="宋体" w:eastAsia="宋体" w:hint="default"/>
                <w:sz w:val="20"/>
                <w:szCs w:val="20"/>
              </w:rPr>
              <w:t>深圳蛇口支行</w:t>
            </w:r>
          </w:p>
        </w:tc>
        <w:tc>
          <w:tcPr>
            <w:tcW w:w="707" w:type="dxa"/>
            <w:tcBorders>
              <w:top w:val="dotted" w:sz="4" w:space="0" w:color="000000"/>
              <w:left w:val="dotted" w:sz="4" w:space="0" w:color="000000"/>
              <w:bottom w:val="dotted" w:sz="4" w:space="0" w:color="000000"/>
              <w:right w:val="dotted" w:sz="4" w:space="0" w:color="000000"/>
            </w:tcBorders>
          </w:tcPr>
          <w:p>
            <w:pPr/>
          </w:p>
        </w:tc>
        <w:tc>
          <w:tcPr>
            <w:tcW w:w="1417" w:type="dxa"/>
            <w:tcBorders>
              <w:top w:val="dotted" w:sz="4" w:space="0" w:color="000000"/>
              <w:left w:val="dotted" w:sz="4" w:space="0" w:color="000000"/>
              <w:bottom w:val="dotted" w:sz="4" w:space="0" w:color="000000"/>
              <w:right w:val="dotted" w:sz="4" w:space="0" w:color="000000"/>
            </w:tcBorders>
          </w:tcPr>
          <w:p>
            <w:pPr/>
          </w:p>
        </w:tc>
        <w:tc>
          <w:tcPr>
            <w:tcW w:w="1278" w:type="dxa"/>
            <w:tcBorders>
              <w:top w:val="dotted" w:sz="4" w:space="0" w:color="000000"/>
              <w:left w:val="dotted" w:sz="4" w:space="0" w:color="000000"/>
              <w:bottom w:val="dotted" w:sz="4" w:space="0" w:color="000000"/>
              <w:right w:val="dotted" w:sz="4" w:space="0" w:color="000000"/>
            </w:tcBorders>
          </w:tcPr>
          <w:p>
            <w:pPr/>
          </w:p>
        </w:tc>
        <w:tc>
          <w:tcPr>
            <w:tcW w:w="1134" w:type="dxa"/>
            <w:tcBorders>
              <w:top w:val="dotted" w:sz="4" w:space="0" w:color="000000"/>
              <w:left w:val="dotted" w:sz="4" w:space="0" w:color="000000"/>
              <w:bottom w:val="dotted" w:sz="4" w:space="0" w:color="000000"/>
              <w:right w:val="dotted" w:sz="4" w:space="0" w:color="000000"/>
            </w:tcBorders>
          </w:tcPr>
          <w:p>
            <w:pPr/>
          </w:p>
        </w:tc>
        <w:tc>
          <w:tcPr>
            <w:tcW w:w="70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9"/>
              <w:ind w:left="148" w:right="0"/>
              <w:jc w:val="left"/>
              <w:rPr>
                <w:rFonts w:ascii="宋体" w:hAnsi="宋体" w:cs="宋体" w:eastAsia="宋体" w:hint="default"/>
                <w:sz w:val="20"/>
                <w:szCs w:val="20"/>
              </w:rPr>
            </w:pPr>
            <w:r>
              <w:rPr>
                <w:rFonts w:ascii="宋体" w:hAnsi="宋体" w:cs="宋体" w:eastAsia="宋体" w:hint="default"/>
                <w:sz w:val="20"/>
                <w:szCs w:val="20"/>
              </w:rPr>
              <w:t>质押</w:t>
            </w:r>
          </w:p>
        </w:tc>
        <w:tc>
          <w:tcPr>
            <w:tcW w:w="2978" w:type="dxa"/>
            <w:tcBorders>
              <w:top w:val="dotted" w:sz="4" w:space="0" w:color="000000"/>
              <w:left w:val="dotted" w:sz="4" w:space="0" w:color="000000"/>
              <w:bottom w:val="dotted" w:sz="4" w:space="0" w:color="000000"/>
              <w:right w:val="dotted" w:sz="4" w:space="0" w:color="000000"/>
            </w:tcBorders>
          </w:tcPr>
          <w:p>
            <w:pPr/>
          </w:p>
        </w:tc>
        <w:tc>
          <w:tcPr>
            <w:tcW w:w="155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9"/>
              <w:ind w:left="101" w:right="0"/>
              <w:jc w:val="left"/>
              <w:rPr>
                <w:rFonts w:ascii="宋体" w:hAnsi="宋体" w:cs="宋体" w:eastAsia="宋体" w:hint="default"/>
                <w:sz w:val="20"/>
                <w:szCs w:val="20"/>
              </w:rPr>
            </w:pPr>
            <w:r>
              <w:rPr>
                <w:rFonts w:ascii="宋体" w:hAnsi="宋体" w:cs="宋体" w:eastAsia="宋体" w:hint="default"/>
                <w:sz w:val="20"/>
                <w:szCs w:val="20"/>
              </w:rPr>
              <w:t>字</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0401</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号</w:t>
            </w:r>
          </w:p>
        </w:tc>
      </w:tr>
      <w:tr>
        <w:trPr>
          <w:trHeight w:val="422" w:hRule="exact"/>
        </w:trPr>
        <w:tc>
          <w:tcPr>
            <w:tcW w:w="399" w:type="dxa"/>
            <w:tcBorders>
              <w:top w:val="dotted" w:sz="4" w:space="0" w:color="000000"/>
              <w:left w:val="nil" w:sz="6" w:space="0" w:color="auto"/>
              <w:bottom w:val="nil" w:sz="6" w:space="0" w:color="auto"/>
              <w:right w:val="dotted" w:sz="4" w:space="0" w:color="000000"/>
            </w:tcBorders>
          </w:tcPr>
          <w:p>
            <w:pPr/>
          </w:p>
        </w:tc>
        <w:tc>
          <w:tcPr>
            <w:tcW w:w="1411" w:type="dxa"/>
            <w:tcBorders>
              <w:top w:val="dotted" w:sz="4" w:space="0" w:color="000000"/>
              <w:left w:val="dotted" w:sz="4" w:space="0" w:color="000000"/>
              <w:bottom w:val="nil" w:sz="6" w:space="0" w:color="auto"/>
              <w:right w:val="dotted" w:sz="4" w:space="0" w:color="000000"/>
            </w:tcBorders>
          </w:tcPr>
          <w:p>
            <w:pPr/>
          </w:p>
        </w:tc>
        <w:tc>
          <w:tcPr>
            <w:tcW w:w="1131" w:type="dxa"/>
            <w:tcBorders>
              <w:top w:val="dotted" w:sz="4" w:space="0" w:color="000000"/>
              <w:left w:val="dotted" w:sz="4" w:space="0" w:color="000000"/>
              <w:bottom w:val="nil" w:sz="6" w:space="0" w:color="auto"/>
              <w:right w:val="dotted" w:sz="4" w:space="0" w:color="000000"/>
            </w:tcBorders>
          </w:tcPr>
          <w:p>
            <w:pPr/>
          </w:p>
        </w:tc>
        <w:tc>
          <w:tcPr>
            <w:tcW w:w="1420" w:type="dxa"/>
            <w:tcBorders>
              <w:top w:val="dotted" w:sz="4" w:space="0" w:color="000000"/>
              <w:left w:val="dotted" w:sz="4" w:space="0" w:color="000000"/>
              <w:bottom w:val="nil" w:sz="6" w:space="0" w:color="auto"/>
              <w:right w:val="dotted" w:sz="4" w:space="0" w:color="000000"/>
            </w:tcBorders>
          </w:tcPr>
          <w:p>
            <w:pPr/>
          </w:p>
        </w:tc>
        <w:tc>
          <w:tcPr>
            <w:tcW w:w="707" w:type="dxa"/>
            <w:tcBorders>
              <w:top w:val="dotted" w:sz="4" w:space="0" w:color="000000"/>
              <w:left w:val="dotted" w:sz="4" w:space="0" w:color="000000"/>
              <w:bottom w:val="nil" w:sz="6" w:space="0" w:color="auto"/>
              <w:right w:val="dotted" w:sz="4" w:space="0" w:color="000000"/>
            </w:tcBorders>
          </w:tcPr>
          <w:p>
            <w:pPr/>
          </w:p>
        </w:tc>
        <w:tc>
          <w:tcPr>
            <w:tcW w:w="1417" w:type="dxa"/>
            <w:tcBorders>
              <w:top w:val="dotted" w:sz="4" w:space="0" w:color="000000"/>
              <w:left w:val="dotted" w:sz="4" w:space="0" w:color="000000"/>
              <w:bottom w:val="nil" w:sz="6" w:space="0" w:color="auto"/>
              <w:right w:val="dotted" w:sz="4" w:space="0" w:color="000000"/>
            </w:tcBorders>
          </w:tcPr>
          <w:p>
            <w:pPr/>
          </w:p>
        </w:tc>
        <w:tc>
          <w:tcPr>
            <w:tcW w:w="1278" w:type="dxa"/>
            <w:tcBorders>
              <w:top w:val="dotted" w:sz="4" w:space="0" w:color="000000"/>
              <w:left w:val="dotted" w:sz="4" w:space="0" w:color="000000"/>
              <w:bottom w:val="nil" w:sz="6" w:space="0" w:color="auto"/>
              <w:right w:val="dotted" w:sz="4" w:space="0" w:color="000000"/>
            </w:tcBorders>
          </w:tcPr>
          <w:p>
            <w:pPr/>
          </w:p>
        </w:tc>
        <w:tc>
          <w:tcPr>
            <w:tcW w:w="1134" w:type="dxa"/>
            <w:tcBorders>
              <w:top w:val="dotted" w:sz="4" w:space="0" w:color="000000"/>
              <w:left w:val="dotted" w:sz="4" w:space="0" w:color="000000"/>
              <w:bottom w:val="nil" w:sz="6" w:space="0" w:color="auto"/>
              <w:right w:val="dotted" w:sz="4" w:space="0" w:color="000000"/>
            </w:tcBorders>
          </w:tcPr>
          <w:p>
            <w:pPr/>
          </w:p>
        </w:tc>
        <w:tc>
          <w:tcPr>
            <w:tcW w:w="707" w:type="dxa"/>
            <w:tcBorders>
              <w:top w:val="dotted" w:sz="4" w:space="0" w:color="000000"/>
              <w:left w:val="dotted" w:sz="4" w:space="0" w:color="000000"/>
              <w:bottom w:val="nil" w:sz="6" w:space="0" w:color="auto"/>
              <w:right w:val="dotted" w:sz="4" w:space="0" w:color="000000"/>
            </w:tcBorders>
          </w:tcPr>
          <w:p>
            <w:pPr/>
          </w:p>
        </w:tc>
        <w:tc>
          <w:tcPr>
            <w:tcW w:w="2978" w:type="dxa"/>
            <w:tcBorders>
              <w:top w:val="dotted" w:sz="4" w:space="0" w:color="000000"/>
              <w:left w:val="dotted" w:sz="4" w:space="0" w:color="000000"/>
              <w:bottom w:val="nil" w:sz="6" w:space="0" w:color="auto"/>
              <w:right w:val="dotted" w:sz="4" w:space="0" w:color="000000"/>
            </w:tcBorders>
          </w:tcPr>
          <w:p>
            <w:pPr>
              <w:pStyle w:val="TableParagraph"/>
              <w:spacing w:line="240" w:lineRule="auto" w:before="79"/>
              <w:ind w:left="104" w:right="0"/>
              <w:jc w:val="left"/>
              <w:rPr>
                <w:rFonts w:ascii="宋体" w:hAnsi="宋体" w:cs="宋体" w:eastAsia="宋体" w:hint="default"/>
                <w:sz w:val="20"/>
                <w:szCs w:val="20"/>
              </w:rPr>
            </w:pPr>
            <w:r>
              <w:rPr>
                <w:rFonts w:ascii="宋体" w:hAnsi="宋体" w:cs="宋体" w:eastAsia="宋体" w:hint="default"/>
                <w:sz w:val="20"/>
                <w:szCs w:val="20"/>
              </w:rPr>
              <w:t>龙岗区“互联网</w:t>
            </w:r>
            <w:r>
              <w:rPr>
                <w:rFonts w:ascii="Times New Roman" w:hAnsi="Times New Roman" w:cs="Times New Roman" w:eastAsia="Times New Roman" w:hint="default"/>
                <w:sz w:val="20"/>
                <w:szCs w:val="20"/>
              </w:rPr>
              <w:t>+</w:t>
            </w:r>
            <w:r>
              <w:rPr>
                <w:rFonts w:ascii="宋体" w:hAnsi="宋体" w:cs="宋体" w:eastAsia="宋体" w:hint="default"/>
                <w:sz w:val="20"/>
                <w:szCs w:val="20"/>
              </w:rPr>
              <w:t>明厨亮灶”项</w:t>
            </w:r>
          </w:p>
        </w:tc>
        <w:tc>
          <w:tcPr>
            <w:tcW w:w="1558" w:type="dxa"/>
            <w:tcBorders>
              <w:top w:val="dotted" w:sz="4" w:space="0" w:color="000000"/>
              <w:left w:val="dotted" w:sz="4" w:space="0" w:color="000000"/>
              <w:bottom w:val="nil" w:sz="6" w:space="0" w:color="auto"/>
              <w:right w:val="nil" w:sz="6" w:space="0" w:color="auto"/>
            </w:tcBorders>
          </w:tcPr>
          <w:p>
            <w:pPr/>
          </w:p>
        </w:tc>
      </w:tr>
      <w:tr>
        <w:trPr>
          <w:trHeight w:val="2035" w:hRule="exact"/>
        </w:trPr>
        <w:tc>
          <w:tcPr>
            <w:tcW w:w="399" w:type="dxa"/>
            <w:tcBorders>
              <w:top w:val="nil" w:sz="6" w:space="0" w:color="auto"/>
              <w:left w:val="nil" w:sz="6" w:space="0" w:color="auto"/>
              <w:bottom w:val="nil" w:sz="6" w:space="0" w:color="auto"/>
              <w:right w:val="dotted"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108" w:right="0"/>
              <w:jc w:val="left"/>
              <w:rPr>
                <w:rFonts w:ascii="Times New Roman" w:hAnsi="Times New Roman" w:cs="Times New Roman" w:eastAsia="Times New Roman" w:hint="default"/>
                <w:sz w:val="20"/>
                <w:szCs w:val="20"/>
              </w:rPr>
            </w:pPr>
            <w:r>
              <w:rPr>
                <w:rFonts w:ascii="Times New Roman"/>
                <w:w w:val="99"/>
                <w:sz w:val="20"/>
              </w:rPr>
              <w:t>5</w:t>
            </w:r>
            <w:r>
              <w:rPr>
                <w:rFonts w:ascii="Times New Roman"/>
                <w:sz w:val="20"/>
              </w:rPr>
            </w:r>
          </w:p>
        </w:tc>
        <w:tc>
          <w:tcPr>
            <w:tcW w:w="1411" w:type="dxa"/>
            <w:tcBorders>
              <w:top w:val="nil" w:sz="6" w:space="0" w:color="auto"/>
              <w:left w:val="dotted" w:sz="4" w:space="0" w:color="000000"/>
              <w:bottom w:val="nil" w:sz="6" w:space="0" w:color="auto"/>
              <w:right w:val="dotted"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304" w:lineRule="auto"/>
              <w:ind w:left="102" w:right="101"/>
              <w:jc w:val="both"/>
              <w:rPr>
                <w:rFonts w:ascii="宋体" w:hAnsi="宋体" w:cs="宋体" w:eastAsia="宋体" w:hint="default"/>
                <w:sz w:val="20"/>
                <w:szCs w:val="20"/>
              </w:rPr>
            </w:pPr>
            <w:r>
              <w:rPr>
                <w:rFonts w:ascii="Times New Roman" w:hAnsi="Times New Roman" w:cs="Times New Roman" w:eastAsia="Times New Roman" w:hint="default"/>
                <w:sz w:val="20"/>
                <w:szCs w:val="20"/>
              </w:rPr>
              <w:t>2019 </w:t>
            </w:r>
            <w:r>
              <w:rPr>
                <w:rFonts w:ascii="宋体" w:hAnsi="宋体" w:cs="宋体" w:eastAsia="宋体" w:hint="default"/>
                <w:sz w:val="20"/>
                <w:szCs w:val="20"/>
              </w:rPr>
              <w:t>年 圳</w:t>
            </w:r>
            <w:r>
              <w:rPr>
                <w:rFonts w:ascii="宋体" w:hAnsi="宋体" w:cs="宋体" w:eastAsia="宋体" w:hint="default"/>
                <w:spacing w:val="-58"/>
                <w:sz w:val="20"/>
                <w:szCs w:val="20"/>
              </w:rPr>
              <w:t> </w:t>
            </w:r>
            <w:r>
              <w:rPr>
                <w:rFonts w:ascii="宋体" w:hAnsi="宋体" w:cs="宋体" w:eastAsia="宋体" w:hint="default"/>
                <w:sz w:val="20"/>
                <w:szCs w:val="20"/>
              </w:rPr>
              <w:t>中</w:t>
            </w:r>
            <w:r>
              <w:rPr>
                <w:rFonts w:ascii="宋体" w:hAnsi="宋体" w:cs="宋体" w:eastAsia="宋体" w:hint="default"/>
                <w:w w:val="99"/>
                <w:sz w:val="20"/>
                <w:szCs w:val="20"/>
              </w:rPr>
              <w:t> </w:t>
            </w:r>
            <w:r>
              <w:rPr>
                <w:rFonts w:ascii="宋体" w:hAnsi="宋体" w:cs="宋体" w:eastAsia="宋体" w:hint="default"/>
                <w:sz w:val="20"/>
                <w:szCs w:val="20"/>
              </w:rPr>
              <w:t>银</w:t>
            </w:r>
            <w:r>
              <w:rPr>
                <w:rFonts w:ascii="宋体" w:hAnsi="宋体" w:cs="宋体" w:eastAsia="宋体" w:hint="default"/>
                <w:spacing w:val="-52"/>
                <w:sz w:val="20"/>
                <w:szCs w:val="20"/>
              </w:rPr>
              <w:t> </w:t>
            </w:r>
            <w:r>
              <w:rPr>
                <w:rFonts w:ascii="宋体" w:hAnsi="宋体" w:cs="宋体" w:eastAsia="宋体" w:hint="default"/>
                <w:sz w:val="20"/>
                <w:szCs w:val="20"/>
              </w:rPr>
              <w:t>布</w:t>
            </w:r>
            <w:r>
              <w:rPr>
                <w:rFonts w:ascii="宋体" w:hAnsi="宋体" w:cs="宋体" w:eastAsia="宋体" w:hint="default"/>
                <w:spacing w:val="-54"/>
                <w:sz w:val="20"/>
                <w:szCs w:val="20"/>
              </w:rPr>
              <w:t> </w:t>
            </w:r>
            <w:r>
              <w:rPr>
                <w:rFonts w:ascii="宋体" w:hAnsi="宋体" w:cs="宋体" w:eastAsia="宋体" w:hint="default"/>
                <w:sz w:val="20"/>
                <w:szCs w:val="20"/>
              </w:rPr>
              <w:t>借</w:t>
            </w:r>
            <w:r>
              <w:rPr>
                <w:rFonts w:ascii="宋体" w:hAnsi="宋体" w:cs="宋体" w:eastAsia="宋体" w:hint="default"/>
                <w:spacing w:val="-52"/>
                <w:sz w:val="20"/>
                <w:szCs w:val="20"/>
              </w:rPr>
              <w:t> </w:t>
            </w:r>
            <w:r>
              <w:rPr>
                <w:rFonts w:ascii="宋体" w:hAnsi="宋体" w:cs="宋体" w:eastAsia="宋体" w:hint="default"/>
                <w:sz w:val="20"/>
                <w:szCs w:val="20"/>
              </w:rPr>
              <w:t>字</w:t>
            </w:r>
            <w:r>
              <w:rPr>
                <w:rFonts w:ascii="宋体" w:hAnsi="宋体" w:cs="宋体" w:eastAsia="宋体" w:hint="default"/>
                <w:spacing w:val="-52"/>
                <w:sz w:val="20"/>
                <w:szCs w:val="20"/>
              </w:rPr>
              <w:t> </w:t>
            </w:r>
            <w:r>
              <w:rPr>
                <w:rFonts w:ascii="宋体" w:hAnsi="宋体" w:cs="宋体" w:eastAsia="宋体" w:hint="default"/>
                <w:sz w:val="20"/>
                <w:szCs w:val="20"/>
              </w:rPr>
              <w:t>第</w:t>
            </w:r>
            <w:r>
              <w:rPr>
                <w:rFonts w:ascii="宋体" w:hAnsi="宋体" w:cs="宋体" w:eastAsia="宋体" w:hint="default"/>
                <w:w w:val="99"/>
                <w:sz w:val="20"/>
                <w:szCs w:val="20"/>
              </w:rPr>
              <w:t> </w:t>
            </w:r>
            <w:r>
              <w:rPr>
                <w:rFonts w:ascii="Times New Roman" w:hAnsi="Times New Roman" w:cs="Times New Roman" w:eastAsia="Times New Roman" w:hint="default"/>
                <w:sz w:val="20"/>
                <w:szCs w:val="20"/>
              </w:rPr>
              <w:t>0044</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号</w:t>
            </w:r>
          </w:p>
        </w:tc>
        <w:tc>
          <w:tcPr>
            <w:tcW w:w="1131" w:type="dxa"/>
            <w:tcBorders>
              <w:top w:val="nil" w:sz="6" w:space="0" w:color="auto"/>
              <w:left w:val="dotted" w:sz="4" w:space="0" w:color="000000"/>
              <w:bottom w:val="nil" w:sz="6" w:space="0" w:color="auto"/>
              <w:right w:val="dotted"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312" w:lineRule="auto"/>
              <w:ind w:left="102" w:right="102"/>
              <w:jc w:val="both"/>
              <w:rPr>
                <w:rFonts w:ascii="宋体" w:hAnsi="宋体" w:cs="宋体" w:eastAsia="宋体" w:hint="default"/>
                <w:sz w:val="20"/>
                <w:szCs w:val="20"/>
              </w:rPr>
            </w:pPr>
            <w:r>
              <w:rPr>
                <w:rFonts w:ascii="宋体" w:hAnsi="宋体" w:cs="宋体" w:eastAsia="宋体" w:hint="default"/>
                <w:sz w:val="20"/>
                <w:szCs w:val="20"/>
              </w:rPr>
              <w:t>深</w:t>
            </w:r>
            <w:r>
              <w:rPr>
                <w:rFonts w:ascii="宋体" w:hAnsi="宋体" w:cs="宋体" w:eastAsia="宋体" w:hint="default"/>
                <w:spacing w:val="-64"/>
                <w:sz w:val="20"/>
                <w:szCs w:val="20"/>
              </w:rPr>
              <w:t> </w:t>
            </w:r>
            <w:r>
              <w:rPr>
                <w:rFonts w:ascii="宋体" w:hAnsi="宋体" w:cs="宋体" w:eastAsia="宋体" w:hint="default"/>
                <w:sz w:val="20"/>
                <w:szCs w:val="20"/>
              </w:rPr>
              <w:t>圳</w:t>
            </w:r>
            <w:r>
              <w:rPr>
                <w:rFonts w:ascii="宋体" w:hAnsi="宋体" w:cs="宋体" w:eastAsia="宋体" w:hint="default"/>
                <w:spacing w:val="-61"/>
                <w:sz w:val="20"/>
                <w:szCs w:val="20"/>
              </w:rPr>
              <w:t> </w:t>
            </w:r>
            <w:r>
              <w:rPr>
                <w:rFonts w:ascii="宋体" w:hAnsi="宋体" w:cs="宋体" w:eastAsia="宋体" w:hint="default"/>
                <w:sz w:val="20"/>
                <w:szCs w:val="20"/>
              </w:rPr>
              <w:t>市</w:t>
            </w:r>
            <w:r>
              <w:rPr>
                <w:rFonts w:ascii="宋体" w:hAnsi="宋体" w:cs="宋体" w:eastAsia="宋体" w:hint="default"/>
                <w:spacing w:val="-64"/>
                <w:sz w:val="20"/>
                <w:szCs w:val="20"/>
              </w:rPr>
              <w:t> </w:t>
            </w:r>
            <w:r>
              <w:rPr>
                <w:rFonts w:ascii="宋体" w:hAnsi="宋体" w:cs="宋体" w:eastAsia="宋体" w:hint="default"/>
                <w:sz w:val="20"/>
                <w:szCs w:val="20"/>
              </w:rPr>
              <w:t>信</w:t>
            </w:r>
            <w:r>
              <w:rPr>
                <w:rFonts w:ascii="宋体" w:hAnsi="宋体" w:cs="宋体" w:eastAsia="宋体" w:hint="default"/>
                <w:w w:val="99"/>
                <w:sz w:val="20"/>
                <w:szCs w:val="20"/>
              </w:rPr>
              <w:t> </w:t>
            </w:r>
            <w:r>
              <w:rPr>
                <w:rFonts w:ascii="宋体" w:hAnsi="宋体" w:cs="宋体" w:eastAsia="宋体" w:hint="default"/>
                <w:sz w:val="20"/>
                <w:szCs w:val="20"/>
              </w:rPr>
              <w:t>义</w:t>
            </w:r>
            <w:r>
              <w:rPr>
                <w:rFonts w:ascii="宋体" w:hAnsi="宋体" w:cs="宋体" w:eastAsia="宋体" w:hint="default"/>
                <w:spacing w:val="-64"/>
                <w:sz w:val="20"/>
                <w:szCs w:val="20"/>
              </w:rPr>
              <w:t> </w:t>
            </w:r>
            <w:r>
              <w:rPr>
                <w:rFonts w:ascii="宋体" w:hAnsi="宋体" w:cs="宋体" w:eastAsia="宋体" w:hint="default"/>
                <w:sz w:val="20"/>
                <w:szCs w:val="20"/>
              </w:rPr>
              <w:t>科</w:t>
            </w:r>
            <w:r>
              <w:rPr>
                <w:rFonts w:ascii="宋体" w:hAnsi="宋体" w:cs="宋体" w:eastAsia="宋体" w:hint="default"/>
                <w:spacing w:val="-61"/>
                <w:sz w:val="20"/>
                <w:szCs w:val="20"/>
              </w:rPr>
              <w:t> </w:t>
            </w:r>
            <w:r>
              <w:rPr>
                <w:rFonts w:ascii="宋体" w:hAnsi="宋体" w:cs="宋体" w:eastAsia="宋体" w:hint="default"/>
                <w:sz w:val="20"/>
                <w:szCs w:val="20"/>
              </w:rPr>
              <w:t>技</w:t>
            </w:r>
            <w:r>
              <w:rPr>
                <w:rFonts w:ascii="宋体" w:hAnsi="宋体" w:cs="宋体" w:eastAsia="宋体" w:hint="default"/>
                <w:spacing w:val="-64"/>
                <w:sz w:val="20"/>
                <w:szCs w:val="20"/>
              </w:rPr>
              <w:t> </w:t>
            </w:r>
            <w:r>
              <w:rPr>
                <w:rFonts w:ascii="宋体" w:hAnsi="宋体" w:cs="宋体" w:eastAsia="宋体" w:hint="default"/>
                <w:sz w:val="20"/>
                <w:szCs w:val="20"/>
              </w:rPr>
              <w:t>有</w:t>
            </w:r>
            <w:r>
              <w:rPr>
                <w:rFonts w:ascii="宋体" w:hAnsi="宋体" w:cs="宋体" w:eastAsia="宋体" w:hint="default"/>
                <w:w w:val="99"/>
                <w:sz w:val="20"/>
                <w:szCs w:val="20"/>
              </w:rPr>
              <w:t> </w:t>
            </w:r>
            <w:r>
              <w:rPr>
                <w:rFonts w:ascii="宋体" w:hAnsi="宋体" w:cs="宋体" w:eastAsia="宋体" w:hint="default"/>
                <w:sz w:val="20"/>
                <w:szCs w:val="20"/>
              </w:rPr>
              <w:t>限公司</w:t>
            </w:r>
          </w:p>
        </w:tc>
        <w:tc>
          <w:tcPr>
            <w:tcW w:w="1420" w:type="dxa"/>
            <w:tcBorders>
              <w:top w:val="nil" w:sz="6" w:space="0" w:color="auto"/>
              <w:left w:val="dotted" w:sz="4" w:space="0" w:color="000000"/>
              <w:bottom w:val="nil" w:sz="6" w:space="0" w:color="auto"/>
              <w:right w:val="dotted"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312" w:lineRule="auto"/>
              <w:ind w:left="102" w:right="106"/>
              <w:jc w:val="both"/>
              <w:rPr>
                <w:rFonts w:ascii="宋体" w:hAnsi="宋体" w:cs="宋体" w:eastAsia="宋体" w:hint="default"/>
                <w:sz w:val="20"/>
                <w:szCs w:val="20"/>
              </w:rPr>
            </w:pPr>
            <w:r>
              <w:rPr>
                <w:rFonts w:ascii="宋体" w:hAnsi="宋体" w:cs="宋体" w:eastAsia="宋体" w:hint="default"/>
                <w:sz w:val="20"/>
                <w:szCs w:val="20"/>
              </w:rPr>
              <w:t>中国银行股份</w:t>
            </w:r>
            <w:r>
              <w:rPr>
                <w:rFonts w:ascii="宋体" w:hAnsi="宋体" w:cs="宋体" w:eastAsia="宋体" w:hint="default"/>
                <w:w w:val="99"/>
                <w:sz w:val="20"/>
                <w:szCs w:val="20"/>
              </w:rPr>
              <w:t> </w:t>
            </w:r>
            <w:r>
              <w:rPr>
                <w:rFonts w:ascii="宋体" w:hAnsi="宋体" w:cs="宋体" w:eastAsia="宋体" w:hint="default"/>
                <w:sz w:val="20"/>
                <w:szCs w:val="20"/>
              </w:rPr>
              <w:t>有限公司深圳</w:t>
            </w:r>
            <w:r>
              <w:rPr>
                <w:rFonts w:ascii="宋体" w:hAnsi="宋体" w:cs="宋体" w:eastAsia="宋体" w:hint="default"/>
                <w:w w:val="99"/>
                <w:sz w:val="20"/>
                <w:szCs w:val="20"/>
              </w:rPr>
              <w:t> </w:t>
            </w:r>
            <w:r>
              <w:rPr>
                <w:rFonts w:ascii="宋体" w:hAnsi="宋体" w:cs="宋体" w:eastAsia="宋体" w:hint="default"/>
                <w:sz w:val="20"/>
                <w:szCs w:val="20"/>
              </w:rPr>
              <w:t>布吉支行</w:t>
            </w:r>
          </w:p>
        </w:tc>
        <w:tc>
          <w:tcPr>
            <w:tcW w:w="707" w:type="dxa"/>
            <w:tcBorders>
              <w:top w:val="nil" w:sz="6" w:space="0" w:color="auto"/>
              <w:left w:val="dotted" w:sz="4" w:space="0" w:color="000000"/>
              <w:bottom w:val="nil" w:sz="6" w:space="0" w:color="auto"/>
              <w:right w:val="dotted"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312" w:lineRule="auto"/>
              <w:ind w:left="148" w:right="148"/>
              <w:jc w:val="both"/>
              <w:rPr>
                <w:rFonts w:ascii="宋体" w:hAnsi="宋体" w:cs="宋体" w:eastAsia="宋体" w:hint="default"/>
                <w:sz w:val="20"/>
                <w:szCs w:val="20"/>
              </w:rPr>
            </w:pPr>
            <w:r>
              <w:rPr>
                <w:rFonts w:ascii="宋体" w:hAnsi="宋体" w:cs="宋体" w:eastAsia="宋体" w:hint="default"/>
                <w:sz w:val="20"/>
                <w:szCs w:val="20"/>
              </w:rPr>
              <w:t>采购</w:t>
            </w:r>
            <w:r>
              <w:rPr>
                <w:rFonts w:ascii="宋体" w:hAnsi="宋体" w:cs="宋体" w:eastAsia="宋体" w:hint="default"/>
                <w:w w:val="99"/>
                <w:sz w:val="20"/>
                <w:szCs w:val="20"/>
              </w:rPr>
              <w:t> </w:t>
            </w:r>
            <w:r>
              <w:rPr>
                <w:rFonts w:ascii="宋体" w:hAnsi="宋体" w:cs="宋体" w:eastAsia="宋体" w:hint="default"/>
                <w:sz w:val="20"/>
                <w:szCs w:val="20"/>
              </w:rPr>
              <w:t>原材</w:t>
            </w:r>
            <w:r>
              <w:rPr>
                <w:rFonts w:ascii="宋体" w:hAnsi="宋体" w:cs="宋体" w:eastAsia="宋体" w:hint="default"/>
                <w:w w:val="99"/>
                <w:sz w:val="20"/>
                <w:szCs w:val="20"/>
              </w:rPr>
              <w:t> </w:t>
            </w:r>
            <w:r>
              <w:rPr>
                <w:rFonts w:ascii="宋体" w:hAnsi="宋体" w:cs="宋体" w:eastAsia="宋体" w:hint="default"/>
                <w:sz w:val="20"/>
                <w:szCs w:val="20"/>
              </w:rPr>
              <w:t>料</w:t>
            </w:r>
          </w:p>
        </w:tc>
        <w:tc>
          <w:tcPr>
            <w:tcW w:w="1417" w:type="dxa"/>
            <w:tcBorders>
              <w:top w:val="nil" w:sz="6" w:space="0" w:color="auto"/>
              <w:left w:val="dotted" w:sz="4" w:space="0" w:color="000000"/>
              <w:bottom w:val="nil" w:sz="6" w:space="0" w:color="auto"/>
              <w:right w:val="dotted"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52" w:right="0"/>
              <w:jc w:val="center"/>
              <w:rPr>
                <w:rFonts w:ascii="Times New Roman" w:hAnsi="Times New Roman" w:cs="Times New Roman" w:eastAsia="Times New Roman" w:hint="default"/>
                <w:sz w:val="20"/>
                <w:szCs w:val="20"/>
              </w:rPr>
            </w:pPr>
            <w:r>
              <w:rPr>
                <w:rFonts w:ascii="Times New Roman"/>
                <w:sz w:val="20"/>
              </w:rPr>
              <w:t>20,000,000.00</w:t>
            </w:r>
          </w:p>
        </w:tc>
        <w:tc>
          <w:tcPr>
            <w:tcW w:w="1278" w:type="dxa"/>
            <w:tcBorders>
              <w:top w:val="nil" w:sz="6" w:space="0" w:color="auto"/>
              <w:left w:val="dotted" w:sz="4" w:space="0" w:color="000000"/>
              <w:bottom w:val="nil" w:sz="6" w:space="0" w:color="auto"/>
              <w:right w:val="dotted"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8"/>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2019-5-31</w:t>
            </w:r>
            <w:r>
              <w:rPr>
                <w:rFonts w:ascii="Times New Roman" w:hAnsi="Times New Roman" w:cs="Times New Roman" w:eastAsia="Times New Roman" w:hint="default"/>
                <w:spacing w:val="-25"/>
                <w:sz w:val="20"/>
                <w:szCs w:val="20"/>
              </w:rPr>
              <w:t> </w:t>
            </w:r>
            <w:r>
              <w:rPr>
                <w:rFonts w:ascii="宋体" w:hAnsi="宋体" w:cs="宋体" w:eastAsia="宋体" w:hint="default"/>
                <w:sz w:val="20"/>
                <w:szCs w:val="20"/>
              </w:rPr>
              <w:t>至</w:t>
            </w:r>
          </w:p>
          <w:p>
            <w:pPr>
              <w:pStyle w:val="TableParagraph"/>
              <w:spacing w:line="240" w:lineRule="auto" w:before="111"/>
              <w:ind w:right="0"/>
              <w:jc w:val="center"/>
              <w:rPr>
                <w:rFonts w:ascii="Times New Roman" w:hAnsi="Times New Roman" w:cs="Times New Roman" w:eastAsia="Times New Roman" w:hint="default"/>
                <w:sz w:val="20"/>
                <w:szCs w:val="20"/>
              </w:rPr>
            </w:pPr>
            <w:r>
              <w:rPr>
                <w:rFonts w:ascii="Times New Roman"/>
                <w:sz w:val="20"/>
              </w:rPr>
              <w:t>2020-3-9</w:t>
            </w:r>
          </w:p>
        </w:tc>
        <w:tc>
          <w:tcPr>
            <w:tcW w:w="1134" w:type="dxa"/>
            <w:tcBorders>
              <w:top w:val="nil" w:sz="6" w:space="0" w:color="auto"/>
              <w:left w:val="dotted" w:sz="4" w:space="0" w:color="000000"/>
              <w:bottom w:val="nil" w:sz="6" w:space="0" w:color="auto"/>
              <w:right w:val="dotted"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w w:val="95"/>
                <w:sz w:val="20"/>
              </w:rPr>
              <w:t>6.09000%</w:t>
            </w:r>
            <w:r>
              <w:rPr>
                <w:rFonts w:ascii="Times New Roman"/>
                <w:sz w:val="20"/>
              </w:rPr>
            </w:r>
          </w:p>
        </w:tc>
        <w:tc>
          <w:tcPr>
            <w:tcW w:w="707" w:type="dxa"/>
            <w:tcBorders>
              <w:top w:val="nil" w:sz="6" w:space="0" w:color="auto"/>
              <w:left w:val="dotted" w:sz="4" w:space="0" w:color="000000"/>
              <w:bottom w:val="nil" w:sz="6" w:space="0" w:color="auto"/>
              <w:right w:val="dotted"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312" w:lineRule="auto"/>
              <w:ind w:left="148" w:right="148"/>
              <w:jc w:val="both"/>
              <w:rPr>
                <w:rFonts w:ascii="宋体" w:hAnsi="宋体" w:cs="宋体" w:eastAsia="宋体" w:hint="default"/>
                <w:sz w:val="20"/>
                <w:szCs w:val="20"/>
              </w:rPr>
            </w:pPr>
            <w:r>
              <w:rPr>
                <w:rFonts w:ascii="宋体" w:hAnsi="宋体" w:cs="宋体" w:eastAsia="宋体" w:hint="default"/>
                <w:sz w:val="20"/>
                <w:szCs w:val="20"/>
              </w:rPr>
              <w:t>应收</w:t>
            </w:r>
            <w:r>
              <w:rPr>
                <w:rFonts w:ascii="宋体" w:hAnsi="宋体" w:cs="宋体" w:eastAsia="宋体" w:hint="default"/>
                <w:w w:val="99"/>
                <w:sz w:val="20"/>
                <w:szCs w:val="20"/>
              </w:rPr>
              <w:t> </w:t>
            </w:r>
            <w:r>
              <w:rPr>
                <w:rFonts w:ascii="宋体" w:hAnsi="宋体" w:cs="宋体" w:eastAsia="宋体" w:hint="default"/>
                <w:sz w:val="20"/>
                <w:szCs w:val="20"/>
              </w:rPr>
              <w:t>账款</w:t>
            </w:r>
            <w:r>
              <w:rPr>
                <w:rFonts w:ascii="宋体" w:hAnsi="宋体" w:cs="宋体" w:eastAsia="宋体" w:hint="default"/>
                <w:w w:val="99"/>
                <w:sz w:val="20"/>
                <w:szCs w:val="20"/>
              </w:rPr>
              <w:t> </w:t>
            </w:r>
            <w:r>
              <w:rPr>
                <w:rFonts w:ascii="宋体" w:hAnsi="宋体" w:cs="宋体" w:eastAsia="宋体" w:hint="default"/>
                <w:sz w:val="20"/>
                <w:szCs w:val="20"/>
              </w:rPr>
              <w:t>质押</w:t>
            </w:r>
          </w:p>
        </w:tc>
        <w:tc>
          <w:tcPr>
            <w:tcW w:w="2978" w:type="dxa"/>
            <w:tcBorders>
              <w:top w:val="nil" w:sz="6" w:space="0" w:color="auto"/>
              <w:left w:val="dotted" w:sz="4" w:space="0" w:color="000000"/>
              <w:bottom w:val="nil" w:sz="6" w:space="0" w:color="auto"/>
              <w:right w:val="dotted" w:sz="4" w:space="0" w:color="000000"/>
            </w:tcBorders>
          </w:tcPr>
          <w:p>
            <w:pPr>
              <w:pStyle w:val="TableParagraph"/>
              <w:spacing w:line="295" w:lineRule="auto" w:before="3"/>
              <w:ind w:left="104" w:right="64"/>
              <w:jc w:val="left"/>
              <w:rPr>
                <w:rFonts w:ascii="宋体" w:hAnsi="宋体" w:cs="宋体" w:eastAsia="宋体" w:hint="default"/>
                <w:sz w:val="20"/>
                <w:szCs w:val="20"/>
              </w:rPr>
            </w:pPr>
            <w:r>
              <w:rPr>
                <w:rFonts w:ascii="宋体" w:hAnsi="宋体" w:cs="宋体" w:eastAsia="宋体" w:hint="default"/>
                <w:sz w:val="20"/>
                <w:szCs w:val="20"/>
              </w:rPr>
              <w:t>目</w:t>
            </w:r>
            <w:r>
              <w:rPr>
                <w:rFonts w:ascii="Times New Roman" w:hAnsi="Times New Roman" w:cs="Times New Roman" w:eastAsia="Times New Roman" w:hint="default"/>
                <w:sz w:val="20"/>
                <w:szCs w:val="20"/>
              </w:rPr>
              <w:t>/</w:t>
            </w:r>
            <w:r>
              <w:rPr>
                <w:rFonts w:ascii="宋体" w:hAnsi="宋体" w:cs="宋体" w:eastAsia="宋体" w:hint="default"/>
                <w:sz w:val="20"/>
                <w:szCs w:val="20"/>
              </w:rPr>
              <w:t>罗湖公安分局人像识别系统</w:t>
            </w:r>
            <w:r>
              <w:rPr>
                <w:rFonts w:ascii="宋体" w:hAnsi="宋体" w:cs="宋体" w:eastAsia="宋体" w:hint="default"/>
                <w:w w:val="99"/>
                <w:sz w:val="20"/>
                <w:szCs w:val="20"/>
              </w:rPr>
              <w:t> </w:t>
            </w:r>
            <w:r>
              <w:rPr>
                <w:rFonts w:ascii="宋体" w:hAnsi="宋体" w:cs="宋体" w:eastAsia="宋体" w:hint="default"/>
                <w:sz w:val="20"/>
                <w:szCs w:val="20"/>
              </w:rPr>
              <w:t>建设采购项目合同（部分前端）</w:t>
            </w:r>
          </w:p>
          <w:p>
            <w:pPr>
              <w:pStyle w:val="TableParagraph"/>
              <w:spacing w:line="300" w:lineRule="auto" w:before="30"/>
              <w:ind w:left="104" w:right="143"/>
              <w:jc w:val="left"/>
              <w:rPr>
                <w:rFonts w:ascii="宋体" w:hAnsi="宋体" w:cs="宋体" w:eastAsia="宋体" w:hint="default"/>
                <w:sz w:val="20"/>
                <w:szCs w:val="20"/>
              </w:rPr>
            </w:pPr>
            <w:r>
              <w:rPr>
                <w:rFonts w:ascii="Times New Roman" w:hAnsi="Times New Roman" w:cs="Times New Roman" w:eastAsia="Times New Roman" w:hint="default"/>
                <w:sz w:val="20"/>
                <w:szCs w:val="20"/>
              </w:rPr>
              <w:t>/</w:t>
            </w:r>
            <w:r>
              <w:rPr>
                <w:rFonts w:ascii="宋体" w:hAnsi="宋体" w:cs="宋体" w:eastAsia="宋体" w:hint="default"/>
                <w:sz w:val="20"/>
                <w:szCs w:val="20"/>
              </w:rPr>
              <w:t>雪亮工程四期项目</w:t>
            </w:r>
            <w:r>
              <w:rPr>
                <w:rFonts w:ascii="Times New Roman" w:hAnsi="Times New Roman" w:cs="Times New Roman" w:eastAsia="Times New Roman" w:hint="default"/>
                <w:sz w:val="20"/>
                <w:szCs w:val="20"/>
              </w:rPr>
              <w:t>-</w:t>
            </w:r>
            <w:r>
              <w:rPr>
                <w:rFonts w:ascii="宋体" w:hAnsi="宋体" w:cs="宋体" w:eastAsia="宋体" w:hint="default"/>
                <w:sz w:val="20"/>
                <w:szCs w:val="20"/>
              </w:rPr>
              <w:t>系统集成部</w:t>
            </w:r>
            <w:r>
              <w:rPr>
                <w:rFonts w:ascii="宋体" w:hAnsi="宋体" w:cs="宋体" w:eastAsia="宋体" w:hint="default"/>
                <w:w w:val="99"/>
                <w:sz w:val="20"/>
                <w:szCs w:val="20"/>
              </w:rPr>
              <w:t> </w:t>
            </w:r>
            <w:r>
              <w:rPr>
                <w:rFonts w:ascii="宋体" w:hAnsi="宋体" w:cs="宋体" w:eastAsia="宋体" w:hint="default"/>
                <w:sz w:val="20"/>
                <w:szCs w:val="20"/>
              </w:rPr>
              <w:t>分（</w:t>
            </w:r>
            <w:r>
              <w:rPr>
                <w:rFonts w:ascii="Times New Roman" w:hAnsi="Times New Roman" w:cs="Times New Roman" w:eastAsia="Times New Roman" w:hint="default"/>
                <w:sz w:val="20"/>
                <w:szCs w:val="20"/>
              </w:rPr>
              <w:t>EPC</w:t>
            </w:r>
            <w:r>
              <w:rPr>
                <w:rFonts w:ascii="Times New Roman" w:hAnsi="Times New Roman" w:cs="Times New Roman" w:eastAsia="Times New Roman" w:hint="default"/>
                <w:spacing w:val="-4"/>
                <w:sz w:val="20"/>
                <w:szCs w:val="20"/>
              </w:rPr>
              <w:t> </w:t>
            </w:r>
            <w:r>
              <w:rPr>
                <w:rFonts w:ascii="宋体" w:hAnsi="宋体" w:cs="宋体" w:eastAsia="宋体" w:hint="default"/>
                <w:sz w:val="20"/>
                <w:szCs w:val="20"/>
              </w:rPr>
              <w:t>总承包）</w:t>
            </w:r>
            <w:r>
              <w:rPr>
                <w:rFonts w:ascii="Times New Roman" w:hAnsi="Times New Roman" w:cs="Times New Roman" w:eastAsia="Times New Roman" w:hint="default"/>
                <w:sz w:val="20"/>
                <w:szCs w:val="20"/>
              </w:rPr>
              <w:t>/</w:t>
            </w:r>
            <w:r>
              <w:rPr>
                <w:rFonts w:ascii="宋体" w:hAnsi="宋体" w:cs="宋体" w:eastAsia="宋体" w:hint="default"/>
                <w:sz w:val="20"/>
                <w:szCs w:val="20"/>
              </w:rPr>
              <w:t>深圳市公安</w:t>
            </w:r>
            <w:r>
              <w:rPr>
                <w:rFonts w:ascii="宋体" w:hAnsi="宋体" w:cs="宋体" w:eastAsia="宋体" w:hint="default"/>
                <w:w w:val="99"/>
                <w:sz w:val="20"/>
                <w:szCs w:val="20"/>
              </w:rPr>
              <w:t> </w:t>
            </w:r>
            <w:r>
              <w:rPr>
                <w:rFonts w:ascii="宋体" w:hAnsi="宋体" w:cs="宋体" w:eastAsia="宋体" w:hint="default"/>
                <w:sz w:val="20"/>
                <w:szCs w:val="20"/>
              </w:rPr>
              <w:t>局南山分局南山区平安平安城</w:t>
            </w:r>
            <w:r>
              <w:rPr>
                <w:rFonts w:ascii="宋体" w:hAnsi="宋体" w:cs="宋体" w:eastAsia="宋体" w:hint="default"/>
                <w:w w:val="99"/>
                <w:sz w:val="20"/>
                <w:szCs w:val="20"/>
              </w:rPr>
              <w:t> </w:t>
            </w:r>
            <w:r>
              <w:rPr>
                <w:rFonts w:ascii="宋体" w:hAnsi="宋体" w:cs="宋体" w:eastAsia="宋体" w:hint="default"/>
                <w:sz w:val="20"/>
                <w:szCs w:val="20"/>
              </w:rPr>
              <w:t>市一类点高清视频监控二期项</w:t>
            </w:r>
          </w:p>
        </w:tc>
        <w:tc>
          <w:tcPr>
            <w:tcW w:w="1558" w:type="dxa"/>
            <w:tcBorders>
              <w:top w:val="nil" w:sz="6" w:space="0" w:color="auto"/>
              <w:left w:val="dotted" w:sz="4" w:space="0" w:color="000000"/>
              <w:bottom w:val="nil" w:sz="6" w:space="0" w:color="auto"/>
              <w:right w:val="nil" w:sz="6" w:space="0" w:color="auto"/>
            </w:tcBorders>
          </w:tcPr>
          <w:p>
            <w:pPr>
              <w:pStyle w:val="TableParagraph"/>
              <w:spacing w:line="240" w:lineRule="auto" w:before="173"/>
              <w:ind w:left="101"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2019</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圳中银布</w:t>
            </w:r>
          </w:p>
          <w:p>
            <w:pPr>
              <w:pStyle w:val="TableParagraph"/>
              <w:spacing w:line="300" w:lineRule="auto" w:before="61"/>
              <w:ind w:left="101" w:right="106"/>
              <w:jc w:val="left"/>
              <w:rPr>
                <w:rFonts w:ascii="宋体" w:hAnsi="宋体" w:cs="宋体" w:eastAsia="宋体" w:hint="default"/>
                <w:sz w:val="20"/>
                <w:szCs w:val="20"/>
              </w:rPr>
            </w:pPr>
            <w:r>
              <w:rPr>
                <w:rFonts w:ascii="宋体" w:hAnsi="宋体" w:cs="宋体" w:eastAsia="宋体" w:hint="default"/>
                <w:sz w:val="20"/>
                <w:szCs w:val="20"/>
              </w:rPr>
              <w:t>应质字第</w:t>
            </w:r>
            <w:r>
              <w:rPr>
                <w:rFonts w:ascii="宋体" w:hAnsi="宋体" w:cs="宋体" w:eastAsia="宋体" w:hint="default"/>
                <w:spacing w:val="-60"/>
                <w:sz w:val="20"/>
                <w:szCs w:val="20"/>
              </w:rPr>
              <w:t> </w:t>
            </w:r>
            <w:r>
              <w:rPr>
                <w:rFonts w:ascii="Times New Roman" w:hAnsi="Times New Roman" w:cs="Times New Roman" w:eastAsia="Times New Roman" w:hint="default"/>
                <w:sz w:val="20"/>
                <w:szCs w:val="20"/>
              </w:rPr>
              <w:t>00033</w:t>
            </w:r>
            <w:r>
              <w:rPr>
                <w:rFonts w:ascii="Times New Roman" w:hAnsi="Times New Roman" w:cs="Times New Roman" w:eastAsia="Times New Roman" w:hint="default"/>
                <w:w w:val="99"/>
                <w:sz w:val="20"/>
                <w:szCs w:val="20"/>
              </w:rPr>
              <w:t> </w:t>
            </w:r>
            <w:r>
              <w:rPr>
                <w:rFonts w:ascii="宋体" w:hAnsi="宋体" w:cs="宋体" w:eastAsia="宋体" w:hint="default"/>
                <w:sz w:val="20"/>
                <w:szCs w:val="20"/>
              </w:rPr>
              <w:t>号</w:t>
            </w:r>
            <w:r>
              <w:rPr>
                <w:rFonts w:ascii="Times New Roman" w:hAnsi="Times New Roman" w:cs="Times New Roman" w:eastAsia="Times New Roman" w:hint="default"/>
                <w:sz w:val="20"/>
                <w:szCs w:val="20"/>
              </w:rPr>
              <w:t>/2018</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圳中银</w:t>
            </w:r>
            <w:r>
              <w:rPr>
                <w:rFonts w:ascii="宋体" w:hAnsi="宋体" w:cs="宋体" w:eastAsia="宋体" w:hint="default"/>
                <w:w w:val="99"/>
                <w:sz w:val="20"/>
                <w:szCs w:val="20"/>
              </w:rPr>
              <w:t> </w:t>
            </w:r>
            <w:r>
              <w:rPr>
                <w:rFonts w:ascii="宋体" w:hAnsi="宋体" w:cs="宋体" w:eastAsia="宋体" w:hint="default"/>
                <w:sz w:val="20"/>
                <w:szCs w:val="20"/>
              </w:rPr>
              <w:t>布应质字第</w:t>
            </w:r>
            <w:r>
              <w:rPr>
                <w:rFonts w:ascii="宋体" w:hAnsi="宋体" w:cs="宋体" w:eastAsia="宋体" w:hint="default"/>
                <w:w w:val="99"/>
                <w:sz w:val="20"/>
                <w:szCs w:val="20"/>
              </w:rPr>
              <w:t> </w:t>
            </w:r>
            <w:r>
              <w:rPr>
                <w:rFonts w:ascii="Times New Roman" w:hAnsi="Times New Roman" w:cs="Times New Roman" w:eastAsia="Times New Roman" w:hint="default"/>
                <w:sz w:val="20"/>
                <w:szCs w:val="20"/>
              </w:rPr>
              <w:t>00048</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号</w:t>
            </w:r>
          </w:p>
        </w:tc>
      </w:tr>
      <w:tr>
        <w:trPr>
          <w:trHeight w:val="363" w:hRule="exact"/>
        </w:trPr>
        <w:tc>
          <w:tcPr>
            <w:tcW w:w="399" w:type="dxa"/>
            <w:tcBorders>
              <w:top w:val="nil" w:sz="6" w:space="0" w:color="auto"/>
              <w:left w:val="nil" w:sz="6" w:space="0" w:color="auto"/>
              <w:bottom w:val="single" w:sz="12" w:space="0" w:color="000000"/>
              <w:right w:val="dotted" w:sz="4" w:space="0" w:color="000000"/>
            </w:tcBorders>
          </w:tcPr>
          <w:p>
            <w:pPr/>
          </w:p>
        </w:tc>
        <w:tc>
          <w:tcPr>
            <w:tcW w:w="1411" w:type="dxa"/>
            <w:tcBorders>
              <w:top w:val="nil" w:sz="6" w:space="0" w:color="auto"/>
              <w:left w:val="dotted" w:sz="4" w:space="0" w:color="000000"/>
              <w:bottom w:val="single" w:sz="12" w:space="0" w:color="000000"/>
              <w:right w:val="dotted" w:sz="4" w:space="0" w:color="000000"/>
            </w:tcBorders>
          </w:tcPr>
          <w:p>
            <w:pPr/>
          </w:p>
        </w:tc>
        <w:tc>
          <w:tcPr>
            <w:tcW w:w="1131" w:type="dxa"/>
            <w:tcBorders>
              <w:top w:val="nil" w:sz="6" w:space="0" w:color="auto"/>
              <w:left w:val="dotted" w:sz="4" w:space="0" w:color="000000"/>
              <w:bottom w:val="single" w:sz="12" w:space="0" w:color="000000"/>
              <w:right w:val="dotted" w:sz="4" w:space="0" w:color="000000"/>
            </w:tcBorders>
          </w:tcPr>
          <w:p>
            <w:pPr/>
          </w:p>
        </w:tc>
        <w:tc>
          <w:tcPr>
            <w:tcW w:w="1420" w:type="dxa"/>
            <w:tcBorders>
              <w:top w:val="nil" w:sz="6" w:space="0" w:color="auto"/>
              <w:left w:val="dotted" w:sz="4" w:space="0" w:color="000000"/>
              <w:bottom w:val="single" w:sz="12" w:space="0" w:color="000000"/>
              <w:right w:val="dotted" w:sz="4" w:space="0" w:color="000000"/>
            </w:tcBorders>
          </w:tcPr>
          <w:p>
            <w:pPr/>
          </w:p>
        </w:tc>
        <w:tc>
          <w:tcPr>
            <w:tcW w:w="707" w:type="dxa"/>
            <w:tcBorders>
              <w:top w:val="nil" w:sz="6" w:space="0" w:color="auto"/>
              <w:left w:val="dotted" w:sz="4" w:space="0" w:color="000000"/>
              <w:bottom w:val="single" w:sz="12" w:space="0" w:color="000000"/>
              <w:right w:val="dotted" w:sz="4" w:space="0" w:color="000000"/>
            </w:tcBorders>
          </w:tcPr>
          <w:p>
            <w:pPr/>
          </w:p>
        </w:tc>
        <w:tc>
          <w:tcPr>
            <w:tcW w:w="1417" w:type="dxa"/>
            <w:tcBorders>
              <w:top w:val="nil" w:sz="6" w:space="0" w:color="auto"/>
              <w:left w:val="dotted" w:sz="4" w:space="0" w:color="000000"/>
              <w:bottom w:val="single" w:sz="12" w:space="0" w:color="000000"/>
              <w:right w:val="dotted" w:sz="4" w:space="0" w:color="000000"/>
            </w:tcBorders>
          </w:tcPr>
          <w:p>
            <w:pPr/>
          </w:p>
        </w:tc>
        <w:tc>
          <w:tcPr>
            <w:tcW w:w="1278" w:type="dxa"/>
            <w:tcBorders>
              <w:top w:val="nil" w:sz="6" w:space="0" w:color="auto"/>
              <w:left w:val="dotted" w:sz="4" w:space="0" w:color="000000"/>
              <w:bottom w:val="single" w:sz="12" w:space="0" w:color="000000"/>
              <w:right w:val="dotted" w:sz="4" w:space="0" w:color="000000"/>
            </w:tcBorders>
          </w:tcPr>
          <w:p>
            <w:pPr/>
          </w:p>
        </w:tc>
        <w:tc>
          <w:tcPr>
            <w:tcW w:w="1134" w:type="dxa"/>
            <w:tcBorders>
              <w:top w:val="nil" w:sz="6" w:space="0" w:color="auto"/>
              <w:left w:val="dotted" w:sz="4" w:space="0" w:color="000000"/>
              <w:bottom w:val="single" w:sz="12" w:space="0" w:color="000000"/>
              <w:right w:val="dotted" w:sz="4" w:space="0" w:color="000000"/>
            </w:tcBorders>
          </w:tcPr>
          <w:p>
            <w:pPr/>
          </w:p>
        </w:tc>
        <w:tc>
          <w:tcPr>
            <w:tcW w:w="707" w:type="dxa"/>
            <w:tcBorders>
              <w:top w:val="nil" w:sz="6" w:space="0" w:color="auto"/>
              <w:left w:val="dotted" w:sz="4" w:space="0" w:color="000000"/>
              <w:bottom w:val="single" w:sz="12" w:space="0" w:color="000000"/>
              <w:right w:val="dotted" w:sz="4" w:space="0" w:color="000000"/>
            </w:tcBorders>
          </w:tcPr>
          <w:p>
            <w:pPr/>
          </w:p>
        </w:tc>
        <w:tc>
          <w:tcPr>
            <w:tcW w:w="2978" w:type="dxa"/>
            <w:tcBorders>
              <w:top w:val="nil" w:sz="6" w:space="0" w:color="auto"/>
              <w:left w:val="dotted" w:sz="4" w:space="0" w:color="000000"/>
              <w:bottom w:val="single" w:sz="12" w:space="0" w:color="000000"/>
              <w:right w:val="dotted" w:sz="4" w:space="0" w:color="000000"/>
            </w:tcBorders>
          </w:tcPr>
          <w:p>
            <w:pPr>
              <w:pStyle w:val="TableParagraph"/>
              <w:spacing w:line="240" w:lineRule="auto" w:before="8"/>
              <w:ind w:left="104" w:right="0"/>
              <w:jc w:val="left"/>
              <w:rPr>
                <w:rFonts w:ascii="宋体" w:hAnsi="宋体" w:cs="宋体" w:eastAsia="宋体" w:hint="default"/>
                <w:sz w:val="20"/>
                <w:szCs w:val="20"/>
              </w:rPr>
            </w:pPr>
            <w:r>
              <w:rPr>
                <w:rFonts w:ascii="宋体" w:hAnsi="宋体" w:cs="宋体" w:eastAsia="宋体" w:hint="default"/>
                <w:sz w:val="20"/>
                <w:szCs w:val="20"/>
              </w:rPr>
              <w:t>目设备采购合同</w:t>
            </w:r>
          </w:p>
        </w:tc>
        <w:tc>
          <w:tcPr>
            <w:tcW w:w="1558" w:type="dxa"/>
            <w:tcBorders>
              <w:top w:val="nil" w:sz="6" w:space="0" w:color="auto"/>
              <w:left w:val="dotted" w:sz="4" w:space="0" w:color="000000"/>
              <w:bottom w:val="single" w:sz="12" w:space="0" w:color="000000"/>
              <w:right w:val="nil" w:sz="6" w:space="0" w:color="auto"/>
            </w:tcBorders>
          </w:tcPr>
          <w:p>
            <w:pPr/>
          </w:p>
        </w:tc>
      </w:tr>
    </w:tbl>
    <w:p>
      <w:pPr>
        <w:spacing w:after="0"/>
        <w:sectPr>
          <w:pgSz w:w="16840" w:h="11910" w:orient="landscape"/>
          <w:pgMar w:header="878" w:footer="978" w:top="1100" w:bottom="1160" w:left="1200" w:right="122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pStyle w:val="Heading3"/>
        <w:spacing w:line="240" w:lineRule="auto"/>
        <w:ind w:right="1394"/>
        <w:jc w:val="left"/>
        <w:rPr>
          <w:b w:val="0"/>
          <w:bCs w:val="0"/>
        </w:rPr>
      </w:pPr>
      <w:bookmarkStart w:name="54、外币货币性项目" w:id="335"/>
      <w:bookmarkEnd w:id="335"/>
      <w:r>
        <w:rPr>
          <w:b w:val="0"/>
          <w:bCs w:val="0"/>
        </w:rPr>
      </w:r>
      <w:r>
        <w:rPr>
          <w:rFonts w:ascii="Times New Roman" w:hAnsi="Times New Roman" w:cs="Times New Roman" w:eastAsia="Times New Roman" w:hint="default"/>
        </w:rPr>
        <w:t>54</w:t>
      </w:r>
      <w:r>
        <w:rPr/>
        <w:t>、外币货币性项目</w:t>
      </w:r>
      <w:r>
        <w:rPr>
          <w:b w:val="0"/>
          <w:bCs w:val="0"/>
        </w:rPr>
      </w:r>
    </w:p>
    <w:p>
      <w:pPr>
        <w:spacing w:line="240" w:lineRule="auto" w:before="7"/>
        <w:rPr>
          <w:rFonts w:ascii="宋体" w:hAnsi="宋体" w:cs="宋体" w:eastAsia="宋体" w:hint="default"/>
          <w:b/>
          <w:bCs/>
          <w:sz w:val="24"/>
          <w:szCs w:val="24"/>
        </w:rPr>
      </w:pPr>
    </w:p>
    <w:p>
      <w:pPr>
        <w:pStyle w:val="Heading3"/>
        <w:spacing w:line="240" w:lineRule="auto" w:before="0"/>
        <w:ind w:right="1394"/>
        <w:jc w:val="left"/>
        <w:rPr>
          <w:b w:val="0"/>
          <w:bCs w:val="0"/>
        </w:rPr>
      </w:pPr>
      <w:bookmarkStart w:name="（1）外币货币性项目" w:id="336"/>
      <w:bookmarkEnd w:id="336"/>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495"/>
        <w:gridCol w:w="2293"/>
        <w:gridCol w:w="2390"/>
        <w:gridCol w:w="2390"/>
      </w:tblGrid>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2"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0"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2" w:right="0"/>
              <w:jc w:val="center"/>
              <w:rPr>
                <w:rFonts w:ascii="Times New Roman" w:hAnsi="Times New Roman" w:cs="Times New Roman" w:eastAsia="Times New Roman" w:hint="default"/>
                <w:sz w:val="18"/>
                <w:szCs w:val="18"/>
              </w:rPr>
            </w:pPr>
            <w:r>
              <w:rPr>
                <w:rFonts w:ascii="Times New Roman"/>
                <w:sz w:val="18"/>
              </w:rPr>
              <w:t>--</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1,101,965,389.53</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73,513,341.21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6.97620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512,843,770.95</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13,289,997.31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7.81550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103,867,973.98</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2"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118,405,113.66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0.89578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106,064,932.71</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新加坡币</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1,397,863.55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5.1739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7,232,406.22</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土耳其里拉</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10,328,342.95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0.85258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8,805,738.63</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墨西哥比索</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1,274,161.86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0.3684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469,401.23</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泰铢</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0.2328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93.12</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印尼卢比</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3,760,000.00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0.0005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1,880.00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俄罗斯卢布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44,556,024.70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0.1126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5,017,008.38</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瑞士法郎</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49,650,032.52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7.2028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357,619,254.24</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英镑</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4,691.76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9.1501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42,930.07</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2" w:right="0"/>
              <w:jc w:val="center"/>
              <w:rPr>
                <w:rFonts w:ascii="Times New Roman" w:hAnsi="Times New Roman" w:cs="Times New Roman" w:eastAsia="Times New Roman" w:hint="default"/>
                <w:sz w:val="18"/>
                <w:szCs w:val="18"/>
              </w:rPr>
            </w:pPr>
            <w:r>
              <w:rPr>
                <w:rFonts w:ascii="Times New Roman"/>
                <w:sz w:val="18"/>
              </w:rPr>
              <w:t>--</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114,362,423.66</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13,776,635.38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6.97620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96,108,563.74</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1,613,481.63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7.81550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12,610,165.68</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2"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2,595,872.55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0.89578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2,325,330.71</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新加坡币</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259,745.99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5.17390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1,343,899.78</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土耳其里拉</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2,269,170.68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0.85258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1,934,649.54</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墨西哥比索</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108,073.32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0.36840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39,814.21</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8,523,848.27</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1,075,948.18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6.97620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7,506,029.69</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62"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1,079,964.96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0.89578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967,411.01</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6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5,317.71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7.81550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41,560.56</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新加坡币</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1,709.93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5.17390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8,847.01</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4,019,767.27</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427,328.09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6.97620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2,981,126.22</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62"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46,573.96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0.89578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41,720.02</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6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22,563.48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7.81550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176,344.88</w:t>
            </w:r>
          </w:p>
        </w:tc>
      </w:tr>
      <w:tr>
        <w:trPr>
          <w:trHeight w:val="400"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新加坡币</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7,302.46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5.17390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37,782.20</w:t>
            </w:r>
          </w:p>
        </w:tc>
      </w:tr>
    </w:tbl>
    <w:p>
      <w:pPr>
        <w:spacing w:after="0" w:line="240" w:lineRule="auto"/>
        <w:jc w:val="right"/>
        <w:rPr>
          <w:rFonts w:ascii="Times New Roman" w:hAnsi="Times New Roman" w:cs="Times New Roman" w:eastAsia="Times New Roman" w:hint="default"/>
          <w:sz w:val="18"/>
          <w:szCs w:val="18"/>
        </w:rPr>
        <w:sectPr>
          <w:headerReference w:type="default" r:id="rId55"/>
          <w:footerReference w:type="default" r:id="rId56"/>
          <w:pgSz w:w="11910" w:h="16840"/>
          <w:pgMar w:header="878" w:footer="978" w:top="1100" w:bottom="1160" w:left="1020" w:right="0"/>
          <w:pgNumType w:start="188"/>
        </w:sectPr>
      </w:pPr>
    </w:p>
    <w:p>
      <w:pPr>
        <w:spacing w:line="240" w:lineRule="auto" w:before="11"/>
        <w:rPr>
          <w:rFonts w:ascii="Times New Roman" w:hAnsi="Times New Roman" w:cs="Times New Roman" w:eastAsia="Times New Roman" w:hint="default"/>
          <w:sz w:val="27"/>
          <w:szCs w:val="27"/>
        </w:rPr>
      </w:pPr>
    </w:p>
    <w:tbl>
      <w:tblPr>
        <w:tblW w:w="0" w:type="auto"/>
        <w:jc w:val="left"/>
        <w:tblInd w:w="109" w:type="dxa"/>
        <w:tblLayout w:type="fixed"/>
        <w:tblCellMar>
          <w:top w:w="0" w:type="dxa"/>
          <w:left w:w="0" w:type="dxa"/>
          <w:bottom w:w="0" w:type="dxa"/>
          <w:right w:w="0" w:type="dxa"/>
        </w:tblCellMar>
        <w:tblLook w:val="01E0"/>
      </w:tblPr>
      <w:tblGrid>
        <w:gridCol w:w="2495"/>
        <w:gridCol w:w="2293"/>
        <w:gridCol w:w="2390"/>
        <w:gridCol w:w="2390"/>
      </w:tblGrid>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土耳其里拉</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193,767.79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96" w:right="0"/>
              <w:jc w:val="left"/>
              <w:rPr>
                <w:rFonts w:ascii="Times New Roman" w:hAnsi="Times New Roman" w:cs="Times New Roman" w:eastAsia="Times New Roman" w:hint="default"/>
                <w:sz w:val="18"/>
                <w:szCs w:val="18"/>
              </w:rPr>
            </w:pPr>
            <w:r>
              <w:rPr>
                <w:rFonts w:ascii="Times New Roman"/>
                <w:sz w:val="18"/>
              </w:rPr>
              <w:t>0.85258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165,202.54</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墨西哥比索</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218,881.68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41" w:right="0"/>
              <w:jc w:val="left"/>
              <w:rPr>
                <w:rFonts w:ascii="Times New Roman" w:hAnsi="Times New Roman" w:cs="Times New Roman" w:eastAsia="Times New Roman" w:hint="default"/>
                <w:sz w:val="18"/>
                <w:szCs w:val="18"/>
              </w:rPr>
            </w:pPr>
            <w:r>
              <w:rPr>
                <w:rFonts w:ascii="Times New Roman"/>
                <w:sz w:val="18"/>
              </w:rPr>
              <w:t>0.3684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80,636.01</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俄罗斯卢布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4,768,698.05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96" w:right="0"/>
              <w:jc w:val="left"/>
              <w:rPr>
                <w:rFonts w:ascii="Times New Roman" w:hAnsi="Times New Roman" w:cs="Times New Roman" w:eastAsia="Times New Roman" w:hint="default"/>
                <w:sz w:val="18"/>
                <w:szCs w:val="18"/>
              </w:rPr>
            </w:pPr>
            <w:r>
              <w:rPr>
                <w:rFonts w:ascii="Times New Roman"/>
                <w:sz w:val="18"/>
              </w:rPr>
              <w:t>0.11260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536,955.40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3,928,800.04</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13,460.07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96" w:right="0"/>
              <w:jc w:val="left"/>
              <w:rPr>
                <w:rFonts w:ascii="Times New Roman" w:hAnsi="Times New Roman" w:cs="Times New Roman" w:eastAsia="Times New Roman" w:hint="default"/>
                <w:sz w:val="18"/>
                <w:szCs w:val="18"/>
              </w:rPr>
            </w:pPr>
            <w:r>
              <w:rPr>
                <w:rFonts w:ascii="Times New Roman"/>
                <w:sz w:val="18"/>
              </w:rPr>
              <w:t>6.97620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93,900.14</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墨西哥比索</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10,409,556.88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41" w:right="0"/>
              <w:jc w:val="left"/>
              <w:rPr>
                <w:rFonts w:ascii="Times New Roman" w:hAnsi="Times New Roman" w:cs="Times New Roman" w:eastAsia="Times New Roman" w:hint="default"/>
                <w:sz w:val="18"/>
                <w:szCs w:val="18"/>
              </w:rPr>
            </w:pPr>
            <w:r>
              <w:rPr>
                <w:rFonts w:ascii="Times New Roman"/>
                <w:sz w:val="18"/>
              </w:rPr>
              <w:t>0.3684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3,834,880.75</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俄罗斯卢布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170.04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96" w:right="0"/>
              <w:jc w:val="left"/>
              <w:rPr>
                <w:rFonts w:ascii="Times New Roman" w:hAnsi="Times New Roman" w:cs="Times New Roman" w:eastAsia="Times New Roman" w:hint="default"/>
                <w:sz w:val="18"/>
                <w:szCs w:val="18"/>
              </w:rPr>
            </w:pPr>
            <w:r>
              <w:rPr>
                <w:rFonts w:ascii="Times New Roman"/>
                <w:sz w:val="18"/>
              </w:rPr>
              <w:t>0.11260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19.15</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8,956,039.09</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703,822.29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96" w:right="0"/>
              <w:jc w:val="left"/>
              <w:rPr>
                <w:rFonts w:ascii="Times New Roman" w:hAnsi="Times New Roman" w:cs="Times New Roman" w:eastAsia="Times New Roman" w:hint="default"/>
                <w:sz w:val="18"/>
                <w:szCs w:val="18"/>
              </w:rPr>
            </w:pPr>
            <w:r>
              <w:rPr>
                <w:rFonts w:ascii="Times New Roman"/>
                <w:sz w:val="18"/>
              </w:rPr>
              <w:t>6.97620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4,910,005.06</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1,406,841.81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96" w:right="0"/>
              <w:jc w:val="left"/>
              <w:rPr>
                <w:rFonts w:ascii="Times New Roman" w:hAnsi="Times New Roman" w:cs="Times New Roman" w:eastAsia="Times New Roman" w:hint="default"/>
                <w:sz w:val="18"/>
                <w:szCs w:val="18"/>
              </w:rPr>
            </w:pPr>
            <w:r>
              <w:rPr>
                <w:rFonts w:ascii="Times New Roman"/>
                <w:sz w:val="18"/>
              </w:rPr>
              <w:t>0.89578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1,260,220.76</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6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79,910.06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96" w:right="0"/>
              <w:jc w:val="left"/>
              <w:rPr>
                <w:rFonts w:ascii="Times New Roman" w:hAnsi="Times New Roman" w:cs="Times New Roman" w:eastAsia="Times New Roman" w:hint="default"/>
                <w:sz w:val="18"/>
                <w:szCs w:val="18"/>
              </w:rPr>
            </w:pPr>
            <w:r>
              <w:rPr>
                <w:rFonts w:ascii="Times New Roman"/>
                <w:sz w:val="18"/>
              </w:rPr>
              <w:t>7.81550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624,537.07</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墨西哥比索</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5,792,811.33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41" w:right="0"/>
              <w:jc w:val="left"/>
              <w:rPr>
                <w:rFonts w:ascii="Times New Roman" w:hAnsi="Times New Roman" w:cs="Times New Roman" w:eastAsia="Times New Roman" w:hint="default"/>
                <w:sz w:val="18"/>
                <w:szCs w:val="18"/>
              </w:rPr>
            </w:pPr>
            <w:r>
              <w:rPr>
                <w:rFonts w:ascii="Times New Roman"/>
                <w:sz w:val="18"/>
              </w:rPr>
              <w:t>0.3684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2,134,071.69</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俄罗斯卢布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241,603.08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96" w:right="0"/>
              <w:jc w:val="left"/>
              <w:rPr>
                <w:rFonts w:ascii="Times New Roman" w:hAnsi="Times New Roman" w:cs="Times New Roman" w:eastAsia="Times New Roman" w:hint="default"/>
                <w:sz w:val="18"/>
                <w:szCs w:val="18"/>
              </w:rPr>
            </w:pPr>
            <w:r>
              <w:rPr>
                <w:rFonts w:ascii="Times New Roman"/>
                <w:sz w:val="18"/>
              </w:rPr>
              <w:t>0.11260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27,204.51</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2,184,354.50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72.00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96" w:right="0"/>
              <w:jc w:val="left"/>
              <w:rPr>
                <w:rFonts w:ascii="Times New Roman" w:hAnsi="Times New Roman" w:cs="Times New Roman" w:eastAsia="Times New Roman" w:hint="default"/>
                <w:sz w:val="18"/>
                <w:szCs w:val="18"/>
              </w:rPr>
            </w:pPr>
            <w:r>
              <w:rPr>
                <w:rFonts w:ascii="Times New Roman"/>
                <w:sz w:val="18"/>
              </w:rPr>
              <w:t>6.97620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502.29</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1,471,026.48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96" w:right="0"/>
              <w:jc w:val="left"/>
              <w:rPr>
                <w:rFonts w:ascii="Times New Roman" w:hAnsi="Times New Roman" w:cs="Times New Roman" w:eastAsia="Times New Roman" w:hint="default"/>
                <w:sz w:val="18"/>
                <w:szCs w:val="18"/>
              </w:rPr>
            </w:pPr>
            <w:r>
              <w:rPr>
                <w:rFonts w:ascii="Times New Roman"/>
                <w:sz w:val="18"/>
              </w:rPr>
              <w:t>0.89578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1,317,716.10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土耳其里拉</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555,802.83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96" w:right="0"/>
              <w:jc w:val="left"/>
              <w:rPr>
                <w:rFonts w:ascii="Times New Roman" w:hAnsi="Times New Roman" w:cs="Times New Roman" w:eastAsia="Times New Roman" w:hint="default"/>
                <w:sz w:val="18"/>
                <w:szCs w:val="18"/>
              </w:rPr>
            </w:pPr>
            <w:r>
              <w:rPr>
                <w:rFonts w:ascii="Times New Roman"/>
                <w:sz w:val="18"/>
              </w:rPr>
              <w:t>0.85258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473,866.38</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新加坡币</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54,495.00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96" w:right="0"/>
              <w:jc w:val="left"/>
              <w:rPr>
                <w:rFonts w:ascii="Times New Roman" w:hAnsi="Times New Roman" w:cs="Times New Roman" w:eastAsia="Times New Roman" w:hint="default"/>
                <w:sz w:val="18"/>
                <w:szCs w:val="18"/>
              </w:rPr>
            </w:pPr>
            <w:r>
              <w:rPr>
                <w:rFonts w:ascii="Times New Roman"/>
                <w:sz w:val="18"/>
              </w:rPr>
              <w:t>5.17390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281,951.68</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俄罗斯卢布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979,734.01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96" w:right="0"/>
              <w:jc w:val="left"/>
              <w:rPr>
                <w:rFonts w:ascii="Times New Roman" w:hAnsi="Times New Roman" w:cs="Times New Roman" w:eastAsia="Times New Roman" w:hint="default"/>
                <w:sz w:val="18"/>
                <w:szCs w:val="18"/>
              </w:rPr>
            </w:pPr>
            <w:r>
              <w:rPr>
                <w:rFonts w:ascii="Times New Roman"/>
                <w:sz w:val="18"/>
              </w:rPr>
              <w:t>0.11260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110,318.05</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3,305,520.44</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933.80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96" w:right="0"/>
              <w:jc w:val="left"/>
              <w:rPr>
                <w:rFonts w:ascii="Times New Roman" w:hAnsi="Times New Roman" w:cs="Times New Roman" w:eastAsia="Times New Roman" w:hint="default"/>
                <w:sz w:val="18"/>
                <w:szCs w:val="18"/>
              </w:rPr>
            </w:pPr>
            <w:r>
              <w:rPr>
                <w:rFonts w:ascii="Times New Roman"/>
                <w:sz w:val="18"/>
              </w:rPr>
              <w:t>6.97620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6,514.38</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2,174,523.13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96" w:right="0"/>
              <w:jc w:val="left"/>
              <w:rPr>
                <w:rFonts w:ascii="Times New Roman" w:hAnsi="Times New Roman" w:cs="Times New Roman" w:eastAsia="Times New Roman" w:hint="default"/>
                <w:sz w:val="18"/>
                <w:szCs w:val="18"/>
              </w:rPr>
            </w:pPr>
            <w:r>
              <w:rPr>
                <w:rFonts w:ascii="Times New Roman"/>
                <w:sz w:val="18"/>
              </w:rPr>
              <w:t>0.89578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1,947,894.33</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6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12,255.02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96" w:right="0"/>
              <w:jc w:val="left"/>
              <w:rPr>
                <w:rFonts w:ascii="Times New Roman" w:hAnsi="Times New Roman" w:cs="Times New Roman" w:eastAsia="Times New Roman" w:hint="default"/>
                <w:sz w:val="18"/>
                <w:szCs w:val="18"/>
              </w:rPr>
            </w:pPr>
            <w:r>
              <w:rPr>
                <w:rFonts w:ascii="Times New Roman"/>
                <w:sz w:val="18"/>
              </w:rPr>
              <w:t>7.81550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95,779.11</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土耳其里拉</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948,426.06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96" w:right="0"/>
              <w:jc w:val="left"/>
              <w:rPr>
                <w:rFonts w:ascii="Times New Roman" w:hAnsi="Times New Roman" w:cs="Times New Roman" w:eastAsia="Times New Roman" w:hint="default"/>
                <w:sz w:val="18"/>
                <w:szCs w:val="18"/>
              </w:rPr>
            </w:pPr>
            <w:r>
              <w:rPr>
                <w:rFonts w:ascii="Times New Roman"/>
                <w:sz w:val="18"/>
              </w:rPr>
              <w:t>0.85258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808,609.09</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新加坡币</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41,036.40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96" w:right="0"/>
              <w:jc w:val="left"/>
              <w:rPr>
                <w:rFonts w:ascii="Times New Roman" w:hAnsi="Times New Roman" w:cs="Times New Roman" w:eastAsia="Times New Roman" w:hint="default"/>
                <w:sz w:val="18"/>
                <w:szCs w:val="18"/>
              </w:rPr>
            </w:pPr>
            <w:r>
              <w:rPr>
                <w:rFonts w:ascii="Times New Roman"/>
                <w:sz w:val="18"/>
              </w:rPr>
              <w:t>5.17390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212,318.23</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俄罗斯卢布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2,081,752.23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96" w:right="0"/>
              <w:jc w:val="left"/>
              <w:rPr>
                <w:rFonts w:ascii="Times New Roman" w:hAnsi="Times New Roman" w:cs="Times New Roman" w:eastAsia="Times New Roman" w:hint="default"/>
                <w:sz w:val="18"/>
                <w:szCs w:val="18"/>
              </w:rPr>
            </w:pPr>
            <w:r>
              <w:rPr>
                <w:rFonts w:ascii="Times New Roman"/>
                <w:sz w:val="18"/>
              </w:rPr>
              <w:t>0.11260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234,405.30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11,229,139.30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4,743.37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96" w:right="0"/>
              <w:jc w:val="left"/>
              <w:rPr>
                <w:rFonts w:ascii="Times New Roman" w:hAnsi="Times New Roman" w:cs="Times New Roman" w:eastAsia="Times New Roman" w:hint="default"/>
                <w:sz w:val="18"/>
                <w:szCs w:val="18"/>
              </w:rPr>
            </w:pPr>
            <w:r>
              <w:rPr>
                <w:rFonts w:ascii="Times New Roman"/>
                <w:sz w:val="18"/>
              </w:rPr>
              <w:t>6.97620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33,090.70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62"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10,712,856.06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96" w:right="0"/>
              <w:jc w:val="left"/>
              <w:rPr>
                <w:rFonts w:ascii="Times New Roman" w:hAnsi="Times New Roman" w:cs="Times New Roman" w:eastAsia="Times New Roman" w:hint="default"/>
                <w:sz w:val="18"/>
                <w:szCs w:val="18"/>
              </w:rPr>
            </w:pPr>
            <w:r>
              <w:rPr>
                <w:rFonts w:ascii="Times New Roman"/>
                <w:sz w:val="18"/>
              </w:rPr>
              <w:t>0.89578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9,596,362.20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10,922.92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96" w:right="0"/>
              <w:jc w:val="left"/>
              <w:rPr>
                <w:rFonts w:ascii="Times New Roman" w:hAnsi="Times New Roman" w:cs="Times New Roman" w:eastAsia="Times New Roman" w:hint="default"/>
                <w:sz w:val="18"/>
                <w:szCs w:val="18"/>
              </w:rPr>
            </w:pPr>
            <w:r>
              <w:rPr>
                <w:rFonts w:ascii="Times New Roman"/>
                <w:sz w:val="18"/>
              </w:rPr>
              <w:t>7.81550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85,368.08</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英镑</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5,057.35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96" w:right="0"/>
              <w:jc w:val="left"/>
              <w:rPr>
                <w:rFonts w:ascii="Times New Roman" w:hAnsi="Times New Roman" w:cs="Times New Roman" w:eastAsia="Times New Roman" w:hint="default"/>
                <w:sz w:val="18"/>
                <w:szCs w:val="18"/>
              </w:rPr>
            </w:pPr>
            <w:r>
              <w:rPr>
                <w:rFonts w:ascii="Times New Roman"/>
                <w:sz w:val="18"/>
              </w:rPr>
              <w:t>9.15010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46,275.26</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新加坡币</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109,287.82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96" w:right="0"/>
              <w:jc w:val="left"/>
              <w:rPr>
                <w:rFonts w:ascii="Times New Roman" w:hAnsi="Times New Roman" w:cs="Times New Roman" w:eastAsia="Times New Roman" w:hint="default"/>
                <w:sz w:val="18"/>
                <w:szCs w:val="18"/>
              </w:rPr>
            </w:pPr>
            <w:r>
              <w:rPr>
                <w:rFonts w:ascii="Times New Roman"/>
                <w:sz w:val="18"/>
              </w:rPr>
              <w:t>5.17390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565,444.25</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越南盾</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1,096,586.00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96" w:right="0"/>
              <w:jc w:val="left"/>
              <w:rPr>
                <w:rFonts w:ascii="Times New Roman" w:hAnsi="Times New Roman" w:cs="Times New Roman" w:eastAsia="Times New Roman" w:hint="default"/>
                <w:sz w:val="18"/>
                <w:szCs w:val="18"/>
              </w:rPr>
            </w:pPr>
            <w:r>
              <w:rPr>
                <w:rFonts w:ascii="Times New Roman"/>
                <w:sz w:val="18"/>
              </w:rPr>
              <w:t>0.00030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328.98</w:t>
            </w:r>
          </w:p>
        </w:tc>
      </w:tr>
      <w:tr>
        <w:trPr>
          <w:trHeight w:val="400"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土耳其里拉</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917,557.13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96" w:right="0"/>
              <w:jc w:val="left"/>
              <w:rPr>
                <w:rFonts w:ascii="Times New Roman" w:hAnsi="Times New Roman" w:cs="Times New Roman" w:eastAsia="Times New Roman" w:hint="default"/>
                <w:sz w:val="18"/>
                <w:szCs w:val="18"/>
              </w:rPr>
            </w:pPr>
            <w:r>
              <w:rPr>
                <w:rFonts w:ascii="Times New Roman"/>
                <w:sz w:val="18"/>
              </w:rPr>
              <w:t>0.85258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782,290.86</w:t>
            </w:r>
          </w:p>
        </w:tc>
      </w:tr>
    </w:tbl>
    <w:p>
      <w:pPr>
        <w:spacing w:after="0" w:line="240" w:lineRule="auto"/>
        <w:jc w:val="right"/>
        <w:rPr>
          <w:rFonts w:ascii="Times New Roman" w:hAnsi="Times New Roman" w:cs="Times New Roman" w:eastAsia="Times New Roman" w:hint="default"/>
          <w:sz w:val="18"/>
          <w:szCs w:val="18"/>
        </w:rPr>
        <w:sectPr>
          <w:pgSz w:w="11910" w:h="16840"/>
          <w:pgMar w:header="878" w:footer="978" w:top="1100" w:bottom="1160" w:left="102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09" w:type="dxa"/>
        <w:tblLayout w:type="fixed"/>
        <w:tblCellMar>
          <w:top w:w="0" w:type="dxa"/>
          <w:left w:w="0" w:type="dxa"/>
          <w:bottom w:w="0" w:type="dxa"/>
          <w:right w:w="0" w:type="dxa"/>
        </w:tblCellMar>
        <w:tblLook w:val="01E0"/>
      </w:tblPr>
      <w:tblGrid>
        <w:gridCol w:w="2495"/>
        <w:gridCol w:w="2293"/>
        <w:gridCol w:w="2390"/>
        <w:gridCol w:w="2390"/>
      </w:tblGrid>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墨西哥比索</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49" w:right="0"/>
              <w:jc w:val="left"/>
              <w:rPr>
                <w:rFonts w:ascii="Times New Roman" w:hAnsi="Times New Roman" w:cs="Times New Roman" w:eastAsia="Times New Roman" w:hint="default"/>
                <w:sz w:val="18"/>
                <w:szCs w:val="18"/>
              </w:rPr>
            </w:pPr>
            <w:r>
              <w:rPr>
                <w:rFonts w:ascii="Times New Roman"/>
                <w:sz w:val="18"/>
              </w:rPr>
              <w:t>325,675.82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0.36840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547" w:right="0"/>
              <w:jc w:val="left"/>
              <w:rPr>
                <w:rFonts w:ascii="Times New Roman" w:hAnsi="Times New Roman" w:cs="Times New Roman" w:eastAsia="Times New Roman" w:hint="default"/>
                <w:sz w:val="18"/>
                <w:szCs w:val="18"/>
              </w:rPr>
            </w:pPr>
            <w:r>
              <w:rPr>
                <w:rFonts w:ascii="Times New Roman"/>
                <w:sz w:val="18"/>
              </w:rPr>
              <w:t>119,978.97</w:t>
            </w:r>
          </w:p>
        </w:tc>
      </w:tr>
    </w:tbl>
    <w:p>
      <w:pPr>
        <w:spacing w:line="240" w:lineRule="auto" w:before="11"/>
        <w:rPr>
          <w:rFonts w:ascii="Times New Roman" w:hAnsi="Times New Roman" w:cs="Times New Roman" w:eastAsia="Times New Roman" w:hint="default"/>
          <w:sz w:val="21"/>
          <w:szCs w:val="21"/>
        </w:rPr>
      </w:pPr>
    </w:p>
    <w:p>
      <w:pPr>
        <w:pStyle w:val="Heading3"/>
        <w:spacing w:line="256" w:lineRule="auto"/>
        <w:ind w:right="1394"/>
        <w:jc w:val="left"/>
        <w:rPr>
          <w:b w:val="0"/>
          <w:bCs w:val="0"/>
        </w:rPr>
      </w:pPr>
      <w:bookmarkStart w:name="（2）境外经营实体说明，包括对于重要的境外经营实体，应披露其境外主要经营地、记账" w:id="337"/>
      <w:bookmarkEnd w:id="337"/>
      <w:r>
        <w:rPr>
          <w:b w:val="0"/>
          <w:bCs w:val="0"/>
        </w:rPr>
      </w:r>
      <w:r>
        <w:rPr>
          <w:spacing w:val="3"/>
          <w:w w:val="95"/>
        </w:rPr>
        <w:t>（</w:t>
      </w:r>
      <w:r>
        <w:rPr>
          <w:rFonts w:ascii="Times New Roman" w:hAnsi="Times New Roman" w:cs="Times New Roman" w:eastAsia="Times New Roman" w:hint="default"/>
          <w:spacing w:val="3"/>
          <w:w w:val="95"/>
        </w:rPr>
        <w:t>2</w:t>
      </w:r>
      <w:r>
        <w:rPr>
          <w:spacing w:val="3"/>
          <w:w w:val="95"/>
        </w:rPr>
        <w:t>）境外经营实体说明，包括对于重要的境外经营实体，应披露其境外主要经营地、记账本位币及选择</w:t>
      </w:r>
      <w:r>
        <w:rPr>
          <w:spacing w:val="94"/>
          <w:w w:val="95"/>
        </w:rPr>
        <w:t> </w:t>
      </w:r>
      <w:r>
        <w:rPr>
          <w:spacing w:val="94"/>
          <w:w w:val="95"/>
        </w:rPr>
      </w:r>
      <w:r>
        <w:rPr/>
        <w:t>依据，记账本位币发生变化的还应披露原因。</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本公司的重要境外经营实体是全资子公司</w:t>
      </w:r>
      <w:r>
        <w:rPr>
          <w:rFonts w:ascii="Times New Roman" w:hAnsi="Times New Roman" w:cs="Times New Roman" w:eastAsia="Times New Roman" w:hint="default"/>
        </w:rPr>
        <w:t>GRGBanking</w:t>
      </w:r>
      <w:r>
        <w:rPr>
          <w:rFonts w:ascii="Times New Roman" w:hAnsi="Times New Roman" w:cs="Times New Roman" w:eastAsia="Times New Roman" w:hint="default"/>
          <w:spacing w:val="-13"/>
        </w:rPr>
        <w:t> </w:t>
      </w:r>
      <w:r>
        <w:rPr>
          <w:rFonts w:ascii="Times New Roman" w:hAnsi="Times New Roman" w:cs="Times New Roman" w:eastAsia="Times New Roman" w:hint="default"/>
        </w:rPr>
        <w:t>Equipment(HK)Co.Limited</w:t>
      </w:r>
      <w:r>
        <w:rPr/>
        <w:t>，主要经营地是香港，记账本位币是港元。</w:t>
      </w:r>
    </w:p>
    <w:p>
      <w:pPr>
        <w:spacing w:line="240" w:lineRule="auto" w:before="13"/>
        <w:rPr>
          <w:rFonts w:ascii="宋体" w:hAnsi="宋体" w:cs="宋体" w:eastAsia="宋体" w:hint="default"/>
          <w:sz w:val="25"/>
          <w:szCs w:val="25"/>
        </w:rPr>
      </w:pPr>
    </w:p>
    <w:p>
      <w:pPr>
        <w:pStyle w:val="Heading3"/>
        <w:spacing w:line="240" w:lineRule="auto" w:before="0"/>
        <w:ind w:right="1394"/>
        <w:jc w:val="left"/>
        <w:rPr>
          <w:b w:val="0"/>
          <w:bCs w:val="0"/>
        </w:rPr>
      </w:pPr>
      <w:bookmarkStart w:name="55、套期" w:id="338"/>
      <w:bookmarkEnd w:id="338"/>
      <w:r>
        <w:rPr>
          <w:b w:val="0"/>
          <w:bCs w:val="0"/>
        </w:rPr>
      </w:r>
      <w:r>
        <w:rPr>
          <w:rFonts w:ascii="Times New Roman" w:hAnsi="Times New Roman" w:cs="Times New Roman" w:eastAsia="Times New Roman" w:hint="default"/>
        </w:rPr>
        <w:t>55</w:t>
      </w:r>
      <w:r>
        <w:rPr/>
        <w:t>、套期</w:t>
      </w:r>
      <w:r>
        <w:rPr>
          <w:b w:val="0"/>
          <w:bCs w:val="0"/>
        </w:rPr>
      </w:r>
    </w:p>
    <w:p>
      <w:pPr>
        <w:spacing w:line="240" w:lineRule="auto" w:before="7"/>
        <w:rPr>
          <w:rFonts w:ascii="宋体" w:hAnsi="宋体" w:cs="宋体" w:eastAsia="宋体" w:hint="default"/>
          <w:b/>
          <w:bCs/>
          <w:sz w:val="24"/>
          <w:szCs w:val="24"/>
        </w:rPr>
      </w:pPr>
    </w:p>
    <w:p>
      <w:pPr>
        <w:pStyle w:val="Heading4"/>
        <w:spacing w:line="240" w:lineRule="auto" w:before="0"/>
        <w:ind w:left="472" w:right="1394"/>
        <w:jc w:val="left"/>
      </w:pPr>
      <w:r>
        <w:rPr/>
        <w:t>本公司未发生此事项。</w:t>
      </w:r>
    </w:p>
    <w:p>
      <w:pPr>
        <w:spacing w:line="240" w:lineRule="auto" w:before="10"/>
        <w:rPr>
          <w:rFonts w:ascii="宋体" w:hAnsi="宋体" w:cs="宋体" w:eastAsia="宋体" w:hint="default"/>
          <w:sz w:val="25"/>
          <w:szCs w:val="25"/>
        </w:rPr>
      </w:pPr>
    </w:p>
    <w:p>
      <w:pPr>
        <w:pStyle w:val="Heading3"/>
        <w:spacing w:line="240" w:lineRule="auto" w:before="0"/>
        <w:ind w:right="1394"/>
        <w:jc w:val="left"/>
        <w:rPr>
          <w:b w:val="0"/>
          <w:bCs w:val="0"/>
        </w:rPr>
      </w:pPr>
      <w:bookmarkStart w:name="56、政府补助" w:id="339"/>
      <w:bookmarkEnd w:id="339"/>
      <w:r>
        <w:rPr>
          <w:b w:val="0"/>
          <w:bCs w:val="0"/>
        </w:rPr>
      </w:r>
      <w:r>
        <w:rPr>
          <w:rFonts w:ascii="Times New Roman" w:hAnsi="Times New Roman" w:cs="Times New Roman" w:eastAsia="Times New Roman" w:hint="default"/>
        </w:rPr>
        <w:t>56</w:t>
      </w:r>
      <w:r>
        <w:rPr/>
        <w:t>、政府补助</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before="0"/>
        <w:ind w:right="1394"/>
        <w:jc w:val="left"/>
        <w:rPr>
          <w:b w:val="0"/>
          <w:bCs w:val="0"/>
        </w:rPr>
      </w:pPr>
      <w:bookmarkStart w:name="（1）政府补助基本情况" w:id="340"/>
      <w:bookmarkEnd w:id="340"/>
      <w:r>
        <w:rPr>
          <w:b w:val="0"/>
          <w:bCs w:val="0"/>
        </w:rPr>
      </w:r>
      <w:r>
        <w:rPr/>
        <w:t>（</w:t>
      </w:r>
      <w:r>
        <w:rPr>
          <w:rFonts w:ascii="Times New Roman" w:hAnsi="Times New Roman" w:cs="Times New Roman" w:eastAsia="Times New Roman" w:hint="default"/>
        </w:rPr>
        <w:t>1</w:t>
      </w:r>
      <w:r>
        <w:rPr/>
        <w:t>）政府补助基本情况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30" w:right="0"/>
              <w:jc w:val="left"/>
              <w:rPr>
                <w:rFonts w:ascii="宋体" w:hAnsi="宋体" w:cs="宋体" w:eastAsia="宋体" w:hint="default"/>
                <w:sz w:val="18"/>
                <w:szCs w:val="18"/>
              </w:rPr>
            </w:pPr>
            <w:r>
              <w:rPr>
                <w:rFonts w:ascii="宋体" w:hAnsi="宋体" w:cs="宋体" w:eastAsia="宋体" w:hint="default"/>
                <w:sz w:val="18"/>
                <w:szCs w:val="18"/>
              </w:rPr>
              <w:t>列报项目</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0" w:right="0"/>
              <w:jc w:val="left"/>
              <w:rPr>
                <w:rFonts w:ascii="宋体" w:hAnsi="宋体" w:cs="宋体" w:eastAsia="宋体" w:hint="default"/>
                <w:sz w:val="18"/>
                <w:szCs w:val="18"/>
              </w:rPr>
            </w:pPr>
            <w:r>
              <w:rPr>
                <w:rFonts w:ascii="宋体" w:hAnsi="宋体" w:cs="宋体" w:eastAsia="宋体" w:hint="default"/>
                <w:sz w:val="18"/>
                <w:szCs w:val="18"/>
              </w:rPr>
              <w:t>计入当期损益的金额</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95,578,400.47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830"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95,578,400.47</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增值税退税</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40,685,269.96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30"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40,685,269.96</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增值税加计扣除</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6,653,482.43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830"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6,653,482.43</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142,917,152.86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30"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142,917,152.86</w:t>
            </w:r>
          </w:p>
        </w:tc>
      </w:tr>
    </w:tbl>
    <w:p>
      <w:pPr>
        <w:spacing w:line="240" w:lineRule="auto" w:before="4"/>
        <w:rPr>
          <w:rFonts w:ascii="宋体" w:hAnsi="宋体" w:cs="宋体" w:eastAsia="宋体" w:hint="default"/>
          <w:sz w:val="19"/>
          <w:szCs w:val="19"/>
        </w:rPr>
      </w:pPr>
    </w:p>
    <w:p>
      <w:pPr>
        <w:pStyle w:val="Heading3"/>
        <w:spacing w:line="240" w:lineRule="auto"/>
        <w:ind w:right="1394"/>
        <w:jc w:val="left"/>
        <w:rPr>
          <w:b w:val="0"/>
          <w:bCs w:val="0"/>
        </w:rPr>
      </w:pPr>
      <w:bookmarkStart w:name="（2）政府补助退回情况" w:id="341"/>
      <w:bookmarkEnd w:id="341"/>
      <w:r>
        <w:rPr>
          <w:b w:val="0"/>
          <w:bCs w:val="0"/>
        </w:rPr>
      </w:r>
      <w:r>
        <w:rPr/>
        <w:t>（</w:t>
      </w:r>
      <w:r>
        <w:rPr>
          <w:rFonts w:ascii="Times New Roman" w:hAnsi="Times New Roman" w:cs="Times New Roman" w:eastAsia="Times New Roman" w:hint="default"/>
        </w:rPr>
        <w:t>2</w:t>
      </w:r>
      <w:r>
        <w:rPr/>
        <w:t>）政府补助退回情况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394"/>
        <w:jc w:val="left"/>
      </w:pPr>
      <w:r>
        <w:rPr/>
        <w:t>本公司不存在政府补助退回情况。</w:t>
      </w:r>
    </w:p>
    <w:p>
      <w:pPr>
        <w:spacing w:line="240" w:lineRule="auto" w:before="1"/>
        <w:rPr>
          <w:rFonts w:ascii="宋体" w:hAnsi="宋体" w:cs="宋体" w:eastAsia="宋体" w:hint="default"/>
          <w:sz w:val="25"/>
          <w:szCs w:val="25"/>
        </w:rPr>
      </w:pPr>
    </w:p>
    <w:p>
      <w:pPr>
        <w:pStyle w:val="Heading2"/>
        <w:spacing w:line="240" w:lineRule="auto"/>
        <w:ind w:right="1394"/>
        <w:jc w:val="left"/>
        <w:rPr>
          <w:b w:val="0"/>
          <w:bCs w:val="0"/>
        </w:rPr>
      </w:pPr>
      <w:bookmarkStart w:name="八、合并范围的变更" w:id="342"/>
      <w:bookmarkEnd w:id="342"/>
      <w:r>
        <w:rPr>
          <w:b w:val="0"/>
          <w:bCs w:val="0"/>
        </w:rPr>
      </w:r>
      <w:r>
        <w:rPr/>
        <w:t>八、合并范围的变更</w:t>
      </w:r>
      <w:r>
        <w:rPr>
          <w:b w:val="0"/>
          <w:bCs w:val="0"/>
        </w:rPr>
      </w:r>
    </w:p>
    <w:p>
      <w:pPr>
        <w:spacing w:line="240" w:lineRule="auto" w:before="9"/>
        <w:rPr>
          <w:rFonts w:ascii="宋体" w:hAnsi="宋体" w:cs="宋体" w:eastAsia="宋体" w:hint="default"/>
          <w:b/>
          <w:bCs/>
          <w:sz w:val="24"/>
          <w:szCs w:val="24"/>
        </w:rPr>
      </w:pPr>
    </w:p>
    <w:p>
      <w:pPr>
        <w:pStyle w:val="Heading3"/>
        <w:spacing w:line="240" w:lineRule="auto" w:before="0"/>
        <w:ind w:right="1394"/>
        <w:jc w:val="left"/>
        <w:rPr>
          <w:b w:val="0"/>
          <w:bCs w:val="0"/>
        </w:rPr>
      </w:pPr>
      <w:bookmarkStart w:name="1、非同一控制下企业合并" w:id="343"/>
      <w:bookmarkEnd w:id="343"/>
      <w:r>
        <w:rPr>
          <w:b w:val="0"/>
          <w:bCs w:val="0"/>
        </w:rPr>
      </w:r>
      <w:r>
        <w:rPr>
          <w:rFonts w:ascii="Times New Roman" w:hAnsi="Times New Roman" w:cs="Times New Roman" w:eastAsia="Times New Roman" w:hint="default"/>
        </w:rPr>
        <w:t>1</w:t>
      </w:r>
      <w:r>
        <w:rPr/>
        <w:t>、非同一控制下企业合并</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32" w:right="1394"/>
        <w:jc w:val="left"/>
      </w:pPr>
      <w:r>
        <w:rPr/>
        <w:t>公司本期未发生非同一控制下的企业合并。</w:t>
      </w:r>
    </w:p>
    <w:p>
      <w:pPr>
        <w:spacing w:line="240" w:lineRule="auto" w:before="11"/>
        <w:rPr>
          <w:rFonts w:ascii="宋体" w:hAnsi="宋体" w:cs="宋体" w:eastAsia="宋体" w:hint="default"/>
          <w:sz w:val="26"/>
          <w:szCs w:val="26"/>
        </w:rPr>
      </w:pPr>
    </w:p>
    <w:p>
      <w:pPr>
        <w:pStyle w:val="Heading3"/>
        <w:spacing w:line="240" w:lineRule="auto" w:before="0"/>
        <w:ind w:right="1394"/>
        <w:jc w:val="left"/>
        <w:rPr>
          <w:b w:val="0"/>
          <w:bCs w:val="0"/>
        </w:rPr>
      </w:pPr>
      <w:bookmarkStart w:name="2、同一控制下企业合并" w:id="344"/>
      <w:bookmarkEnd w:id="344"/>
      <w:r>
        <w:rPr>
          <w:b w:val="0"/>
          <w:bCs w:val="0"/>
        </w:rPr>
      </w:r>
      <w:r>
        <w:rPr>
          <w:rFonts w:ascii="Times New Roman" w:hAnsi="Times New Roman" w:cs="Times New Roman" w:eastAsia="Times New Roman" w:hint="default"/>
        </w:rPr>
        <w:t>2</w:t>
      </w:r>
      <w:r>
        <w:rPr/>
        <w:t>、同一控制下企业合并</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532" w:right="1394"/>
        <w:jc w:val="left"/>
      </w:pPr>
      <w:r>
        <w:rPr/>
        <w:t>公司本期未发生同一控制下企业合并。</w:t>
      </w:r>
    </w:p>
    <w:p>
      <w:pPr>
        <w:spacing w:line="240" w:lineRule="auto" w:before="0"/>
        <w:rPr>
          <w:rFonts w:ascii="宋体" w:hAnsi="宋体" w:cs="宋体" w:eastAsia="宋体" w:hint="default"/>
          <w:sz w:val="18"/>
          <w:szCs w:val="18"/>
        </w:rPr>
      </w:pPr>
    </w:p>
    <w:p>
      <w:pPr>
        <w:pStyle w:val="Heading3"/>
        <w:spacing w:line="240" w:lineRule="auto" w:before="118"/>
        <w:ind w:right="1394"/>
        <w:jc w:val="left"/>
        <w:rPr>
          <w:b w:val="0"/>
          <w:bCs w:val="0"/>
        </w:rPr>
      </w:pPr>
      <w:bookmarkStart w:name="3、反向购买" w:id="345"/>
      <w:bookmarkEnd w:id="345"/>
      <w:r>
        <w:rPr>
          <w:b w:val="0"/>
          <w:bCs w:val="0"/>
        </w:rPr>
      </w:r>
      <w:r>
        <w:rPr>
          <w:rFonts w:ascii="Times New Roman" w:hAnsi="Times New Roman" w:cs="Times New Roman" w:eastAsia="Times New Roman" w:hint="default"/>
        </w:rPr>
        <w:t>3</w:t>
      </w:r>
      <w:r>
        <w:rPr/>
        <w:t>、反向购买</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32" w:right="1394"/>
        <w:jc w:val="left"/>
      </w:pPr>
      <w:r>
        <w:rPr/>
        <w:t>公司本期未发生反向购买。</w:t>
      </w:r>
    </w:p>
    <w:p>
      <w:pPr>
        <w:spacing w:line="240" w:lineRule="auto" w:before="11"/>
        <w:rPr>
          <w:rFonts w:ascii="宋体" w:hAnsi="宋体" w:cs="宋体" w:eastAsia="宋体" w:hint="default"/>
          <w:sz w:val="26"/>
          <w:szCs w:val="26"/>
        </w:rPr>
      </w:pPr>
    </w:p>
    <w:p>
      <w:pPr>
        <w:pStyle w:val="Heading3"/>
        <w:spacing w:line="240" w:lineRule="auto" w:before="0"/>
        <w:ind w:right="1394"/>
        <w:jc w:val="left"/>
        <w:rPr>
          <w:b w:val="0"/>
          <w:bCs w:val="0"/>
        </w:rPr>
      </w:pPr>
      <w:bookmarkStart w:name="4、处置子公司" w:id="346"/>
      <w:bookmarkEnd w:id="346"/>
      <w:r>
        <w:rPr>
          <w:b w:val="0"/>
          <w:bCs w:val="0"/>
        </w:rPr>
      </w:r>
      <w:r>
        <w:rPr>
          <w:rFonts w:ascii="Times New Roman" w:hAnsi="Times New Roman" w:cs="Times New Roman" w:eastAsia="Times New Roman" w:hint="default"/>
        </w:rPr>
        <w:t>4</w:t>
      </w:r>
      <w:r>
        <w:rPr/>
        <w:t>、处置子公司</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394"/>
        <w:jc w:val="left"/>
      </w:pPr>
      <w:r>
        <w:rPr/>
        <w:t>是否存在单次处置对子公司投资即丧失控制权的情形</w:t>
      </w:r>
    </w:p>
    <w:p>
      <w:pPr>
        <w:spacing w:after="0" w:line="240" w:lineRule="auto"/>
        <w:jc w:val="left"/>
        <w:sectPr>
          <w:footerReference w:type="default" r:id="rId57"/>
          <w:pgSz w:w="11910" w:h="16840"/>
          <w:pgMar w:footer="978" w:header="878" w:top="1100" w:bottom="1160" w:left="1020" w:right="0"/>
          <w:pgNumType w:start="190"/>
        </w:sectPr>
      </w:pPr>
    </w:p>
    <w:p>
      <w:pPr>
        <w:spacing w:line="240" w:lineRule="auto" w:before="1"/>
        <w:rPr>
          <w:rFonts w:ascii="宋体" w:hAnsi="宋体" w:cs="宋体" w:eastAsia="宋体" w:hint="default"/>
          <w:sz w:val="22"/>
          <w:szCs w:val="22"/>
        </w:rPr>
      </w:pPr>
    </w:p>
    <w:p>
      <w:pPr>
        <w:pStyle w:val="BodyText"/>
        <w:spacing w:line="240" w:lineRule="auto" w:before="44"/>
        <w:ind w:right="13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否</w:t>
      </w:r>
    </w:p>
    <w:p>
      <w:pPr>
        <w:pStyle w:val="BodyText"/>
        <w:spacing w:line="240" w:lineRule="auto" w:before="101"/>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736"/>
        <w:gridCol w:w="736"/>
        <w:gridCol w:w="736"/>
        <w:gridCol w:w="735"/>
        <w:gridCol w:w="735"/>
        <w:gridCol w:w="735"/>
        <w:gridCol w:w="735"/>
        <w:gridCol w:w="735"/>
        <w:gridCol w:w="737"/>
        <w:gridCol w:w="736"/>
        <w:gridCol w:w="736"/>
        <w:gridCol w:w="736"/>
        <w:gridCol w:w="736"/>
      </w:tblGrid>
      <w:tr>
        <w:trPr>
          <w:trHeight w:val="358" w:hRule="exact"/>
        </w:trPr>
        <w:tc>
          <w:tcPr>
            <w:tcW w:w="736" w:type="dxa"/>
            <w:tcBorders>
              <w:top w:val="single" w:sz="4" w:space="0" w:color="000000"/>
              <w:left w:val="single" w:sz="4" w:space="0" w:color="000000"/>
              <w:bottom w:val="nil" w:sz="6" w:space="0" w:color="auto"/>
              <w:right w:val="single" w:sz="4" w:space="0" w:color="000000"/>
            </w:tcBorders>
            <w:shd w:val="clear" w:color="auto" w:fill="D2D2D2"/>
          </w:tcPr>
          <w:p>
            <w:pPr/>
          </w:p>
        </w:tc>
        <w:tc>
          <w:tcPr>
            <w:tcW w:w="736" w:type="dxa"/>
            <w:tcBorders>
              <w:top w:val="single" w:sz="4" w:space="0" w:color="000000"/>
              <w:left w:val="single" w:sz="4" w:space="0" w:color="000000"/>
              <w:bottom w:val="nil" w:sz="6" w:space="0" w:color="auto"/>
              <w:right w:val="single" w:sz="4" w:space="0" w:color="000000"/>
            </w:tcBorders>
            <w:shd w:val="clear" w:color="auto" w:fill="D2D2D2"/>
          </w:tcPr>
          <w:p>
            <w:pPr/>
          </w:p>
        </w:tc>
        <w:tc>
          <w:tcPr>
            <w:tcW w:w="736" w:type="dxa"/>
            <w:tcBorders>
              <w:top w:val="single" w:sz="4" w:space="0" w:color="000000"/>
              <w:left w:val="single" w:sz="4" w:space="0" w:color="000000"/>
              <w:bottom w:val="nil" w:sz="6" w:space="0" w:color="auto"/>
              <w:right w:val="single" w:sz="4" w:space="0" w:color="000000"/>
            </w:tcBorders>
            <w:shd w:val="clear" w:color="auto" w:fill="D2D2D2"/>
          </w:tcPr>
          <w:p>
            <w:pPr/>
          </w:p>
        </w:tc>
        <w:tc>
          <w:tcPr>
            <w:tcW w:w="735" w:type="dxa"/>
            <w:tcBorders>
              <w:top w:val="single" w:sz="4" w:space="0" w:color="000000"/>
              <w:left w:val="single" w:sz="4" w:space="0" w:color="000000"/>
              <w:bottom w:val="nil" w:sz="6" w:space="0" w:color="auto"/>
              <w:right w:val="single" w:sz="4" w:space="0" w:color="000000"/>
            </w:tcBorders>
            <w:shd w:val="clear" w:color="auto" w:fill="D2D2D2"/>
          </w:tcPr>
          <w:p>
            <w:pPr/>
          </w:p>
        </w:tc>
        <w:tc>
          <w:tcPr>
            <w:tcW w:w="735" w:type="dxa"/>
            <w:tcBorders>
              <w:top w:val="single" w:sz="4" w:space="0" w:color="000000"/>
              <w:left w:val="single" w:sz="4" w:space="0" w:color="000000"/>
              <w:bottom w:val="nil" w:sz="6" w:space="0" w:color="auto"/>
              <w:right w:val="single" w:sz="4" w:space="0" w:color="000000"/>
            </w:tcBorders>
            <w:shd w:val="clear" w:color="auto" w:fill="D2D2D2"/>
          </w:tcPr>
          <w:p>
            <w:pPr/>
          </w:p>
        </w:tc>
        <w:tc>
          <w:tcPr>
            <w:tcW w:w="735" w:type="dxa"/>
            <w:tcBorders>
              <w:top w:val="single" w:sz="4" w:space="0" w:color="000000"/>
              <w:left w:val="single" w:sz="4" w:space="0" w:color="000000"/>
              <w:bottom w:val="nil" w:sz="6" w:space="0" w:color="auto"/>
              <w:right w:val="single" w:sz="4" w:space="0" w:color="000000"/>
            </w:tcBorders>
            <w:shd w:val="clear" w:color="auto" w:fill="D2D2D2"/>
          </w:tcPr>
          <w:p>
            <w:pPr/>
          </w:p>
        </w:tc>
        <w:tc>
          <w:tcPr>
            <w:tcW w:w="735"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处置价</w:t>
            </w:r>
          </w:p>
        </w:tc>
        <w:tc>
          <w:tcPr>
            <w:tcW w:w="735" w:type="dxa"/>
            <w:tcBorders>
              <w:top w:val="single" w:sz="4" w:space="0" w:color="000000"/>
              <w:left w:val="single" w:sz="4" w:space="0" w:color="000000"/>
              <w:bottom w:val="nil" w:sz="6" w:space="0" w:color="auto"/>
              <w:right w:val="single" w:sz="4" w:space="0" w:color="000000"/>
            </w:tcBorders>
            <w:shd w:val="clear" w:color="auto" w:fill="D2D2D2"/>
          </w:tcPr>
          <w:p>
            <w:pPr/>
          </w:p>
        </w:tc>
        <w:tc>
          <w:tcPr>
            <w:tcW w:w="737" w:type="dxa"/>
            <w:tcBorders>
              <w:top w:val="single" w:sz="4" w:space="0" w:color="000000"/>
              <w:left w:val="single" w:sz="4" w:space="0" w:color="000000"/>
              <w:bottom w:val="nil" w:sz="6" w:space="0" w:color="auto"/>
              <w:right w:val="single" w:sz="4" w:space="0" w:color="000000"/>
            </w:tcBorders>
            <w:shd w:val="clear" w:color="auto" w:fill="D2D2D2"/>
          </w:tcPr>
          <w:p>
            <w:pPr/>
          </w:p>
        </w:tc>
        <w:tc>
          <w:tcPr>
            <w:tcW w:w="736" w:type="dxa"/>
            <w:tcBorders>
              <w:top w:val="single" w:sz="4" w:space="0" w:color="000000"/>
              <w:left w:val="single" w:sz="4" w:space="0" w:color="000000"/>
              <w:bottom w:val="nil" w:sz="6" w:space="0" w:color="auto"/>
              <w:right w:val="single" w:sz="4" w:space="0" w:color="000000"/>
            </w:tcBorders>
            <w:shd w:val="clear" w:color="auto" w:fill="D2D2D2"/>
          </w:tcPr>
          <w:p>
            <w:pPr/>
          </w:p>
        </w:tc>
        <w:tc>
          <w:tcPr>
            <w:tcW w:w="736" w:type="dxa"/>
            <w:tcBorders>
              <w:top w:val="single" w:sz="4" w:space="0" w:color="000000"/>
              <w:left w:val="single" w:sz="4" w:space="0" w:color="000000"/>
              <w:bottom w:val="nil" w:sz="6" w:space="0" w:color="auto"/>
              <w:right w:val="single" w:sz="4" w:space="0" w:color="000000"/>
            </w:tcBorders>
            <w:shd w:val="clear" w:color="auto" w:fill="D2D2D2"/>
          </w:tcPr>
          <w:p>
            <w:pPr/>
          </w:p>
        </w:tc>
        <w:tc>
          <w:tcPr>
            <w:tcW w:w="736" w:type="dxa"/>
            <w:tcBorders>
              <w:top w:val="single" w:sz="4" w:space="0" w:color="000000"/>
              <w:left w:val="single" w:sz="4" w:space="0" w:color="000000"/>
              <w:bottom w:val="nil" w:sz="6" w:space="0" w:color="auto"/>
              <w:right w:val="single" w:sz="4" w:space="0" w:color="000000"/>
            </w:tcBorders>
            <w:shd w:val="clear" w:color="auto" w:fill="D2D2D2"/>
          </w:tcPr>
          <w:p>
            <w:pPr/>
          </w:p>
        </w:tc>
        <w:tc>
          <w:tcPr>
            <w:tcW w:w="73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120" w:hRule="exact"/>
        </w:trPr>
        <w:tc>
          <w:tcPr>
            <w:tcW w:w="7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316" w:lineRule="auto"/>
              <w:ind w:left="183" w:right="92" w:hanging="92"/>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7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316" w:lineRule="auto"/>
              <w:ind w:left="93" w:right="91"/>
              <w:jc w:val="left"/>
              <w:rPr>
                <w:rFonts w:ascii="宋体" w:hAnsi="宋体" w:cs="宋体" w:eastAsia="宋体" w:hint="default"/>
                <w:sz w:val="18"/>
                <w:szCs w:val="18"/>
              </w:rPr>
            </w:pPr>
            <w:r>
              <w:rPr>
                <w:rFonts w:ascii="宋体" w:hAnsi="宋体" w:cs="宋体" w:eastAsia="宋体" w:hint="default"/>
                <w:sz w:val="18"/>
                <w:szCs w:val="18"/>
              </w:rPr>
              <w:t>股权处 置价款</w:t>
            </w:r>
          </w:p>
        </w:tc>
        <w:tc>
          <w:tcPr>
            <w:tcW w:w="7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316" w:lineRule="auto"/>
              <w:ind w:left="93" w:right="90"/>
              <w:jc w:val="left"/>
              <w:rPr>
                <w:rFonts w:ascii="宋体" w:hAnsi="宋体" w:cs="宋体" w:eastAsia="宋体" w:hint="default"/>
                <w:sz w:val="18"/>
                <w:szCs w:val="18"/>
              </w:rPr>
            </w:pPr>
            <w:r>
              <w:rPr>
                <w:rFonts w:ascii="宋体" w:hAnsi="宋体" w:cs="宋体" w:eastAsia="宋体" w:hint="default"/>
                <w:sz w:val="18"/>
                <w:szCs w:val="18"/>
              </w:rPr>
              <w:t>股权处 置比例</w:t>
            </w:r>
          </w:p>
        </w:tc>
        <w:tc>
          <w:tcPr>
            <w:tcW w:w="7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316" w:lineRule="auto"/>
              <w:ind w:left="92" w:right="91"/>
              <w:jc w:val="left"/>
              <w:rPr>
                <w:rFonts w:ascii="宋体" w:hAnsi="宋体" w:cs="宋体" w:eastAsia="宋体" w:hint="default"/>
                <w:sz w:val="18"/>
                <w:szCs w:val="18"/>
              </w:rPr>
            </w:pPr>
            <w:r>
              <w:rPr>
                <w:rFonts w:ascii="宋体" w:hAnsi="宋体" w:cs="宋体" w:eastAsia="宋体" w:hint="default"/>
                <w:sz w:val="18"/>
                <w:szCs w:val="18"/>
              </w:rPr>
              <w:t>股权处 置方式</w:t>
            </w:r>
          </w:p>
        </w:tc>
        <w:tc>
          <w:tcPr>
            <w:tcW w:w="7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60"/>
              <w:ind w:left="91" w:right="91"/>
              <w:jc w:val="both"/>
              <w:rPr>
                <w:rFonts w:ascii="宋体" w:hAnsi="宋体" w:cs="宋体" w:eastAsia="宋体" w:hint="default"/>
                <w:sz w:val="18"/>
                <w:szCs w:val="18"/>
              </w:rPr>
            </w:pPr>
            <w:r>
              <w:rPr>
                <w:rFonts w:ascii="宋体" w:hAnsi="宋体" w:cs="宋体" w:eastAsia="宋体" w:hint="default"/>
                <w:sz w:val="18"/>
                <w:szCs w:val="18"/>
              </w:rPr>
              <w:t>丧失控 制权的 时点</w:t>
            </w:r>
          </w:p>
        </w:tc>
        <w:tc>
          <w:tcPr>
            <w:tcW w:w="7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316" w:lineRule="auto"/>
              <w:ind w:left="91" w:right="92"/>
              <w:jc w:val="both"/>
              <w:rPr>
                <w:rFonts w:ascii="宋体" w:hAnsi="宋体" w:cs="宋体" w:eastAsia="宋体" w:hint="default"/>
                <w:sz w:val="18"/>
                <w:szCs w:val="18"/>
              </w:rPr>
            </w:pPr>
            <w:r>
              <w:rPr>
                <w:rFonts w:ascii="宋体" w:hAnsi="宋体" w:cs="宋体" w:eastAsia="宋体" w:hint="default"/>
                <w:sz w:val="18"/>
                <w:szCs w:val="18"/>
              </w:rPr>
              <w:t>丧失控 制权时 点的确 定依据</w:t>
            </w:r>
          </w:p>
        </w:tc>
        <w:tc>
          <w:tcPr>
            <w:tcW w:w="7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10"/>
              <w:ind w:left="92" w:right="90"/>
              <w:jc w:val="both"/>
              <w:rPr>
                <w:rFonts w:ascii="宋体" w:hAnsi="宋体" w:cs="宋体" w:eastAsia="宋体" w:hint="default"/>
                <w:sz w:val="18"/>
                <w:szCs w:val="18"/>
              </w:rPr>
            </w:pPr>
            <w:r>
              <w:rPr>
                <w:rFonts w:ascii="宋体" w:hAnsi="宋体" w:cs="宋体" w:eastAsia="宋体" w:hint="default"/>
                <w:sz w:val="18"/>
                <w:szCs w:val="18"/>
              </w:rPr>
              <w:t>款与处 置投资 对应的 合并财 务报表 层面享 有该子 公司净 资产份 额的差</w:t>
            </w:r>
          </w:p>
        </w:tc>
        <w:tc>
          <w:tcPr>
            <w:tcW w:w="7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316" w:lineRule="auto"/>
              <w:ind w:left="92" w:right="91"/>
              <w:jc w:val="both"/>
              <w:rPr>
                <w:rFonts w:ascii="宋体" w:hAnsi="宋体" w:cs="宋体" w:eastAsia="宋体" w:hint="default"/>
                <w:sz w:val="18"/>
                <w:szCs w:val="18"/>
              </w:rPr>
            </w:pPr>
            <w:r>
              <w:rPr>
                <w:rFonts w:ascii="宋体" w:hAnsi="宋体" w:cs="宋体" w:eastAsia="宋体" w:hint="default"/>
                <w:sz w:val="18"/>
                <w:szCs w:val="18"/>
              </w:rPr>
              <w:t>丧失控 制权之 日剩余 股权的 比例</w:t>
            </w:r>
          </w:p>
        </w:tc>
        <w:tc>
          <w:tcPr>
            <w:tcW w:w="73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316" w:lineRule="auto"/>
              <w:ind w:left="94" w:right="91"/>
              <w:jc w:val="center"/>
              <w:rPr>
                <w:rFonts w:ascii="宋体" w:hAnsi="宋体" w:cs="宋体" w:eastAsia="宋体" w:hint="default"/>
                <w:sz w:val="18"/>
                <w:szCs w:val="18"/>
              </w:rPr>
            </w:pPr>
            <w:r>
              <w:rPr>
                <w:rFonts w:ascii="宋体" w:hAnsi="宋体" w:cs="宋体" w:eastAsia="宋体" w:hint="default"/>
                <w:sz w:val="18"/>
                <w:szCs w:val="18"/>
              </w:rPr>
              <w:t>丧失控 制权之 日剩余 股权的 账面价 值</w:t>
            </w:r>
          </w:p>
        </w:tc>
        <w:tc>
          <w:tcPr>
            <w:tcW w:w="7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316" w:lineRule="auto"/>
              <w:ind w:left="93" w:right="90"/>
              <w:jc w:val="center"/>
              <w:rPr>
                <w:rFonts w:ascii="宋体" w:hAnsi="宋体" w:cs="宋体" w:eastAsia="宋体" w:hint="default"/>
                <w:sz w:val="18"/>
                <w:szCs w:val="18"/>
              </w:rPr>
            </w:pPr>
            <w:r>
              <w:rPr>
                <w:rFonts w:ascii="宋体" w:hAnsi="宋体" w:cs="宋体" w:eastAsia="宋体" w:hint="default"/>
                <w:sz w:val="18"/>
                <w:szCs w:val="18"/>
              </w:rPr>
              <w:t>丧失控 制权之 日剩余 股权的 公允价 值</w:t>
            </w:r>
          </w:p>
        </w:tc>
        <w:tc>
          <w:tcPr>
            <w:tcW w:w="7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92" w:right="92"/>
              <w:jc w:val="center"/>
              <w:rPr>
                <w:rFonts w:ascii="宋体" w:hAnsi="宋体" w:cs="宋体" w:eastAsia="宋体" w:hint="default"/>
                <w:sz w:val="18"/>
                <w:szCs w:val="18"/>
              </w:rPr>
            </w:pPr>
            <w:r>
              <w:rPr>
                <w:rFonts w:ascii="宋体" w:hAnsi="宋体" w:cs="宋体" w:eastAsia="宋体" w:hint="default"/>
                <w:sz w:val="18"/>
                <w:szCs w:val="18"/>
              </w:rPr>
              <w:t>按照公 允价值 重新计 量剩余 股权产 生的利 得或损 失</w:t>
            </w:r>
          </w:p>
        </w:tc>
        <w:tc>
          <w:tcPr>
            <w:tcW w:w="7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93" w:right="91"/>
              <w:jc w:val="center"/>
              <w:rPr>
                <w:rFonts w:ascii="宋体" w:hAnsi="宋体" w:cs="宋体" w:eastAsia="宋体" w:hint="default"/>
                <w:sz w:val="18"/>
                <w:szCs w:val="18"/>
              </w:rPr>
            </w:pPr>
            <w:r>
              <w:rPr>
                <w:rFonts w:ascii="宋体" w:hAnsi="宋体" w:cs="宋体" w:eastAsia="宋体" w:hint="default"/>
                <w:sz w:val="18"/>
                <w:szCs w:val="18"/>
              </w:rPr>
              <w:t>丧失控 制权之 日剩余 股权公 允价值 的确定 方法及 主要假 设</w:t>
            </w:r>
          </w:p>
        </w:tc>
        <w:tc>
          <w:tcPr>
            <w:tcW w:w="7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93" w:right="90"/>
              <w:jc w:val="both"/>
              <w:rPr>
                <w:rFonts w:ascii="宋体" w:hAnsi="宋体" w:cs="宋体" w:eastAsia="宋体" w:hint="default"/>
                <w:sz w:val="18"/>
                <w:szCs w:val="18"/>
              </w:rPr>
            </w:pPr>
            <w:r>
              <w:rPr>
                <w:rFonts w:ascii="宋体" w:hAnsi="宋体" w:cs="宋体" w:eastAsia="宋体" w:hint="default"/>
                <w:sz w:val="18"/>
                <w:szCs w:val="18"/>
              </w:rPr>
              <w:t>与原子 公司股 权投资 相关的 其他综 合收益 转入投 资损益 的金额</w:t>
            </w:r>
          </w:p>
        </w:tc>
      </w:tr>
      <w:tr>
        <w:trPr>
          <w:trHeight w:val="356" w:hRule="exact"/>
        </w:trPr>
        <w:tc>
          <w:tcPr>
            <w:tcW w:w="736" w:type="dxa"/>
            <w:tcBorders>
              <w:top w:val="nil" w:sz="6" w:space="0" w:color="auto"/>
              <w:left w:val="single" w:sz="4" w:space="0" w:color="000000"/>
              <w:bottom w:val="single" w:sz="4" w:space="0" w:color="000000"/>
              <w:right w:val="single" w:sz="4" w:space="0" w:color="000000"/>
            </w:tcBorders>
            <w:shd w:val="clear" w:color="auto" w:fill="D2D2D2"/>
          </w:tcPr>
          <w:p>
            <w:pPr/>
          </w:p>
        </w:tc>
        <w:tc>
          <w:tcPr>
            <w:tcW w:w="736" w:type="dxa"/>
            <w:tcBorders>
              <w:top w:val="nil" w:sz="6" w:space="0" w:color="auto"/>
              <w:left w:val="single" w:sz="4" w:space="0" w:color="000000"/>
              <w:bottom w:val="single" w:sz="4" w:space="0" w:color="000000"/>
              <w:right w:val="single" w:sz="4" w:space="0" w:color="000000"/>
            </w:tcBorders>
            <w:shd w:val="clear" w:color="auto" w:fill="D2D2D2"/>
          </w:tcPr>
          <w:p>
            <w:pPr/>
          </w:p>
        </w:tc>
        <w:tc>
          <w:tcPr>
            <w:tcW w:w="736" w:type="dxa"/>
            <w:tcBorders>
              <w:top w:val="nil" w:sz="6" w:space="0" w:color="auto"/>
              <w:left w:val="single" w:sz="4" w:space="0" w:color="000000"/>
              <w:bottom w:val="single" w:sz="4" w:space="0" w:color="000000"/>
              <w:right w:val="single" w:sz="4" w:space="0" w:color="000000"/>
            </w:tcBorders>
            <w:shd w:val="clear" w:color="auto" w:fill="D2D2D2"/>
          </w:tcPr>
          <w:p>
            <w:pPr/>
          </w:p>
        </w:tc>
        <w:tc>
          <w:tcPr>
            <w:tcW w:w="735" w:type="dxa"/>
            <w:tcBorders>
              <w:top w:val="nil" w:sz="6" w:space="0" w:color="auto"/>
              <w:left w:val="single" w:sz="4" w:space="0" w:color="000000"/>
              <w:bottom w:val="single" w:sz="4" w:space="0" w:color="000000"/>
              <w:right w:val="single" w:sz="4" w:space="0" w:color="000000"/>
            </w:tcBorders>
            <w:shd w:val="clear" w:color="auto" w:fill="D2D2D2"/>
          </w:tcPr>
          <w:p>
            <w:pPr/>
          </w:p>
        </w:tc>
        <w:tc>
          <w:tcPr>
            <w:tcW w:w="735" w:type="dxa"/>
            <w:tcBorders>
              <w:top w:val="nil" w:sz="6" w:space="0" w:color="auto"/>
              <w:left w:val="single" w:sz="4" w:space="0" w:color="000000"/>
              <w:bottom w:val="single" w:sz="4" w:space="0" w:color="000000"/>
              <w:right w:val="single" w:sz="4" w:space="0" w:color="000000"/>
            </w:tcBorders>
            <w:shd w:val="clear" w:color="auto" w:fill="D2D2D2"/>
          </w:tcPr>
          <w:p>
            <w:pPr/>
          </w:p>
        </w:tc>
        <w:tc>
          <w:tcPr>
            <w:tcW w:w="735" w:type="dxa"/>
            <w:tcBorders>
              <w:top w:val="nil" w:sz="6" w:space="0" w:color="auto"/>
              <w:left w:val="single" w:sz="4" w:space="0" w:color="000000"/>
              <w:bottom w:val="single" w:sz="4" w:space="0" w:color="000000"/>
              <w:right w:val="single" w:sz="4" w:space="0" w:color="000000"/>
            </w:tcBorders>
            <w:shd w:val="clear" w:color="auto" w:fill="D2D2D2"/>
          </w:tcPr>
          <w:p>
            <w:pPr/>
          </w:p>
        </w:tc>
        <w:tc>
          <w:tcPr>
            <w:tcW w:w="735"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额</w:t>
            </w:r>
          </w:p>
        </w:tc>
        <w:tc>
          <w:tcPr>
            <w:tcW w:w="735" w:type="dxa"/>
            <w:tcBorders>
              <w:top w:val="nil" w:sz="6" w:space="0" w:color="auto"/>
              <w:left w:val="single" w:sz="4" w:space="0" w:color="000000"/>
              <w:bottom w:val="single" w:sz="4" w:space="0" w:color="000000"/>
              <w:right w:val="single" w:sz="4" w:space="0" w:color="000000"/>
            </w:tcBorders>
            <w:shd w:val="clear" w:color="auto" w:fill="D2D2D2"/>
          </w:tcPr>
          <w:p>
            <w:pPr/>
          </w:p>
        </w:tc>
        <w:tc>
          <w:tcPr>
            <w:tcW w:w="737" w:type="dxa"/>
            <w:tcBorders>
              <w:top w:val="nil" w:sz="6" w:space="0" w:color="auto"/>
              <w:left w:val="single" w:sz="4" w:space="0" w:color="000000"/>
              <w:bottom w:val="single" w:sz="4" w:space="0" w:color="000000"/>
              <w:right w:val="single" w:sz="4" w:space="0" w:color="000000"/>
            </w:tcBorders>
            <w:shd w:val="clear" w:color="auto" w:fill="D2D2D2"/>
          </w:tcPr>
          <w:p>
            <w:pPr/>
          </w:p>
        </w:tc>
        <w:tc>
          <w:tcPr>
            <w:tcW w:w="736" w:type="dxa"/>
            <w:tcBorders>
              <w:top w:val="nil" w:sz="6" w:space="0" w:color="auto"/>
              <w:left w:val="single" w:sz="4" w:space="0" w:color="000000"/>
              <w:bottom w:val="single" w:sz="4" w:space="0" w:color="000000"/>
              <w:right w:val="single" w:sz="4" w:space="0" w:color="000000"/>
            </w:tcBorders>
            <w:shd w:val="clear" w:color="auto" w:fill="D2D2D2"/>
          </w:tcPr>
          <w:p>
            <w:pPr/>
          </w:p>
        </w:tc>
        <w:tc>
          <w:tcPr>
            <w:tcW w:w="736" w:type="dxa"/>
            <w:tcBorders>
              <w:top w:val="nil" w:sz="6" w:space="0" w:color="auto"/>
              <w:left w:val="single" w:sz="4" w:space="0" w:color="000000"/>
              <w:bottom w:val="single" w:sz="4" w:space="0" w:color="000000"/>
              <w:right w:val="single" w:sz="4" w:space="0" w:color="000000"/>
            </w:tcBorders>
            <w:shd w:val="clear" w:color="auto" w:fill="D2D2D2"/>
          </w:tcPr>
          <w:p>
            <w:pPr/>
          </w:p>
        </w:tc>
        <w:tc>
          <w:tcPr>
            <w:tcW w:w="736" w:type="dxa"/>
            <w:tcBorders>
              <w:top w:val="nil" w:sz="6" w:space="0" w:color="auto"/>
              <w:left w:val="single" w:sz="4" w:space="0" w:color="000000"/>
              <w:bottom w:val="single" w:sz="4" w:space="0" w:color="000000"/>
              <w:right w:val="single" w:sz="4" w:space="0" w:color="000000"/>
            </w:tcBorders>
            <w:shd w:val="clear" w:color="auto" w:fill="D2D2D2"/>
          </w:tcPr>
          <w:p>
            <w:pPr/>
          </w:p>
        </w:tc>
        <w:tc>
          <w:tcPr>
            <w:tcW w:w="73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57" w:hRule="exact"/>
        </w:trPr>
        <w:tc>
          <w:tcPr>
            <w:tcW w:w="7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锡林郭</w:t>
            </w: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5" w:type="dxa"/>
            <w:vMerge w:val="restart"/>
            <w:tcBorders>
              <w:top w:val="single" w:sz="4" w:space="0" w:color="000000"/>
              <w:left w:val="single" w:sz="4" w:space="0" w:color="000000"/>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r>
      <w:tr>
        <w:trPr>
          <w:trHeight w:val="1248" w:hRule="exact"/>
        </w:trPr>
        <w:tc>
          <w:tcPr>
            <w:tcW w:w="73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61"/>
              <w:jc w:val="both"/>
              <w:rPr>
                <w:rFonts w:ascii="宋体" w:hAnsi="宋体" w:cs="宋体" w:eastAsia="宋体" w:hint="default"/>
                <w:sz w:val="18"/>
                <w:szCs w:val="18"/>
              </w:rPr>
            </w:pPr>
            <w:r>
              <w:rPr>
                <w:rFonts w:ascii="宋体" w:hAnsi="宋体" w:cs="宋体" w:eastAsia="宋体" w:hint="default"/>
                <w:sz w:val="18"/>
                <w:szCs w:val="18"/>
              </w:rPr>
              <w:t>勒盟安 逸物业 服务有 限责任</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pacing w:val="-1"/>
                <w:sz w:val="18"/>
              </w:rPr>
              <w:t>574,000.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49" w:right="0"/>
              <w:jc w:val="left"/>
              <w:rPr>
                <w:rFonts w:ascii="Times New Roman" w:hAnsi="Times New Roman" w:cs="Times New Roman" w:eastAsia="Times New Roman" w:hint="default"/>
                <w:sz w:val="18"/>
                <w:szCs w:val="18"/>
              </w:rPr>
            </w:pPr>
            <w:r>
              <w:rPr>
                <w:rFonts w:ascii="Times New Roman"/>
                <w:sz w:val="18"/>
              </w:rPr>
              <w:t>51.00%</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出售</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23" w:right="159"/>
              <w:jc w:val="left"/>
              <w:rPr>
                <w:rFonts w:ascii="宋体" w:hAnsi="宋体" w:cs="宋体" w:eastAsia="宋体" w:hint="default"/>
                <w:sz w:val="18"/>
                <w:szCs w:val="18"/>
              </w:rPr>
            </w:pPr>
            <w:r>
              <w:rPr>
                <w:rFonts w:ascii="宋体" w:hAnsi="宋体" w:cs="宋体" w:eastAsia="宋体" w:hint="default"/>
                <w:sz w:val="18"/>
                <w:szCs w:val="18"/>
              </w:rPr>
              <w:t>股权交 割</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pacing w:val="-1"/>
                <w:sz w:val="18"/>
              </w:rPr>
              <w:t>724,778.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35"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r>
      <w:tr>
        <w:trPr>
          <w:trHeight w:val="357" w:hRule="exact"/>
        </w:trPr>
        <w:tc>
          <w:tcPr>
            <w:tcW w:w="7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5" w:type="dxa"/>
            <w:vMerge/>
            <w:tcBorders>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9"/>
          <w:szCs w:val="19"/>
        </w:rPr>
      </w:pPr>
    </w:p>
    <w:p>
      <w:pPr>
        <w:pStyle w:val="Heading3"/>
        <w:spacing w:line="240" w:lineRule="auto"/>
        <w:ind w:right="1394"/>
        <w:jc w:val="left"/>
        <w:rPr>
          <w:b w:val="0"/>
          <w:bCs w:val="0"/>
        </w:rPr>
      </w:pPr>
      <w:bookmarkStart w:name="5、其他原因的合并范围变动" w:id="347"/>
      <w:bookmarkEnd w:id="347"/>
      <w:r>
        <w:rPr>
          <w:b w:val="0"/>
          <w:bCs w:val="0"/>
        </w:rPr>
      </w:r>
      <w:r>
        <w:rPr>
          <w:rFonts w:ascii="Times New Roman" w:hAnsi="Times New Roman" w:cs="Times New Roman" w:eastAsia="Times New Roman" w:hint="default"/>
        </w:rPr>
        <w:t>5</w:t>
      </w:r>
      <w:r>
        <w:rPr/>
        <w:t>、其他原因的合并范围变动</w:t>
      </w:r>
      <w:r>
        <w:rPr>
          <w:b w:val="0"/>
          <w:bCs w:val="0"/>
        </w:rPr>
      </w:r>
    </w:p>
    <w:p>
      <w:pPr>
        <w:spacing w:line="240" w:lineRule="auto" w:before="5"/>
        <w:rPr>
          <w:rFonts w:ascii="宋体" w:hAnsi="宋体" w:cs="宋体" w:eastAsia="宋体" w:hint="default"/>
          <w:b/>
          <w:bCs/>
          <w:sz w:val="32"/>
          <w:szCs w:val="32"/>
        </w:rPr>
      </w:pPr>
    </w:p>
    <w:p>
      <w:pPr>
        <w:pStyle w:val="BodyText"/>
        <w:spacing w:line="451" w:lineRule="auto"/>
        <w:ind w:right="1132" w:firstLine="420"/>
        <w:jc w:val="both"/>
      </w:pP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3</w:t>
      </w:r>
      <w:r>
        <w:rPr>
          <w:spacing w:val="-1"/>
        </w:rPr>
        <w:t>月，本公司下属公司宜昌市金牛押运护卫保安服务有限责任公司投资设立全资子公司宜昌金牛智慧职业技能培</w:t>
      </w:r>
      <w:r>
        <w:rPr/>
        <w:t> 训学校有限责任公司，新设公司注册资本</w:t>
      </w:r>
      <w:r>
        <w:rPr>
          <w:rFonts w:ascii="Times New Roman" w:hAnsi="Times New Roman" w:cs="Times New Roman" w:eastAsia="Times New Roman" w:hint="default"/>
        </w:rPr>
        <w:t>50</w:t>
      </w:r>
      <w:r>
        <w:rPr/>
        <w:t>万。宜昌金牛智慧职业技能培训学校有限责任公司于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20</w:t>
      </w:r>
      <w:r>
        <w:rPr/>
        <w:t>日取得宜昌市 工商局宜昌高新技术产业开发区分局核发的统一社会信用代码</w:t>
      </w:r>
      <w:r>
        <w:rPr>
          <w:rFonts w:ascii="Times New Roman" w:hAnsi="Times New Roman" w:cs="Times New Roman" w:eastAsia="Times New Roman" w:hint="default"/>
        </w:rPr>
        <w:t>91420500MA498CG190</w:t>
      </w:r>
      <w:r>
        <w:rPr/>
        <w:t>的营业执照。</w:t>
      </w:r>
    </w:p>
    <w:p>
      <w:pPr>
        <w:pStyle w:val="BodyText"/>
        <w:spacing w:line="451" w:lineRule="auto" w:before="84"/>
        <w:ind w:right="1132" w:firstLine="420"/>
        <w:jc w:val="both"/>
      </w:pP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5</w:t>
      </w:r>
      <w:r>
        <w:rPr>
          <w:spacing w:val="-1"/>
        </w:rPr>
        <w:t>月，本公司下属公司平顶山鹰翔保安押运有限公司投资设立全资子公司平顶山市鹰晟保安职业技能培训学校有</w:t>
      </w:r>
      <w:r>
        <w:rPr/>
        <w:t> </w:t>
      </w:r>
      <w:r>
        <w:rPr>
          <w:spacing w:val="-2"/>
        </w:rPr>
        <w:t>限责任公司，新设公司注册资本</w:t>
      </w:r>
      <w:r>
        <w:rPr>
          <w:rFonts w:ascii="Times New Roman" w:hAnsi="Times New Roman" w:cs="Times New Roman" w:eastAsia="Times New Roman" w:hint="default"/>
          <w:spacing w:val="-2"/>
        </w:rPr>
        <w:t>100</w:t>
      </w:r>
      <w:r>
        <w:rPr>
          <w:spacing w:val="-2"/>
        </w:rPr>
        <w:t>万。平顶山市鹰晟保安职业技能培训学校有限责任公司于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31</w:t>
      </w:r>
      <w:r>
        <w:rPr>
          <w:spacing w:val="-2"/>
        </w:rPr>
        <w:t>日取得平顶山市湛</w:t>
      </w:r>
      <w:r>
        <w:rPr>
          <w:spacing w:val="-59"/>
        </w:rPr>
        <w:t> </w:t>
      </w:r>
      <w:r>
        <w:rPr/>
        <w:t>河区市场监督管理局核发的统一社会信用代码</w:t>
      </w:r>
      <w:r>
        <w:rPr>
          <w:rFonts w:ascii="Times New Roman" w:hAnsi="Times New Roman" w:cs="Times New Roman" w:eastAsia="Times New Roman" w:hint="default"/>
        </w:rPr>
        <w:t>91410411MA46W2E33K</w:t>
      </w:r>
      <w:r>
        <w:rPr/>
        <w:t>的营业执照。</w:t>
      </w:r>
    </w:p>
    <w:p>
      <w:pPr>
        <w:pStyle w:val="BodyText"/>
        <w:spacing w:line="451" w:lineRule="auto" w:before="82"/>
        <w:ind w:right="1132" w:firstLine="420"/>
        <w:jc w:val="both"/>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月，本公司下属子公司</w:t>
      </w:r>
      <w:r>
        <w:rPr>
          <w:rFonts w:ascii="Times New Roman" w:hAnsi="Times New Roman" w:cs="Times New Roman" w:eastAsia="Times New Roman" w:hint="default"/>
        </w:rPr>
        <w:t>GRG Banking Equipment(HK) Co.Limited</w:t>
      </w:r>
      <w:r>
        <w:rPr/>
        <w:t>设立全资子公司</w:t>
      </w:r>
      <w:r>
        <w:rPr>
          <w:rFonts w:ascii="Times New Roman" w:hAnsi="Times New Roman" w:cs="Times New Roman" w:eastAsia="Times New Roman" w:hint="default"/>
        </w:rPr>
        <w:t>Denali System</w:t>
      </w:r>
      <w:r>
        <w:rPr>
          <w:rFonts w:ascii="Times New Roman" w:hAnsi="Times New Roman" w:cs="Times New Roman" w:eastAsia="Times New Roman" w:hint="default"/>
          <w:spacing w:val="-32"/>
        </w:rPr>
        <w:t> </w:t>
      </w:r>
      <w:r>
        <w:rPr>
          <w:rFonts w:ascii="Times New Roman" w:hAnsi="Times New Roman" w:cs="Times New Roman" w:eastAsia="Times New Roman" w:hint="default"/>
          <w:spacing w:val="-3"/>
        </w:rPr>
        <w:t>CO.,Ltd.</w:t>
      </w:r>
      <w:r>
        <w:rPr>
          <w:spacing w:val="-3"/>
        </w:rPr>
        <w:t>，新设公</w:t>
      </w:r>
      <w:r>
        <w:rPr/>
        <w:t> 司注册资本</w:t>
      </w:r>
      <w:r>
        <w:rPr>
          <w:rFonts w:ascii="Times New Roman" w:hAnsi="Times New Roman" w:cs="Times New Roman" w:eastAsia="Times New Roman" w:hint="default"/>
        </w:rPr>
        <w:t>600</w:t>
      </w:r>
      <w:r>
        <w:rPr/>
        <w:t>万美元。</w:t>
      </w:r>
    </w:p>
    <w:p>
      <w:pPr>
        <w:pStyle w:val="BodyText"/>
        <w:spacing w:line="489" w:lineRule="auto" w:before="84"/>
        <w:ind w:left="532" w:right="2445"/>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月，本公司下属子公司</w:t>
      </w:r>
      <w:r>
        <w:rPr>
          <w:rFonts w:ascii="Times New Roman" w:hAnsi="Times New Roman" w:cs="Times New Roman" w:eastAsia="Times New Roman" w:hint="default"/>
        </w:rPr>
        <w:t>Denali System CO.,Ltd</w:t>
      </w:r>
      <w:r>
        <w:rPr/>
        <w:t>设立全资子公司</w:t>
      </w:r>
      <w:r>
        <w:rPr>
          <w:rFonts w:ascii="Times New Roman" w:hAnsi="Times New Roman" w:cs="Times New Roman" w:eastAsia="Times New Roman" w:hint="default"/>
        </w:rPr>
        <w:t>Denali System</w:t>
      </w:r>
      <w:r>
        <w:rPr>
          <w:rFonts w:ascii="Times New Roman" w:hAnsi="Times New Roman" w:cs="Times New Roman" w:eastAsia="Times New Roman" w:hint="default"/>
          <w:spacing w:val="-3"/>
        </w:rPr>
        <w:t> </w:t>
      </w:r>
      <w:r>
        <w:rPr>
          <w:rFonts w:ascii="Times New Roman" w:hAnsi="Times New Roman" w:cs="Times New Roman" w:eastAsia="Times New Roman" w:hint="default"/>
        </w:rPr>
        <w:t>Inc.</w:t>
      </w:r>
      <w:r>
        <w:rPr/>
        <w:t>。 </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7</w:t>
      </w:r>
      <w:r>
        <w:rPr/>
        <w:t>月，本公司下属子公司</w:t>
      </w:r>
      <w:r>
        <w:rPr>
          <w:rFonts w:ascii="Times New Roman" w:hAnsi="Times New Roman" w:cs="Times New Roman" w:eastAsia="Times New Roman" w:hint="default"/>
        </w:rPr>
        <w:t>Denali System</w:t>
      </w:r>
      <w:r>
        <w:rPr>
          <w:rFonts w:ascii="Times New Roman" w:hAnsi="Times New Roman" w:cs="Times New Roman" w:eastAsia="Times New Roman" w:hint="default"/>
          <w:spacing w:val="-11"/>
        </w:rPr>
        <w:t> </w:t>
      </w:r>
      <w:r>
        <w:rPr>
          <w:rFonts w:ascii="Times New Roman" w:hAnsi="Times New Roman" w:cs="Times New Roman" w:eastAsia="Times New Roman" w:hint="default"/>
        </w:rPr>
        <w:t>CO.,Ltd</w:t>
      </w:r>
      <w:r>
        <w:rPr/>
        <w:t>设立全资子公司德纳里（广州）技术有限公司。</w:t>
      </w:r>
    </w:p>
    <w:p>
      <w:pPr>
        <w:pStyle w:val="BodyText"/>
        <w:spacing w:line="489" w:lineRule="auto" w:before="50"/>
        <w:ind w:left="532" w:right="3314"/>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7</w:t>
      </w:r>
      <w:r>
        <w:rPr/>
        <w:t>日，本公司下属公司北京中科江南政易信息技术有限公司完成工商注销登记。 </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20</w:t>
      </w:r>
      <w:r>
        <w:rPr/>
        <w:t>日，本公司下属公司</w:t>
      </w:r>
      <w:r>
        <w:rPr>
          <w:rFonts w:ascii="Times New Roman" w:hAnsi="Times New Roman" w:cs="Times New Roman" w:eastAsia="Times New Roman" w:hint="default"/>
        </w:rPr>
        <w:t>GRG Banking Equipment (HK)</w:t>
      </w:r>
      <w:r>
        <w:rPr>
          <w:rFonts w:ascii="Times New Roman" w:hAnsi="Times New Roman" w:cs="Times New Roman" w:eastAsia="Times New Roman" w:hint="default"/>
          <w:spacing w:val="-4"/>
        </w:rPr>
        <w:t> </w:t>
      </w:r>
      <w:r>
        <w:rPr>
          <w:rFonts w:ascii="Times New Roman" w:hAnsi="Times New Roman" w:cs="Times New Roman" w:eastAsia="Times New Roman" w:hint="default"/>
        </w:rPr>
        <w:t>Europe</w:t>
      </w:r>
      <w:r>
        <w:rPr/>
        <w:t>关闭注销。 </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20</w:t>
      </w:r>
      <w:r>
        <w:rPr/>
        <w:t>日，本公司下属公司广东榕通科技服务有限公司完成工商注销登记。</w:t>
      </w:r>
    </w:p>
    <w:p>
      <w:pPr>
        <w:spacing w:after="0" w:line="489" w:lineRule="auto"/>
        <w:jc w:val="left"/>
        <w:sectPr>
          <w:pgSz w:w="11910" w:h="16840"/>
          <w:pgMar w:header="878" w:footer="978" w:top="1100" w:bottom="1160" w:left="1020" w:right="0"/>
        </w:sectPr>
      </w:pPr>
    </w:p>
    <w:p>
      <w:pPr>
        <w:spacing w:line="240" w:lineRule="auto" w:before="12"/>
        <w:rPr>
          <w:rFonts w:ascii="宋体" w:hAnsi="宋体" w:cs="宋体" w:eastAsia="宋体" w:hint="default"/>
          <w:sz w:val="27"/>
          <w:szCs w:val="27"/>
        </w:rPr>
      </w:pPr>
    </w:p>
    <w:p>
      <w:pPr>
        <w:pStyle w:val="BodyText"/>
        <w:spacing w:line="240" w:lineRule="auto" w:before="44"/>
        <w:ind w:left="532" w:right="1394"/>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17</w:t>
      </w:r>
      <w:r>
        <w:rPr/>
        <w:t>日，本公司下属公司石家庄翰海信息技术有限公司完成工商注销登记。</w:t>
      </w:r>
    </w:p>
    <w:p>
      <w:pPr>
        <w:spacing w:line="240" w:lineRule="auto" w:before="0"/>
        <w:rPr>
          <w:rFonts w:ascii="宋体" w:hAnsi="宋体" w:cs="宋体" w:eastAsia="宋体" w:hint="default"/>
          <w:sz w:val="18"/>
          <w:szCs w:val="18"/>
        </w:rPr>
      </w:pPr>
    </w:p>
    <w:p>
      <w:pPr>
        <w:pStyle w:val="Heading2"/>
        <w:spacing w:line="240" w:lineRule="auto" w:before="158"/>
        <w:ind w:right="1394"/>
        <w:jc w:val="left"/>
        <w:rPr>
          <w:b w:val="0"/>
          <w:bCs w:val="0"/>
        </w:rPr>
      </w:pPr>
      <w:bookmarkStart w:name="九、在其他主体中的权益" w:id="348"/>
      <w:bookmarkEnd w:id="348"/>
      <w:r>
        <w:rPr>
          <w:b w:val="0"/>
          <w:bCs w:val="0"/>
        </w:rPr>
      </w:r>
      <w:r>
        <w:rPr/>
        <w:t>九、在其他主体中的权益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before="0"/>
        <w:ind w:right="1394"/>
        <w:jc w:val="left"/>
        <w:rPr>
          <w:b w:val="0"/>
          <w:bCs w:val="0"/>
        </w:rPr>
      </w:pPr>
      <w:bookmarkStart w:name="1、在子公司中的权益" w:id="349"/>
      <w:bookmarkEnd w:id="349"/>
      <w:r>
        <w:rPr>
          <w:b w:val="0"/>
          <w:bCs w:val="0"/>
        </w:rPr>
      </w:r>
      <w:r>
        <w:rPr>
          <w:rFonts w:ascii="Times New Roman" w:hAnsi="Times New Roman" w:cs="Times New Roman" w:eastAsia="Times New Roman" w:hint="default"/>
        </w:rPr>
        <w:t>1</w:t>
      </w:r>
      <w:r>
        <w:rPr/>
        <w:t>、在子公司中的权益</w:t>
      </w:r>
      <w:r>
        <w:rPr>
          <w:b w:val="0"/>
          <w:bCs w:val="0"/>
        </w:rPr>
      </w:r>
    </w:p>
    <w:p>
      <w:pPr>
        <w:spacing w:line="240" w:lineRule="auto" w:before="7"/>
        <w:rPr>
          <w:rFonts w:ascii="宋体" w:hAnsi="宋体" w:cs="宋体" w:eastAsia="宋体" w:hint="default"/>
          <w:b/>
          <w:bCs/>
          <w:sz w:val="24"/>
          <w:szCs w:val="24"/>
        </w:rPr>
      </w:pPr>
    </w:p>
    <w:p>
      <w:pPr>
        <w:pStyle w:val="Heading3"/>
        <w:spacing w:line="240" w:lineRule="auto" w:before="0"/>
        <w:ind w:right="1394"/>
        <w:jc w:val="left"/>
        <w:rPr>
          <w:b w:val="0"/>
          <w:bCs w:val="0"/>
        </w:rPr>
      </w:pPr>
      <w:bookmarkStart w:name="（1）企业集团的构成" w:id="350"/>
      <w:bookmarkEnd w:id="350"/>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2694"/>
        <w:gridCol w:w="850"/>
        <w:gridCol w:w="992"/>
        <w:gridCol w:w="1276"/>
        <w:gridCol w:w="992"/>
        <w:gridCol w:w="993"/>
        <w:gridCol w:w="1774"/>
      </w:tblGrid>
      <w:tr>
        <w:trPr>
          <w:trHeight w:val="402" w:hRule="exact"/>
        </w:trPr>
        <w:tc>
          <w:tcPr>
            <w:tcW w:w="26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891"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331" w:right="58" w:hanging="272"/>
              <w:jc w:val="left"/>
              <w:rPr>
                <w:rFonts w:ascii="宋体" w:hAnsi="宋体" w:cs="宋体" w:eastAsia="宋体" w:hint="default"/>
                <w:sz w:val="18"/>
                <w:szCs w:val="18"/>
              </w:rPr>
            </w:pPr>
            <w:r>
              <w:rPr>
                <w:rFonts w:ascii="宋体" w:hAnsi="宋体" w:cs="宋体" w:eastAsia="宋体" w:hint="default"/>
                <w:sz w:val="18"/>
                <w:szCs w:val="18"/>
              </w:rPr>
              <w:t>主要经营 地</w:t>
            </w:r>
          </w:p>
        </w:tc>
        <w:tc>
          <w:tcPr>
            <w:tcW w:w="9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2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27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98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25"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7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2" w:hRule="exact"/>
        </w:trPr>
        <w:tc>
          <w:tcPr>
            <w:tcW w:w="2694" w:type="dxa"/>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992" w:type="dxa"/>
            <w:vMerge/>
            <w:tcBorders>
              <w:left w:val="single" w:sz="4" w:space="0" w:color="000000"/>
              <w:bottom w:val="single" w:sz="4" w:space="0" w:color="000000"/>
              <w:right w:val="single" w:sz="4" w:space="0" w:color="000000"/>
            </w:tcBorders>
            <w:shd w:val="clear" w:color="auto" w:fill="D2D2D2"/>
          </w:tcPr>
          <w:p>
            <w:pPr/>
          </w:p>
        </w:tc>
        <w:tc>
          <w:tcPr>
            <w:tcW w:w="1276" w:type="dxa"/>
            <w:vMerge/>
            <w:tcBorders>
              <w:left w:val="single" w:sz="4" w:space="0" w:color="000000"/>
              <w:bottom w:val="single" w:sz="4" w:space="0" w:color="000000"/>
              <w:right w:val="single" w:sz="4" w:space="0" w:color="000000"/>
            </w:tcBorders>
            <w:shd w:val="clear" w:color="auto" w:fill="D2D2D2"/>
          </w:tcPr>
          <w:p>
            <w:pP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1" w:right="0"/>
              <w:jc w:val="left"/>
              <w:rPr>
                <w:rFonts w:ascii="宋体" w:hAnsi="宋体" w:cs="宋体" w:eastAsia="宋体" w:hint="default"/>
                <w:sz w:val="18"/>
                <w:szCs w:val="18"/>
              </w:rPr>
            </w:pPr>
            <w:r>
              <w:rPr>
                <w:rFonts w:ascii="宋体" w:hAnsi="宋体" w:cs="宋体" w:eastAsia="宋体" w:hint="default"/>
                <w:sz w:val="18"/>
                <w:szCs w:val="18"/>
              </w:rPr>
              <w:t>直接</w:t>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0" w:right="0"/>
              <w:jc w:val="left"/>
              <w:rPr>
                <w:rFonts w:ascii="宋体" w:hAnsi="宋体" w:cs="宋体" w:eastAsia="宋体" w:hint="default"/>
                <w:sz w:val="18"/>
                <w:szCs w:val="18"/>
              </w:rPr>
            </w:pPr>
            <w:r>
              <w:rPr>
                <w:rFonts w:ascii="宋体" w:hAnsi="宋体" w:cs="宋体" w:eastAsia="宋体" w:hint="default"/>
                <w:sz w:val="18"/>
                <w:szCs w:val="18"/>
              </w:rPr>
              <w:t>间接</w:t>
            </w:r>
          </w:p>
        </w:tc>
        <w:tc>
          <w:tcPr>
            <w:tcW w:w="177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广州支点创业投资有限公司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93"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广州广电汇通金融服务有限公司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93"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2" w:right="0"/>
              <w:jc w:val="left"/>
              <w:rPr>
                <w:rFonts w:ascii="Times New Roman" w:hAnsi="Times New Roman" w:cs="Times New Roman" w:eastAsia="Times New Roman" w:hint="default"/>
                <w:sz w:val="18"/>
                <w:szCs w:val="18"/>
              </w:rPr>
            </w:pPr>
            <w:r>
              <w:rPr>
                <w:rFonts w:ascii="Times New Roman"/>
                <w:sz w:val="18"/>
              </w:rPr>
              <w:t>GRG HT (HK)</w:t>
            </w:r>
            <w:r>
              <w:rPr>
                <w:rFonts w:ascii="Times New Roman"/>
                <w:spacing w:val="-10"/>
                <w:sz w:val="18"/>
              </w:rPr>
              <w:t> </w:t>
            </w:r>
            <w:r>
              <w:rPr>
                <w:rFonts w:ascii="Times New Roman"/>
                <w:sz w:val="18"/>
              </w:rPr>
              <w:t>Co.,Limited</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商业及服务业</w:t>
            </w:r>
          </w:p>
        </w:tc>
        <w:tc>
          <w:tcPr>
            <w:tcW w:w="992"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广州广电运通信息科技有限公司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93"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广州广电卓识智能科技有限公司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992"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66.70%</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广州中智融通金融科技有限公司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93"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广州市龙源环保科技有限公司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61"/>
              <w:jc w:val="left"/>
              <w:rPr>
                <w:rFonts w:ascii="宋体" w:hAnsi="宋体" w:cs="宋体" w:eastAsia="宋体" w:hint="default"/>
                <w:sz w:val="18"/>
                <w:szCs w:val="18"/>
              </w:rPr>
            </w:pPr>
            <w:r>
              <w:rPr>
                <w:rFonts w:ascii="宋体" w:hAnsi="宋体" w:cs="宋体" w:eastAsia="宋体" w:hint="default"/>
                <w:sz w:val="18"/>
                <w:szCs w:val="18"/>
              </w:rPr>
              <w:t>环保处理及房 地产开发</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60.10%</w:t>
            </w:r>
          </w:p>
        </w:tc>
        <w:tc>
          <w:tcPr>
            <w:tcW w:w="993"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非同一控制下合并</w:t>
            </w:r>
          </w:p>
        </w:tc>
      </w:tr>
      <w:tr>
        <w:trPr>
          <w:trHeight w:val="714"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赣州中联环保科技开发有限公司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赣州</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赣州</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161"/>
              <w:jc w:val="left"/>
              <w:rPr>
                <w:rFonts w:ascii="宋体" w:hAnsi="宋体" w:cs="宋体" w:eastAsia="宋体" w:hint="default"/>
                <w:sz w:val="18"/>
                <w:szCs w:val="18"/>
              </w:rPr>
            </w:pPr>
            <w:r>
              <w:rPr>
                <w:rFonts w:ascii="宋体" w:hAnsi="宋体" w:cs="宋体" w:eastAsia="宋体" w:hint="default"/>
                <w:sz w:val="18"/>
                <w:szCs w:val="18"/>
              </w:rPr>
              <w:t>环保处理及房 地产开发</w:t>
            </w:r>
          </w:p>
        </w:tc>
        <w:tc>
          <w:tcPr>
            <w:tcW w:w="992"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60.10%</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非同一控制下合并</w:t>
            </w:r>
          </w:p>
        </w:tc>
      </w:tr>
      <w:tr>
        <w:trPr>
          <w:trHeight w:val="714"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39"/>
              <w:jc w:val="left"/>
              <w:rPr>
                <w:rFonts w:ascii="宋体" w:hAnsi="宋体" w:cs="宋体" w:eastAsia="宋体" w:hint="default"/>
                <w:sz w:val="18"/>
                <w:szCs w:val="18"/>
              </w:rPr>
            </w:pPr>
            <w:r>
              <w:rPr>
                <w:rFonts w:ascii="宋体" w:hAnsi="宋体" w:cs="宋体" w:eastAsia="宋体" w:hint="default"/>
                <w:sz w:val="18"/>
                <w:szCs w:val="18"/>
              </w:rPr>
              <w:t>赣州中联电镀原料配送经营服务 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赣州</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赣州</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61"/>
              <w:jc w:val="left"/>
              <w:rPr>
                <w:rFonts w:ascii="宋体" w:hAnsi="宋体" w:cs="宋体" w:eastAsia="宋体" w:hint="default"/>
                <w:sz w:val="18"/>
                <w:szCs w:val="18"/>
              </w:rPr>
            </w:pPr>
            <w:r>
              <w:rPr>
                <w:rFonts w:ascii="宋体" w:hAnsi="宋体" w:cs="宋体" w:eastAsia="宋体" w:hint="default"/>
                <w:sz w:val="18"/>
                <w:szCs w:val="18"/>
              </w:rPr>
              <w:t>环保处理及房 地产开发</w:t>
            </w:r>
          </w:p>
        </w:tc>
        <w:tc>
          <w:tcPr>
            <w:tcW w:w="992"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60.10%</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非同一控制下合并</w:t>
            </w:r>
          </w:p>
        </w:tc>
      </w:tr>
      <w:tr>
        <w:trPr>
          <w:trHeight w:val="714"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139"/>
              <w:jc w:val="left"/>
              <w:rPr>
                <w:rFonts w:ascii="宋体" w:hAnsi="宋体" w:cs="宋体" w:eastAsia="宋体" w:hint="default"/>
                <w:sz w:val="18"/>
                <w:szCs w:val="18"/>
              </w:rPr>
            </w:pPr>
            <w:r>
              <w:rPr>
                <w:rFonts w:ascii="宋体" w:hAnsi="宋体" w:cs="宋体" w:eastAsia="宋体" w:hint="default"/>
                <w:sz w:val="18"/>
                <w:szCs w:val="18"/>
              </w:rPr>
              <w:t>赣州龙源环保产业经营管理有限 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赣州</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赣州</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161"/>
              <w:jc w:val="left"/>
              <w:rPr>
                <w:rFonts w:ascii="宋体" w:hAnsi="宋体" w:cs="宋体" w:eastAsia="宋体" w:hint="default"/>
                <w:sz w:val="18"/>
                <w:szCs w:val="18"/>
              </w:rPr>
            </w:pPr>
            <w:r>
              <w:rPr>
                <w:rFonts w:ascii="宋体" w:hAnsi="宋体" w:cs="宋体" w:eastAsia="宋体" w:hint="default"/>
                <w:sz w:val="18"/>
                <w:szCs w:val="18"/>
              </w:rPr>
              <w:t>环保处理及房 地产开发</w:t>
            </w:r>
          </w:p>
        </w:tc>
        <w:tc>
          <w:tcPr>
            <w:tcW w:w="992"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60.10%</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非同一控制下合并</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广州穗通金融服务有限公司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70.00%</w:t>
            </w:r>
          </w:p>
        </w:tc>
        <w:tc>
          <w:tcPr>
            <w:tcW w:w="993"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139"/>
              <w:jc w:val="left"/>
              <w:rPr>
                <w:rFonts w:ascii="宋体" w:hAnsi="宋体" w:cs="宋体" w:eastAsia="宋体" w:hint="default"/>
                <w:sz w:val="18"/>
                <w:szCs w:val="18"/>
              </w:rPr>
            </w:pPr>
            <w:r>
              <w:rPr>
                <w:rFonts w:ascii="宋体" w:hAnsi="宋体" w:cs="宋体" w:eastAsia="宋体" w:hint="default"/>
                <w:sz w:val="18"/>
                <w:szCs w:val="18"/>
              </w:rPr>
              <w:t>广州广电银通金融电子科技有限 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93"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39"/>
              <w:jc w:val="left"/>
              <w:rPr>
                <w:rFonts w:ascii="宋体" w:hAnsi="宋体" w:cs="宋体" w:eastAsia="宋体" w:hint="default"/>
                <w:sz w:val="18"/>
                <w:szCs w:val="18"/>
              </w:rPr>
            </w:pPr>
            <w:r>
              <w:rPr>
                <w:rFonts w:ascii="宋体" w:hAnsi="宋体" w:cs="宋体" w:eastAsia="宋体" w:hint="default"/>
                <w:sz w:val="18"/>
                <w:szCs w:val="18"/>
              </w:rPr>
              <w:t>深圳广电银通金融电子科技有限 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992"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非同一控制下合并</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深圳鹏通金融服务有限公司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992"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51.00%</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石家庄市银通金融服务有限公司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石家庄</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石家庄</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992"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51.00%</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139"/>
              <w:jc w:val="left"/>
              <w:rPr>
                <w:rFonts w:ascii="宋体" w:hAnsi="宋体" w:cs="宋体" w:eastAsia="宋体" w:hint="default"/>
                <w:sz w:val="18"/>
                <w:szCs w:val="18"/>
              </w:rPr>
            </w:pPr>
            <w:r>
              <w:rPr>
                <w:rFonts w:ascii="宋体" w:hAnsi="宋体" w:cs="宋体" w:eastAsia="宋体" w:hint="default"/>
                <w:sz w:val="18"/>
                <w:szCs w:val="18"/>
              </w:rPr>
              <w:t>上海欣辰通金融电子科技有限公 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992"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宜昌宜通金融服务有限公司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宜昌</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宜昌</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992"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76.00%</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南宁盈通金融电子科技有限公司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南宁</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南宁</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992"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51.00%</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辽宁辽通金融电子科技有限公司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辽宁沈阳</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辽宁沈阳</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992"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0"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河南商通金融服务外包有限公司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河南郑州</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河南郑州</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992"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80.00%</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878" w:footer="978" w:top="1100" w:bottom="1160" w:left="102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09" w:type="dxa"/>
        <w:tblLayout w:type="fixed"/>
        <w:tblCellMar>
          <w:top w:w="0" w:type="dxa"/>
          <w:left w:w="0" w:type="dxa"/>
          <w:bottom w:w="0" w:type="dxa"/>
          <w:right w:w="0" w:type="dxa"/>
        </w:tblCellMar>
        <w:tblLook w:val="01E0"/>
      </w:tblPr>
      <w:tblGrid>
        <w:gridCol w:w="2694"/>
        <w:gridCol w:w="850"/>
        <w:gridCol w:w="992"/>
        <w:gridCol w:w="1276"/>
        <w:gridCol w:w="992"/>
        <w:gridCol w:w="993"/>
        <w:gridCol w:w="1774"/>
      </w:tblGrid>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河北晨通金融电子科技有限公司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河北邢台</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河北邢台</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992"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51.00%</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南阳宛通金融电子科技有限公司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南阳</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南阳</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992"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51.00%</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山西尚通金融外包服务有限公司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山西太原</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山西太原</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992"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51.00%</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广州广电银通安保投资有限公司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商务服务业</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93"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39"/>
              <w:jc w:val="left"/>
              <w:rPr>
                <w:rFonts w:ascii="宋体" w:hAnsi="宋体" w:cs="宋体" w:eastAsia="宋体" w:hint="default"/>
                <w:sz w:val="18"/>
                <w:szCs w:val="18"/>
              </w:rPr>
            </w:pPr>
            <w:r>
              <w:rPr>
                <w:rFonts w:ascii="宋体" w:hAnsi="宋体" w:cs="宋体" w:eastAsia="宋体" w:hint="default"/>
                <w:sz w:val="18"/>
                <w:szCs w:val="18"/>
              </w:rPr>
              <w:t>内蒙古广电银通安保投资有限公 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94"/>
              <w:jc w:val="left"/>
              <w:rPr>
                <w:rFonts w:ascii="宋体" w:hAnsi="宋体" w:cs="宋体" w:eastAsia="宋体" w:hint="default"/>
                <w:sz w:val="18"/>
                <w:szCs w:val="18"/>
              </w:rPr>
            </w:pPr>
            <w:r>
              <w:rPr>
                <w:rFonts w:ascii="宋体" w:hAnsi="宋体" w:cs="宋体" w:eastAsia="宋体" w:hint="default"/>
                <w:sz w:val="18"/>
                <w:szCs w:val="18"/>
              </w:rPr>
              <w:t>内蒙古呼 和浩特</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56"/>
              <w:jc w:val="left"/>
              <w:rPr>
                <w:rFonts w:ascii="宋体" w:hAnsi="宋体" w:cs="宋体" w:eastAsia="宋体" w:hint="default"/>
                <w:sz w:val="18"/>
                <w:szCs w:val="18"/>
              </w:rPr>
            </w:pPr>
            <w:r>
              <w:rPr>
                <w:rFonts w:ascii="宋体" w:hAnsi="宋体" w:cs="宋体" w:eastAsia="宋体" w:hint="default"/>
                <w:sz w:val="18"/>
                <w:szCs w:val="18"/>
              </w:rPr>
              <w:t>内蒙古呼和 浩特</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商务服务业</w:t>
            </w:r>
          </w:p>
        </w:tc>
        <w:tc>
          <w:tcPr>
            <w:tcW w:w="992"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9"/>
              <w:jc w:val="left"/>
              <w:rPr>
                <w:rFonts w:ascii="宋体" w:hAnsi="宋体" w:cs="宋体" w:eastAsia="宋体" w:hint="default"/>
                <w:sz w:val="18"/>
                <w:szCs w:val="18"/>
              </w:rPr>
            </w:pPr>
            <w:r>
              <w:rPr>
                <w:rFonts w:ascii="宋体" w:hAnsi="宋体" w:cs="宋体" w:eastAsia="宋体" w:hint="default"/>
                <w:sz w:val="18"/>
                <w:szCs w:val="18"/>
              </w:rPr>
              <w:t>宜昌市金牛押运护卫保安服务有 限责任公司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宜昌</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宜昌</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992"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80.00%</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非同一控制下合并</w:t>
            </w:r>
          </w:p>
        </w:tc>
      </w:tr>
      <w:tr>
        <w:trPr>
          <w:trHeight w:val="714"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39"/>
              <w:jc w:val="left"/>
              <w:rPr>
                <w:rFonts w:ascii="宋体" w:hAnsi="宋体" w:cs="宋体" w:eastAsia="宋体" w:hint="default"/>
                <w:sz w:val="18"/>
                <w:szCs w:val="18"/>
              </w:rPr>
            </w:pPr>
            <w:r>
              <w:rPr>
                <w:rFonts w:ascii="宋体" w:hAnsi="宋体" w:cs="宋体" w:eastAsia="宋体" w:hint="default"/>
                <w:sz w:val="18"/>
                <w:szCs w:val="18"/>
              </w:rPr>
              <w:t>宜昌金牛智慧职业技能培训学校 有限责任公司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宜昌</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宜昌</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992"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80.00%</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商洛市金盾押运有限责任公司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商洛</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商洛</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992"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51.00%</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非同一控制下合并</w:t>
            </w:r>
          </w:p>
        </w:tc>
      </w:tr>
      <w:tr>
        <w:trPr>
          <w:trHeight w:val="714"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39"/>
              <w:jc w:val="left"/>
              <w:rPr>
                <w:rFonts w:ascii="宋体" w:hAnsi="宋体" w:cs="宋体" w:eastAsia="宋体" w:hint="default"/>
                <w:sz w:val="18"/>
                <w:szCs w:val="18"/>
              </w:rPr>
            </w:pPr>
            <w:r>
              <w:rPr>
                <w:rFonts w:ascii="宋体" w:hAnsi="宋体" w:cs="宋体" w:eastAsia="宋体" w:hint="default"/>
                <w:sz w:val="18"/>
                <w:szCs w:val="18"/>
              </w:rPr>
              <w:t>武威市神威保安守押有限责任公 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武威</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武威</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992"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非同一控制下合并</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邵阳市保安服务有限责任公司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邵阳</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邵阳</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992"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非同一控制下合并</w:t>
            </w:r>
          </w:p>
        </w:tc>
      </w:tr>
      <w:tr>
        <w:trPr>
          <w:trHeight w:val="714"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39"/>
              <w:jc w:val="left"/>
              <w:rPr>
                <w:rFonts w:ascii="宋体" w:hAnsi="宋体" w:cs="宋体" w:eastAsia="宋体" w:hint="default"/>
                <w:sz w:val="18"/>
                <w:szCs w:val="18"/>
              </w:rPr>
            </w:pPr>
            <w:r>
              <w:rPr>
                <w:rFonts w:ascii="宋体" w:hAnsi="宋体" w:cs="宋体" w:eastAsia="宋体" w:hint="default"/>
                <w:sz w:val="18"/>
                <w:szCs w:val="18"/>
              </w:rPr>
              <w:t>兴安盟威信保安守押服务有限责 任公司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兴安盟</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兴安盟</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992"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51.00%</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非同一控制下合并</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巴彦淖尔天力保押有限责任公司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巴彦淖尔</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巴彦淖尔</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992"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51.00%</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非同一控制下合并</w:t>
            </w:r>
          </w:p>
        </w:tc>
      </w:tr>
      <w:tr>
        <w:trPr>
          <w:trHeight w:val="714"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2"/>
              <w:ind w:left="22" w:right="666"/>
              <w:jc w:val="left"/>
              <w:rPr>
                <w:rFonts w:ascii="Times New Roman" w:hAnsi="Times New Roman" w:cs="Times New Roman" w:eastAsia="Times New Roman" w:hint="default"/>
                <w:sz w:val="18"/>
                <w:szCs w:val="18"/>
              </w:rPr>
            </w:pPr>
            <w:r>
              <w:rPr>
                <w:rFonts w:ascii="Times New Roman"/>
                <w:sz w:val="18"/>
              </w:rPr>
              <w:t>GRG</w:t>
            </w:r>
            <w:r>
              <w:rPr>
                <w:rFonts w:ascii="Times New Roman"/>
                <w:spacing w:val="-1"/>
                <w:sz w:val="18"/>
              </w:rPr>
              <w:t> </w:t>
            </w:r>
            <w:r>
              <w:rPr>
                <w:rFonts w:ascii="Times New Roman"/>
                <w:sz w:val="18"/>
              </w:rPr>
              <w:t>Banking</w:t>
            </w:r>
            <w:r>
              <w:rPr>
                <w:rFonts w:ascii="Times New Roman"/>
                <w:sz w:val="18"/>
              </w:rPr>
              <w:t> Equipment(HK)Co.Limited</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商业及服务业</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93"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2" w:right="0"/>
              <w:jc w:val="left"/>
              <w:rPr>
                <w:rFonts w:ascii="Times New Roman" w:hAnsi="Times New Roman" w:cs="Times New Roman" w:eastAsia="Times New Roman" w:hint="default"/>
                <w:sz w:val="18"/>
                <w:szCs w:val="18"/>
              </w:rPr>
            </w:pPr>
            <w:r>
              <w:rPr>
                <w:rFonts w:ascii="Times New Roman"/>
                <w:sz w:val="18"/>
              </w:rPr>
              <w:t>Global ATM Parts</w:t>
            </w:r>
            <w:r>
              <w:rPr>
                <w:rFonts w:ascii="Times New Roman"/>
                <w:spacing w:val="-13"/>
                <w:sz w:val="18"/>
              </w:rPr>
              <w:t> </w:t>
            </w:r>
            <w:r>
              <w:rPr>
                <w:rFonts w:ascii="Times New Roman"/>
                <w:sz w:val="18"/>
              </w:rPr>
              <w:t>Co.,Limited</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商业及服务业</w:t>
            </w:r>
          </w:p>
        </w:tc>
        <w:tc>
          <w:tcPr>
            <w:tcW w:w="992"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GRG Hongkong</w:t>
            </w:r>
            <w:r>
              <w:rPr>
                <w:rFonts w:ascii="Times New Roman"/>
                <w:spacing w:val="-11"/>
                <w:sz w:val="18"/>
              </w:rPr>
              <w:t> </w:t>
            </w:r>
            <w:r>
              <w:rPr>
                <w:rFonts w:ascii="Times New Roman"/>
                <w:sz w:val="18"/>
              </w:rPr>
              <w:t>Mexico,S.A.DE</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墨西哥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墨西哥</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商业及服务业</w:t>
            </w:r>
          </w:p>
        </w:tc>
        <w:tc>
          <w:tcPr>
            <w:tcW w:w="992"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3"/>
              <w:ind w:left="22" w:right="841"/>
              <w:jc w:val="left"/>
              <w:rPr>
                <w:rFonts w:ascii="Times New Roman" w:hAnsi="Times New Roman" w:cs="Times New Roman" w:eastAsia="Times New Roman" w:hint="default"/>
                <w:sz w:val="18"/>
                <w:szCs w:val="18"/>
              </w:rPr>
            </w:pPr>
            <w:r>
              <w:rPr>
                <w:rFonts w:ascii="Times New Roman"/>
                <w:sz w:val="18"/>
              </w:rPr>
              <w:t>GRG Turkiye</w:t>
            </w:r>
            <w:r>
              <w:rPr>
                <w:rFonts w:ascii="Times New Roman"/>
                <w:spacing w:val="-8"/>
                <w:sz w:val="18"/>
              </w:rPr>
              <w:t> </w:t>
            </w:r>
            <w:r>
              <w:rPr>
                <w:rFonts w:ascii="Times New Roman"/>
                <w:sz w:val="18"/>
              </w:rPr>
              <w:t>Bankacilik</w:t>
            </w:r>
            <w:r>
              <w:rPr>
                <w:rFonts w:ascii="Times New Roman"/>
                <w:sz w:val="18"/>
              </w:rPr>
              <w:t> Ekipmanlari</w:t>
            </w:r>
            <w:r>
              <w:rPr>
                <w:rFonts w:ascii="Times New Roman"/>
                <w:spacing w:val="-10"/>
                <w:sz w:val="18"/>
              </w:rPr>
              <w:t> </w:t>
            </w:r>
            <w:r>
              <w:rPr>
                <w:rFonts w:ascii="Times New Roman"/>
                <w:sz w:val="18"/>
              </w:rPr>
              <w:t>Ltd</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土耳其</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土耳其</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商业及服务业</w:t>
            </w:r>
          </w:p>
        </w:tc>
        <w:tc>
          <w:tcPr>
            <w:tcW w:w="992"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GRG Deutschland</w:t>
            </w:r>
            <w:r>
              <w:rPr>
                <w:rFonts w:ascii="Times New Roman"/>
                <w:spacing w:val="-9"/>
                <w:sz w:val="18"/>
              </w:rPr>
              <w:t> </w:t>
            </w:r>
            <w:r>
              <w:rPr>
                <w:rFonts w:ascii="Times New Roman"/>
                <w:sz w:val="18"/>
              </w:rPr>
              <w:t>GmbH</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德国</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德国</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商业及服务业</w:t>
            </w:r>
          </w:p>
        </w:tc>
        <w:tc>
          <w:tcPr>
            <w:tcW w:w="992"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3"/>
              <w:ind w:left="22" w:right="229"/>
              <w:jc w:val="left"/>
              <w:rPr>
                <w:rFonts w:ascii="Times New Roman" w:hAnsi="Times New Roman" w:cs="Times New Roman" w:eastAsia="Times New Roman" w:hint="default"/>
                <w:sz w:val="18"/>
                <w:szCs w:val="18"/>
              </w:rPr>
            </w:pPr>
            <w:r>
              <w:rPr>
                <w:rFonts w:ascii="Times New Roman"/>
                <w:sz w:val="18"/>
              </w:rPr>
              <w:t>GRG Equipment (Singapore)</w:t>
            </w:r>
            <w:r>
              <w:rPr>
                <w:rFonts w:ascii="Times New Roman"/>
                <w:spacing w:val="-9"/>
                <w:sz w:val="18"/>
              </w:rPr>
              <w:t> </w:t>
            </w:r>
            <w:r>
              <w:rPr>
                <w:rFonts w:ascii="Times New Roman"/>
                <w:sz w:val="18"/>
              </w:rPr>
              <w:t>Pte.</w:t>
            </w:r>
            <w:r>
              <w:rPr>
                <w:rFonts w:ascii="Times New Roman"/>
                <w:sz w:val="18"/>
              </w:rPr>
              <w:t> Ltd.</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新加坡</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新加坡</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商业及服务业</w:t>
            </w:r>
          </w:p>
        </w:tc>
        <w:tc>
          <w:tcPr>
            <w:tcW w:w="992"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GRG AMERICA</w:t>
            </w:r>
            <w:r>
              <w:rPr>
                <w:rFonts w:ascii="Times New Roman"/>
                <w:spacing w:val="-5"/>
                <w:sz w:val="18"/>
              </w:rPr>
              <w:t> </w:t>
            </w:r>
            <w:r>
              <w:rPr>
                <w:rFonts w:ascii="Times New Roman"/>
                <w:sz w:val="18"/>
              </w:rPr>
              <w:t>INC.</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开曼</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开曼</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商业及服务业</w:t>
            </w:r>
          </w:p>
        </w:tc>
        <w:tc>
          <w:tcPr>
            <w:tcW w:w="992"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2" w:right="0"/>
              <w:jc w:val="left"/>
              <w:rPr>
                <w:rFonts w:ascii="Times New Roman" w:hAnsi="Times New Roman" w:cs="Times New Roman" w:eastAsia="Times New Roman" w:hint="default"/>
                <w:sz w:val="18"/>
                <w:szCs w:val="18"/>
              </w:rPr>
            </w:pPr>
            <w:r>
              <w:rPr>
                <w:rFonts w:ascii="Times New Roman"/>
                <w:sz w:val="18"/>
              </w:rPr>
              <w:t>GRGBanking</w:t>
            </w:r>
            <w:r>
              <w:rPr>
                <w:rFonts w:ascii="Times New Roman"/>
                <w:spacing w:val="-8"/>
                <w:sz w:val="18"/>
              </w:rPr>
              <w:t> </w:t>
            </w:r>
            <w:r>
              <w:rPr>
                <w:rFonts w:ascii="Times New Roman"/>
                <w:sz w:val="18"/>
              </w:rPr>
              <w:t>LLC.</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俄罗斯</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俄罗斯</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商业及服务业</w:t>
            </w:r>
          </w:p>
        </w:tc>
        <w:tc>
          <w:tcPr>
            <w:tcW w:w="992"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Denali System</w:t>
            </w:r>
            <w:r>
              <w:rPr>
                <w:rFonts w:ascii="Times New Roman"/>
                <w:spacing w:val="-10"/>
                <w:sz w:val="18"/>
              </w:rPr>
              <w:t> </w:t>
            </w:r>
            <w:r>
              <w:rPr>
                <w:rFonts w:ascii="Times New Roman"/>
                <w:sz w:val="18"/>
              </w:rPr>
              <w:t>CO.,Ltd.</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商业及服务业</w:t>
            </w:r>
          </w:p>
        </w:tc>
        <w:tc>
          <w:tcPr>
            <w:tcW w:w="992"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2" w:right="0"/>
              <w:jc w:val="left"/>
              <w:rPr>
                <w:rFonts w:ascii="Times New Roman" w:hAnsi="Times New Roman" w:cs="Times New Roman" w:eastAsia="Times New Roman" w:hint="default"/>
                <w:sz w:val="18"/>
                <w:szCs w:val="18"/>
              </w:rPr>
            </w:pPr>
            <w:r>
              <w:rPr>
                <w:rFonts w:ascii="Times New Roman"/>
                <w:sz w:val="18"/>
              </w:rPr>
              <w:t>Denali System</w:t>
            </w:r>
            <w:r>
              <w:rPr>
                <w:rFonts w:ascii="Times New Roman"/>
                <w:spacing w:val="-8"/>
                <w:sz w:val="18"/>
              </w:rPr>
              <w:t> </w:t>
            </w:r>
            <w:r>
              <w:rPr>
                <w:rFonts w:ascii="Times New Roman"/>
                <w:sz w:val="18"/>
              </w:rPr>
              <w:t>Inc.</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商业及服务业</w:t>
            </w:r>
          </w:p>
        </w:tc>
        <w:tc>
          <w:tcPr>
            <w:tcW w:w="992"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德纳里（广州）技术有限公司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商业及服务业</w:t>
            </w:r>
          </w:p>
        </w:tc>
        <w:tc>
          <w:tcPr>
            <w:tcW w:w="992"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5"/>
                <w:sz w:val="18"/>
                <w:szCs w:val="18"/>
              </w:rPr>
              <w:t>广电运通国际商贸（广州）有限公</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商业及服务业</w:t>
            </w:r>
          </w:p>
        </w:tc>
        <w:tc>
          <w:tcPr>
            <w:tcW w:w="992"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深圳市创自技术有限公司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93"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非同一控制下合并</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深圳市创自软件有限公司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992"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非同一控制下合并</w:t>
            </w:r>
          </w:p>
        </w:tc>
      </w:tr>
      <w:tr>
        <w:trPr>
          <w:trHeight w:val="400"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广州广电运通智能科技有限公司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93"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878" w:footer="978" w:top="1100" w:bottom="1160" w:left="102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09" w:type="dxa"/>
        <w:tblLayout w:type="fixed"/>
        <w:tblCellMar>
          <w:top w:w="0" w:type="dxa"/>
          <w:left w:w="0" w:type="dxa"/>
          <w:bottom w:w="0" w:type="dxa"/>
          <w:right w:w="0" w:type="dxa"/>
        </w:tblCellMar>
        <w:tblLook w:val="01E0"/>
      </w:tblPr>
      <w:tblGrid>
        <w:gridCol w:w="2694"/>
        <w:gridCol w:w="850"/>
        <w:gridCol w:w="992"/>
        <w:gridCol w:w="1276"/>
        <w:gridCol w:w="992"/>
        <w:gridCol w:w="993"/>
        <w:gridCol w:w="1774"/>
      </w:tblGrid>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通辽市威远护卫有限责任公司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通辽</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通辽</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992"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51.00%</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非同一控制下合并</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商洛市慧金清分服务有限公司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商洛</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商洛</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992"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26.01%</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西安金盾押运有限公司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西安</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西安</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992"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60.00%</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非同一控制下合并</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海南警锐押运护卫有限公司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儋州</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儋州</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992"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51.00%</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非同一控制下合并</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榆林市神鹰护卫有限责任公司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榆林</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榆林</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992"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55.00%</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非同一控制下合并</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新余市保安服务有限公司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新余</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新余</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992"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90.00%</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非同一控制下合并</w:t>
            </w:r>
          </w:p>
        </w:tc>
      </w:tr>
      <w:tr>
        <w:trPr>
          <w:trHeight w:val="714"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39"/>
              <w:jc w:val="left"/>
              <w:rPr>
                <w:rFonts w:ascii="宋体" w:hAnsi="宋体" w:cs="宋体" w:eastAsia="宋体" w:hint="default"/>
                <w:sz w:val="18"/>
                <w:szCs w:val="18"/>
              </w:rPr>
            </w:pPr>
            <w:r>
              <w:rPr>
                <w:rFonts w:ascii="宋体" w:hAnsi="宋体" w:cs="宋体" w:eastAsia="宋体" w:hint="default"/>
                <w:sz w:val="18"/>
                <w:szCs w:val="18"/>
              </w:rPr>
              <w:t>文山州金盾保安守护押运有限责 任公司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文山</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文山</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992"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51.00%</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非同一控制下合并</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巴州阿帕奇保安有限责任公司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巴州</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巴州</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992"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80.00%</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非同一控制下合并</w:t>
            </w:r>
          </w:p>
        </w:tc>
      </w:tr>
      <w:tr>
        <w:trPr>
          <w:trHeight w:val="714"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39"/>
              <w:jc w:val="left"/>
              <w:rPr>
                <w:rFonts w:ascii="宋体" w:hAnsi="宋体" w:cs="宋体" w:eastAsia="宋体" w:hint="default"/>
                <w:sz w:val="18"/>
                <w:szCs w:val="18"/>
              </w:rPr>
            </w:pPr>
            <w:r>
              <w:rPr>
                <w:rFonts w:ascii="宋体" w:hAnsi="宋体" w:cs="宋体" w:eastAsia="宋体" w:hint="default"/>
                <w:sz w:val="18"/>
                <w:szCs w:val="18"/>
              </w:rPr>
              <w:t>新疆阿帕奇武装守护押运有限公 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巴州</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巴州</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992"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80.00%</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非同一控制下合并</w:t>
            </w:r>
          </w:p>
        </w:tc>
      </w:tr>
      <w:tr>
        <w:trPr>
          <w:trHeight w:val="714"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9"/>
              <w:jc w:val="left"/>
              <w:rPr>
                <w:rFonts w:ascii="宋体" w:hAnsi="宋体" w:cs="宋体" w:eastAsia="宋体" w:hint="default"/>
                <w:sz w:val="18"/>
                <w:szCs w:val="18"/>
              </w:rPr>
            </w:pPr>
            <w:r>
              <w:rPr>
                <w:rFonts w:ascii="宋体" w:hAnsi="宋体" w:cs="宋体" w:eastAsia="宋体" w:hint="default"/>
                <w:sz w:val="18"/>
                <w:szCs w:val="18"/>
              </w:rPr>
              <w:t>黔南州蓝盾武装护运有限责任公 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黔南</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黔南</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992"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51.00%</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非同一控制下合并</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资阳保安有限责任公司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资阳</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资阳</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992"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51.00%</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非同一控制下合并</w:t>
            </w:r>
          </w:p>
        </w:tc>
      </w:tr>
      <w:tr>
        <w:trPr>
          <w:trHeight w:val="714"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9"/>
              <w:jc w:val="left"/>
              <w:rPr>
                <w:rFonts w:ascii="宋体" w:hAnsi="宋体" w:cs="宋体" w:eastAsia="宋体" w:hint="default"/>
                <w:sz w:val="18"/>
                <w:szCs w:val="18"/>
              </w:rPr>
            </w:pPr>
            <w:r>
              <w:rPr>
                <w:rFonts w:ascii="宋体" w:hAnsi="宋体" w:cs="宋体" w:eastAsia="宋体" w:hint="default"/>
                <w:sz w:val="18"/>
                <w:szCs w:val="18"/>
              </w:rPr>
              <w:t>资阳市卓越人力资源服务有限公 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资阳</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资阳</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992"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51.00%</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非同一控制下合并</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平顶山鹰翔保安押运有限公司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平顶山</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平顶山</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992"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60.00%</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非同一控制下合并</w:t>
            </w:r>
          </w:p>
        </w:tc>
      </w:tr>
      <w:tr>
        <w:trPr>
          <w:trHeight w:val="714"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9"/>
              <w:jc w:val="left"/>
              <w:rPr>
                <w:rFonts w:ascii="宋体" w:hAnsi="宋体" w:cs="宋体" w:eastAsia="宋体" w:hint="default"/>
                <w:sz w:val="18"/>
                <w:szCs w:val="18"/>
              </w:rPr>
            </w:pPr>
            <w:r>
              <w:rPr>
                <w:rFonts w:ascii="宋体" w:hAnsi="宋体" w:cs="宋体" w:eastAsia="宋体" w:hint="default"/>
                <w:sz w:val="18"/>
                <w:szCs w:val="18"/>
              </w:rPr>
              <w:t>平顶山市鹰晟保安职业技能培训 学校有限责任公司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平顶山</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平顶山</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992"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60.00%</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江苏汇通金融数据股份有限公司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昆山</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昆山</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05" w:right="0"/>
              <w:jc w:val="left"/>
              <w:rPr>
                <w:rFonts w:ascii="Times New Roman" w:hAnsi="Times New Roman" w:cs="Times New Roman" w:eastAsia="Times New Roman" w:hint="default"/>
                <w:sz w:val="18"/>
                <w:szCs w:val="18"/>
              </w:rPr>
            </w:pPr>
            <w:r>
              <w:rPr>
                <w:rFonts w:ascii="Times New Roman"/>
                <w:sz w:val="18"/>
              </w:rPr>
              <w:t>51.00%</w:t>
            </w:r>
          </w:p>
        </w:tc>
        <w:tc>
          <w:tcPr>
            <w:tcW w:w="993"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非同一控制下合并</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安徽汇通金融数据服务有限公司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蚌埠</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蚌埠</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992"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45.90%</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江苏汇锦利通信息科技有限公司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昆山</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昆山</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992"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26.01%</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9"/>
              <w:jc w:val="left"/>
              <w:rPr>
                <w:rFonts w:ascii="宋体" w:hAnsi="宋体" w:cs="宋体" w:eastAsia="宋体" w:hint="default"/>
                <w:sz w:val="18"/>
                <w:szCs w:val="18"/>
              </w:rPr>
            </w:pPr>
            <w:r>
              <w:rPr>
                <w:rFonts w:ascii="宋体" w:hAnsi="宋体" w:cs="宋体" w:eastAsia="宋体" w:hint="default"/>
                <w:sz w:val="18"/>
                <w:szCs w:val="18"/>
              </w:rPr>
              <w:t>黄石金通智慧金融外包服务有限 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黄石</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黄石</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992"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58.33%</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广州平云小匠科技有限公司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992"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70.00%</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成都平云小匠网络有限公司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992"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35.70%</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湖北银通卓越科技服务有限公司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武汉</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武汉</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992"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51.00%</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9"/>
              <w:jc w:val="left"/>
              <w:rPr>
                <w:rFonts w:ascii="宋体" w:hAnsi="宋体" w:cs="宋体" w:eastAsia="宋体" w:hint="default"/>
                <w:sz w:val="18"/>
                <w:szCs w:val="18"/>
              </w:rPr>
            </w:pPr>
            <w:r>
              <w:rPr>
                <w:rFonts w:ascii="宋体" w:hAnsi="宋体" w:cs="宋体" w:eastAsia="宋体" w:hint="default"/>
                <w:sz w:val="18"/>
                <w:szCs w:val="18"/>
              </w:rPr>
              <w:t>保山安邦武装守护押运有限责任 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保山</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保山</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992"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非同一控制下合并</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鹤壁市鹏翔保安服务有限公司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鹤壁</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鹤壁</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992"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60.00%</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非同一控制下合并</w:t>
            </w:r>
          </w:p>
        </w:tc>
      </w:tr>
      <w:tr>
        <w:trPr>
          <w:trHeight w:val="714"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9"/>
              <w:jc w:val="left"/>
              <w:rPr>
                <w:rFonts w:ascii="宋体" w:hAnsi="宋体" w:cs="宋体" w:eastAsia="宋体" w:hint="default"/>
                <w:sz w:val="18"/>
                <w:szCs w:val="18"/>
              </w:rPr>
            </w:pPr>
            <w:r>
              <w:rPr>
                <w:rFonts w:ascii="宋体" w:hAnsi="宋体" w:cs="宋体" w:eastAsia="宋体" w:hint="default"/>
                <w:sz w:val="18"/>
                <w:szCs w:val="18"/>
              </w:rPr>
              <w:t>黄石市金安押运护卫保安服务有 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黄石</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黄石</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992"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58.33%</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非同一控制下合并</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益阳市保安服务有限责任公司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益阳</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益阳</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992"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非同一控制下合并</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新余市景运科技有限公司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新余</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新余</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992"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90.00%</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南县保安服务有限责任公司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南县</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南县</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992"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非同一控制下合并</w:t>
            </w:r>
          </w:p>
        </w:tc>
      </w:tr>
      <w:tr>
        <w:trPr>
          <w:trHeight w:val="400"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广州运通购快科技有限公司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992"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70.00%</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878" w:footer="978" w:top="1100" w:bottom="1160" w:left="102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09" w:type="dxa"/>
        <w:tblLayout w:type="fixed"/>
        <w:tblCellMar>
          <w:top w:w="0" w:type="dxa"/>
          <w:left w:w="0" w:type="dxa"/>
          <w:bottom w:w="0" w:type="dxa"/>
          <w:right w:w="0" w:type="dxa"/>
        </w:tblCellMar>
        <w:tblLook w:val="01E0"/>
      </w:tblPr>
      <w:tblGrid>
        <w:gridCol w:w="2694"/>
        <w:gridCol w:w="850"/>
        <w:gridCol w:w="992"/>
        <w:gridCol w:w="1276"/>
        <w:gridCol w:w="992"/>
        <w:gridCol w:w="993"/>
        <w:gridCol w:w="1774"/>
      </w:tblGrid>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湖北融信押运保安服务有限公司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武汉</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武汉</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992"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75.99%</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非同一控制下合并</w:t>
            </w:r>
          </w:p>
        </w:tc>
      </w:tr>
      <w:tr>
        <w:trPr>
          <w:trHeight w:val="714"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9"/>
              <w:jc w:val="left"/>
              <w:rPr>
                <w:rFonts w:ascii="宋体" w:hAnsi="宋体" w:cs="宋体" w:eastAsia="宋体" w:hint="default"/>
                <w:sz w:val="18"/>
                <w:szCs w:val="18"/>
              </w:rPr>
            </w:pPr>
            <w:r>
              <w:rPr>
                <w:rFonts w:ascii="宋体" w:hAnsi="宋体" w:cs="宋体" w:eastAsia="宋体" w:hint="default"/>
                <w:sz w:val="18"/>
                <w:szCs w:val="18"/>
              </w:rPr>
              <w:t>锡林郭勒盟金盾保安服务有限公 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锡林郭勒</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锡林郭勒</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992"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非同一控制下合并</w:t>
            </w:r>
          </w:p>
        </w:tc>
      </w:tr>
      <w:tr>
        <w:trPr>
          <w:trHeight w:val="714"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39"/>
              <w:jc w:val="left"/>
              <w:rPr>
                <w:rFonts w:ascii="宋体" w:hAnsi="宋体" w:cs="宋体" w:eastAsia="宋体" w:hint="default"/>
                <w:sz w:val="18"/>
                <w:szCs w:val="18"/>
              </w:rPr>
            </w:pPr>
            <w:r>
              <w:rPr>
                <w:rFonts w:ascii="宋体" w:hAnsi="宋体" w:cs="宋体" w:eastAsia="宋体" w:hint="default"/>
                <w:sz w:val="18"/>
                <w:szCs w:val="18"/>
              </w:rPr>
              <w:t>锡林郭勒盟金盾押运服务有限公 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锡林郭勒</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锡林郭勒</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992"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51.00%</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非同一控制下合并</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深圳市信义科技有限公司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85.00%</w:t>
            </w:r>
          </w:p>
        </w:tc>
        <w:tc>
          <w:tcPr>
            <w:tcW w:w="993"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非同一控制下合并</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深圳市深安信信息技术有限公司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992"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85.00%</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非同一控制下合并</w:t>
            </w:r>
          </w:p>
        </w:tc>
      </w:tr>
      <w:tr>
        <w:trPr>
          <w:trHeight w:val="714"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9"/>
              <w:jc w:val="left"/>
              <w:rPr>
                <w:rFonts w:ascii="宋体" w:hAnsi="宋体" w:cs="宋体" w:eastAsia="宋体" w:hint="default"/>
                <w:sz w:val="18"/>
                <w:szCs w:val="18"/>
              </w:rPr>
            </w:pPr>
            <w:r>
              <w:rPr>
                <w:rFonts w:ascii="宋体" w:hAnsi="宋体" w:cs="宋体" w:eastAsia="宋体" w:hint="default"/>
                <w:sz w:val="18"/>
                <w:szCs w:val="18"/>
              </w:rPr>
              <w:t>北京中科江南信息技术股份有限 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46.00%</w:t>
            </w:r>
          </w:p>
        </w:tc>
        <w:tc>
          <w:tcPr>
            <w:tcW w:w="993"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非同一控制下合并</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云南云财科技技术有限公司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昆明</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昆明</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992"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32.20%</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非同一控制下合并</w:t>
            </w:r>
          </w:p>
        </w:tc>
      </w:tr>
    </w:tbl>
    <w:p>
      <w:pPr>
        <w:spacing w:line="240" w:lineRule="auto" w:before="11"/>
        <w:rPr>
          <w:rFonts w:ascii="Times New Roman" w:hAnsi="Times New Roman" w:cs="Times New Roman" w:eastAsia="Times New Roman" w:hint="default"/>
          <w:sz w:val="21"/>
          <w:szCs w:val="21"/>
        </w:rPr>
      </w:pPr>
    </w:p>
    <w:p>
      <w:pPr>
        <w:pStyle w:val="Heading3"/>
        <w:spacing w:line="240" w:lineRule="auto"/>
        <w:ind w:right="1394"/>
        <w:jc w:val="left"/>
        <w:rPr>
          <w:b w:val="0"/>
          <w:bCs w:val="0"/>
        </w:rPr>
      </w:pPr>
      <w:bookmarkStart w:name="（2）重要的非全资子公司" w:id="351"/>
      <w:bookmarkEnd w:id="351"/>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977"/>
        <w:gridCol w:w="1701"/>
        <w:gridCol w:w="1559"/>
        <w:gridCol w:w="1420"/>
        <w:gridCol w:w="1913"/>
      </w:tblGrid>
      <w:tr>
        <w:trPr>
          <w:trHeight w:val="764" w:hRule="exact"/>
        </w:trPr>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7"/>
              <w:ind w:left="413" w:right="53" w:hanging="360"/>
              <w:jc w:val="left"/>
              <w:rPr>
                <w:rFonts w:ascii="宋体" w:hAnsi="宋体" w:cs="宋体" w:eastAsia="宋体" w:hint="default"/>
                <w:sz w:val="18"/>
                <w:szCs w:val="18"/>
              </w:rPr>
            </w:pPr>
            <w:r>
              <w:rPr>
                <w:rFonts w:ascii="宋体" w:hAnsi="宋体" w:cs="宋体" w:eastAsia="宋体" w:hint="default"/>
                <w:sz w:val="18"/>
                <w:szCs w:val="18"/>
              </w:rPr>
              <w:t>本期归属于少数股 东的损益</w:t>
            </w:r>
          </w:p>
        </w:tc>
        <w:tc>
          <w:tcPr>
            <w:tcW w:w="14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7"/>
              <w:ind w:left="76" w:right="72"/>
              <w:jc w:val="left"/>
              <w:rPr>
                <w:rFonts w:ascii="宋体" w:hAnsi="宋体" w:cs="宋体" w:eastAsia="宋体" w:hint="default"/>
                <w:sz w:val="18"/>
                <w:szCs w:val="18"/>
              </w:rPr>
            </w:pPr>
            <w:r>
              <w:rPr>
                <w:rFonts w:ascii="宋体" w:hAnsi="宋体" w:cs="宋体" w:eastAsia="宋体" w:hint="default"/>
                <w:sz w:val="18"/>
                <w:szCs w:val="18"/>
              </w:rPr>
              <w:t>本期向少数股东 宣告分派的股利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50"/>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402"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深圳市信义科技有限公司</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13" w:right="0"/>
              <w:jc w:val="left"/>
              <w:rPr>
                <w:rFonts w:ascii="Times New Roman" w:hAnsi="Times New Roman" w:cs="Times New Roman" w:eastAsia="Times New Roman" w:hint="default"/>
                <w:sz w:val="18"/>
                <w:szCs w:val="18"/>
              </w:rPr>
            </w:pPr>
            <w:r>
              <w:rPr>
                <w:rFonts w:ascii="Times New Roman"/>
                <w:sz w:val="18"/>
              </w:rPr>
              <w:t>15.00%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90" w:right="0"/>
              <w:jc w:val="left"/>
              <w:rPr>
                <w:rFonts w:ascii="Times New Roman" w:hAnsi="Times New Roman" w:cs="Times New Roman" w:eastAsia="Times New Roman" w:hint="default"/>
                <w:sz w:val="18"/>
                <w:szCs w:val="18"/>
              </w:rPr>
            </w:pPr>
            <w:r>
              <w:rPr>
                <w:rFonts w:ascii="Times New Roman"/>
                <w:sz w:val="18"/>
              </w:rPr>
              <w:t>10,451,215.78</w:t>
            </w:r>
          </w:p>
        </w:tc>
        <w:tc>
          <w:tcPr>
            <w:tcW w:w="1420"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30,644,934.94</w:t>
            </w:r>
          </w:p>
        </w:tc>
      </w:tr>
    </w:tbl>
    <w:p>
      <w:pPr>
        <w:spacing w:line="240" w:lineRule="auto" w:before="4"/>
        <w:rPr>
          <w:rFonts w:ascii="宋体" w:hAnsi="宋体" w:cs="宋体" w:eastAsia="宋体" w:hint="default"/>
          <w:sz w:val="19"/>
          <w:szCs w:val="19"/>
        </w:rPr>
      </w:pPr>
    </w:p>
    <w:p>
      <w:pPr>
        <w:pStyle w:val="Heading3"/>
        <w:spacing w:line="240" w:lineRule="auto"/>
        <w:ind w:right="1394"/>
        <w:jc w:val="left"/>
        <w:rPr>
          <w:b w:val="0"/>
          <w:bCs w:val="0"/>
        </w:rPr>
      </w:pPr>
      <w:bookmarkStart w:name="（3）重要非全资子公司的主要财务信息" w:id="352"/>
      <w:bookmarkEnd w:id="352"/>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736"/>
        <w:gridCol w:w="736"/>
        <w:gridCol w:w="736"/>
        <w:gridCol w:w="736"/>
        <w:gridCol w:w="736"/>
        <w:gridCol w:w="735"/>
        <w:gridCol w:w="735"/>
        <w:gridCol w:w="735"/>
        <w:gridCol w:w="735"/>
        <w:gridCol w:w="735"/>
        <w:gridCol w:w="737"/>
        <w:gridCol w:w="736"/>
        <w:gridCol w:w="736"/>
      </w:tblGrid>
      <w:tr>
        <w:trPr>
          <w:trHeight w:val="402"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183" w:right="92" w:hanging="92"/>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82" w:right="90"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72" w:right="92"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82" w:right="91" w:hanging="92"/>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71" w:right="92"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72" w:right="90"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81" w:right="91"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71"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73" w:right="92"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81" w:right="91"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73" w:right="90"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356" w:hRule="exact"/>
        </w:trPr>
        <w:tc>
          <w:tcPr>
            <w:tcW w:w="7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r>
      <w:tr>
        <w:trPr>
          <w:trHeight w:val="317" w:hRule="exact"/>
        </w:trPr>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信义科</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653,513,</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spacing w:val="-1"/>
                <w:sz w:val="18"/>
              </w:rPr>
              <w:t>49,743,6</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703,257,</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498,511,</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446,906.</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498,957,</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577,682,</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6,331,27</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584,014,</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446,716,</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2,673,04</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449,389,</w:t>
            </w:r>
          </w:p>
        </w:tc>
      </w:tr>
      <w:tr>
        <w:trPr>
          <w:trHeight w:val="312" w:hRule="exact"/>
        </w:trPr>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技有限</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pacing w:val="-1"/>
                <w:sz w:val="18"/>
              </w:rPr>
              <w:t>902.85</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z w:val="18"/>
              </w:rPr>
              <w:t>11.91</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1"/>
              <w:jc w:val="right"/>
              <w:rPr>
                <w:rFonts w:ascii="Times New Roman" w:hAnsi="Times New Roman" w:cs="Times New Roman" w:eastAsia="Times New Roman" w:hint="default"/>
                <w:sz w:val="18"/>
                <w:szCs w:val="18"/>
              </w:rPr>
            </w:pPr>
            <w:r>
              <w:rPr>
                <w:rFonts w:ascii="Times New Roman"/>
                <w:spacing w:val="-1"/>
                <w:sz w:val="18"/>
              </w:rPr>
              <w:t>514.76</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pacing w:val="-1"/>
                <w:sz w:val="18"/>
              </w:rPr>
              <w:t>042.44</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1"/>
              <w:jc w:val="right"/>
              <w:rPr>
                <w:rFonts w:ascii="Times New Roman" w:hAnsi="Times New Roman" w:cs="Times New Roman" w:eastAsia="Times New Roman" w:hint="default"/>
                <w:sz w:val="18"/>
                <w:szCs w:val="18"/>
              </w:rPr>
            </w:pPr>
            <w:r>
              <w:rPr>
                <w:rFonts w:ascii="Times New Roman"/>
                <w:sz w:val="18"/>
              </w:rPr>
              <w:t>05</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1"/>
              <w:jc w:val="right"/>
              <w:rPr>
                <w:rFonts w:ascii="Times New Roman" w:hAnsi="Times New Roman" w:cs="Times New Roman" w:eastAsia="Times New Roman" w:hint="default"/>
                <w:sz w:val="18"/>
                <w:szCs w:val="18"/>
              </w:rPr>
            </w:pPr>
            <w:r>
              <w:rPr>
                <w:rFonts w:ascii="Times New Roman"/>
                <w:spacing w:val="-1"/>
                <w:sz w:val="18"/>
              </w:rPr>
              <w:t>948.49</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pacing w:val="-1"/>
                <w:sz w:val="18"/>
              </w:rPr>
              <w:t>876.18</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pacing w:val="-1"/>
                <w:sz w:val="18"/>
              </w:rPr>
              <w:t>7.03</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1"/>
              <w:jc w:val="right"/>
              <w:rPr>
                <w:rFonts w:ascii="Times New Roman" w:hAnsi="Times New Roman" w:cs="Times New Roman" w:eastAsia="Times New Roman" w:hint="default"/>
                <w:sz w:val="18"/>
                <w:szCs w:val="18"/>
              </w:rPr>
            </w:pPr>
            <w:r>
              <w:rPr>
                <w:rFonts w:ascii="Times New Roman"/>
                <w:spacing w:val="-1"/>
                <w:sz w:val="18"/>
              </w:rPr>
              <w:t>153.21</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1"/>
              <w:jc w:val="right"/>
              <w:rPr>
                <w:rFonts w:ascii="Times New Roman" w:hAnsi="Times New Roman" w:cs="Times New Roman" w:eastAsia="Times New Roman" w:hint="default"/>
                <w:sz w:val="18"/>
                <w:szCs w:val="18"/>
              </w:rPr>
            </w:pPr>
            <w:r>
              <w:rPr>
                <w:rFonts w:ascii="Times New Roman"/>
                <w:spacing w:val="-1"/>
                <w:sz w:val="18"/>
              </w:rPr>
              <w:t>314.84</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pacing w:val="-1"/>
                <w:sz w:val="18"/>
              </w:rPr>
              <w:t>3.95</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pacing w:val="-1"/>
                <w:sz w:val="18"/>
              </w:rPr>
              <w:t>358.79</w:t>
            </w:r>
          </w:p>
        </w:tc>
      </w:tr>
      <w:tr>
        <w:trPr>
          <w:trHeight w:val="353" w:hRule="exact"/>
        </w:trPr>
        <w:tc>
          <w:tcPr>
            <w:tcW w:w="7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r>
    </w:tbl>
    <w:p>
      <w:pPr>
        <w:pStyle w:val="BodyText"/>
        <w:spacing w:line="240" w:lineRule="auto" w:before="50"/>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061"/>
        <w:gridCol w:w="1061"/>
        <w:gridCol w:w="1062"/>
        <w:gridCol w:w="1065"/>
        <w:gridCol w:w="1065"/>
        <w:gridCol w:w="1063"/>
        <w:gridCol w:w="1063"/>
        <w:gridCol w:w="1063"/>
        <w:gridCol w:w="1066"/>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436" w:right="77"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57" w:right="76"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435" w:right="75"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58" w:right="76"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126"/>
              <w:jc w:val="both"/>
              <w:rPr>
                <w:rFonts w:ascii="宋体" w:hAnsi="宋体" w:cs="宋体" w:eastAsia="宋体" w:hint="default"/>
                <w:sz w:val="18"/>
                <w:szCs w:val="18"/>
              </w:rPr>
            </w:pPr>
            <w:r>
              <w:rPr>
                <w:rFonts w:ascii="宋体" w:hAnsi="宋体" w:cs="宋体" w:eastAsia="宋体" w:hint="default"/>
                <w:sz w:val="18"/>
                <w:szCs w:val="18"/>
              </w:rPr>
              <w:t>深圳市信义 科技有限公 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481,908,586.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91</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69,674,771.8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69,674,771.8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-54,089,733.3</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466,633,695.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53,316,637.3</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53,316,637.3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-7,349,414.46</w:t>
            </w:r>
          </w:p>
        </w:tc>
      </w:tr>
    </w:tbl>
    <w:p>
      <w:pPr>
        <w:spacing w:line="240" w:lineRule="auto" w:before="4"/>
        <w:rPr>
          <w:rFonts w:ascii="宋体" w:hAnsi="宋体" w:cs="宋体" w:eastAsia="宋体" w:hint="default"/>
          <w:sz w:val="19"/>
          <w:szCs w:val="19"/>
        </w:rPr>
      </w:pPr>
    </w:p>
    <w:p>
      <w:pPr>
        <w:pStyle w:val="Heading3"/>
        <w:spacing w:line="240" w:lineRule="auto"/>
        <w:ind w:right="1394"/>
        <w:jc w:val="left"/>
        <w:rPr>
          <w:b w:val="0"/>
          <w:bCs w:val="0"/>
        </w:rPr>
      </w:pPr>
      <w:bookmarkStart w:name="（4）使用企业集团资产和清偿企业集团债务的重大限制" w:id="353"/>
      <w:bookmarkEnd w:id="353"/>
      <w:r>
        <w:rPr>
          <w:b w:val="0"/>
          <w:bCs w:val="0"/>
        </w:rPr>
      </w: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32" w:right="1394"/>
        <w:jc w:val="left"/>
      </w:pPr>
      <w:r>
        <w:rPr/>
        <w:t>本公司不存在使用企业集团资产和清偿企业集团债务的重大限制。</w:t>
      </w:r>
    </w:p>
    <w:p>
      <w:pPr>
        <w:spacing w:after="0" w:line="240" w:lineRule="auto"/>
        <w:jc w:val="left"/>
        <w:sectPr>
          <w:pgSz w:w="11910" w:h="16840"/>
          <w:pgMar w:header="878" w:footer="978" w:top="1100" w:bottom="1160" w:left="1020" w:right="0"/>
        </w:sectPr>
      </w:pPr>
    </w:p>
    <w:p>
      <w:pPr>
        <w:spacing w:line="240" w:lineRule="auto" w:before="12"/>
        <w:rPr>
          <w:rFonts w:ascii="宋体" w:hAnsi="宋体" w:cs="宋体" w:eastAsia="宋体" w:hint="default"/>
          <w:sz w:val="20"/>
          <w:szCs w:val="20"/>
        </w:rPr>
      </w:pPr>
    </w:p>
    <w:p>
      <w:pPr>
        <w:pStyle w:val="Heading3"/>
        <w:spacing w:line="240" w:lineRule="auto"/>
        <w:ind w:right="1394"/>
        <w:jc w:val="left"/>
        <w:rPr>
          <w:b w:val="0"/>
          <w:bCs w:val="0"/>
        </w:rPr>
      </w:pPr>
      <w:bookmarkStart w:name="（5）向纳入合并财务报表范围的结构化主体提供的财务支持或其他支持" w:id="354"/>
      <w:bookmarkEnd w:id="354"/>
      <w:r>
        <w:rPr>
          <w:b w:val="0"/>
          <w:bCs w:val="0"/>
        </w:rPr>
      </w: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32" w:right="1394"/>
        <w:jc w:val="left"/>
      </w:pPr>
      <w:r>
        <w:rPr/>
        <w:t>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日，没有向纳入合并财务报表范围的结构化主体提供的财务支持或其他支持。</w:t>
      </w:r>
    </w:p>
    <w:p>
      <w:pPr>
        <w:spacing w:line="240" w:lineRule="auto" w:before="13"/>
        <w:rPr>
          <w:rFonts w:ascii="宋体" w:hAnsi="宋体" w:cs="宋体" w:eastAsia="宋体" w:hint="default"/>
          <w:sz w:val="25"/>
          <w:szCs w:val="25"/>
        </w:rPr>
      </w:pPr>
    </w:p>
    <w:p>
      <w:pPr>
        <w:pStyle w:val="Heading3"/>
        <w:spacing w:line="240" w:lineRule="auto" w:before="0"/>
        <w:ind w:right="1394"/>
        <w:jc w:val="left"/>
        <w:rPr>
          <w:b w:val="0"/>
          <w:bCs w:val="0"/>
        </w:rPr>
      </w:pPr>
      <w:bookmarkStart w:name="2、在子公司的所有者权益份额发生变化且仍控制子公司的交易" w:id="355"/>
      <w:bookmarkEnd w:id="355"/>
      <w:r>
        <w:rPr>
          <w:b w:val="0"/>
          <w:bCs w:val="0"/>
        </w:rPr>
      </w: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7"/>
        <w:rPr>
          <w:rFonts w:ascii="宋体" w:hAnsi="宋体" w:cs="宋体" w:eastAsia="宋体" w:hint="default"/>
          <w:b/>
          <w:bCs/>
          <w:sz w:val="24"/>
          <w:szCs w:val="24"/>
        </w:rPr>
      </w:pPr>
    </w:p>
    <w:p>
      <w:pPr>
        <w:pStyle w:val="Heading3"/>
        <w:spacing w:line="240" w:lineRule="auto" w:before="0"/>
        <w:ind w:right="1394"/>
        <w:jc w:val="left"/>
        <w:rPr>
          <w:b w:val="0"/>
          <w:bCs w:val="0"/>
        </w:rPr>
      </w:pPr>
      <w:bookmarkStart w:name="（1）在子公司所有者权益份额发生变化的情况说明" w:id="356"/>
      <w:bookmarkEnd w:id="356"/>
      <w:r>
        <w:rPr>
          <w:b w:val="0"/>
          <w:bCs w:val="0"/>
        </w:rPr>
      </w: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5"/>
        <w:rPr>
          <w:rFonts w:ascii="宋体" w:hAnsi="宋体" w:cs="宋体" w:eastAsia="宋体" w:hint="default"/>
          <w:b/>
          <w:bCs/>
          <w:sz w:val="32"/>
          <w:szCs w:val="32"/>
        </w:rPr>
      </w:pPr>
    </w:p>
    <w:p>
      <w:pPr>
        <w:pStyle w:val="BodyText"/>
        <w:spacing w:line="451" w:lineRule="auto"/>
        <w:ind w:right="1132" w:firstLine="360"/>
        <w:jc w:val="both"/>
      </w:pPr>
      <w:r>
        <w:rPr/>
        <w:t>本公司与王朝晖、李翔、冯彬、海玉芳、深圳市创自成长投资企业（有限合伙）</w:t>
      </w:r>
      <w:r>
        <w:rPr>
          <w:rFonts w:ascii="Times New Roman" w:hAnsi="Times New Roman" w:cs="Times New Roman" w:eastAsia="Times New Roman" w:hint="default"/>
        </w:rPr>
        <w:t>5</w:t>
      </w:r>
      <w:r>
        <w:rPr/>
        <w:t>名股东签订《股权转让合同》，约定 </w:t>
      </w:r>
      <w:r>
        <w:rPr>
          <w:spacing w:val="-1"/>
        </w:rPr>
        <w:t>以人民币</w:t>
      </w:r>
      <w:r>
        <w:rPr>
          <w:rFonts w:ascii="Times New Roman" w:hAnsi="Times New Roman" w:cs="Times New Roman" w:eastAsia="Times New Roman" w:hint="default"/>
          <w:spacing w:val="-1"/>
        </w:rPr>
        <w:t>14,196</w:t>
      </w:r>
      <w:r>
        <w:rPr>
          <w:spacing w:val="-1"/>
        </w:rPr>
        <w:t>万元购买剩余</w:t>
      </w:r>
      <w:r>
        <w:rPr>
          <w:rFonts w:ascii="Times New Roman" w:hAnsi="Times New Roman" w:cs="Times New Roman" w:eastAsia="Times New Roman" w:hint="default"/>
          <w:spacing w:val="-1"/>
        </w:rPr>
        <w:t>30%</w:t>
      </w:r>
      <w:r>
        <w:rPr>
          <w:spacing w:val="-1"/>
        </w:rPr>
        <w:t>股权。受让后，本公司持有创自技术股权由</w:t>
      </w:r>
      <w:r>
        <w:rPr>
          <w:rFonts w:ascii="Times New Roman" w:hAnsi="Times New Roman" w:cs="Times New Roman" w:eastAsia="Times New Roman" w:hint="default"/>
          <w:spacing w:val="-1"/>
        </w:rPr>
        <w:t>70%</w:t>
      </w:r>
      <w:r>
        <w:rPr>
          <w:spacing w:val="-1"/>
        </w:rPr>
        <w:t>上升至</w:t>
      </w:r>
      <w:r>
        <w:rPr>
          <w:rFonts w:ascii="Times New Roman" w:hAnsi="Times New Roman" w:cs="Times New Roman" w:eastAsia="Times New Roman" w:hint="default"/>
          <w:spacing w:val="-1"/>
        </w:rPr>
        <w:t>100%</w:t>
      </w:r>
      <w:r>
        <w:rPr>
          <w:spacing w:val="-1"/>
        </w:rPr>
        <w:t>。购买成本与应享有自购买日</w:t>
      </w:r>
      <w:r>
        <w:rPr>
          <w:spacing w:val="-74"/>
        </w:rPr>
        <w:t> </w:t>
      </w:r>
      <w:r>
        <w:rPr>
          <w:spacing w:val="-74"/>
        </w:rPr>
      </w:r>
      <w:r>
        <w:rPr/>
        <w:t>或合并日开始持续计算的净资产份额之间的差额</w:t>
      </w:r>
      <w:r>
        <w:rPr>
          <w:rFonts w:ascii="Times New Roman" w:hAnsi="Times New Roman" w:cs="Times New Roman" w:eastAsia="Times New Roman" w:hint="default"/>
        </w:rPr>
        <w:t>102,869,542.15</w:t>
      </w:r>
      <w:r>
        <w:rPr/>
        <w:t>元计入资本公积。</w:t>
      </w:r>
    </w:p>
    <w:p>
      <w:pPr>
        <w:pStyle w:val="BodyText"/>
        <w:spacing w:line="451" w:lineRule="auto" w:before="84"/>
        <w:ind w:right="1169" w:firstLine="420"/>
        <w:jc w:val="left"/>
      </w:pPr>
      <w:r>
        <w:rPr/>
        <w:t>本公司于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月与广州汇卓投资有限公司（以下简称“广州汇卓”）签订《股权转让合同》，约定以人民币 </w:t>
      </w:r>
      <w:r>
        <w:rPr>
          <w:rFonts w:ascii="Times New Roman" w:hAnsi="Times New Roman" w:cs="Times New Roman" w:eastAsia="Times New Roman" w:hint="default"/>
        </w:rPr>
        <w:t>18,008,789.00</w:t>
      </w:r>
      <w:r>
        <w:rPr/>
        <w:t>元收购广州汇卓持有的广州穗通</w:t>
      </w:r>
      <w:r>
        <w:rPr>
          <w:rFonts w:ascii="Times New Roman" w:hAnsi="Times New Roman" w:cs="Times New Roman" w:eastAsia="Times New Roman" w:hint="default"/>
        </w:rPr>
        <w:t>19%</w:t>
      </w:r>
      <w:r>
        <w:rPr/>
        <w:t>股权。受让后，本公司持有广州穗通股权由</w:t>
      </w:r>
      <w:r>
        <w:rPr>
          <w:rFonts w:ascii="Times New Roman" w:hAnsi="Times New Roman" w:cs="Times New Roman" w:eastAsia="Times New Roman" w:hint="default"/>
        </w:rPr>
        <w:t>51%</w:t>
      </w:r>
      <w:r>
        <w:rPr/>
        <w:t>上升至</w:t>
      </w:r>
      <w:r>
        <w:rPr>
          <w:rFonts w:ascii="Times New Roman" w:hAnsi="Times New Roman" w:cs="Times New Roman" w:eastAsia="Times New Roman" w:hint="default"/>
        </w:rPr>
        <w:t>70%</w:t>
      </w:r>
      <w:r>
        <w:rPr/>
        <w:t>。购买成本与 应享有自购买日或合并日开始持续计算的净资产份额之间的差额</w:t>
      </w:r>
      <w:r>
        <w:rPr>
          <w:rFonts w:ascii="Times New Roman" w:hAnsi="Times New Roman" w:cs="Times New Roman" w:eastAsia="Times New Roman" w:hint="default"/>
        </w:rPr>
        <w:t>5,546,869.00</w:t>
      </w:r>
      <w:r>
        <w:rPr/>
        <w:t>元计入资本公积。</w:t>
      </w:r>
    </w:p>
    <w:p>
      <w:pPr>
        <w:pStyle w:val="BodyText"/>
        <w:spacing w:line="451" w:lineRule="auto" w:before="84"/>
        <w:ind w:right="1156" w:firstLine="420"/>
        <w:jc w:val="both"/>
      </w:pPr>
      <w:r>
        <w:rPr/>
        <w:t>广电安保于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月与保山市永昌投资开发（集团）有限公司（以下简称“保山永昌”）签订《股权转让协议》， 约定以人民币</w:t>
      </w:r>
      <w:r>
        <w:rPr>
          <w:rFonts w:ascii="Times New Roman" w:hAnsi="Times New Roman" w:cs="Times New Roman" w:eastAsia="Times New Roman" w:hint="default"/>
        </w:rPr>
        <w:t>14,686,164.00</w:t>
      </w:r>
      <w:r>
        <w:rPr/>
        <w:t>元收购保山永昌持有的保山安邦</w:t>
      </w:r>
      <w:r>
        <w:rPr>
          <w:rFonts w:ascii="Times New Roman" w:hAnsi="Times New Roman" w:cs="Times New Roman" w:eastAsia="Times New Roman" w:hint="default"/>
        </w:rPr>
        <w:t>51%</w:t>
      </w:r>
      <w:r>
        <w:rPr/>
        <w:t>股权。受让后，广电安保持有保山安邦股权比例由</w:t>
      </w:r>
      <w:r>
        <w:rPr>
          <w:rFonts w:ascii="Times New Roman" w:hAnsi="Times New Roman" w:cs="Times New Roman" w:eastAsia="Times New Roman" w:hint="default"/>
        </w:rPr>
        <w:t>49%</w:t>
      </w:r>
      <w:r>
        <w:rPr/>
        <w:t>上升 至</w:t>
      </w:r>
      <w:r>
        <w:rPr>
          <w:rFonts w:ascii="Times New Roman" w:hAnsi="Times New Roman" w:cs="Times New Roman" w:eastAsia="Times New Roman" w:hint="default"/>
        </w:rPr>
        <w:t>100%</w:t>
      </w:r>
      <w:r>
        <w:rPr/>
        <w:t>。购买成本与应享有自购买日或合并日开始持续计算的净资产份额之间的差额</w:t>
      </w:r>
      <w:r>
        <w:rPr>
          <w:rFonts w:ascii="Times New Roman" w:hAnsi="Times New Roman" w:cs="Times New Roman" w:eastAsia="Times New Roman" w:hint="default"/>
        </w:rPr>
        <w:t>4,285,648.01</w:t>
      </w:r>
      <w:r>
        <w:rPr/>
        <w:t>元计入资本公积。</w:t>
      </w:r>
    </w:p>
    <w:p>
      <w:pPr>
        <w:pStyle w:val="BodyText"/>
        <w:spacing w:line="451" w:lineRule="auto" w:before="82"/>
        <w:ind w:right="1156" w:firstLine="420"/>
        <w:jc w:val="both"/>
      </w:pPr>
      <w:r>
        <w:rPr/>
        <w:t>广电安保于</w:t>
      </w:r>
      <w:r>
        <w:rPr>
          <w:rFonts w:ascii="Times New Roman" w:hAnsi="Times New Roman" w:cs="Times New Roman" w:eastAsia="Times New Roman" w:hint="default"/>
        </w:rPr>
        <w:t>2019</w:t>
      </w:r>
      <w:r>
        <w:rPr/>
        <w:t>年与文山州金盾保安服务有限责任公司（以下简称“文山金盾保安”）签订《增资协议》，约定广电 安保增资</w:t>
      </w:r>
      <w:r>
        <w:rPr>
          <w:rFonts w:ascii="Times New Roman" w:hAnsi="Times New Roman" w:cs="Times New Roman" w:eastAsia="Times New Roman" w:hint="default"/>
        </w:rPr>
        <w:t>184.75</w:t>
      </w:r>
      <w:r>
        <w:rPr/>
        <w:t>万元，文山州金盾保安放弃同比例增资。增资后，广电安保持有文山金盾股权比例由</w:t>
      </w:r>
      <w:r>
        <w:rPr>
          <w:rFonts w:ascii="Times New Roman" w:hAnsi="Times New Roman" w:cs="Times New Roman" w:eastAsia="Times New Roman" w:hint="default"/>
        </w:rPr>
        <w:t>49%</w:t>
      </w:r>
      <w:r>
        <w:rPr/>
        <w:t>上升至</w:t>
      </w:r>
      <w:r>
        <w:rPr>
          <w:rFonts w:ascii="Times New Roman" w:hAnsi="Times New Roman" w:cs="Times New Roman" w:eastAsia="Times New Roman" w:hint="default"/>
        </w:rPr>
        <w:t>51%</w:t>
      </w:r>
      <w:r>
        <w:rPr/>
        <w:t>。增资 前广电安保持有文山金盾账面净资产份额与增资后持有份额之间的差额</w:t>
      </w:r>
      <w:r>
        <w:rPr>
          <w:rFonts w:ascii="Times New Roman" w:hAnsi="Times New Roman" w:cs="Times New Roman" w:eastAsia="Times New Roman" w:hint="default"/>
        </w:rPr>
        <w:t>520,217.08</w:t>
      </w:r>
      <w:r>
        <w:rPr/>
        <w:t>元计入资本公积。</w:t>
      </w:r>
    </w:p>
    <w:p>
      <w:pPr>
        <w:spacing w:line="240" w:lineRule="auto" w:before="6"/>
        <w:rPr>
          <w:rFonts w:ascii="宋体" w:hAnsi="宋体" w:cs="宋体" w:eastAsia="宋体" w:hint="default"/>
          <w:sz w:val="18"/>
          <w:szCs w:val="18"/>
        </w:rPr>
      </w:pPr>
    </w:p>
    <w:p>
      <w:pPr>
        <w:pStyle w:val="Heading3"/>
        <w:spacing w:line="240" w:lineRule="auto" w:before="0"/>
        <w:ind w:right="1394"/>
        <w:jc w:val="left"/>
        <w:rPr>
          <w:b w:val="0"/>
          <w:bCs w:val="0"/>
        </w:rPr>
      </w:pPr>
      <w:bookmarkStart w:name="（2）交易对于少数股东权益及归属于母公司所有者权益的影响" w:id="357"/>
      <w:bookmarkEnd w:id="357"/>
      <w:r>
        <w:rPr>
          <w:b w:val="0"/>
          <w:bCs w:val="0"/>
        </w:rPr>
      </w: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772" w:right="49" w:hanging="720"/>
              <w:jc w:val="left"/>
              <w:rPr>
                <w:rFonts w:ascii="宋体" w:hAnsi="宋体" w:cs="宋体" w:eastAsia="宋体" w:hint="default"/>
                <w:sz w:val="18"/>
                <w:szCs w:val="18"/>
              </w:rPr>
            </w:pPr>
            <w:r>
              <w:rPr>
                <w:rFonts w:ascii="宋体" w:hAnsi="宋体" w:cs="宋体" w:eastAsia="宋体" w:hint="default"/>
                <w:sz w:val="18"/>
                <w:szCs w:val="18"/>
              </w:rPr>
              <w:t>广州穗通金融服务有限 公司</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862" w:right="50" w:hanging="812"/>
              <w:jc w:val="left"/>
              <w:rPr>
                <w:rFonts w:ascii="宋体" w:hAnsi="宋体" w:cs="宋体" w:eastAsia="宋体" w:hint="default"/>
                <w:sz w:val="18"/>
                <w:szCs w:val="18"/>
              </w:rPr>
            </w:pPr>
            <w:r>
              <w:rPr>
                <w:rFonts w:ascii="宋体" w:hAnsi="宋体" w:cs="宋体" w:eastAsia="宋体" w:hint="default"/>
                <w:sz w:val="18"/>
                <w:szCs w:val="18"/>
              </w:rPr>
              <w:t>深圳市创自技术有限公 司</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21" w:right="49" w:hanging="269"/>
              <w:jc w:val="left"/>
              <w:rPr>
                <w:rFonts w:ascii="宋体" w:hAnsi="宋体" w:cs="宋体" w:eastAsia="宋体" w:hint="default"/>
                <w:sz w:val="18"/>
                <w:szCs w:val="18"/>
              </w:rPr>
            </w:pPr>
            <w:r>
              <w:rPr>
                <w:rFonts w:ascii="宋体" w:hAnsi="宋体" w:cs="宋体" w:eastAsia="宋体" w:hint="default"/>
                <w:sz w:val="18"/>
                <w:szCs w:val="18"/>
              </w:rPr>
              <w:t>文山州金盾保安守护押 运有限责任公司</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411" w:right="50" w:hanging="360"/>
              <w:jc w:val="left"/>
              <w:rPr>
                <w:rFonts w:ascii="宋体" w:hAnsi="宋体" w:cs="宋体" w:eastAsia="宋体" w:hint="default"/>
                <w:sz w:val="18"/>
                <w:szCs w:val="18"/>
              </w:rPr>
            </w:pPr>
            <w:r>
              <w:rPr>
                <w:rFonts w:ascii="宋体" w:hAnsi="宋体" w:cs="宋体" w:eastAsia="宋体" w:hint="default"/>
                <w:sz w:val="18"/>
                <w:szCs w:val="18"/>
              </w:rPr>
              <w:t>保山安邦武装守护押运 有限责任公司</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购买成本</w:t>
            </w:r>
            <w:r>
              <w:rPr>
                <w:rFonts w:ascii="Times New Roman" w:hAnsi="Times New Roman" w:cs="Times New Roman" w:eastAsia="Times New Roman" w:hint="default"/>
                <w:sz w:val="18"/>
                <w:szCs w:val="18"/>
              </w:rPr>
              <w:t>/</w:t>
            </w:r>
            <w:r>
              <w:rPr>
                <w:rFonts w:ascii="宋体" w:hAnsi="宋体" w:cs="宋体" w:eastAsia="宋体" w:hint="default"/>
                <w:sz w:val="18"/>
                <w:szCs w:val="18"/>
              </w:rPr>
              <w:t>处置对价</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18,008,789.00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141,960,000.00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1,847,500.00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14,686,164.00</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39"/>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非现金资产的公允价</w:t>
            </w:r>
            <w:r>
              <w:rPr>
                <w:rFonts w:ascii="宋体" w:hAnsi="宋体" w:cs="宋体" w:eastAsia="宋体" w:hint="default"/>
                <w:w w:val="99"/>
                <w:sz w:val="18"/>
                <w:szCs w:val="18"/>
              </w:rPr>
              <w:t> </w:t>
            </w:r>
            <w:r>
              <w:rPr>
                <w:rFonts w:ascii="宋体" w:hAnsi="宋体" w:cs="宋体" w:eastAsia="宋体" w:hint="default"/>
                <w:sz w:val="18"/>
                <w:szCs w:val="18"/>
              </w:rPr>
              <w:t>值</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购买成本</w:t>
            </w:r>
            <w:r>
              <w:rPr>
                <w:rFonts w:ascii="Times New Roman" w:hAnsi="Times New Roman" w:cs="Times New Roman" w:eastAsia="Times New Roman" w:hint="default"/>
                <w:sz w:val="18"/>
                <w:szCs w:val="18"/>
              </w:rPr>
              <w:t>/</w:t>
            </w:r>
            <w:r>
              <w:rPr>
                <w:rFonts w:ascii="宋体" w:hAnsi="宋体" w:cs="宋体" w:eastAsia="宋体" w:hint="default"/>
                <w:sz w:val="18"/>
                <w:szCs w:val="18"/>
              </w:rPr>
              <w:t>处置对价合计</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18,008,789.00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141,960,000.00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1,847,500.00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14,686,164.00</w:t>
            </w:r>
          </w:p>
        </w:tc>
      </w:tr>
      <w:tr>
        <w:trPr>
          <w:trHeight w:val="1026"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9"/>
              <w:jc w:val="both"/>
              <w:rPr>
                <w:rFonts w:ascii="宋体" w:hAnsi="宋体" w:cs="宋体" w:eastAsia="宋体" w:hint="default"/>
                <w:sz w:val="18"/>
                <w:szCs w:val="18"/>
              </w:rPr>
            </w:pPr>
            <w:r>
              <w:rPr>
                <w:rFonts w:ascii="宋体" w:hAnsi="宋体" w:cs="宋体" w:eastAsia="宋体" w:hint="default"/>
                <w:sz w:val="18"/>
                <w:szCs w:val="18"/>
              </w:rPr>
              <w:t>减：按取得</w:t>
            </w:r>
            <w:r>
              <w:rPr>
                <w:rFonts w:ascii="Times New Roman" w:hAnsi="Times New Roman" w:cs="Times New Roman" w:eastAsia="Times New Roman" w:hint="default"/>
                <w:sz w:val="18"/>
                <w:szCs w:val="18"/>
              </w:rPr>
              <w:t>/</w:t>
            </w:r>
            <w:r>
              <w:rPr>
                <w:rFonts w:ascii="宋体" w:hAnsi="宋体" w:cs="宋体" w:eastAsia="宋体" w:hint="default"/>
                <w:sz w:val="18"/>
                <w:szCs w:val="18"/>
              </w:rPr>
              <w:t>处置的股权 比例计算的子公司净资 产份额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12,461,920.00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39,090,457.85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1,289,070.81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10,400,515.98</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差额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5,546,869.00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102,869,542.15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558,429.19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4,285,648.02</w:t>
            </w:r>
          </w:p>
        </w:tc>
      </w:tr>
      <w:tr>
        <w:trPr>
          <w:trHeight w:val="400"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其中：调整资本公积</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5,546,869.00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102,869,542.15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558,429.19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4,285,648.02</w:t>
            </w:r>
          </w:p>
        </w:tc>
      </w:tr>
    </w:tbl>
    <w:p>
      <w:pPr>
        <w:spacing w:after="0" w:line="240" w:lineRule="auto"/>
        <w:jc w:val="right"/>
        <w:rPr>
          <w:rFonts w:ascii="Times New Roman" w:hAnsi="Times New Roman" w:cs="Times New Roman" w:eastAsia="Times New Roman" w:hint="default"/>
          <w:sz w:val="18"/>
          <w:szCs w:val="18"/>
        </w:rPr>
        <w:sectPr>
          <w:pgSz w:w="11910" w:h="16840"/>
          <w:pgMar w:header="878" w:footer="978" w:top="1100" w:bottom="1160" w:left="1020" w:right="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2" w:right="0"/>
              <w:jc w:val="left"/>
              <w:rPr>
                <w:rFonts w:ascii="宋体" w:hAnsi="宋体" w:cs="宋体" w:eastAsia="宋体" w:hint="default"/>
                <w:sz w:val="18"/>
                <w:szCs w:val="18"/>
              </w:rPr>
            </w:pPr>
            <w:r>
              <w:rPr>
                <w:rFonts w:ascii="宋体" w:hAnsi="宋体" w:cs="宋体" w:eastAsia="宋体" w:hint="default"/>
                <w:sz w:val="18"/>
                <w:szCs w:val="18"/>
              </w:rPr>
              <w:t>调整盈余公积</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调整未分配利润</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ind w:right="1394"/>
        <w:jc w:val="left"/>
        <w:rPr>
          <w:b w:val="0"/>
          <w:bCs w:val="0"/>
        </w:rPr>
      </w:pPr>
      <w:bookmarkStart w:name="3、在合营安排或联营企业中的权益" w:id="358"/>
      <w:bookmarkEnd w:id="358"/>
      <w:r>
        <w:rPr>
          <w:b w:val="0"/>
          <w:bCs w:val="0"/>
        </w:rPr>
      </w:r>
      <w:r>
        <w:rPr>
          <w:rFonts w:ascii="Times New Roman" w:hAnsi="Times New Roman" w:cs="Times New Roman" w:eastAsia="Times New Roman" w:hint="default"/>
        </w:rPr>
        <w:t>3</w:t>
      </w:r>
      <w:r>
        <w:rPr/>
        <w:t>、在合营安排或联营企业中的权益</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before="0"/>
        <w:ind w:right="1394"/>
        <w:jc w:val="left"/>
        <w:rPr>
          <w:b w:val="0"/>
          <w:bCs w:val="0"/>
        </w:rPr>
      </w:pPr>
      <w:bookmarkStart w:name="（1）重要的合营企业或联营企业" w:id="359"/>
      <w:bookmarkEnd w:id="359"/>
      <w:r>
        <w:rPr>
          <w:b w:val="0"/>
          <w:bCs w:val="0"/>
        </w:rPr>
      </w: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371"/>
        <w:gridCol w:w="1367"/>
        <w:gridCol w:w="1367"/>
        <w:gridCol w:w="1367"/>
        <w:gridCol w:w="1367"/>
        <w:gridCol w:w="1366"/>
        <w:gridCol w:w="1366"/>
      </w:tblGrid>
      <w:tr>
        <w:trPr>
          <w:trHeight w:val="402" w:hRule="exact"/>
        </w:trPr>
        <w:tc>
          <w:tcPr>
            <w:tcW w:w="13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20" w:right="50" w:hanging="272"/>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8"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7"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371"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0"/>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0"/>
              <w:ind w:left="1"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76"/>
              <w:jc w:val="left"/>
              <w:rPr>
                <w:rFonts w:ascii="宋体" w:hAnsi="宋体" w:cs="宋体" w:eastAsia="宋体" w:hint="default"/>
                <w:sz w:val="18"/>
                <w:szCs w:val="18"/>
              </w:rPr>
            </w:pPr>
            <w:r>
              <w:rPr>
                <w:rFonts w:ascii="宋体" w:hAnsi="宋体" w:cs="宋体" w:eastAsia="宋体" w:hint="default"/>
                <w:sz w:val="18"/>
                <w:szCs w:val="18"/>
              </w:rPr>
              <w:t>广州广电计量检 测股份有限公司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检测计量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870" w:right="0"/>
              <w:jc w:val="left"/>
              <w:rPr>
                <w:rFonts w:ascii="Times New Roman" w:hAnsi="Times New Roman" w:cs="Times New Roman" w:eastAsia="Times New Roman" w:hint="default"/>
                <w:sz w:val="18"/>
                <w:szCs w:val="18"/>
              </w:rPr>
            </w:pPr>
            <w:r>
              <w:rPr>
                <w:rFonts w:ascii="Times New Roman"/>
                <w:sz w:val="18"/>
              </w:rPr>
              <w:t>9.25%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spacing w:line="240" w:lineRule="auto" w:before="2"/>
        <w:rPr>
          <w:rFonts w:ascii="宋体" w:hAnsi="宋体" w:cs="宋体" w:eastAsia="宋体" w:hint="default"/>
          <w:b/>
          <w:bCs/>
          <w:sz w:val="19"/>
          <w:szCs w:val="19"/>
        </w:rPr>
      </w:pPr>
    </w:p>
    <w:p>
      <w:pPr>
        <w:pStyle w:val="Heading3"/>
        <w:spacing w:line="240" w:lineRule="auto"/>
        <w:ind w:left="0" w:right="7391"/>
        <w:jc w:val="center"/>
        <w:rPr>
          <w:b w:val="0"/>
          <w:bCs w:val="0"/>
        </w:rPr>
      </w:pPr>
      <w:bookmarkStart w:name="（2）重要合营企业的主要财务信息" w:id="360"/>
      <w:bookmarkEnd w:id="360"/>
      <w:r>
        <w:rPr>
          <w:b w:val="0"/>
          <w:bCs w:val="0"/>
        </w:rPr>
      </w: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0" w:right="7478"/>
        <w:jc w:val="center"/>
      </w:pPr>
      <w:r>
        <w:rPr/>
        <w:t>公司本期没有重要合营企业。</w:t>
      </w:r>
    </w:p>
    <w:p>
      <w:pPr>
        <w:spacing w:line="240" w:lineRule="auto" w:before="0"/>
        <w:rPr>
          <w:rFonts w:ascii="宋体" w:hAnsi="宋体" w:cs="宋体" w:eastAsia="宋体" w:hint="default"/>
          <w:sz w:val="18"/>
          <w:szCs w:val="18"/>
        </w:rPr>
      </w:pPr>
    </w:p>
    <w:p>
      <w:pPr>
        <w:pStyle w:val="Heading3"/>
        <w:spacing w:line="240" w:lineRule="auto" w:before="118"/>
        <w:ind w:left="0" w:right="7391"/>
        <w:jc w:val="center"/>
        <w:rPr>
          <w:b w:val="0"/>
          <w:bCs w:val="0"/>
        </w:rPr>
      </w:pPr>
      <w:bookmarkStart w:name="（3）重要联营企业的主要财务信息" w:id="361"/>
      <w:bookmarkEnd w:id="361"/>
      <w:r>
        <w:rPr>
          <w:b w:val="0"/>
          <w:bCs w:val="0"/>
        </w:rPr>
      </w: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4"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3"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9" w:right="0"/>
              <w:jc w:val="left"/>
              <w:rPr>
                <w:rFonts w:ascii="宋体" w:hAnsi="宋体" w:cs="宋体" w:eastAsia="宋体" w:hint="default"/>
                <w:sz w:val="18"/>
                <w:szCs w:val="18"/>
              </w:rPr>
            </w:pPr>
            <w:r>
              <w:rPr>
                <w:rFonts w:ascii="宋体" w:hAnsi="宋体" w:cs="宋体" w:eastAsia="宋体" w:hint="default"/>
                <w:sz w:val="18"/>
                <w:szCs w:val="18"/>
              </w:rPr>
              <w:t>广州广电计量检测股份有限公司</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9" w:right="0"/>
              <w:jc w:val="left"/>
              <w:rPr>
                <w:rFonts w:ascii="宋体" w:hAnsi="宋体" w:cs="宋体" w:eastAsia="宋体" w:hint="default"/>
                <w:sz w:val="18"/>
                <w:szCs w:val="18"/>
              </w:rPr>
            </w:pPr>
            <w:r>
              <w:rPr>
                <w:rFonts w:ascii="宋体" w:hAnsi="宋体" w:cs="宋体" w:eastAsia="宋体" w:hint="default"/>
                <w:sz w:val="18"/>
                <w:szCs w:val="18"/>
              </w:rPr>
              <w:t>广州广电计量检测股份有限公司</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1,477,308,907.60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944,851,856.68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1,428,864,214.02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1,061,435,074.09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2,906,173,121.62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2,006,286,930.77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1,109,436,415.82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958,101,198.80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267,852,847.48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249,932,481.83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1,377,289,263.30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1,208,033,680.63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2,446,074.24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6,139,833.25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1,526,437,784.08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792,113,416.89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按持股比例计算的净资产份额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141,195,495.03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97,746,795.64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调整事项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306,299,903.03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408,199,478.51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商誉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306,299,903.03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408,199,478.51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内部交易未实现利润</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对联营企业权益投资的账面价值</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447,495,398.06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505,946,274.15</w:t>
            </w:r>
          </w:p>
        </w:tc>
      </w:tr>
      <w:tr>
        <w:trPr>
          <w:trHeight w:val="71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95"/>
              <w:jc w:val="left"/>
              <w:rPr>
                <w:rFonts w:ascii="宋体" w:hAnsi="宋体" w:cs="宋体" w:eastAsia="宋体" w:hint="default"/>
                <w:sz w:val="18"/>
                <w:szCs w:val="18"/>
              </w:rPr>
            </w:pPr>
            <w:r>
              <w:rPr>
                <w:rFonts w:ascii="宋体" w:hAnsi="宋体" w:cs="宋体" w:eastAsia="宋体" w:hint="default"/>
                <w:sz w:val="18"/>
                <w:szCs w:val="18"/>
              </w:rPr>
              <w:t>存在公开报价的联营企业权益投资的公 允价值</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8" w:footer="978" w:top="1100" w:bottom="1160" w:left="1020" w:right="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1,588,156,735.06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1,227,882,351.47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169,785,244.03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123,093,782.56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终止经营的净利润</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169,785,244.03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123,093,782.56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本年度收到的来自联营企业的股利</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4,500,000.00</w:t>
            </w:r>
          </w:p>
        </w:tc>
      </w:tr>
    </w:tbl>
    <w:p>
      <w:pPr>
        <w:spacing w:line="240" w:lineRule="auto" w:before="3"/>
        <w:rPr>
          <w:rFonts w:ascii="宋体" w:hAnsi="宋体" w:cs="宋体" w:eastAsia="宋体" w:hint="default"/>
          <w:sz w:val="19"/>
          <w:szCs w:val="19"/>
        </w:rPr>
      </w:pPr>
    </w:p>
    <w:p>
      <w:pPr>
        <w:pStyle w:val="Heading3"/>
        <w:spacing w:line="240" w:lineRule="auto"/>
        <w:ind w:right="1394"/>
        <w:jc w:val="left"/>
        <w:rPr>
          <w:b w:val="0"/>
          <w:bCs w:val="0"/>
        </w:rPr>
      </w:pPr>
      <w:bookmarkStart w:name="（4）不重要的合营企业和联营企业的汇总财务信息" w:id="362"/>
      <w:bookmarkEnd w:id="362"/>
      <w:r>
        <w:rPr>
          <w:b w:val="0"/>
          <w:bCs w:val="0"/>
        </w:rPr>
      </w: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3"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152,400,666.49</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120,518,347.59</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-952,409.63</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-1,653,898.23</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其他综合收益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20"/>
                <w:szCs w:val="20"/>
              </w:rPr>
            </w:pPr>
            <w:r>
              <w:rPr>
                <w:rFonts w:ascii="Times New Roman"/>
                <w:spacing w:val="-1"/>
                <w:sz w:val="20"/>
              </w:rPr>
              <w:t>4,128.91</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8"/>
              <w:jc w:val="right"/>
              <w:rPr>
                <w:rFonts w:ascii="Times New Roman" w:hAnsi="Times New Roman" w:cs="Times New Roman" w:eastAsia="Times New Roman" w:hint="default"/>
                <w:sz w:val="20"/>
                <w:szCs w:val="20"/>
              </w:rPr>
            </w:pPr>
            <w:r>
              <w:rPr>
                <w:rFonts w:ascii="Times New Roman"/>
                <w:w w:val="95"/>
                <w:sz w:val="20"/>
              </w:rPr>
              <w:t>-948,280.72</w:t>
            </w:r>
            <w:r>
              <w:rPr>
                <w:rFonts w:ascii="Times New Roman"/>
                <w:sz w:val="20"/>
              </w:rPr>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-1,653,898.23</w:t>
            </w:r>
          </w:p>
        </w:tc>
      </w:tr>
    </w:tbl>
    <w:p>
      <w:pPr>
        <w:spacing w:line="240" w:lineRule="auto" w:before="4"/>
        <w:rPr>
          <w:rFonts w:ascii="宋体" w:hAnsi="宋体" w:cs="宋体" w:eastAsia="宋体" w:hint="default"/>
          <w:sz w:val="19"/>
          <w:szCs w:val="19"/>
        </w:rPr>
      </w:pPr>
    </w:p>
    <w:p>
      <w:pPr>
        <w:spacing w:line="506" w:lineRule="auto" w:before="34"/>
        <w:ind w:left="429" w:right="1394" w:hanging="317"/>
        <w:jc w:val="left"/>
        <w:rPr>
          <w:rFonts w:ascii="宋体" w:hAnsi="宋体" w:cs="宋体" w:eastAsia="宋体" w:hint="default"/>
          <w:sz w:val="21"/>
          <w:szCs w:val="21"/>
        </w:rPr>
      </w:pPr>
      <w:bookmarkStart w:name="（5）合营企业或联营企业向本公司转移资金的能力存在重大限制的说明" w:id="363"/>
      <w:bookmarkEnd w:id="36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）合营企业或联营企业向本公司转移资金的能力存在重大限制的说明</w:t>
      </w:r>
      <w:r>
        <w:rPr>
          <w:rFonts w:ascii="宋体" w:hAnsi="宋体" w:cs="宋体" w:eastAsia="宋体" w:hint="default"/>
          <w:b/>
          <w:bCs/>
          <w:w w:val="99"/>
          <w:sz w:val="21"/>
          <w:szCs w:val="21"/>
        </w:rPr>
        <w:t> </w:t>
      </w:r>
      <w:r>
        <w:rPr>
          <w:rFonts w:ascii="宋体" w:hAnsi="宋体" w:cs="宋体" w:eastAsia="宋体" w:hint="default"/>
          <w:w w:val="95"/>
          <w:sz w:val="21"/>
          <w:szCs w:val="21"/>
        </w:rPr>
        <w:t>公司本期没有合营企业或联营企业向本公司转移资金的能力存在重大限制的情况。</w:t>
      </w:r>
      <w:r>
        <w:rPr>
          <w:rFonts w:ascii="宋体" w:hAnsi="宋体" w:cs="宋体" w:eastAsia="宋体" w:hint="default"/>
          <w:sz w:val="21"/>
          <w:szCs w:val="21"/>
        </w:rPr>
      </w:r>
    </w:p>
    <w:p>
      <w:pPr>
        <w:spacing w:line="506" w:lineRule="auto" w:before="106"/>
        <w:ind w:left="429" w:right="2654" w:hanging="317"/>
        <w:jc w:val="left"/>
        <w:rPr>
          <w:rFonts w:ascii="宋体" w:hAnsi="宋体" w:cs="宋体" w:eastAsia="宋体" w:hint="default"/>
          <w:sz w:val="21"/>
          <w:szCs w:val="21"/>
        </w:rPr>
      </w:pPr>
      <w:bookmarkStart w:name="（6）合营企业或联营企业发生的超额亏损" w:id="364"/>
      <w:bookmarkEnd w:id="36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）合营企业或联营企业发生的超额亏损</w:t>
      </w:r>
      <w:r>
        <w:rPr>
          <w:rFonts w:ascii="宋体" w:hAnsi="宋体" w:cs="宋体" w:eastAsia="宋体" w:hint="default"/>
          <w:b/>
          <w:bCs/>
          <w:w w:val="99"/>
          <w:sz w:val="21"/>
          <w:szCs w:val="21"/>
        </w:rPr>
        <w:t> </w:t>
      </w:r>
      <w:r>
        <w:rPr>
          <w:rFonts w:ascii="宋体" w:hAnsi="宋体" w:cs="宋体" w:eastAsia="宋体" w:hint="default"/>
          <w:w w:val="95"/>
          <w:sz w:val="21"/>
          <w:szCs w:val="21"/>
        </w:rPr>
        <w:t>公司的合营企业或联营企业本期没有发生的超额亏损。</w:t>
      </w:r>
      <w:r>
        <w:rPr>
          <w:rFonts w:ascii="宋体" w:hAnsi="宋体" w:cs="宋体" w:eastAsia="宋体" w:hint="default"/>
          <w:sz w:val="21"/>
          <w:szCs w:val="21"/>
        </w:rPr>
      </w:r>
    </w:p>
    <w:p>
      <w:pPr>
        <w:spacing w:line="506" w:lineRule="auto" w:before="104"/>
        <w:ind w:left="324" w:right="5984" w:hanging="212"/>
        <w:jc w:val="left"/>
        <w:rPr>
          <w:rFonts w:ascii="宋体" w:hAnsi="宋体" w:cs="宋体" w:eastAsia="宋体" w:hint="default"/>
          <w:sz w:val="21"/>
          <w:szCs w:val="21"/>
        </w:rPr>
      </w:pPr>
      <w:bookmarkStart w:name="（7）与合营企业投资相关的未确认承诺" w:id="365"/>
      <w:bookmarkEnd w:id="36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）与合营企业投资相关的未确认承诺</w:t>
      </w:r>
      <w:r>
        <w:rPr>
          <w:rFonts w:ascii="宋体" w:hAnsi="宋体" w:cs="宋体" w:eastAsia="宋体" w:hint="default"/>
          <w:b/>
          <w:bCs/>
          <w:w w:val="99"/>
          <w:sz w:val="21"/>
          <w:szCs w:val="21"/>
        </w:rPr>
        <w:t> </w:t>
      </w:r>
      <w:r>
        <w:rPr>
          <w:rFonts w:ascii="宋体" w:hAnsi="宋体" w:cs="宋体" w:eastAsia="宋体" w:hint="default"/>
          <w:w w:val="95"/>
          <w:sz w:val="21"/>
          <w:szCs w:val="21"/>
        </w:rPr>
        <w:t>公司本期没有与合营企业投资相关的未确认承诺。</w:t>
      </w:r>
      <w:r>
        <w:rPr>
          <w:rFonts w:ascii="宋体" w:hAnsi="宋体" w:cs="宋体" w:eastAsia="宋体" w:hint="default"/>
          <w:sz w:val="21"/>
          <w:szCs w:val="21"/>
        </w:rPr>
      </w:r>
    </w:p>
    <w:p>
      <w:pPr>
        <w:spacing w:line="506" w:lineRule="auto" w:before="106"/>
        <w:ind w:left="429" w:right="1394" w:hanging="317"/>
        <w:jc w:val="left"/>
        <w:rPr>
          <w:rFonts w:ascii="宋体" w:hAnsi="宋体" w:cs="宋体" w:eastAsia="宋体" w:hint="default"/>
          <w:sz w:val="21"/>
          <w:szCs w:val="21"/>
        </w:rPr>
      </w:pPr>
      <w:bookmarkStart w:name="（8）与合营企业或联营企业投资相关的或有负债" w:id="366"/>
      <w:bookmarkEnd w:id="36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）与合营企业或联营企业投资相关的或有负债</w:t>
      </w:r>
      <w:r>
        <w:rPr>
          <w:rFonts w:ascii="宋体" w:hAnsi="宋体" w:cs="宋体" w:eastAsia="宋体" w:hint="default"/>
          <w:b/>
          <w:bCs/>
          <w:w w:val="99"/>
          <w:sz w:val="21"/>
          <w:szCs w:val="21"/>
        </w:rPr>
        <w:t> </w:t>
      </w:r>
      <w:r>
        <w:rPr>
          <w:rFonts w:ascii="宋体" w:hAnsi="宋体" w:cs="宋体" w:eastAsia="宋体" w:hint="default"/>
          <w:w w:val="95"/>
          <w:sz w:val="21"/>
          <w:szCs w:val="21"/>
        </w:rPr>
        <w:t>公司本期没有与合营企业或联营企业投资相关的或有负债。</w:t>
      </w:r>
      <w:r>
        <w:rPr>
          <w:rFonts w:ascii="宋体" w:hAnsi="宋体" w:cs="宋体" w:eastAsia="宋体" w:hint="default"/>
          <w:sz w:val="21"/>
          <w:szCs w:val="21"/>
        </w:rPr>
      </w:r>
    </w:p>
    <w:p>
      <w:pPr>
        <w:spacing w:line="506" w:lineRule="auto" w:before="104"/>
        <w:ind w:left="429" w:right="7497" w:hanging="317"/>
        <w:jc w:val="left"/>
        <w:rPr>
          <w:rFonts w:ascii="宋体" w:hAnsi="宋体" w:cs="宋体" w:eastAsia="宋体" w:hint="default"/>
          <w:sz w:val="21"/>
          <w:szCs w:val="21"/>
        </w:rPr>
      </w:pPr>
      <w:bookmarkStart w:name="4、重要的共同经营" w:id="367"/>
      <w:bookmarkEnd w:id="367"/>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、重要的共同经营</w:t>
      </w:r>
      <w:r>
        <w:rPr>
          <w:rFonts w:ascii="宋体" w:hAnsi="宋体" w:cs="宋体" w:eastAsia="宋体" w:hint="default"/>
          <w:b/>
          <w:bCs/>
          <w:w w:val="99"/>
          <w:sz w:val="21"/>
          <w:szCs w:val="21"/>
        </w:rPr>
        <w:t> </w:t>
      </w:r>
      <w:r>
        <w:rPr>
          <w:rFonts w:ascii="宋体" w:hAnsi="宋体" w:cs="宋体" w:eastAsia="宋体" w:hint="default"/>
          <w:sz w:val="21"/>
          <w:szCs w:val="21"/>
        </w:rPr>
        <w:t>公司本期没有重要的共同经营。</w:t>
      </w:r>
    </w:p>
    <w:p>
      <w:pPr>
        <w:spacing w:line="506" w:lineRule="auto" w:before="106"/>
        <w:ind w:left="429" w:right="1394" w:hanging="317"/>
        <w:jc w:val="left"/>
        <w:rPr>
          <w:rFonts w:ascii="宋体" w:hAnsi="宋体" w:cs="宋体" w:eastAsia="宋体" w:hint="default"/>
          <w:sz w:val="21"/>
          <w:szCs w:val="21"/>
        </w:rPr>
      </w:pPr>
      <w:bookmarkStart w:name="5、在未纳入合并财务报表范围的结构化主体中的权益" w:id="368"/>
      <w:bookmarkEnd w:id="368"/>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、在未纳入合并财务报表范围的结构化主体中的权益</w:t>
      </w:r>
      <w:r>
        <w:rPr>
          <w:rFonts w:ascii="宋体" w:hAnsi="宋体" w:cs="宋体" w:eastAsia="宋体" w:hint="default"/>
          <w:b/>
          <w:bCs/>
          <w:w w:val="99"/>
          <w:sz w:val="21"/>
          <w:szCs w:val="21"/>
        </w:rPr>
        <w:t> </w:t>
      </w:r>
      <w:r>
        <w:rPr>
          <w:rFonts w:ascii="宋体" w:hAnsi="宋体" w:cs="宋体" w:eastAsia="宋体" w:hint="default"/>
          <w:w w:val="95"/>
          <w:sz w:val="21"/>
          <w:szCs w:val="21"/>
        </w:rPr>
        <w:t>公司本期没有未纳入合并财务报表范围的结构化主体。</w:t>
      </w:r>
      <w:r>
        <w:rPr>
          <w:rFonts w:ascii="宋体" w:hAnsi="宋体" w:cs="宋体" w:eastAsia="宋体" w:hint="default"/>
          <w:sz w:val="21"/>
          <w:szCs w:val="21"/>
        </w:rPr>
      </w:r>
    </w:p>
    <w:p>
      <w:pPr>
        <w:spacing w:after="0" w:line="506" w:lineRule="auto"/>
        <w:jc w:val="left"/>
        <w:rPr>
          <w:rFonts w:ascii="宋体" w:hAnsi="宋体" w:cs="宋体" w:eastAsia="宋体" w:hint="default"/>
          <w:sz w:val="21"/>
          <w:szCs w:val="21"/>
        </w:rPr>
        <w:sectPr>
          <w:pgSz w:w="11910" w:h="16840"/>
          <w:pgMar w:header="878" w:footer="978" w:top="1100" w:bottom="1160" w:left="1020" w:right="0"/>
        </w:sectPr>
      </w:pPr>
    </w:p>
    <w:p>
      <w:pPr>
        <w:spacing w:line="240" w:lineRule="auto" w:before="10"/>
        <w:rPr>
          <w:rFonts w:ascii="宋体" w:hAnsi="宋体" w:cs="宋体" w:eastAsia="宋体" w:hint="default"/>
          <w:sz w:val="19"/>
          <w:szCs w:val="19"/>
        </w:rPr>
      </w:pPr>
    </w:p>
    <w:p>
      <w:pPr>
        <w:pStyle w:val="Heading2"/>
        <w:spacing w:line="240" w:lineRule="auto" w:before="26"/>
        <w:ind w:right="1394"/>
        <w:jc w:val="left"/>
        <w:rPr>
          <w:b w:val="0"/>
          <w:bCs w:val="0"/>
        </w:rPr>
      </w:pPr>
      <w:bookmarkStart w:name="十、与金融工具相关的风险" w:id="369"/>
      <w:bookmarkEnd w:id="369"/>
      <w:r>
        <w:rPr>
          <w:b w:val="0"/>
          <w:bCs w:val="0"/>
        </w:rPr>
      </w:r>
      <w:r>
        <w:rPr/>
        <w:t>十、与金融工具相关的风险</w:t>
      </w:r>
      <w:r>
        <w:rPr>
          <w:b w:val="0"/>
          <w:bCs w:val="0"/>
        </w:rPr>
      </w:r>
    </w:p>
    <w:p>
      <w:pPr>
        <w:spacing w:line="240" w:lineRule="auto" w:before="7"/>
        <w:rPr>
          <w:rFonts w:ascii="宋体" w:hAnsi="宋体" w:cs="宋体" w:eastAsia="宋体" w:hint="default"/>
          <w:b/>
          <w:bCs/>
          <w:sz w:val="32"/>
          <w:szCs w:val="32"/>
        </w:rPr>
      </w:pPr>
    </w:p>
    <w:p>
      <w:pPr>
        <w:pStyle w:val="BodyText"/>
        <w:spacing w:line="477" w:lineRule="auto"/>
        <w:ind w:right="1132" w:firstLine="420"/>
        <w:jc w:val="both"/>
      </w:pPr>
      <w:r>
        <w:rPr/>
        <w:t>本公司在经营过程中面临各种金融风险：信用风险、市场风险和流动性风险。公司董事会全面负责风险管理目标和政 </w:t>
      </w:r>
      <w:r>
        <w:rPr>
          <w:spacing w:val="-2"/>
        </w:rPr>
        <w:t>策的确定，并对风险管理目标和政策承担最终责任，但是董事会已授权本公司经营管理层设计和实施能确保风险管理目标和</w:t>
      </w:r>
      <w:r>
        <w:rPr>
          <w:spacing w:val="-64"/>
        </w:rPr>
        <w:t> </w:t>
      </w:r>
      <w:r>
        <w:rPr>
          <w:spacing w:val="-64"/>
        </w:rPr>
      </w:r>
      <w:r>
        <w:rPr>
          <w:spacing w:val="-2"/>
        </w:rPr>
        <w:t>政策得以有效执行的程序。董事会通过职能部门递交的月度报告来审查已执行程序的有效性以及风险管理目标和政策的合理</w:t>
      </w:r>
      <w:r>
        <w:rPr>
          <w:spacing w:val="-64"/>
        </w:rPr>
        <w:t> </w:t>
      </w:r>
      <w:r>
        <w:rPr>
          <w:spacing w:val="-64"/>
        </w:rPr>
      </w:r>
      <w:r>
        <w:rPr/>
        <w:t>性。本公司的内部审计师也会审计风险管理的政策和程序，并且将有关发现汇报给审计委员会。</w:t>
      </w:r>
    </w:p>
    <w:p>
      <w:pPr>
        <w:pStyle w:val="BodyText"/>
        <w:spacing w:line="240" w:lineRule="auto" w:before="92"/>
        <w:ind w:left="532" w:right="0"/>
        <w:jc w:val="left"/>
      </w:pPr>
      <w:r>
        <w:rPr/>
        <w:t>本公司风险管理的总体目标是在不过度影响公司竞争力和应变力的情况下，制定尽可能降低风险的风险管理政策。</w:t>
      </w:r>
    </w:p>
    <w:p>
      <w:pPr>
        <w:spacing w:line="240" w:lineRule="auto" w:before="12"/>
        <w:rPr>
          <w:rFonts w:ascii="宋体" w:hAnsi="宋体" w:cs="宋体" w:eastAsia="宋体" w:hint="default"/>
          <w:sz w:val="20"/>
          <w:szCs w:val="20"/>
        </w:rPr>
      </w:pPr>
    </w:p>
    <w:p>
      <w:pPr>
        <w:pStyle w:val="Heading6"/>
        <w:spacing w:line="240" w:lineRule="auto"/>
        <w:ind w:left="112" w:right="1394"/>
        <w:jc w:val="left"/>
        <w:rPr>
          <w:b w:val="0"/>
          <w:bCs w:val="0"/>
        </w:rPr>
      </w:pPr>
      <w:r>
        <w:rPr>
          <w:rFonts w:ascii="Times New Roman" w:hAnsi="Times New Roman" w:cs="Times New Roman" w:eastAsia="Times New Roman" w:hint="default"/>
        </w:rPr>
        <w:t>1</w:t>
      </w:r>
      <w:r>
        <w:rPr/>
        <w:t>、信用风险</w:t>
      </w:r>
      <w:r>
        <w:rPr>
          <w:b w:val="0"/>
          <w:bCs w:val="0"/>
        </w:rPr>
      </w:r>
    </w:p>
    <w:p>
      <w:pPr>
        <w:spacing w:line="240" w:lineRule="auto" w:before="11"/>
        <w:rPr>
          <w:rFonts w:ascii="宋体" w:hAnsi="宋体" w:cs="宋体" w:eastAsia="宋体" w:hint="default"/>
          <w:b/>
          <w:bCs/>
          <w:sz w:val="19"/>
          <w:szCs w:val="19"/>
        </w:rPr>
      </w:pPr>
    </w:p>
    <w:p>
      <w:pPr>
        <w:pStyle w:val="BodyText"/>
        <w:spacing w:line="477" w:lineRule="auto"/>
        <w:ind w:right="1130" w:firstLine="420"/>
        <w:jc w:val="both"/>
      </w:pPr>
      <w:r>
        <w:rPr/>
        <w:t>信用风险是指金融工具的一方不履行义务，造成另一方发生财务损失的风险。本公司主要面临赊销导致的客户信用风 </w:t>
      </w:r>
      <w:r>
        <w:rPr>
          <w:spacing w:val="-2"/>
        </w:rPr>
        <w:t>险。在签订新合同之前，本公司会对新客户的信用风险进行评估，包括外部信用评级和在某些情况下的银行资信证明（当此</w:t>
      </w:r>
      <w:r>
        <w:rPr>
          <w:spacing w:val="-64"/>
        </w:rPr>
        <w:t> </w:t>
      </w:r>
      <w:r>
        <w:rPr>
          <w:spacing w:val="-64"/>
        </w:rPr>
      </w:r>
      <w:r>
        <w:rPr/>
        <w:t>信息可获取时）。公司对每一客户均设置了赊销限额，该限额为无需获得额外批准的最大额度。</w:t>
      </w:r>
    </w:p>
    <w:p>
      <w:pPr>
        <w:pStyle w:val="BodyText"/>
        <w:spacing w:line="477" w:lineRule="auto" w:before="92"/>
        <w:ind w:right="1130" w:firstLine="420"/>
        <w:jc w:val="both"/>
      </w:pPr>
      <w:r>
        <w:rPr/>
        <w:t>公司通过对已有客户信用评级的季度监控以及应收账款账龄分析的月度审核来确保公司的整体信用风险在可控的范围 </w:t>
      </w:r>
      <w:r>
        <w:rPr>
          <w:spacing w:val="-2"/>
        </w:rPr>
        <w:t>内。在监控客户的信用风险时，按照客户的信用特征对其分组。被评为“高风险”级别的客户会放在受限制客户名单里，并</w:t>
      </w:r>
      <w:r>
        <w:rPr>
          <w:spacing w:val="-63"/>
        </w:rPr>
        <w:t> </w:t>
      </w:r>
      <w:r>
        <w:rPr>
          <w:spacing w:val="-63"/>
        </w:rPr>
      </w:r>
      <w:r>
        <w:rPr/>
        <w:t>且只有在额外批准的前提下，公司才可在未来期间内对其赊销，否则必须要求其提前支付相应款项。</w:t>
      </w:r>
    </w:p>
    <w:p>
      <w:pPr>
        <w:pStyle w:val="Heading6"/>
        <w:spacing w:line="240" w:lineRule="auto" w:before="95"/>
        <w:ind w:left="112" w:right="1394"/>
        <w:jc w:val="left"/>
        <w:rPr>
          <w:b w:val="0"/>
          <w:bCs w:val="0"/>
        </w:rPr>
      </w:pPr>
      <w:r>
        <w:rPr>
          <w:rFonts w:ascii="Times New Roman" w:hAnsi="Times New Roman" w:cs="Times New Roman" w:eastAsia="Times New Roman" w:hint="default"/>
        </w:rPr>
        <w:t>2</w:t>
      </w:r>
      <w:r>
        <w:rPr/>
        <w:t>、市场风险</w:t>
      </w:r>
      <w:r>
        <w:rPr>
          <w:b w:val="0"/>
          <w:bCs w:val="0"/>
        </w:rPr>
      </w:r>
    </w:p>
    <w:p>
      <w:pPr>
        <w:spacing w:line="240" w:lineRule="auto" w:before="11"/>
        <w:rPr>
          <w:rFonts w:ascii="宋体" w:hAnsi="宋体" w:cs="宋体" w:eastAsia="宋体" w:hint="default"/>
          <w:b/>
          <w:bCs/>
          <w:sz w:val="19"/>
          <w:szCs w:val="19"/>
        </w:rPr>
      </w:pPr>
    </w:p>
    <w:p>
      <w:pPr>
        <w:pStyle w:val="BodyText"/>
        <w:spacing w:line="477" w:lineRule="auto"/>
        <w:ind w:right="1132" w:firstLine="420"/>
        <w:jc w:val="both"/>
      </w:pPr>
      <w:r>
        <w:rPr/>
        <w:t>金融工具的市场风险，是指金融工具的公允价值或未来现金流量因市场价格变动而发生波动的风险，包括汇率风险和 其他价格风险。</w:t>
      </w:r>
    </w:p>
    <w:p>
      <w:pPr>
        <w:pStyle w:val="Heading6"/>
        <w:spacing w:line="240" w:lineRule="auto" w:before="92"/>
        <w:ind w:left="112" w:right="1394"/>
        <w:jc w:val="left"/>
        <w:rPr>
          <w:b w:val="0"/>
          <w:bCs w:val="0"/>
        </w:rPr>
      </w:pPr>
      <w:r>
        <w:rPr/>
        <w:t>（</w:t>
      </w:r>
      <w:r>
        <w:rPr>
          <w:rFonts w:ascii="Times New Roman" w:hAnsi="Times New Roman" w:cs="Times New Roman" w:eastAsia="Times New Roman" w:hint="default"/>
        </w:rPr>
        <w:t>1</w:t>
      </w:r>
      <w:r>
        <w:rPr/>
        <w:t>）汇率风险</w:t>
      </w:r>
      <w:r>
        <w:rPr>
          <w:b w:val="0"/>
          <w:bCs w:val="0"/>
        </w:rPr>
      </w:r>
    </w:p>
    <w:p>
      <w:pPr>
        <w:spacing w:line="240" w:lineRule="auto" w:before="11"/>
        <w:rPr>
          <w:rFonts w:ascii="宋体" w:hAnsi="宋体" w:cs="宋体" w:eastAsia="宋体" w:hint="default"/>
          <w:b/>
          <w:bCs/>
          <w:sz w:val="19"/>
          <w:szCs w:val="19"/>
        </w:rPr>
      </w:pPr>
    </w:p>
    <w:p>
      <w:pPr>
        <w:pStyle w:val="BodyText"/>
        <w:spacing w:line="463" w:lineRule="auto"/>
        <w:ind w:right="1130" w:firstLine="420"/>
        <w:jc w:val="both"/>
      </w:pPr>
      <w:r>
        <w:rPr/>
        <w:t>汇率风险，是指金融工具的公允价值或未来现金流量因外汇汇率变动而发生波动的风险。本公司尽可能将外币收入与 </w:t>
      </w:r>
      <w:r>
        <w:rPr>
          <w:spacing w:val="-2"/>
        </w:rPr>
        <w:t>外币支出相匹配以降低汇率风险。由于外币金融资产和负债占总资产比重较小，</w:t>
      </w:r>
      <w:r>
        <w:rPr>
          <w:rFonts w:ascii="Times New Roman" w:hAnsi="Times New Roman" w:cs="Times New Roman" w:eastAsia="Times New Roman" w:hint="default"/>
          <w:spacing w:val="-2"/>
        </w:rPr>
        <w:t>2019</w:t>
      </w:r>
      <w:r>
        <w:rPr>
          <w:spacing w:val="-2"/>
        </w:rPr>
        <w:t>年度及</w:t>
      </w:r>
      <w:r>
        <w:rPr>
          <w:rFonts w:ascii="Times New Roman" w:hAnsi="Times New Roman" w:cs="Times New Roman" w:eastAsia="Times New Roman" w:hint="default"/>
          <w:spacing w:val="-2"/>
        </w:rPr>
        <w:t>2018</w:t>
      </w:r>
      <w:r>
        <w:rPr>
          <w:spacing w:val="-2"/>
        </w:rPr>
        <w:t>年度，本公司未签署任何远</w:t>
      </w:r>
      <w:r>
        <w:rPr>
          <w:spacing w:val="-59"/>
        </w:rPr>
        <w:t> </w:t>
      </w:r>
      <w:r>
        <w:rPr>
          <w:spacing w:val="-59"/>
        </w:rPr>
      </w:r>
      <w:r>
        <w:rPr/>
        <w:t>期外汇合约或货币互换合约。</w:t>
      </w:r>
    </w:p>
    <w:p>
      <w:pPr>
        <w:pStyle w:val="BodyText"/>
        <w:spacing w:line="477" w:lineRule="auto" w:before="106"/>
        <w:ind w:right="1132" w:firstLine="420"/>
        <w:jc w:val="both"/>
      </w:pPr>
      <w:r>
        <w:rPr/>
        <w:t>本公司面临的汇率风险主要来源于以美元、港元、欧元等计价的金融资产和金融负债，外币金融资产和外币金融负债 折算成人民币的金额列示如下：</w:t>
      </w:r>
    </w:p>
    <w:p>
      <w:pPr>
        <w:pStyle w:val="BodyText"/>
        <w:spacing w:line="240" w:lineRule="auto" w:before="16"/>
        <w:ind w:left="0" w:right="1132"/>
        <w:jc w:val="right"/>
      </w:pPr>
      <w:r>
        <w:rPr/>
        <w:t>单位：元</w:t>
      </w:r>
    </w:p>
    <w:p>
      <w:pPr>
        <w:spacing w:line="240" w:lineRule="auto" w:before="13"/>
        <w:rPr>
          <w:rFonts w:ascii="宋体" w:hAnsi="宋体" w:cs="宋体" w:eastAsia="宋体" w:hint="default"/>
          <w:sz w:val="4"/>
          <w:szCs w:val="4"/>
        </w:rPr>
      </w:pPr>
    </w:p>
    <w:tbl>
      <w:tblPr>
        <w:tblW w:w="0" w:type="auto"/>
        <w:jc w:val="left"/>
        <w:tblInd w:w="106" w:type="dxa"/>
        <w:tblLayout w:type="fixed"/>
        <w:tblCellMar>
          <w:top w:w="0" w:type="dxa"/>
          <w:left w:w="0" w:type="dxa"/>
          <w:bottom w:w="0" w:type="dxa"/>
          <w:right w:w="0" w:type="dxa"/>
        </w:tblCellMar>
        <w:tblLook w:val="01E0"/>
      </w:tblPr>
      <w:tblGrid>
        <w:gridCol w:w="1274"/>
        <w:gridCol w:w="1278"/>
        <w:gridCol w:w="1276"/>
        <w:gridCol w:w="1417"/>
        <w:gridCol w:w="1559"/>
        <w:gridCol w:w="1343"/>
        <w:gridCol w:w="1498"/>
      </w:tblGrid>
      <w:tr>
        <w:trPr>
          <w:trHeight w:val="347" w:hRule="exact"/>
        </w:trPr>
        <w:tc>
          <w:tcPr>
            <w:tcW w:w="1274" w:type="dxa"/>
            <w:vMerge w:val="restart"/>
            <w:tcBorders>
              <w:top w:val="single" w:sz="6" w:space="0" w:color="000000"/>
              <w:left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971"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0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47" w:hRule="exact"/>
        </w:trPr>
        <w:tc>
          <w:tcPr>
            <w:tcW w:w="1274" w:type="dxa"/>
            <w:vMerge/>
            <w:tcBorders>
              <w:left w:val="single" w:sz="6" w:space="0" w:color="000000"/>
              <w:bottom w:val="single" w:sz="6" w:space="0" w:color="000000"/>
              <w:right w:val="single" w:sz="6" w:space="0" w:color="000000"/>
            </w:tcBorders>
          </w:tcPr>
          <w:p>
            <w:pP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center"/>
              <w:rPr>
                <w:rFonts w:ascii="宋体" w:hAnsi="宋体" w:cs="宋体" w:eastAsia="宋体" w:hint="default"/>
                <w:sz w:val="18"/>
                <w:szCs w:val="18"/>
              </w:rPr>
            </w:pPr>
            <w:r>
              <w:rPr>
                <w:rFonts w:ascii="宋体" w:hAnsi="宋体" w:cs="宋体" w:eastAsia="宋体" w:hint="default"/>
                <w:sz w:val="18"/>
                <w:szCs w:val="18"/>
              </w:rPr>
              <w:t>美元</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71" w:right="0"/>
              <w:jc w:val="left"/>
              <w:rPr>
                <w:rFonts w:ascii="宋体" w:hAnsi="宋体" w:cs="宋体" w:eastAsia="宋体" w:hint="default"/>
                <w:sz w:val="18"/>
                <w:szCs w:val="18"/>
              </w:rPr>
            </w:pPr>
            <w:r>
              <w:rPr>
                <w:rFonts w:ascii="宋体" w:hAnsi="宋体" w:cs="宋体" w:eastAsia="宋体" w:hint="default"/>
                <w:sz w:val="18"/>
                <w:szCs w:val="18"/>
              </w:rPr>
              <w:t>其他外币</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美元</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303" w:right="0"/>
              <w:jc w:val="left"/>
              <w:rPr>
                <w:rFonts w:ascii="宋体" w:hAnsi="宋体" w:cs="宋体" w:eastAsia="宋体" w:hint="default"/>
                <w:sz w:val="18"/>
                <w:szCs w:val="18"/>
              </w:rPr>
            </w:pPr>
            <w:r>
              <w:rPr>
                <w:rFonts w:ascii="宋体" w:hAnsi="宋体" w:cs="宋体" w:eastAsia="宋体" w:hint="default"/>
                <w:sz w:val="18"/>
                <w:szCs w:val="18"/>
              </w:rPr>
              <w:t>其他外币</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47" w:hRule="exact"/>
        </w:trPr>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512,843,770.95</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589,121,618.58</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1,101,965,389.53</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708,236,410.84</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188,705,303.90</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896,941,714.74</w:t>
            </w:r>
          </w:p>
        </w:tc>
      </w:tr>
      <w:tr>
        <w:trPr>
          <w:trHeight w:val="347" w:hRule="exact"/>
        </w:trPr>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96,108,563.73</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18,253,859.93</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114,362,423.66</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74,613,657.44</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24,888,778.84</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99,502,436.28</w:t>
            </w:r>
          </w:p>
        </w:tc>
      </w:tr>
      <w:tr>
        <w:trPr>
          <w:trHeight w:val="347" w:hRule="exact"/>
        </w:trPr>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7,506,029.69</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1,017,818.58</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8,523,848.27</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6,007,420.59</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486,885.37</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6,494,305.96</w:t>
            </w:r>
          </w:p>
        </w:tc>
      </w:tr>
      <w:tr>
        <w:trPr>
          <w:trHeight w:val="347" w:hRule="exact"/>
        </w:trPr>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2,981,126.22</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1,038,641.05</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pacing w:val="-1"/>
                <w:sz w:val="18"/>
              </w:rPr>
              <w:t>4,019,767.27</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3,224,386.33</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pacing w:val="-1"/>
                <w:sz w:val="18"/>
              </w:rPr>
              <w:t>600,901.35</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pacing w:val="-1"/>
                <w:sz w:val="18"/>
              </w:rPr>
              <w:t>3,825,287.68</w:t>
            </w:r>
          </w:p>
        </w:tc>
      </w:tr>
      <w:tr>
        <w:trPr>
          <w:trHeight w:val="347" w:hRule="exact"/>
        </w:trPr>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93,900.14</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3,834,899.90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3,928,800.04</w:t>
            </w:r>
          </w:p>
        </w:tc>
        <w:tc>
          <w:tcPr>
            <w:tcW w:w="1559" w:type="dxa"/>
            <w:tcBorders>
              <w:top w:val="single" w:sz="6" w:space="0" w:color="000000"/>
              <w:left w:val="single" w:sz="6" w:space="0" w:color="000000"/>
              <w:bottom w:val="single" w:sz="6" w:space="0" w:color="000000"/>
              <w:right w:val="single" w:sz="6" w:space="0" w:color="000000"/>
            </w:tcBorders>
          </w:tcPr>
          <w:p>
            <w:pP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5,459,210.35</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5,459,210.35</w:t>
            </w:r>
          </w:p>
        </w:tc>
      </w:tr>
      <w:tr>
        <w:trPr>
          <w:trHeight w:val="345" w:hRule="exact"/>
        </w:trPr>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4,910,005.06</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4,046,034.03</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pacing w:val="-1"/>
                <w:sz w:val="18"/>
              </w:rPr>
              <w:t>8,956,039.09</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2,622,740.32</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pacing w:val="-1"/>
                <w:sz w:val="18"/>
              </w:rPr>
              <w:t>4,882,823.23</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pacing w:val="-1"/>
                <w:sz w:val="18"/>
              </w:rPr>
              <w:t>7,505,563.55</w:t>
            </w:r>
          </w:p>
        </w:tc>
      </w:tr>
    </w:tbl>
    <w:p>
      <w:pPr>
        <w:spacing w:after="0" w:line="240" w:lineRule="auto"/>
        <w:jc w:val="right"/>
        <w:rPr>
          <w:rFonts w:ascii="Times New Roman" w:hAnsi="Times New Roman" w:cs="Times New Roman" w:eastAsia="Times New Roman" w:hint="default"/>
          <w:sz w:val="18"/>
          <w:szCs w:val="18"/>
        </w:rPr>
        <w:sectPr>
          <w:pgSz w:w="11910" w:h="16840"/>
          <w:pgMar w:header="878" w:footer="978" w:top="1100" w:bottom="1160" w:left="1020" w:right="0"/>
        </w:sectPr>
      </w:pPr>
    </w:p>
    <w:p>
      <w:pPr>
        <w:spacing w:line="240" w:lineRule="auto" w:before="8"/>
        <w:rPr>
          <w:rFonts w:ascii="宋体" w:hAnsi="宋体" w:cs="宋体" w:eastAsia="宋体" w:hint="default"/>
          <w:sz w:val="24"/>
          <w:szCs w:val="24"/>
        </w:rPr>
      </w:pPr>
    </w:p>
    <w:tbl>
      <w:tblPr>
        <w:tblW w:w="0" w:type="auto"/>
        <w:jc w:val="left"/>
        <w:tblInd w:w="126" w:type="dxa"/>
        <w:tblLayout w:type="fixed"/>
        <w:tblCellMar>
          <w:top w:w="0" w:type="dxa"/>
          <w:left w:w="0" w:type="dxa"/>
          <w:bottom w:w="0" w:type="dxa"/>
          <w:right w:w="0" w:type="dxa"/>
        </w:tblCellMar>
        <w:tblLook w:val="01E0"/>
      </w:tblPr>
      <w:tblGrid>
        <w:gridCol w:w="1274"/>
        <w:gridCol w:w="1278"/>
        <w:gridCol w:w="1276"/>
        <w:gridCol w:w="1417"/>
        <w:gridCol w:w="1559"/>
        <w:gridCol w:w="1343"/>
        <w:gridCol w:w="1498"/>
      </w:tblGrid>
      <w:tr>
        <w:trPr>
          <w:trHeight w:val="347" w:hRule="exact"/>
        </w:trPr>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1278"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24,021.20</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pacing w:val="-1"/>
                <w:sz w:val="18"/>
              </w:rPr>
              <w:t>750,916.59</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pacing w:val="-1"/>
                <w:sz w:val="18"/>
              </w:rPr>
              <w:t>774,937.79</w:t>
            </w:r>
          </w:p>
        </w:tc>
      </w:tr>
      <w:tr>
        <w:trPr>
          <w:trHeight w:val="347" w:hRule="exact"/>
        </w:trPr>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502.29</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2,183,852.21</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2,184,354.50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74,273.55</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1,932,162.39</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2,006,435.94</w:t>
            </w:r>
          </w:p>
        </w:tc>
      </w:tr>
      <w:tr>
        <w:trPr>
          <w:trHeight w:val="347" w:hRule="exact"/>
        </w:trPr>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pacing w:val="-1"/>
                <w:sz w:val="18"/>
              </w:rPr>
              <w:t>6,514.38</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3,299,006.06</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pacing w:val="-1"/>
                <w:sz w:val="18"/>
              </w:rPr>
              <w:t>3,305,520.44</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7,686.78</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pacing w:val="-1"/>
                <w:sz w:val="18"/>
              </w:rPr>
              <w:t>904,246.99</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pacing w:val="-1"/>
                <w:sz w:val="18"/>
              </w:rPr>
              <w:t>911,933.77</w:t>
            </w:r>
          </w:p>
        </w:tc>
      </w:tr>
      <w:tr>
        <w:trPr>
          <w:trHeight w:val="347" w:hRule="exact"/>
        </w:trPr>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33,090.70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11,196,048.60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11,229,139.30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6,705,310.85</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6,529,115.17</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13,234,426.02</w:t>
            </w:r>
          </w:p>
        </w:tc>
      </w:tr>
      <w:tr>
        <w:trPr>
          <w:trHeight w:val="347" w:hRule="exact"/>
        </w:trPr>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624,483,503.16</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633,991,778.94</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1,258,475,282.10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801,515,907.90</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235,140,344.18</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1,036,656,252.08</w:t>
            </w:r>
          </w:p>
        </w:tc>
      </w:tr>
    </w:tbl>
    <w:p>
      <w:pPr>
        <w:spacing w:after="0" w:line="240" w:lineRule="auto"/>
        <w:jc w:val="right"/>
        <w:rPr>
          <w:rFonts w:ascii="Times New Roman" w:hAnsi="Times New Roman" w:cs="Times New Roman" w:eastAsia="Times New Roman" w:hint="default"/>
          <w:sz w:val="18"/>
          <w:szCs w:val="18"/>
        </w:rPr>
        <w:sectPr>
          <w:footerReference w:type="default" r:id="rId58"/>
          <w:pgSz w:w="11910" w:h="16840"/>
          <w:pgMar w:footer="978" w:header="878" w:top="1100" w:bottom="1160" w:left="1000" w:right="0"/>
          <w:pgNumType w:start="200"/>
        </w:sectPr>
      </w:pPr>
    </w:p>
    <w:p>
      <w:pPr>
        <w:pStyle w:val="BodyText"/>
        <w:spacing w:line="309" w:lineRule="auto" w:before="11"/>
        <w:ind w:left="132" w:right="-20"/>
        <w:jc w:val="left"/>
      </w:pPr>
      <w:r>
        <w:rPr/>
        <w:t>（</w:t>
      </w:r>
      <w:r>
        <w:rPr>
          <w:rFonts w:ascii="Times New Roman" w:hAnsi="Times New Roman" w:cs="Times New Roman" w:eastAsia="Times New Roman" w:hint="default"/>
        </w:rPr>
        <w:t>2</w:t>
      </w:r>
      <w:r>
        <w:rPr/>
        <w:t>）其他价格风险 本公司持有其他上市公司的权益投资，管理层认为这些投资活动面临的市场价格风险是可以接受的。 本公司持有的上市公司权益投资列示如下：</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8"/>
          <w:szCs w:val="18"/>
        </w:rPr>
      </w:pPr>
    </w:p>
    <w:p>
      <w:pPr>
        <w:pStyle w:val="BodyText"/>
        <w:spacing w:line="240" w:lineRule="auto"/>
        <w:ind w:left="132" w:right="0"/>
        <w:jc w:val="left"/>
      </w:pPr>
      <w:r>
        <w:rPr/>
        <w:t>单位：元</w:t>
      </w:r>
    </w:p>
    <w:p>
      <w:pPr>
        <w:spacing w:after="0" w:line="240" w:lineRule="auto"/>
        <w:jc w:val="left"/>
        <w:sectPr>
          <w:type w:val="continuous"/>
          <w:pgSz w:w="11910" w:h="16840"/>
          <w:pgMar w:top="1100" w:bottom="1160" w:left="1000" w:right="0"/>
          <w:cols w:num="2" w:equalWidth="0">
            <w:col w:w="8053" w:space="865"/>
            <w:col w:w="1992"/>
          </w:cols>
        </w:sectPr>
      </w:pPr>
    </w:p>
    <w:p>
      <w:pPr>
        <w:spacing w:line="240" w:lineRule="auto" w:before="13"/>
        <w:rPr>
          <w:rFonts w:ascii="宋体" w:hAnsi="宋体" w:cs="宋体" w:eastAsia="宋体" w:hint="default"/>
          <w:sz w:val="4"/>
          <w:szCs w:val="4"/>
        </w:rPr>
      </w:pPr>
    </w:p>
    <w:tbl>
      <w:tblPr>
        <w:tblW w:w="0" w:type="auto"/>
        <w:jc w:val="left"/>
        <w:tblInd w:w="116" w:type="dxa"/>
        <w:tblLayout w:type="fixed"/>
        <w:tblCellMar>
          <w:top w:w="0" w:type="dxa"/>
          <w:left w:w="0" w:type="dxa"/>
          <w:bottom w:w="0" w:type="dxa"/>
          <w:right w:w="0" w:type="dxa"/>
        </w:tblCellMar>
        <w:tblLook w:val="01E0"/>
      </w:tblPr>
      <w:tblGrid>
        <w:gridCol w:w="3081"/>
        <w:gridCol w:w="3641"/>
        <w:gridCol w:w="2936"/>
      </w:tblGrid>
      <w:tr>
        <w:trPr>
          <w:trHeight w:val="347" w:hRule="exact"/>
        </w:trPr>
        <w:tc>
          <w:tcPr>
            <w:tcW w:w="3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351"/>
              <w:jc w:val="right"/>
              <w:rPr>
                <w:rFonts w:ascii="宋体" w:hAnsi="宋体" w:cs="宋体" w:eastAsia="宋体" w:hint="default"/>
                <w:sz w:val="18"/>
                <w:szCs w:val="18"/>
              </w:rPr>
            </w:pPr>
            <w:r>
              <w:rPr>
                <w:rFonts w:ascii="宋体" w:hAnsi="宋体" w:cs="宋体" w:eastAsia="宋体" w:hint="default"/>
                <w:sz w:val="18"/>
                <w:szCs w:val="18"/>
              </w:rPr>
              <w:t>项目</w:t>
            </w:r>
          </w:p>
        </w:tc>
        <w:tc>
          <w:tcPr>
            <w:tcW w:w="36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47" w:hRule="exact"/>
        </w:trPr>
        <w:tc>
          <w:tcPr>
            <w:tcW w:w="3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36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1,151,136,738.07</w:t>
            </w:r>
          </w:p>
        </w:tc>
        <w:tc>
          <w:tcPr>
            <w:tcW w:w="2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843,295,785.40</w:t>
            </w:r>
          </w:p>
        </w:tc>
      </w:tr>
      <w:tr>
        <w:trPr>
          <w:trHeight w:val="347" w:hRule="exact"/>
        </w:trPr>
        <w:tc>
          <w:tcPr>
            <w:tcW w:w="3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351"/>
              <w:jc w:val="right"/>
              <w:rPr>
                <w:rFonts w:ascii="宋体" w:hAnsi="宋体" w:cs="宋体" w:eastAsia="宋体" w:hint="default"/>
                <w:sz w:val="18"/>
                <w:szCs w:val="18"/>
              </w:rPr>
            </w:pPr>
            <w:r>
              <w:rPr>
                <w:rFonts w:ascii="宋体" w:hAnsi="宋体" w:cs="宋体" w:eastAsia="宋体" w:hint="default"/>
                <w:sz w:val="18"/>
                <w:szCs w:val="18"/>
              </w:rPr>
              <w:t>合计</w:t>
            </w:r>
          </w:p>
        </w:tc>
        <w:tc>
          <w:tcPr>
            <w:tcW w:w="36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1,151,136,738.07</w:t>
            </w:r>
          </w:p>
        </w:tc>
        <w:tc>
          <w:tcPr>
            <w:tcW w:w="2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843,295,785.40</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1"/>
          <w:szCs w:val="21"/>
        </w:rPr>
      </w:pPr>
    </w:p>
    <w:p>
      <w:pPr>
        <w:pStyle w:val="Heading2"/>
        <w:spacing w:line="240" w:lineRule="auto" w:before="26"/>
        <w:ind w:left="132" w:right="1122"/>
        <w:jc w:val="left"/>
        <w:rPr>
          <w:b w:val="0"/>
          <w:bCs w:val="0"/>
        </w:rPr>
      </w:pPr>
      <w:bookmarkStart w:name="十一、公允价值的披露" w:id="370"/>
      <w:bookmarkEnd w:id="370"/>
      <w:r>
        <w:rPr>
          <w:b w:val="0"/>
          <w:bCs w:val="0"/>
        </w:rPr>
      </w:r>
      <w:r>
        <w:rPr/>
        <w:t>十一、公允价值的披露</w:t>
      </w:r>
      <w:r>
        <w:rPr>
          <w:b w:val="0"/>
          <w:bCs w:val="0"/>
        </w:rPr>
      </w:r>
    </w:p>
    <w:p>
      <w:pPr>
        <w:spacing w:line="240" w:lineRule="auto" w:before="9"/>
        <w:rPr>
          <w:rFonts w:ascii="宋体" w:hAnsi="宋体" w:cs="宋体" w:eastAsia="宋体" w:hint="default"/>
          <w:b/>
          <w:bCs/>
          <w:sz w:val="24"/>
          <w:szCs w:val="24"/>
        </w:rPr>
      </w:pPr>
    </w:p>
    <w:p>
      <w:pPr>
        <w:pStyle w:val="Heading3"/>
        <w:spacing w:line="240" w:lineRule="auto" w:before="0"/>
        <w:ind w:left="132" w:right="1122"/>
        <w:jc w:val="left"/>
        <w:rPr>
          <w:b w:val="0"/>
          <w:bCs w:val="0"/>
        </w:rPr>
      </w:pPr>
      <w:bookmarkStart w:name="1、以公允价值计量的资产和负债的期末公允价值" w:id="371"/>
      <w:bookmarkEnd w:id="371"/>
      <w:r>
        <w:rPr>
          <w:b w:val="0"/>
          <w:bCs w:val="0"/>
        </w:rPr>
      </w: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29" w:type="dxa"/>
        <w:tblLayout w:type="fixed"/>
        <w:tblCellMar>
          <w:top w:w="0" w:type="dxa"/>
          <w:left w:w="0" w:type="dxa"/>
          <w:bottom w:w="0" w:type="dxa"/>
          <w:right w:w="0" w:type="dxa"/>
        </w:tblCellMar>
        <w:tblLook w:val="01E0"/>
      </w:tblPr>
      <w:tblGrid>
        <w:gridCol w:w="1994"/>
        <w:gridCol w:w="1837"/>
        <w:gridCol w:w="1913"/>
        <w:gridCol w:w="1913"/>
        <w:gridCol w:w="1913"/>
      </w:tblGrid>
      <w:tr>
        <w:trPr>
          <w:trHeight w:val="402" w:hRule="exact"/>
        </w:trPr>
        <w:tc>
          <w:tcPr>
            <w:tcW w:w="19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57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714" w:hRule="exact"/>
        </w:trPr>
        <w:tc>
          <w:tcPr>
            <w:tcW w:w="1994" w:type="dxa"/>
            <w:vMerge/>
            <w:tcBorders>
              <w:left w:val="single" w:sz="4" w:space="0" w:color="000000"/>
              <w:bottom w:val="single" w:sz="4" w:space="0" w:color="000000"/>
              <w:right w:val="single" w:sz="4" w:space="0" w:color="000000"/>
            </w:tcBorders>
            <w:shd w:val="clear" w:color="auto" w:fill="D2D2D2"/>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22" w:right="103" w:hanging="720"/>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0"/>
              <w:jc w:val="right"/>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0"/>
              <w:jc w:val="right"/>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4"/>
                <w:sz w:val="18"/>
                <w:szCs w:val="18"/>
              </w:rPr>
              <w:t>一、持续的公允价值计量</w:t>
            </w: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（一）交易性金融资产</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1,391,850,000.00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1,391,850,000.00</w:t>
            </w:r>
          </w:p>
        </w:tc>
      </w:tr>
      <w:tr>
        <w:trPr>
          <w:trHeight w:val="361" w:hRule="exact"/>
        </w:trPr>
        <w:tc>
          <w:tcPr>
            <w:tcW w:w="1994"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以公允价值计量且其变</w:t>
            </w:r>
          </w:p>
        </w:tc>
        <w:tc>
          <w:tcPr>
            <w:tcW w:w="1837" w:type="dxa"/>
            <w:tcBorders>
              <w:top w:val="single" w:sz="4" w:space="0" w:color="000000"/>
              <w:left w:val="single" w:sz="4" w:space="0" w:color="000000"/>
              <w:bottom w:val="nil" w:sz="6" w:space="0" w:color="auto"/>
              <w:right w:val="single" w:sz="4" w:space="0" w:color="000000"/>
            </w:tcBorders>
          </w:tcPr>
          <w:p>
            <w:pPr/>
          </w:p>
        </w:tc>
        <w:tc>
          <w:tcPr>
            <w:tcW w:w="1913" w:type="dxa"/>
            <w:vMerge w:val="restart"/>
            <w:tcBorders>
              <w:top w:val="single" w:sz="4" w:space="0" w:color="000000"/>
              <w:left w:val="single" w:sz="4" w:space="0" w:color="000000"/>
              <w:right w:val="single" w:sz="4" w:space="0" w:color="000000"/>
            </w:tcBorders>
          </w:tcPr>
          <w:p>
            <w:pPr/>
          </w:p>
        </w:tc>
        <w:tc>
          <w:tcPr>
            <w:tcW w:w="1913" w:type="dxa"/>
            <w:vMerge w:val="restart"/>
            <w:tcBorders>
              <w:top w:val="single" w:sz="4" w:space="0" w:color="000000"/>
              <w:left w:val="single" w:sz="4" w:space="0" w:color="000000"/>
              <w:right w:val="single" w:sz="4" w:space="0" w:color="000000"/>
            </w:tcBorders>
          </w:tcPr>
          <w:p>
            <w:pPr/>
          </w:p>
        </w:tc>
        <w:tc>
          <w:tcPr>
            <w:tcW w:w="1913"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9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动计入当期损益的金融</w:t>
            </w:r>
          </w:p>
        </w:tc>
        <w:tc>
          <w:tcPr>
            <w:tcW w:w="183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pacing w:val="-1"/>
                <w:sz w:val="18"/>
              </w:rPr>
              <w:t>1,391,850,000.00</w:t>
            </w:r>
          </w:p>
        </w:tc>
        <w:tc>
          <w:tcPr>
            <w:tcW w:w="1913" w:type="dxa"/>
            <w:vMerge/>
            <w:tcBorders>
              <w:left w:val="single" w:sz="4" w:space="0" w:color="000000"/>
              <w:right w:val="single" w:sz="4" w:space="0" w:color="000000"/>
            </w:tcBorders>
          </w:tcPr>
          <w:p>
            <w:pPr/>
          </w:p>
        </w:tc>
        <w:tc>
          <w:tcPr>
            <w:tcW w:w="1913" w:type="dxa"/>
            <w:vMerge/>
            <w:tcBorders>
              <w:left w:val="single" w:sz="4" w:space="0" w:color="000000"/>
              <w:right w:val="single" w:sz="4" w:space="0" w:color="000000"/>
            </w:tcBorders>
          </w:tcPr>
          <w:p>
            <w:pPr/>
          </w:p>
        </w:tc>
        <w:tc>
          <w:tcPr>
            <w:tcW w:w="1913"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pacing w:val="-1"/>
                <w:sz w:val="18"/>
              </w:rPr>
              <w:t>1,391,850,000.00</w:t>
            </w:r>
          </w:p>
        </w:tc>
      </w:tr>
      <w:tr>
        <w:trPr>
          <w:trHeight w:val="353" w:hRule="exact"/>
        </w:trPr>
        <w:tc>
          <w:tcPr>
            <w:tcW w:w="1994"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1837" w:type="dxa"/>
            <w:tcBorders>
              <w:top w:val="nil" w:sz="6" w:space="0" w:color="auto"/>
              <w:left w:val="single" w:sz="4" w:space="0" w:color="000000"/>
              <w:bottom w:val="single" w:sz="4" w:space="0" w:color="000000"/>
              <w:right w:val="single" w:sz="4" w:space="0" w:color="000000"/>
            </w:tcBorders>
          </w:tcPr>
          <w:p>
            <w:pPr/>
          </w:p>
        </w:tc>
        <w:tc>
          <w:tcPr>
            <w:tcW w:w="1913" w:type="dxa"/>
            <w:vMerge/>
            <w:tcBorders>
              <w:left w:val="single" w:sz="4" w:space="0" w:color="000000"/>
              <w:bottom w:val="single" w:sz="4" w:space="0" w:color="000000"/>
              <w:right w:val="single" w:sz="4" w:space="0" w:color="000000"/>
            </w:tcBorders>
          </w:tcPr>
          <w:p>
            <w:pPr/>
          </w:p>
        </w:tc>
        <w:tc>
          <w:tcPr>
            <w:tcW w:w="1913" w:type="dxa"/>
            <w:vMerge/>
            <w:tcBorders>
              <w:left w:val="single" w:sz="4" w:space="0" w:color="000000"/>
              <w:bottom w:val="single" w:sz="4" w:space="0" w:color="000000"/>
              <w:right w:val="single" w:sz="4" w:space="0" w:color="000000"/>
            </w:tcBorders>
          </w:tcPr>
          <w:p>
            <w:pPr/>
          </w:p>
        </w:tc>
        <w:tc>
          <w:tcPr>
            <w:tcW w:w="1913" w:type="dxa"/>
            <w:tcBorders>
              <w:top w:val="nil" w:sz="6" w:space="0" w:color="auto"/>
              <w:left w:val="single" w:sz="4" w:space="0" w:color="000000"/>
              <w:bottom w:val="single" w:sz="4" w:space="0" w:color="000000"/>
              <w:right w:val="single" w:sz="4" w:space="0" w:color="000000"/>
            </w:tcBorders>
          </w:tcPr>
          <w:p>
            <w:pP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）债务工具投资</w:t>
            </w:r>
          </w:p>
        </w:tc>
        <w:tc>
          <w:tcPr>
            <w:tcW w:w="1837"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）权益工具投资</w:t>
            </w:r>
          </w:p>
        </w:tc>
        <w:tc>
          <w:tcPr>
            <w:tcW w:w="1837"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）衍生金融资产</w:t>
            </w:r>
          </w:p>
        </w:tc>
        <w:tc>
          <w:tcPr>
            <w:tcW w:w="1837"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1,391,850,000.00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1,391,850,000.00</w:t>
            </w:r>
          </w:p>
        </w:tc>
      </w:tr>
      <w:tr>
        <w:trPr>
          <w:trHeight w:val="361" w:hRule="exact"/>
        </w:trPr>
        <w:tc>
          <w:tcPr>
            <w:tcW w:w="1994"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指定以公允价值计量且</w:t>
            </w:r>
          </w:p>
        </w:tc>
        <w:tc>
          <w:tcPr>
            <w:tcW w:w="1837" w:type="dxa"/>
            <w:vMerge w:val="restart"/>
            <w:tcBorders>
              <w:top w:val="single" w:sz="4" w:space="0" w:color="000000"/>
              <w:left w:val="single" w:sz="4" w:space="0" w:color="000000"/>
              <w:right w:val="single" w:sz="4" w:space="0" w:color="000000"/>
            </w:tcBorders>
          </w:tcPr>
          <w:p>
            <w:pPr/>
          </w:p>
        </w:tc>
        <w:tc>
          <w:tcPr>
            <w:tcW w:w="1913" w:type="dxa"/>
            <w:vMerge w:val="restart"/>
            <w:tcBorders>
              <w:top w:val="single" w:sz="4" w:space="0" w:color="000000"/>
              <w:left w:val="single" w:sz="4" w:space="0" w:color="000000"/>
              <w:right w:val="single" w:sz="4" w:space="0" w:color="000000"/>
            </w:tcBorders>
          </w:tcPr>
          <w:p>
            <w:pPr/>
          </w:p>
        </w:tc>
        <w:tc>
          <w:tcPr>
            <w:tcW w:w="1913" w:type="dxa"/>
            <w:vMerge w:val="restart"/>
            <w:tcBorders>
              <w:top w:val="single" w:sz="4" w:space="0" w:color="000000"/>
              <w:left w:val="single" w:sz="4" w:space="0" w:color="000000"/>
              <w:right w:val="single" w:sz="4" w:space="0" w:color="000000"/>
            </w:tcBorders>
          </w:tcPr>
          <w:p>
            <w:pPr/>
          </w:p>
        </w:tc>
        <w:tc>
          <w:tcPr>
            <w:tcW w:w="1913" w:type="dxa"/>
            <w:vMerge w:val="restart"/>
            <w:tcBorders>
              <w:top w:val="single" w:sz="4" w:space="0" w:color="000000"/>
              <w:left w:val="single" w:sz="4" w:space="0" w:color="000000"/>
              <w:right w:val="single" w:sz="4" w:space="0" w:color="000000"/>
            </w:tcBorders>
          </w:tcPr>
          <w:p>
            <w:pPr/>
          </w:p>
        </w:tc>
      </w:tr>
      <w:tr>
        <w:trPr>
          <w:trHeight w:val="308" w:hRule="exact"/>
        </w:trPr>
        <w:tc>
          <w:tcPr>
            <w:tcW w:w="19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其变动计入当期损益的</w:t>
            </w:r>
          </w:p>
        </w:tc>
        <w:tc>
          <w:tcPr>
            <w:tcW w:w="1837" w:type="dxa"/>
            <w:vMerge/>
            <w:tcBorders>
              <w:left w:val="single" w:sz="4" w:space="0" w:color="000000"/>
              <w:right w:val="single" w:sz="4" w:space="0" w:color="000000"/>
            </w:tcBorders>
          </w:tcPr>
          <w:p>
            <w:pPr/>
          </w:p>
        </w:tc>
        <w:tc>
          <w:tcPr>
            <w:tcW w:w="1913" w:type="dxa"/>
            <w:vMerge/>
            <w:tcBorders>
              <w:left w:val="single" w:sz="4" w:space="0" w:color="000000"/>
              <w:right w:val="single" w:sz="4" w:space="0" w:color="000000"/>
            </w:tcBorders>
          </w:tcPr>
          <w:p>
            <w:pPr/>
          </w:p>
        </w:tc>
        <w:tc>
          <w:tcPr>
            <w:tcW w:w="1913" w:type="dxa"/>
            <w:vMerge/>
            <w:tcBorders>
              <w:left w:val="single" w:sz="4" w:space="0" w:color="000000"/>
              <w:right w:val="single" w:sz="4" w:space="0" w:color="000000"/>
            </w:tcBorders>
          </w:tcPr>
          <w:p>
            <w:pPr/>
          </w:p>
        </w:tc>
        <w:tc>
          <w:tcPr>
            <w:tcW w:w="1913" w:type="dxa"/>
            <w:vMerge/>
            <w:tcBorders>
              <w:left w:val="single" w:sz="4" w:space="0" w:color="000000"/>
              <w:right w:val="single" w:sz="4" w:space="0" w:color="000000"/>
            </w:tcBorders>
          </w:tcPr>
          <w:p>
            <w:pPr/>
          </w:p>
        </w:tc>
      </w:tr>
      <w:tr>
        <w:trPr>
          <w:trHeight w:val="357" w:hRule="exact"/>
        </w:trPr>
        <w:tc>
          <w:tcPr>
            <w:tcW w:w="1994"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金融资产</w:t>
            </w:r>
          </w:p>
        </w:tc>
        <w:tc>
          <w:tcPr>
            <w:tcW w:w="1837" w:type="dxa"/>
            <w:vMerge/>
            <w:tcBorders>
              <w:left w:val="single" w:sz="4" w:space="0" w:color="000000"/>
              <w:bottom w:val="single" w:sz="4" w:space="0" w:color="000000"/>
              <w:right w:val="single" w:sz="4" w:space="0" w:color="000000"/>
            </w:tcBorders>
          </w:tcPr>
          <w:p>
            <w:pPr/>
          </w:p>
        </w:tc>
        <w:tc>
          <w:tcPr>
            <w:tcW w:w="1913" w:type="dxa"/>
            <w:vMerge/>
            <w:tcBorders>
              <w:left w:val="single" w:sz="4" w:space="0" w:color="000000"/>
              <w:bottom w:val="single" w:sz="4" w:space="0" w:color="000000"/>
              <w:right w:val="single" w:sz="4" w:space="0" w:color="000000"/>
            </w:tcBorders>
          </w:tcPr>
          <w:p>
            <w:pPr/>
          </w:p>
        </w:tc>
        <w:tc>
          <w:tcPr>
            <w:tcW w:w="1913" w:type="dxa"/>
            <w:vMerge/>
            <w:tcBorders>
              <w:left w:val="single" w:sz="4" w:space="0" w:color="000000"/>
              <w:bottom w:val="single" w:sz="4" w:space="0" w:color="000000"/>
              <w:right w:val="single" w:sz="4" w:space="0" w:color="000000"/>
            </w:tcBorders>
          </w:tcPr>
          <w:p>
            <w:pPr/>
          </w:p>
        </w:tc>
        <w:tc>
          <w:tcPr>
            <w:tcW w:w="1913" w:type="dxa"/>
            <w:vMerge/>
            <w:tcBorders>
              <w:left w:val="single" w:sz="4" w:space="0" w:color="000000"/>
              <w:bottom w:val="single" w:sz="4" w:space="0" w:color="000000"/>
              <w:right w:val="single" w:sz="4" w:space="0" w:color="000000"/>
            </w:tcBorders>
          </w:tcPr>
          <w:p>
            <w:pP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）债务工具投资</w:t>
            </w:r>
          </w:p>
        </w:tc>
        <w:tc>
          <w:tcPr>
            <w:tcW w:w="1837"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）权益工具投资</w:t>
            </w:r>
          </w:p>
        </w:tc>
        <w:tc>
          <w:tcPr>
            <w:tcW w:w="1837"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（二）应收款项融资</w:t>
            </w:r>
          </w:p>
        </w:tc>
        <w:tc>
          <w:tcPr>
            <w:tcW w:w="1837"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84,575,000.00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84,575,000.00</w:t>
            </w: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（三）其他债权投资</w:t>
            </w:r>
          </w:p>
        </w:tc>
        <w:tc>
          <w:tcPr>
            <w:tcW w:w="1837"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4"/>
                <w:sz w:val="18"/>
                <w:szCs w:val="18"/>
              </w:rPr>
              <w:t>（四）其他权益工具投资</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1,151,136,738.07</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78,160,889.89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1,229,297,627.96</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100" w:bottom="1160" w:left="1000" w:right="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1994"/>
        <w:gridCol w:w="1837"/>
        <w:gridCol w:w="1913"/>
        <w:gridCol w:w="1913"/>
        <w:gridCol w:w="1913"/>
      </w:tblGrid>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（五）投资性房地产</w:t>
            </w:r>
          </w:p>
        </w:tc>
        <w:tc>
          <w:tcPr>
            <w:tcW w:w="1837"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出租用的土地使用权</w:t>
            </w:r>
          </w:p>
        </w:tc>
        <w:tc>
          <w:tcPr>
            <w:tcW w:w="1837"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出租的建筑物</w:t>
            </w:r>
          </w:p>
        </w:tc>
        <w:tc>
          <w:tcPr>
            <w:tcW w:w="1837"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2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持有并准备增值后转让 的土地使用权</w:t>
            </w:r>
          </w:p>
        </w:tc>
        <w:tc>
          <w:tcPr>
            <w:tcW w:w="1837"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（六）生物资产</w:t>
            </w:r>
          </w:p>
        </w:tc>
        <w:tc>
          <w:tcPr>
            <w:tcW w:w="1837"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消耗性生物资产</w:t>
            </w:r>
          </w:p>
        </w:tc>
        <w:tc>
          <w:tcPr>
            <w:tcW w:w="1837"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生产性生物资产</w:t>
            </w:r>
          </w:p>
        </w:tc>
        <w:tc>
          <w:tcPr>
            <w:tcW w:w="1837"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59"/>
              <w:jc w:val="left"/>
              <w:rPr>
                <w:rFonts w:ascii="宋体" w:hAnsi="宋体" w:cs="宋体" w:eastAsia="宋体" w:hint="default"/>
                <w:sz w:val="18"/>
                <w:szCs w:val="18"/>
              </w:rPr>
            </w:pPr>
            <w:r>
              <w:rPr>
                <w:rFonts w:ascii="宋体" w:hAnsi="宋体" w:cs="宋体" w:eastAsia="宋体" w:hint="default"/>
                <w:sz w:val="18"/>
                <w:szCs w:val="18"/>
              </w:rPr>
              <w:t>持续以公允价值计量的 资产总额</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43" w:right="0"/>
              <w:jc w:val="left"/>
              <w:rPr>
                <w:rFonts w:ascii="Times New Roman" w:hAnsi="Times New Roman" w:cs="Times New Roman" w:eastAsia="Times New Roman" w:hint="default"/>
                <w:sz w:val="18"/>
                <w:szCs w:val="18"/>
              </w:rPr>
            </w:pPr>
            <w:r>
              <w:rPr>
                <w:rFonts w:ascii="Times New Roman"/>
                <w:sz w:val="18"/>
              </w:rPr>
              <w:t>2,542,986,738.07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45" w:right="0"/>
              <w:jc w:val="left"/>
              <w:rPr>
                <w:rFonts w:ascii="Times New Roman" w:hAnsi="Times New Roman" w:cs="Times New Roman" w:eastAsia="Times New Roman" w:hint="default"/>
                <w:sz w:val="18"/>
                <w:szCs w:val="18"/>
              </w:rPr>
            </w:pPr>
            <w:r>
              <w:rPr>
                <w:rFonts w:ascii="Times New Roman"/>
                <w:sz w:val="18"/>
              </w:rPr>
              <w:t>84,575,000.00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45" w:right="0"/>
              <w:jc w:val="left"/>
              <w:rPr>
                <w:rFonts w:ascii="Times New Roman" w:hAnsi="Times New Roman" w:cs="Times New Roman" w:eastAsia="Times New Roman" w:hint="default"/>
                <w:sz w:val="18"/>
                <w:szCs w:val="18"/>
              </w:rPr>
            </w:pPr>
            <w:r>
              <w:rPr>
                <w:rFonts w:ascii="Times New Roman"/>
                <w:sz w:val="18"/>
              </w:rPr>
              <w:t>78,160,889.89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19" w:right="0"/>
              <w:jc w:val="left"/>
              <w:rPr>
                <w:rFonts w:ascii="Times New Roman" w:hAnsi="Times New Roman" w:cs="Times New Roman" w:eastAsia="Times New Roman" w:hint="default"/>
                <w:sz w:val="18"/>
                <w:szCs w:val="18"/>
              </w:rPr>
            </w:pPr>
            <w:r>
              <w:rPr>
                <w:rFonts w:ascii="Times New Roman"/>
                <w:sz w:val="18"/>
              </w:rPr>
              <w:t>2,705,722,627.96</w:t>
            </w: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（七）交易性金融负债</w:t>
            </w:r>
          </w:p>
        </w:tc>
        <w:tc>
          <w:tcPr>
            <w:tcW w:w="1837"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4"/>
                <w:sz w:val="18"/>
                <w:szCs w:val="18"/>
              </w:rPr>
              <w:t>其中：发行的交易性债券</w:t>
            </w:r>
          </w:p>
        </w:tc>
        <w:tc>
          <w:tcPr>
            <w:tcW w:w="1837"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1837"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37"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20"/>
              <w:jc w:val="left"/>
              <w:rPr>
                <w:rFonts w:ascii="宋体" w:hAnsi="宋体" w:cs="宋体" w:eastAsia="宋体" w:hint="default"/>
                <w:sz w:val="18"/>
                <w:szCs w:val="18"/>
              </w:rPr>
            </w:pPr>
            <w:r>
              <w:rPr>
                <w:rFonts w:ascii="宋体" w:hAnsi="宋体" w:cs="宋体" w:eastAsia="宋体" w:hint="default"/>
                <w:spacing w:val="-4"/>
                <w:sz w:val="18"/>
                <w:szCs w:val="18"/>
              </w:rPr>
              <w:t>（八）指定为以公允价值</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计量且变动计入当期损 益的金融负债</w:t>
            </w:r>
          </w:p>
        </w:tc>
        <w:tc>
          <w:tcPr>
            <w:tcW w:w="1837"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59"/>
              <w:jc w:val="left"/>
              <w:rPr>
                <w:rFonts w:ascii="宋体" w:hAnsi="宋体" w:cs="宋体" w:eastAsia="宋体" w:hint="default"/>
                <w:sz w:val="18"/>
                <w:szCs w:val="18"/>
              </w:rPr>
            </w:pPr>
            <w:r>
              <w:rPr>
                <w:rFonts w:ascii="宋体" w:hAnsi="宋体" w:cs="宋体" w:eastAsia="宋体" w:hint="default"/>
                <w:sz w:val="18"/>
                <w:szCs w:val="18"/>
              </w:rPr>
              <w:t>持续以公允价值计量的 负债总额</w:t>
            </w:r>
          </w:p>
        </w:tc>
        <w:tc>
          <w:tcPr>
            <w:tcW w:w="1837"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20"/>
              <w:jc w:val="left"/>
              <w:rPr>
                <w:rFonts w:ascii="宋体" w:hAnsi="宋体" w:cs="宋体" w:eastAsia="宋体" w:hint="default"/>
                <w:sz w:val="18"/>
                <w:szCs w:val="18"/>
              </w:rPr>
            </w:pPr>
            <w:r>
              <w:rPr>
                <w:rFonts w:ascii="宋体" w:hAnsi="宋体" w:cs="宋体" w:eastAsia="宋体" w:hint="default"/>
                <w:spacing w:val="-4"/>
                <w:sz w:val="18"/>
                <w:szCs w:val="18"/>
              </w:rPr>
              <w:t>二、非持续的公允价值计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量</w:t>
            </w: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91" w:right="0"/>
              <w:jc w:val="left"/>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93" w:right="0"/>
              <w:jc w:val="left"/>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（一）持有待售资产</w:t>
            </w:r>
          </w:p>
        </w:tc>
        <w:tc>
          <w:tcPr>
            <w:tcW w:w="1837"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159"/>
              <w:jc w:val="left"/>
              <w:rPr>
                <w:rFonts w:ascii="宋体" w:hAnsi="宋体" w:cs="宋体" w:eastAsia="宋体" w:hint="default"/>
                <w:sz w:val="18"/>
                <w:szCs w:val="18"/>
              </w:rPr>
            </w:pPr>
            <w:r>
              <w:rPr>
                <w:rFonts w:ascii="宋体" w:hAnsi="宋体" w:cs="宋体" w:eastAsia="宋体" w:hint="default"/>
                <w:sz w:val="18"/>
                <w:szCs w:val="18"/>
              </w:rPr>
              <w:t>非持续以公允价值计量 的资产总额</w:t>
            </w:r>
          </w:p>
        </w:tc>
        <w:tc>
          <w:tcPr>
            <w:tcW w:w="1837"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59"/>
              <w:jc w:val="left"/>
              <w:rPr>
                <w:rFonts w:ascii="宋体" w:hAnsi="宋体" w:cs="宋体" w:eastAsia="宋体" w:hint="default"/>
                <w:sz w:val="18"/>
                <w:szCs w:val="18"/>
              </w:rPr>
            </w:pPr>
            <w:r>
              <w:rPr>
                <w:rFonts w:ascii="宋体" w:hAnsi="宋体" w:cs="宋体" w:eastAsia="宋体" w:hint="default"/>
                <w:sz w:val="18"/>
                <w:szCs w:val="18"/>
              </w:rPr>
              <w:t>非持续以公允价值计量 的负债总额</w:t>
            </w:r>
          </w:p>
        </w:tc>
        <w:tc>
          <w:tcPr>
            <w:tcW w:w="1837"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ind w:right="1394"/>
        <w:jc w:val="left"/>
        <w:rPr>
          <w:b w:val="0"/>
          <w:bCs w:val="0"/>
        </w:rPr>
      </w:pPr>
      <w:bookmarkStart w:name="2、持续和非持续第一层次公允价值计量项目市价的确定依据" w:id="372"/>
      <w:bookmarkEnd w:id="372"/>
      <w:r>
        <w:rPr>
          <w:b w:val="0"/>
          <w:bCs w:val="0"/>
        </w:rPr>
      </w: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8"/>
        <w:rPr>
          <w:rFonts w:ascii="宋体" w:hAnsi="宋体" w:cs="宋体" w:eastAsia="宋体" w:hint="default"/>
          <w:b/>
          <w:bCs/>
          <w:sz w:val="30"/>
          <w:szCs w:val="30"/>
        </w:rPr>
      </w:pPr>
    </w:p>
    <w:p>
      <w:pPr>
        <w:pStyle w:val="Heading4"/>
        <w:spacing w:line="444" w:lineRule="auto" w:before="0"/>
        <w:ind w:left="532" w:right="1394"/>
        <w:jc w:val="left"/>
      </w:pPr>
      <w:r>
        <w:rPr/>
        <w:t>本公司以活跃市场报价作为第一层次金融资产的公允价值。</w:t>
      </w:r>
      <w:r>
        <w:rPr>
          <w:w w:val="99"/>
        </w:rPr>
        <w:t> </w:t>
      </w:r>
      <w:r>
        <w:rPr>
          <w:w w:val="95"/>
        </w:rPr>
        <w:t>截止</w:t>
      </w:r>
      <w:r>
        <w:rPr>
          <w:rFonts w:ascii="Times New Roman" w:hAnsi="Times New Roman" w:cs="Times New Roman" w:eastAsia="Times New Roman" w:hint="default"/>
          <w:w w:val="95"/>
        </w:rPr>
        <w:t>2019</w:t>
      </w:r>
      <w:r>
        <w:rPr>
          <w:w w:val="95"/>
        </w:rPr>
        <w:t>年</w:t>
      </w:r>
      <w:r>
        <w:rPr>
          <w:rFonts w:ascii="Times New Roman" w:hAnsi="Times New Roman" w:cs="Times New Roman" w:eastAsia="Times New Roman" w:hint="default"/>
          <w:w w:val="95"/>
        </w:rPr>
        <w:t>12</w:t>
      </w:r>
      <w:r>
        <w:rPr>
          <w:w w:val="95"/>
        </w:rPr>
        <w:t>月</w:t>
      </w:r>
      <w:r>
        <w:rPr>
          <w:rFonts w:ascii="Times New Roman" w:hAnsi="Times New Roman" w:cs="Times New Roman" w:eastAsia="Times New Roman" w:hint="default"/>
          <w:w w:val="95"/>
        </w:rPr>
        <w:t>31</w:t>
      </w:r>
      <w:r>
        <w:rPr>
          <w:w w:val="95"/>
        </w:rPr>
        <w:t>日，公司持有神州控股</w:t>
      </w:r>
      <w:r>
        <w:rPr>
          <w:rFonts w:ascii="Times New Roman" w:hAnsi="Times New Roman" w:cs="Times New Roman" w:eastAsia="Times New Roman" w:hint="default"/>
          <w:w w:val="95"/>
        </w:rPr>
        <w:t>31,729.33</w:t>
      </w:r>
      <w:r>
        <w:rPr>
          <w:w w:val="95"/>
        </w:rPr>
        <w:t>万股，其</w:t>
      </w:r>
      <w:r>
        <w:rPr>
          <w:rFonts w:ascii="Times New Roman" w:hAnsi="Times New Roman" w:cs="Times New Roman" w:eastAsia="Times New Roman" w:hint="default"/>
          <w:w w:val="95"/>
        </w:rPr>
        <w:t>2019</w:t>
      </w:r>
      <w:r>
        <w:rPr>
          <w:w w:val="95"/>
        </w:rPr>
        <w:t>年</w:t>
      </w:r>
      <w:r>
        <w:rPr>
          <w:rFonts w:ascii="Times New Roman" w:hAnsi="Times New Roman" w:cs="Times New Roman" w:eastAsia="Times New Roman" w:hint="default"/>
          <w:w w:val="95"/>
        </w:rPr>
        <w:t>12</w:t>
      </w:r>
      <w:r>
        <w:rPr>
          <w:w w:val="95"/>
        </w:rPr>
        <w:t>月</w:t>
      </w:r>
      <w:r>
        <w:rPr>
          <w:rFonts w:ascii="Times New Roman" w:hAnsi="Times New Roman" w:cs="Times New Roman" w:eastAsia="Times New Roman" w:hint="default"/>
          <w:w w:val="95"/>
        </w:rPr>
        <w:t>31</w:t>
      </w:r>
      <w:r>
        <w:rPr>
          <w:w w:val="95"/>
        </w:rPr>
        <w:t>日的收盘价为</w:t>
      </w:r>
      <w:r>
        <w:rPr>
          <w:rFonts w:ascii="Times New Roman" w:hAnsi="Times New Roman" w:cs="Times New Roman" w:eastAsia="Times New Roman" w:hint="default"/>
          <w:w w:val="95"/>
        </w:rPr>
        <w:t>4.05</w:t>
      </w:r>
      <w:r>
        <w:rPr>
          <w:w w:val="95"/>
        </w:rPr>
        <w:t>港元</w:t>
      </w:r>
      <w:r>
        <w:rPr>
          <w:rFonts w:ascii="Times New Roman" w:hAnsi="Times New Roman" w:cs="Times New Roman" w:eastAsia="Times New Roman" w:hint="default"/>
          <w:w w:val="95"/>
        </w:rPr>
        <w:t>/</w:t>
      </w:r>
      <w:r>
        <w:rPr>
          <w:w w:val="95"/>
        </w:rPr>
        <w:t>股，</w:t>
      </w:r>
      <w:r>
        <w:rPr/>
      </w:r>
    </w:p>
    <w:p>
      <w:pPr>
        <w:pStyle w:val="Heading4"/>
        <w:spacing w:line="270" w:lineRule="exact" w:before="0"/>
        <w:ind w:left="112" w:right="1394"/>
        <w:jc w:val="left"/>
      </w:pPr>
      <w:r>
        <w:rPr/>
        <w:t>按照</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日的汇率折算公允价值为</w:t>
      </w:r>
      <w:r>
        <w:rPr>
          <w:rFonts w:ascii="Times New Roman" w:hAnsi="Times New Roman" w:cs="Times New Roman" w:eastAsia="Times New Roman" w:hint="default"/>
        </w:rPr>
        <w:t>115,113.67</w:t>
      </w:r>
      <w:r>
        <w:rPr/>
        <w:t>万元。</w:t>
      </w:r>
    </w:p>
    <w:p>
      <w:pPr>
        <w:spacing w:line="240" w:lineRule="auto" w:before="6"/>
        <w:rPr>
          <w:rFonts w:ascii="宋体" w:hAnsi="宋体" w:cs="宋体" w:eastAsia="宋体" w:hint="default"/>
          <w:sz w:val="30"/>
          <w:szCs w:val="30"/>
        </w:rPr>
      </w:pPr>
    </w:p>
    <w:p>
      <w:pPr>
        <w:spacing w:line="506" w:lineRule="auto" w:before="0"/>
        <w:ind w:left="324" w:right="6854" w:hanging="212"/>
        <w:jc w:val="left"/>
        <w:rPr>
          <w:rFonts w:ascii="宋体" w:hAnsi="宋体" w:cs="宋体" w:eastAsia="宋体" w:hint="default"/>
          <w:sz w:val="21"/>
          <w:szCs w:val="21"/>
        </w:rPr>
      </w:pPr>
      <w:bookmarkStart w:name="3、本期内发生的估值技术变更及变更原因" w:id="373"/>
      <w:bookmarkEnd w:id="373"/>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、本期内发生的估值技术变更及变更原因</w:t>
      </w:r>
      <w:r>
        <w:rPr>
          <w:rFonts w:ascii="宋体" w:hAnsi="宋体" w:cs="宋体" w:eastAsia="宋体" w:hint="default"/>
          <w:b/>
          <w:bCs/>
          <w:w w:val="99"/>
          <w:sz w:val="21"/>
          <w:szCs w:val="21"/>
        </w:rPr>
        <w:t> </w:t>
      </w:r>
      <w:r>
        <w:rPr>
          <w:rFonts w:ascii="宋体" w:hAnsi="宋体" w:cs="宋体" w:eastAsia="宋体" w:hint="default"/>
          <w:sz w:val="21"/>
          <w:szCs w:val="21"/>
        </w:rPr>
        <w:t>公司本期内没有发生估值技术变更。</w:t>
      </w:r>
    </w:p>
    <w:p>
      <w:pPr>
        <w:spacing w:after="0" w:line="506" w:lineRule="auto"/>
        <w:jc w:val="left"/>
        <w:rPr>
          <w:rFonts w:ascii="宋体" w:hAnsi="宋体" w:cs="宋体" w:eastAsia="宋体" w:hint="default"/>
          <w:sz w:val="21"/>
          <w:szCs w:val="21"/>
        </w:rPr>
        <w:sectPr>
          <w:pgSz w:w="11910" w:h="16840"/>
          <w:pgMar w:header="878" w:footer="978" w:top="1100" w:bottom="1160" w:left="1020" w:right="0"/>
        </w:sectPr>
      </w:pPr>
    </w:p>
    <w:p>
      <w:pPr>
        <w:spacing w:line="240" w:lineRule="auto" w:before="12"/>
        <w:rPr>
          <w:rFonts w:ascii="宋体" w:hAnsi="宋体" w:cs="宋体" w:eastAsia="宋体" w:hint="default"/>
          <w:sz w:val="20"/>
          <w:szCs w:val="20"/>
        </w:rPr>
      </w:pPr>
    </w:p>
    <w:p>
      <w:pPr>
        <w:spacing w:line="506" w:lineRule="auto" w:before="34"/>
        <w:ind w:left="324" w:right="1394" w:hanging="212"/>
        <w:jc w:val="left"/>
        <w:rPr>
          <w:rFonts w:ascii="宋体" w:hAnsi="宋体" w:cs="宋体" w:eastAsia="宋体" w:hint="default"/>
          <w:sz w:val="21"/>
          <w:szCs w:val="21"/>
        </w:rPr>
      </w:pPr>
      <w:bookmarkStart w:name="4、不以公允价值计量的金融资产和金融负债的公允价值情况" w:id="374"/>
      <w:bookmarkEnd w:id="374"/>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、不以公允价值计量的金融资产和金融负债的公允价值情况</w:t>
      </w:r>
      <w:r>
        <w:rPr>
          <w:rFonts w:ascii="宋体" w:hAnsi="宋体" w:cs="宋体" w:eastAsia="宋体" w:hint="default"/>
          <w:b/>
          <w:bCs/>
          <w:w w:val="99"/>
          <w:sz w:val="21"/>
          <w:szCs w:val="21"/>
        </w:rPr>
        <w:t> </w:t>
      </w:r>
      <w:r>
        <w:rPr>
          <w:rFonts w:ascii="宋体" w:hAnsi="宋体" w:cs="宋体" w:eastAsia="宋体" w:hint="default"/>
          <w:w w:val="95"/>
          <w:sz w:val="21"/>
          <w:szCs w:val="21"/>
        </w:rPr>
        <w:t>公司本期没有不以公允价值计量的金融资产和金融负债的公允价值情况。</w:t>
      </w:r>
      <w:r>
        <w:rPr>
          <w:rFonts w:ascii="宋体" w:hAnsi="宋体" w:cs="宋体" w:eastAsia="宋体" w:hint="default"/>
          <w:sz w:val="21"/>
          <w:szCs w:val="21"/>
        </w:rPr>
      </w:r>
    </w:p>
    <w:p>
      <w:pPr>
        <w:pStyle w:val="Heading2"/>
        <w:spacing w:line="240" w:lineRule="auto" w:before="81"/>
        <w:ind w:right="1394"/>
        <w:jc w:val="left"/>
        <w:rPr>
          <w:b w:val="0"/>
          <w:bCs w:val="0"/>
        </w:rPr>
      </w:pPr>
      <w:bookmarkStart w:name="十二、关联方及关联交易" w:id="375"/>
      <w:bookmarkEnd w:id="375"/>
      <w:r>
        <w:rPr>
          <w:b w:val="0"/>
          <w:bCs w:val="0"/>
        </w:rPr>
      </w:r>
      <w:r>
        <w:rPr/>
        <w:t>十二、关联方及关联交易</w:t>
      </w:r>
      <w:r>
        <w:rPr>
          <w:b w:val="0"/>
          <w:bCs w:val="0"/>
        </w:rPr>
      </w:r>
    </w:p>
    <w:p>
      <w:pPr>
        <w:spacing w:line="240" w:lineRule="auto" w:before="9"/>
        <w:rPr>
          <w:rFonts w:ascii="宋体" w:hAnsi="宋体" w:cs="宋体" w:eastAsia="宋体" w:hint="default"/>
          <w:b/>
          <w:bCs/>
          <w:sz w:val="24"/>
          <w:szCs w:val="24"/>
        </w:rPr>
      </w:pPr>
    </w:p>
    <w:p>
      <w:pPr>
        <w:pStyle w:val="Heading3"/>
        <w:spacing w:line="240" w:lineRule="auto" w:before="0"/>
        <w:ind w:right="1394"/>
        <w:jc w:val="left"/>
        <w:rPr>
          <w:b w:val="0"/>
          <w:bCs w:val="0"/>
        </w:rPr>
      </w:pPr>
      <w:bookmarkStart w:name="1、本企业的母公司情况" w:id="376"/>
      <w:bookmarkEnd w:id="376"/>
      <w:r>
        <w:rPr>
          <w:b w:val="0"/>
          <w:bCs w:val="0"/>
        </w:rPr>
      </w:r>
      <w:r>
        <w:rPr>
          <w:rFonts w:ascii="Times New Roman" w:hAnsi="Times New Roman" w:cs="Times New Roman" w:eastAsia="Times New Roman" w:hint="default"/>
        </w:rPr>
        <w:t>1</w:t>
      </w:r>
      <w:r>
        <w:rPr/>
        <w:t>、本企业的母公司情况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2127"/>
        <w:gridCol w:w="3118"/>
        <w:gridCol w:w="851"/>
        <w:gridCol w:w="850"/>
        <w:gridCol w:w="1276"/>
        <w:gridCol w:w="1344"/>
      </w:tblGrid>
      <w:tr>
        <w:trPr>
          <w:trHeight w:val="714"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母公司名称</w:t>
            </w:r>
          </w:p>
        </w:tc>
        <w:tc>
          <w:tcPr>
            <w:tcW w:w="31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注册地</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6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91" w:right="92"/>
              <w:jc w:val="left"/>
              <w:rPr>
                <w:rFonts w:ascii="宋体" w:hAnsi="宋体" w:cs="宋体" w:eastAsia="宋体" w:hint="default"/>
                <w:sz w:val="18"/>
                <w:szCs w:val="18"/>
              </w:rPr>
            </w:pPr>
            <w:r>
              <w:rPr>
                <w:rFonts w:ascii="宋体" w:hAnsi="宋体" w:cs="宋体" w:eastAsia="宋体" w:hint="default"/>
                <w:sz w:val="18"/>
                <w:szCs w:val="18"/>
              </w:rPr>
              <w:t>母公司对本企 业的持股比例</w:t>
            </w:r>
          </w:p>
        </w:tc>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26" w:right="34" w:hanging="89"/>
              <w:jc w:val="left"/>
              <w:rPr>
                <w:rFonts w:ascii="宋体" w:hAnsi="宋体" w:cs="宋体" w:eastAsia="宋体" w:hint="default"/>
                <w:sz w:val="18"/>
                <w:szCs w:val="18"/>
              </w:rPr>
            </w:pPr>
            <w:r>
              <w:rPr>
                <w:rFonts w:ascii="宋体" w:hAnsi="宋体" w:cs="宋体" w:eastAsia="宋体" w:hint="default"/>
                <w:sz w:val="18"/>
                <w:szCs w:val="18"/>
              </w:rPr>
              <w:t>母公司对本企业 的表决权比例</w:t>
            </w:r>
          </w:p>
        </w:tc>
      </w:tr>
      <w:tr>
        <w:trPr>
          <w:trHeight w:val="402"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89"/>
              <w:jc w:val="center"/>
              <w:rPr>
                <w:rFonts w:ascii="宋体" w:hAnsi="宋体" w:cs="宋体" w:eastAsia="宋体" w:hint="default"/>
                <w:sz w:val="18"/>
                <w:szCs w:val="18"/>
              </w:rPr>
            </w:pPr>
            <w:r>
              <w:rPr>
                <w:rFonts w:ascii="宋体" w:hAnsi="宋体" w:cs="宋体" w:eastAsia="宋体" w:hint="default"/>
                <w:sz w:val="18"/>
                <w:szCs w:val="18"/>
              </w:rPr>
              <w:t>广州无线电集团有限公司</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广州市天河区黄埔大道西平云路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投资控股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亿元</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89" w:right="0"/>
              <w:jc w:val="left"/>
              <w:rPr>
                <w:rFonts w:ascii="Times New Roman" w:hAnsi="Times New Roman" w:cs="Times New Roman" w:eastAsia="Times New Roman" w:hint="default"/>
                <w:sz w:val="18"/>
                <w:szCs w:val="18"/>
              </w:rPr>
            </w:pPr>
            <w:r>
              <w:rPr>
                <w:rFonts w:ascii="Times New Roman"/>
                <w:sz w:val="18"/>
              </w:rPr>
              <w:t>52.96%</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7" w:right="0"/>
              <w:jc w:val="left"/>
              <w:rPr>
                <w:rFonts w:ascii="Times New Roman" w:hAnsi="Times New Roman" w:cs="Times New Roman" w:eastAsia="Times New Roman" w:hint="default"/>
                <w:sz w:val="18"/>
                <w:szCs w:val="18"/>
              </w:rPr>
            </w:pPr>
            <w:r>
              <w:rPr>
                <w:rFonts w:ascii="Times New Roman"/>
                <w:sz w:val="18"/>
              </w:rPr>
              <w:t>52.96%</w:t>
            </w:r>
          </w:p>
        </w:tc>
      </w:tr>
    </w:tbl>
    <w:p>
      <w:pPr>
        <w:pStyle w:val="BodyText"/>
        <w:spacing w:line="240" w:lineRule="auto" w:before="50"/>
        <w:ind w:right="1394"/>
        <w:jc w:val="left"/>
      </w:pPr>
      <w:r>
        <w:rPr/>
        <w:t>本企业最终控制方是广州市人民政府国有资产监督管理委员会。</w:t>
      </w:r>
    </w:p>
    <w:p>
      <w:pPr>
        <w:spacing w:line="240" w:lineRule="auto" w:before="11"/>
        <w:rPr>
          <w:rFonts w:ascii="宋体" w:hAnsi="宋体" w:cs="宋体" w:eastAsia="宋体" w:hint="default"/>
          <w:sz w:val="26"/>
          <w:szCs w:val="26"/>
        </w:rPr>
      </w:pPr>
    </w:p>
    <w:p>
      <w:pPr>
        <w:pStyle w:val="Heading3"/>
        <w:spacing w:line="240" w:lineRule="auto" w:before="0"/>
        <w:ind w:right="1394"/>
        <w:jc w:val="left"/>
        <w:rPr>
          <w:b w:val="0"/>
          <w:bCs w:val="0"/>
        </w:rPr>
      </w:pPr>
      <w:bookmarkStart w:name="2、本企业的子公司情况" w:id="377"/>
      <w:bookmarkEnd w:id="377"/>
      <w:r>
        <w:rPr>
          <w:b w:val="0"/>
          <w:bCs w:val="0"/>
        </w:rPr>
      </w:r>
      <w:r>
        <w:rPr>
          <w:rFonts w:ascii="Times New Roman" w:hAnsi="Times New Roman" w:cs="Times New Roman" w:eastAsia="Times New Roman" w:hint="default"/>
        </w:rPr>
        <w:t>2</w:t>
      </w:r>
      <w:r>
        <w:rPr/>
        <w:t>、本企业的子公司情况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394"/>
        <w:jc w:val="left"/>
      </w:pPr>
      <w:r>
        <w:rPr/>
        <w:t>本企业子公司的情况详见附注九、在其他主体中的权益。</w:t>
      </w:r>
    </w:p>
    <w:p>
      <w:pPr>
        <w:spacing w:line="240" w:lineRule="auto" w:before="11"/>
        <w:rPr>
          <w:rFonts w:ascii="宋体" w:hAnsi="宋体" w:cs="宋体" w:eastAsia="宋体" w:hint="default"/>
          <w:sz w:val="26"/>
          <w:szCs w:val="26"/>
        </w:rPr>
      </w:pPr>
    </w:p>
    <w:p>
      <w:pPr>
        <w:pStyle w:val="Heading3"/>
        <w:spacing w:line="240" w:lineRule="auto" w:before="0"/>
        <w:ind w:right="1394"/>
        <w:jc w:val="left"/>
        <w:rPr>
          <w:b w:val="0"/>
          <w:bCs w:val="0"/>
        </w:rPr>
      </w:pPr>
      <w:bookmarkStart w:name="3、本企业合营和联营企业情况" w:id="378"/>
      <w:bookmarkEnd w:id="378"/>
      <w:r>
        <w:rPr>
          <w:b w:val="0"/>
          <w:bCs w:val="0"/>
        </w:rPr>
      </w:r>
      <w:r>
        <w:rPr>
          <w:rFonts w:ascii="Times New Roman" w:hAnsi="Times New Roman" w:cs="Times New Roman" w:eastAsia="Times New Roman" w:hint="default"/>
        </w:rPr>
        <w:t>3</w:t>
      </w:r>
      <w:r>
        <w:rPr/>
        <w:t>、本企业合营和联营企业情况</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2294"/>
        <w:jc w:val="left"/>
      </w:pPr>
      <w:r>
        <w:rPr/>
        <w:t>本企业重要的合营或联营企业详见附注九、在其他主体中的权益。 本期与本公司发生关联方交易，或前期与本公司发生关联方交易形成余额的其他合营或联营企业情况如下：</w:t>
      </w:r>
    </w:p>
    <w:p>
      <w:pPr>
        <w:spacing w:line="240" w:lineRule="auto" w:before="12"/>
        <w:rPr>
          <w:rFonts w:ascii="宋体" w:hAnsi="宋体" w:cs="宋体" w:eastAsia="宋体" w:hint="default"/>
          <w:sz w:val="19"/>
          <w:szCs w:val="19"/>
        </w:rPr>
      </w:pPr>
    </w:p>
    <w:p>
      <w:pPr>
        <w:pStyle w:val="Heading3"/>
        <w:spacing w:line="240" w:lineRule="auto" w:before="0"/>
        <w:ind w:right="1394"/>
        <w:jc w:val="left"/>
        <w:rPr>
          <w:b w:val="0"/>
          <w:bCs w:val="0"/>
        </w:rPr>
      </w:pPr>
      <w:bookmarkStart w:name="4、其他关联方情况" w:id="379"/>
      <w:bookmarkEnd w:id="379"/>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782"/>
        <w:gridCol w:w="4786"/>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399"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广州广电智能科技有限公司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同一最终母公司</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广州通导信息技术服务有限公司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同一最终母公司</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广州广电城市服务集团股份有限公司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同一最终母公司</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广州海格通信集团股份有限公司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同一最终母公司</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广州广电计量检测股份有限公司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同一最终母公司</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海华电子企业（中国）有限公司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同一最终母公司</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广东美电贝尔科技集团股份有限公司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参股企业</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广州广电研究院有限公司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同一最终母公司</w:t>
            </w:r>
          </w:p>
        </w:tc>
      </w:tr>
    </w:tbl>
    <w:p>
      <w:pPr>
        <w:spacing w:line="240" w:lineRule="auto" w:before="2"/>
        <w:rPr>
          <w:rFonts w:ascii="宋体" w:hAnsi="宋体" w:cs="宋体" w:eastAsia="宋体" w:hint="default"/>
          <w:b/>
          <w:bCs/>
          <w:sz w:val="19"/>
          <w:szCs w:val="19"/>
        </w:rPr>
      </w:pPr>
    </w:p>
    <w:p>
      <w:pPr>
        <w:pStyle w:val="Heading3"/>
        <w:spacing w:line="240" w:lineRule="auto"/>
        <w:ind w:right="1394"/>
        <w:jc w:val="left"/>
        <w:rPr>
          <w:b w:val="0"/>
          <w:bCs w:val="0"/>
        </w:rPr>
      </w:pPr>
      <w:bookmarkStart w:name="5、关联交易情况" w:id="380"/>
      <w:bookmarkEnd w:id="380"/>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before="0"/>
        <w:ind w:right="1394"/>
        <w:jc w:val="left"/>
        <w:rPr>
          <w:b w:val="0"/>
          <w:bCs w:val="0"/>
        </w:rPr>
      </w:pPr>
      <w:bookmarkStart w:name="（1）购销商品、提供和接受劳务的关联交易" w:id="381"/>
      <w:bookmarkEnd w:id="381"/>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1394"/>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3"/>
        <w:ind w:left="0" w:right="1132"/>
        <w:jc w:val="right"/>
      </w:pPr>
      <w:r>
        <w:rPr/>
        <w:t>单位：</w:t>
      </w:r>
      <w:r>
        <w:rPr>
          <w:spacing w:val="-2"/>
        </w:rPr>
        <w:t> </w:t>
      </w:r>
      <w:r>
        <w:rPr/>
        <w:t>元</w:t>
      </w:r>
    </w:p>
    <w:p>
      <w:pPr>
        <w:spacing w:after="0" w:line="240" w:lineRule="auto"/>
        <w:jc w:val="right"/>
        <w:sectPr>
          <w:pgSz w:w="11910" w:h="16840"/>
          <w:pgMar w:header="878" w:footer="978" w:top="1100" w:bottom="1160" w:left="1020" w:right="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2977"/>
        <w:gridCol w:w="1276"/>
        <w:gridCol w:w="1417"/>
        <w:gridCol w:w="1701"/>
        <w:gridCol w:w="993"/>
        <w:gridCol w:w="1205"/>
      </w:tblGrid>
      <w:tr>
        <w:trPr>
          <w:trHeight w:val="714" w:hRule="exact"/>
        </w:trPr>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关联交易内容</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16"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1" w:right="40" w:hanging="180"/>
              <w:jc w:val="left"/>
              <w:rPr>
                <w:rFonts w:ascii="宋体" w:hAnsi="宋体" w:cs="宋体" w:eastAsia="宋体" w:hint="default"/>
                <w:sz w:val="18"/>
                <w:szCs w:val="18"/>
              </w:rPr>
            </w:pPr>
            <w:r>
              <w:rPr>
                <w:rFonts w:ascii="宋体" w:hAnsi="宋体" w:cs="宋体" w:eastAsia="宋体" w:hint="default"/>
                <w:sz w:val="18"/>
                <w:szCs w:val="18"/>
              </w:rPr>
              <w:t>是否超过交 易额度</w:t>
            </w:r>
          </w:p>
        </w:tc>
        <w:tc>
          <w:tcPr>
            <w:tcW w:w="1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47"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海华电子企业（中国）有限公司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采购商品</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40,854.75</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4,500,000.00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992,581.07</w:t>
            </w:r>
          </w:p>
        </w:tc>
      </w:tr>
      <w:tr>
        <w:trPr>
          <w:trHeight w:val="402"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海华电子企业（中国）有限公司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接受劳务</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7,924.53</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4,500,000.00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181,141.92</w:t>
            </w:r>
          </w:p>
        </w:tc>
      </w:tr>
      <w:tr>
        <w:trPr>
          <w:trHeight w:val="402"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广州通导信息技术服务有限公司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接受劳务</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3,773.58</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4,500,000.00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广州广电智能科技有限公司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采购商品</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6,889,824.00</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21,570,000.00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11,104,223.95</w:t>
            </w:r>
          </w:p>
        </w:tc>
      </w:tr>
      <w:tr>
        <w:trPr>
          <w:trHeight w:val="402"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广州广电计量检测股份有限公司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接受劳务</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118,844.56</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200,000.00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122,985.28</w:t>
            </w:r>
          </w:p>
        </w:tc>
      </w:tr>
      <w:tr>
        <w:trPr>
          <w:trHeight w:val="402"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广州辉远电子技术有限公司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采购商品</w:t>
            </w:r>
          </w:p>
        </w:tc>
        <w:tc>
          <w:tcPr>
            <w:tcW w:w="1417" w:type="dxa"/>
            <w:tcBorders>
              <w:top w:val="single" w:sz="4" w:space="0" w:color="000000"/>
              <w:left w:val="single" w:sz="4" w:space="0" w:color="000000"/>
              <w:bottom w:val="single" w:sz="4" w:space="0" w:color="000000"/>
              <w:right w:val="single" w:sz="4" w:space="0" w:color="000000"/>
            </w:tcBorders>
          </w:tcPr>
          <w:p>
            <w:pP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3,750,000.00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188,716.65</w:t>
            </w:r>
          </w:p>
        </w:tc>
      </w:tr>
      <w:tr>
        <w:trPr>
          <w:trHeight w:val="402"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广州广电城市服务集团股份有限公司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接受劳务</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6,567,172.41</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7,550,000.00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7,752,984.46</w:t>
            </w:r>
          </w:p>
        </w:tc>
      </w:tr>
    </w:tbl>
    <w:p>
      <w:pPr>
        <w:pStyle w:val="BodyText"/>
        <w:spacing w:line="240" w:lineRule="auto" w:before="50"/>
        <w:ind w:right="1394"/>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3"/>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261"/>
        <w:gridCol w:w="2409"/>
        <w:gridCol w:w="1843"/>
        <w:gridCol w:w="2055"/>
      </w:tblGrid>
      <w:tr>
        <w:trPr>
          <w:trHeight w:val="402" w:hRule="exact"/>
        </w:trPr>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4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关联交易内容</w:t>
            </w: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5"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0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广州海格通信集团股份有限公司</w:t>
            </w:r>
          </w:p>
        </w:tc>
        <w:tc>
          <w:tcPr>
            <w:tcW w:w="2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销售货物</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75,453.99</w:t>
            </w:r>
          </w:p>
        </w:tc>
        <w:tc>
          <w:tcPr>
            <w:tcW w:w="205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广州广电研究院有限公司</w:t>
            </w:r>
          </w:p>
        </w:tc>
        <w:tc>
          <w:tcPr>
            <w:tcW w:w="2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销售货物</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7,159,902.44</w:t>
            </w:r>
          </w:p>
        </w:tc>
        <w:tc>
          <w:tcPr>
            <w:tcW w:w="205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广州广电研究院有限公司</w:t>
            </w:r>
          </w:p>
        </w:tc>
        <w:tc>
          <w:tcPr>
            <w:tcW w:w="2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提供劳务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4,120,971.70</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6,703,773.59</w:t>
            </w:r>
          </w:p>
        </w:tc>
      </w:tr>
      <w:tr>
        <w:trPr>
          <w:trHeight w:val="402" w:hRule="exact"/>
        </w:trPr>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广州无线电集团有限公司</w:t>
            </w:r>
          </w:p>
        </w:tc>
        <w:tc>
          <w:tcPr>
            <w:tcW w:w="2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销售货物</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302,011.07</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104,525.86</w:t>
            </w:r>
          </w:p>
        </w:tc>
      </w:tr>
      <w:tr>
        <w:trPr>
          <w:trHeight w:val="402" w:hRule="exact"/>
        </w:trPr>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广州广电智能科技有限公司</w:t>
            </w:r>
          </w:p>
        </w:tc>
        <w:tc>
          <w:tcPr>
            <w:tcW w:w="2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销售货物</w:t>
            </w:r>
          </w:p>
        </w:tc>
        <w:tc>
          <w:tcPr>
            <w:tcW w:w="1843" w:type="dxa"/>
            <w:tcBorders>
              <w:top w:val="single" w:sz="4" w:space="0" w:color="000000"/>
              <w:left w:val="single" w:sz="4" w:space="0" w:color="000000"/>
              <w:bottom w:val="single" w:sz="4" w:space="0" w:color="000000"/>
              <w:right w:val="single" w:sz="4" w:space="0" w:color="000000"/>
            </w:tcBorders>
          </w:tcPr>
          <w:p>
            <w:pP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15,371.70</w:t>
            </w:r>
          </w:p>
        </w:tc>
      </w:tr>
      <w:tr>
        <w:trPr>
          <w:trHeight w:val="402" w:hRule="exact"/>
        </w:trPr>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广州广电城市服务集团股份有限公司</w:t>
            </w:r>
          </w:p>
        </w:tc>
        <w:tc>
          <w:tcPr>
            <w:tcW w:w="2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销售货物</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1,127,692.57</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231,185.48</w:t>
            </w:r>
          </w:p>
        </w:tc>
      </w:tr>
      <w:tr>
        <w:trPr>
          <w:trHeight w:val="402" w:hRule="exact"/>
        </w:trPr>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广州辉远电子技术有限公司</w:t>
            </w:r>
          </w:p>
        </w:tc>
        <w:tc>
          <w:tcPr>
            <w:tcW w:w="2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销售货物</w:t>
            </w:r>
          </w:p>
        </w:tc>
        <w:tc>
          <w:tcPr>
            <w:tcW w:w="1843" w:type="dxa"/>
            <w:tcBorders>
              <w:top w:val="single" w:sz="4" w:space="0" w:color="000000"/>
              <w:left w:val="single" w:sz="4" w:space="0" w:color="000000"/>
              <w:bottom w:val="single" w:sz="4" w:space="0" w:color="000000"/>
              <w:right w:val="single" w:sz="4" w:space="0" w:color="000000"/>
            </w:tcBorders>
          </w:tcPr>
          <w:p>
            <w:pP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971,108.39</w:t>
            </w:r>
          </w:p>
        </w:tc>
      </w:tr>
      <w:tr>
        <w:trPr>
          <w:trHeight w:val="402" w:hRule="exact"/>
        </w:trPr>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广州运通链达金服科技有限公司</w:t>
            </w:r>
          </w:p>
        </w:tc>
        <w:tc>
          <w:tcPr>
            <w:tcW w:w="2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销售固定资产</w:t>
            </w:r>
          </w:p>
        </w:tc>
        <w:tc>
          <w:tcPr>
            <w:tcW w:w="1843" w:type="dxa"/>
            <w:tcBorders>
              <w:top w:val="single" w:sz="4" w:space="0" w:color="000000"/>
              <w:left w:val="single" w:sz="4" w:space="0" w:color="000000"/>
              <w:bottom w:val="single" w:sz="4" w:space="0" w:color="000000"/>
              <w:right w:val="single" w:sz="4" w:space="0" w:color="000000"/>
            </w:tcBorders>
          </w:tcPr>
          <w:p>
            <w:pP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19,966.64</w:t>
            </w:r>
          </w:p>
        </w:tc>
      </w:tr>
    </w:tbl>
    <w:p>
      <w:pPr>
        <w:spacing w:line="240" w:lineRule="auto" w:before="4"/>
        <w:rPr>
          <w:rFonts w:ascii="宋体" w:hAnsi="宋体" w:cs="宋体" w:eastAsia="宋体" w:hint="default"/>
          <w:sz w:val="19"/>
          <w:szCs w:val="19"/>
        </w:rPr>
      </w:pPr>
    </w:p>
    <w:p>
      <w:pPr>
        <w:pStyle w:val="Heading3"/>
        <w:spacing w:line="240" w:lineRule="auto"/>
        <w:ind w:right="1394"/>
        <w:jc w:val="left"/>
        <w:rPr>
          <w:b w:val="0"/>
          <w:bCs w:val="0"/>
        </w:rPr>
      </w:pPr>
      <w:bookmarkStart w:name="（2）关联受托管理/承包及委托管理/出包情况" w:id="382"/>
      <w:bookmarkEnd w:id="382"/>
      <w:r>
        <w:rPr>
          <w:b w:val="0"/>
          <w:bCs w:val="0"/>
        </w:rPr>
      </w: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532" w:right="1394"/>
        <w:jc w:val="left"/>
        <w:rPr>
          <w:rFonts w:ascii="Times New Roman" w:hAnsi="Times New Roman" w:cs="Times New Roman" w:eastAsia="Times New Roman" w:hint="default"/>
        </w:rPr>
      </w:pPr>
      <w:r>
        <w:rPr/>
        <w:t>本公司本期没有关联受托管理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3"/>
        <w:spacing w:line="240" w:lineRule="auto" w:before="130"/>
        <w:ind w:right="1394"/>
        <w:jc w:val="left"/>
        <w:rPr>
          <w:b w:val="0"/>
          <w:bCs w:val="0"/>
        </w:rPr>
      </w:pPr>
      <w:bookmarkStart w:name="（3）关联租赁情况" w:id="383"/>
      <w:bookmarkEnd w:id="383"/>
      <w:r>
        <w:rPr>
          <w:b w:val="0"/>
          <w:bCs w:val="0"/>
        </w:rPr>
      </w:r>
      <w:r>
        <w:rPr/>
        <w:t>（</w:t>
      </w:r>
      <w:r>
        <w:rPr>
          <w:rFonts w:ascii="Times New Roman" w:hAnsi="Times New Roman" w:cs="Times New Roman" w:eastAsia="Times New Roman" w:hint="default"/>
        </w:rPr>
        <w:t>3</w:t>
      </w:r>
      <w:r>
        <w:rPr/>
        <w:t>）关联租赁情况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1394"/>
        <w:jc w:val="left"/>
      </w:pPr>
      <w:r>
        <w:rPr/>
        <w:t>本公司作为出租方：</w:t>
      </w:r>
    </w:p>
    <w:p>
      <w:pPr>
        <w:pStyle w:val="BodyText"/>
        <w:spacing w:line="240" w:lineRule="auto" w:before="117"/>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19"/>
        <w:gridCol w:w="1984"/>
        <w:gridCol w:w="2268"/>
        <w:gridCol w:w="2197"/>
      </w:tblGrid>
      <w:tr>
        <w:trPr>
          <w:trHeight w:val="402" w:hRule="exact"/>
        </w:trPr>
        <w:tc>
          <w:tcPr>
            <w:tcW w:w="3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承租方名称</w:t>
            </w:r>
          </w:p>
        </w:tc>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46"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广州广电城市服务集团股份有限公司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场地</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89" w:right="0"/>
              <w:jc w:val="left"/>
              <w:rPr>
                <w:rFonts w:ascii="Times New Roman" w:hAnsi="Times New Roman" w:cs="Times New Roman" w:eastAsia="Times New Roman" w:hint="default"/>
                <w:sz w:val="18"/>
                <w:szCs w:val="18"/>
              </w:rPr>
            </w:pPr>
            <w:r>
              <w:rPr>
                <w:rFonts w:ascii="Times New Roman"/>
                <w:sz w:val="18"/>
              </w:rPr>
              <w:t>1,352,038.94</w:t>
            </w:r>
          </w:p>
        </w:tc>
        <w:tc>
          <w:tcPr>
            <w:tcW w:w="219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394"/>
        <w:jc w:val="left"/>
      </w:pPr>
      <w:r>
        <w:rPr/>
        <w:t>本公司作为承租方：</w:t>
      </w:r>
    </w:p>
    <w:p>
      <w:pPr>
        <w:pStyle w:val="BodyText"/>
        <w:spacing w:line="240" w:lineRule="auto" w:before="117"/>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19"/>
        <w:gridCol w:w="2126"/>
        <w:gridCol w:w="2126"/>
        <w:gridCol w:w="2197"/>
      </w:tblGrid>
      <w:tr>
        <w:trPr>
          <w:trHeight w:val="402" w:hRule="exact"/>
        </w:trPr>
        <w:tc>
          <w:tcPr>
            <w:tcW w:w="3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出租方名称</w:t>
            </w:r>
          </w:p>
        </w:tc>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8"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8"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广州海格通信集团股份有限公司</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员工宿舍楼</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84" w:right="0"/>
              <w:jc w:val="left"/>
              <w:rPr>
                <w:rFonts w:ascii="Times New Roman" w:hAnsi="Times New Roman" w:cs="Times New Roman" w:eastAsia="Times New Roman" w:hint="default"/>
                <w:sz w:val="18"/>
                <w:szCs w:val="18"/>
              </w:rPr>
            </w:pPr>
            <w:r>
              <w:rPr>
                <w:rFonts w:ascii="Times New Roman"/>
                <w:sz w:val="18"/>
              </w:rPr>
              <w:t>969,561.94</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19" w:right="0"/>
              <w:jc w:val="left"/>
              <w:rPr>
                <w:rFonts w:ascii="Times New Roman" w:hAnsi="Times New Roman" w:cs="Times New Roman" w:eastAsia="Times New Roman" w:hint="default"/>
                <w:sz w:val="18"/>
                <w:szCs w:val="18"/>
              </w:rPr>
            </w:pPr>
            <w:r>
              <w:rPr>
                <w:rFonts w:ascii="Times New Roman"/>
                <w:sz w:val="18"/>
              </w:rPr>
              <w:t>1,139,914.29</w:t>
            </w:r>
          </w:p>
        </w:tc>
      </w:tr>
    </w:tbl>
    <w:p>
      <w:pPr>
        <w:spacing w:after="0" w:line="240" w:lineRule="auto"/>
        <w:jc w:val="left"/>
        <w:rPr>
          <w:rFonts w:ascii="Times New Roman" w:hAnsi="Times New Roman" w:cs="Times New Roman" w:eastAsia="Times New Roman" w:hint="default"/>
          <w:sz w:val="18"/>
          <w:szCs w:val="18"/>
        </w:rPr>
        <w:sectPr>
          <w:pgSz w:w="11910" w:h="16840"/>
          <w:pgMar w:header="878" w:footer="978" w:top="1100" w:bottom="1160" w:left="1020" w:right="0"/>
        </w:sectPr>
      </w:pPr>
    </w:p>
    <w:p>
      <w:pPr>
        <w:spacing w:line="240" w:lineRule="auto" w:before="12"/>
        <w:rPr>
          <w:rFonts w:ascii="宋体" w:hAnsi="宋体" w:cs="宋体" w:eastAsia="宋体" w:hint="default"/>
          <w:sz w:val="20"/>
          <w:szCs w:val="20"/>
        </w:rPr>
      </w:pPr>
    </w:p>
    <w:p>
      <w:pPr>
        <w:pStyle w:val="Heading3"/>
        <w:spacing w:line="240" w:lineRule="auto"/>
        <w:ind w:right="1394"/>
        <w:jc w:val="left"/>
        <w:rPr>
          <w:b w:val="0"/>
          <w:bCs w:val="0"/>
        </w:rPr>
      </w:pPr>
      <w:bookmarkStart w:name="（4）关联担保情况" w:id="384"/>
      <w:bookmarkEnd w:id="384"/>
      <w:r>
        <w:rPr>
          <w:b w:val="0"/>
          <w:bCs w:val="0"/>
        </w:rPr>
      </w:r>
      <w:r>
        <w:rPr/>
        <w:t>（</w:t>
      </w:r>
      <w:r>
        <w:rPr>
          <w:rFonts w:ascii="Times New Roman" w:hAnsi="Times New Roman" w:cs="Times New Roman" w:eastAsia="Times New Roman" w:hint="default"/>
        </w:rPr>
        <w:t>4</w:t>
      </w:r>
      <w:r>
        <w:rPr/>
        <w:t>）关联担保情况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32" w:right="1394"/>
        <w:jc w:val="left"/>
      </w:pPr>
      <w:r>
        <w:rPr/>
        <w:t>本公司期末无关联担保情况。</w:t>
      </w:r>
    </w:p>
    <w:p>
      <w:pPr>
        <w:spacing w:line="240" w:lineRule="auto" w:before="0"/>
        <w:rPr>
          <w:rFonts w:ascii="宋体" w:hAnsi="宋体" w:cs="宋体" w:eastAsia="宋体" w:hint="default"/>
          <w:sz w:val="18"/>
          <w:szCs w:val="18"/>
        </w:rPr>
      </w:pPr>
    </w:p>
    <w:p>
      <w:pPr>
        <w:pStyle w:val="Heading3"/>
        <w:spacing w:line="240" w:lineRule="auto" w:before="118"/>
        <w:ind w:right="1394"/>
        <w:jc w:val="left"/>
        <w:rPr>
          <w:b w:val="0"/>
          <w:bCs w:val="0"/>
        </w:rPr>
      </w:pPr>
      <w:bookmarkStart w:name="（5）关联方资金拆借" w:id="385"/>
      <w:bookmarkEnd w:id="385"/>
      <w:r>
        <w:rPr>
          <w:b w:val="0"/>
          <w:bCs w:val="0"/>
        </w:rPr>
      </w:r>
      <w:r>
        <w:rPr/>
        <w:t>（</w:t>
      </w:r>
      <w:r>
        <w:rPr>
          <w:rFonts w:ascii="Times New Roman" w:hAnsi="Times New Roman" w:cs="Times New Roman" w:eastAsia="Times New Roman" w:hint="default"/>
        </w:rPr>
        <w:t>5</w:t>
      </w:r>
      <w:r>
        <w:rPr/>
        <w:t>）关联方资金拆借</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472" w:right="1394"/>
        <w:jc w:val="left"/>
      </w:pPr>
      <w:r>
        <w:rPr/>
        <w:t>本公司本期没有关联方资金拆借。</w:t>
      </w:r>
    </w:p>
    <w:p>
      <w:pPr>
        <w:spacing w:line="240" w:lineRule="auto" w:before="0"/>
        <w:rPr>
          <w:rFonts w:ascii="宋体" w:hAnsi="宋体" w:cs="宋体" w:eastAsia="宋体" w:hint="default"/>
          <w:sz w:val="18"/>
          <w:szCs w:val="18"/>
        </w:rPr>
      </w:pPr>
    </w:p>
    <w:p>
      <w:pPr>
        <w:pStyle w:val="Heading3"/>
        <w:spacing w:line="240" w:lineRule="auto" w:before="118"/>
        <w:ind w:right="1394"/>
        <w:jc w:val="left"/>
        <w:rPr>
          <w:b w:val="0"/>
          <w:bCs w:val="0"/>
        </w:rPr>
      </w:pPr>
      <w:bookmarkStart w:name="（6）关联方资产转让、债务重组情况" w:id="386"/>
      <w:bookmarkEnd w:id="386"/>
      <w:r>
        <w:rPr>
          <w:b w:val="0"/>
          <w:bCs w:val="0"/>
        </w:rPr>
      </w: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532" w:right="1394"/>
        <w:jc w:val="left"/>
      </w:pPr>
      <w:r>
        <w:rPr/>
        <w:t>本公司本期没有关联方资产转让、债务重组情况。</w:t>
      </w:r>
    </w:p>
    <w:p>
      <w:pPr>
        <w:spacing w:line="240" w:lineRule="auto" w:before="11"/>
        <w:rPr>
          <w:rFonts w:ascii="宋体" w:hAnsi="宋体" w:cs="宋体" w:eastAsia="宋体" w:hint="default"/>
          <w:sz w:val="26"/>
          <w:szCs w:val="26"/>
        </w:rPr>
      </w:pPr>
    </w:p>
    <w:p>
      <w:pPr>
        <w:pStyle w:val="Heading3"/>
        <w:spacing w:line="240" w:lineRule="auto" w:before="0"/>
        <w:ind w:right="1394"/>
        <w:jc w:val="left"/>
        <w:rPr>
          <w:b w:val="0"/>
          <w:bCs w:val="0"/>
        </w:rPr>
      </w:pPr>
      <w:bookmarkStart w:name="（7）关键管理人员报酬" w:id="387"/>
      <w:bookmarkEnd w:id="387"/>
      <w:r>
        <w:rPr>
          <w:b w:val="0"/>
          <w:bCs w:val="0"/>
        </w:rPr>
      </w:r>
      <w:r>
        <w:rPr/>
        <w:t>（</w:t>
      </w:r>
      <w:r>
        <w:rPr>
          <w:rFonts w:ascii="Times New Roman" w:hAnsi="Times New Roman" w:cs="Times New Roman" w:eastAsia="Times New Roman" w:hint="default"/>
        </w:rPr>
        <w:t>7</w:t>
      </w:r>
      <w:r>
        <w:rPr/>
        <w:t>）关键管理人员报酬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0"/>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关键管理人员薪酬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14,888,300.00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12,483,500.00</w:t>
            </w:r>
          </w:p>
        </w:tc>
      </w:tr>
    </w:tbl>
    <w:p>
      <w:pPr>
        <w:spacing w:line="240" w:lineRule="auto" w:before="4"/>
        <w:rPr>
          <w:rFonts w:ascii="宋体" w:hAnsi="宋体" w:cs="宋体" w:eastAsia="宋体" w:hint="default"/>
          <w:sz w:val="19"/>
          <w:szCs w:val="19"/>
        </w:rPr>
      </w:pPr>
    </w:p>
    <w:p>
      <w:pPr>
        <w:pStyle w:val="Heading3"/>
        <w:spacing w:line="240" w:lineRule="auto"/>
        <w:ind w:right="1394"/>
        <w:jc w:val="left"/>
        <w:rPr>
          <w:b w:val="0"/>
          <w:bCs w:val="0"/>
        </w:rPr>
      </w:pPr>
      <w:bookmarkStart w:name="6、关联方应收应付款项" w:id="388"/>
      <w:bookmarkEnd w:id="388"/>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before="0"/>
        <w:ind w:right="1394"/>
        <w:jc w:val="left"/>
        <w:rPr>
          <w:b w:val="0"/>
          <w:bCs w:val="0"/>
        </w:rPr>
      </w:pPr>
      <w:bookmarkStart w:name="（1）应收项目" w:id="389"/>
      <w:bookmarkEnd w:id="389"/>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993"/>
        <w:gridCol w:w="3118"/>
        <w:gridCol w:w="1276"/>
        <w:gridCol w:w="1417"/>
        <w:gridCol w:w="1560"/>
        <w:gridCol w:w="1202"/>
      </w:tblGrid>
      <w:tr>
        <w:trPr>
          <w:trHeight w:val="402" w:hRule="exact"/>
        </w:trPr>
        <w:tc>
          <w:tcPr>
            <w:tcW w:w="9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31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69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76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993" w:type="dxa"/>
            <w:vMerge/>
            <w:tcBorders>
              <w:left w:val="single" w:sz="4" w:space="0" w:color="000000"/>
              <w:bottom w:val="single" w:sz="4" w:space="0" w:color="000000"/>
              <w:right w:val="single" w:sz="4" w:space="0" w:color="000000"/>
            </w:tcBorders>
            <w:shd w:val="clear" w:color="auto" w:fill="D2D2D2"/>
          </w:tcPr>
          <w:p>
            <w:pPr/>
          </w:p>
        </w:tc>
        <w:tc>
          <w:tcPr>
            <w:tcW w:w="3118" w:type="dxa"/>
            <w:vMerge/>
            <w:tcBorders>
              <w:left w:val="single" w:sz="4" w:space="0" w:color="000000"/>
              <w:bottom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6"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2" w:hRule="exact"/>
        </w:trPr>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广州无线电集团有限公司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2,669.00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z w:val="18"/>
              </w:rPr>
              <w:t>13.35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17,952.50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z w:val="18"/>
              </w:rPr>
              <w:t>89.76</w:t>
            </w:r>
          </w:p>
        </w:tc>
      </w:tr>
      <w:tr>
        <w:trPr>
          <w:trHeight w:val="402" w:hRule="exact"/>
        </w:trPr>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广州辉远电子技术有限公司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433,854.30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21,692.72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1,029,454.30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5,147.26</w:t>
            </w:r>
          </w:p>
        </w:tc>
      </w:tr>
      <w:tr>
        <w:trPr>
          <w:trHeight w:val="402" w:hRule="exact"/>
        </w:trPr>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广州广电智能科技有限公司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3,500,000.00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广州辉远电子技术有限公司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51,940.00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广州广电城市服务集团股份有限公司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6,470.66</w:t>
            </w: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85,424.14</w:t>
            </w: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广州海格通信集团股份有限公司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171,600.00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171,600.00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171,600.00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85,800.00</w:t>
            </w:r>
          </w:p>
        </w:tc>
      </w:tr>
      <w:tr>
        <w:trPr>
          <w:trHeight w:val="402" w:hRule="exact"/>
        </w:trPr>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广州运通链达金服科技有限公司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21,813.43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195.03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26,435.97</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132.18</w:t>
            </w:r>
          </w:p>
        </w:tc>
      </w:tr>
      <w:tr>
        <w:trPr>
          <w:trHeight w:val="402" w:hRule="exact"/>
        </w:trPr>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广州广电城市服务集团股份有限公司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1,822.50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1,822.50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1,822.50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1,822.50</w:t>
            </w:r>
          </w:p>
        </w:tc>
      </w:tr>
    </w:tbl>
    <w:p>
      <w:pPr>
        <w:spacing w:line="240" w:lineRule="auto" w:before="4"/>
        <w:rPr>
          <w:rFonts w:ascii="宋体" w:hAnsi="宋体" w:cs="宋体" w:eastAsia="宋体" w:hint="default"/>
          <w:sz w:val="19"/>
          <w:szCs w:val="19"/>
        </w:rPr>
      </w:pPr>
    </w:p>
    <w:p>
      <w:pPr>
        <w:pStyle w:val="Heading3"/>
        <w:spacing w:line="240" w:lineRule="auto"/>
        <w:ind w:right="1394"/>
        <w:jc w:val="left"/>
        <w:rPr>
          <w:b w:val="0"/>
          <w:bCs w:val="0"/>
        </w:rPr>
      </w:pPr>
      <w:bookmarkStart w:name="（2）应付项目" w:id="390"/>
      <w:bookmarkEnd w:id="390"/>
      <w:r>
        <w:rPr>
          <w:b w:val="0"/>
          <w:bCs w:val="0"/>
        </w:rPr>
      </w:r>
      <w:r>
        <w:rPr/>
        <w:t>（</w:t>
      </w:r>
      <w:r>
        <w:rPr>
          <w:rFonts w:ascii="Times New Roman" w:hAnsi="Times New Roman" w:cs="Times New Roman" w:eastAsia="Times New Roman" w:hint="default"/>
        </w:rPr>
        <w:t>2</w:t>
      </w:r>
      <w:r>
        <w:rPr/>
        <w:t>）应付项目</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418"/>
        <w:gridCol w:w="3685"/>
        <w:gridCol w:w="2268"/>
        <w:gridCol w:w="2197"/>
      </w:tblGrid>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4"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3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88"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52"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海华电子企业（中国）有限公司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548,386.60</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606,638.60</w:t>
            </w:r>
          </w:p>
        </w:tc>
      </w:tr>
      <w:tr>
        <w:trPr>
          <w:trHeight w:val="400"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广州广电城市服务集团股份有限公司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27,584.51</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163,272.53</w:t>
            </w:r>
          </w:p>
        </w:tc>
      </w:tr>
    </w:tbl>
    <w:p>
      <w:pPr>
        <w:spacing w:after="0" w:line="240" w:lineRule="auto"/>
        <w:jc w:val="right"/>
        <w:rPr>
          <w:rFonts w:ascii="Times New Roman" w:hAnsi="Times New Roman" w:cs="Times New Roman" w:eastAsia="Times New Roman" w:hint="default"/>
          <w:sz w:val="18"/>
          <w:szCs w:val="18"/>
        </w:rPr>
        <w:sectPr>
          <w:pgSz w:w="11910" w:h="16840"/>
          <w:pgMar w:header="878" w:footer="978" w:top="1100" w:bottom="1160" w:left="1020" w:right="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1418"/>
        <w:gridCol w:w="3685"/>
        <w:gridCol w:w="2268"/>
        <w:gridCol w:w="2197"/>
      </w:tblGrid>
      <w:tr>
        <w:trPr>
          <w:trHeight w:val="402"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广州广电智能科技有限公司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1,493,307.58</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2,557,307.94</w:t>
            </w: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广东美电贝尔科技集团股份有限公司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31,800.09</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31,800.09</w:t>
            </w: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广州辉远电子技术有限公司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271,361.04</w:t>
            </w:r>
          </w:p>
        </w:tc>
        <w:tc>
          <w:tcPr>
            <w:tcW w:w="219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广州广电城市服务集团股份有限公司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32,964.21</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200,000.00</w:t>
            </w: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广州广电研究院有限公司</w:t>
            </w:r>
          </w:p>
        </w:tc>
        <w:tc>
          <w:tcPr>
            <w:tcW w:w="2268" w:type="dxa"/>
            <w:tcBorders>
              <w:top w:val="single" w:sz="4" w:space="0" w:color="000000"/>
              <w:left w:val="single" w:sz="4" w:space="0" w:color="000000"/>
              <w:bottom w:val="single" w:sz="4" w:space="0" w:color="000000"/>
              <w:right w:val="single" w:sz="4" w:space="0" w:color="000000"/>
            </w:tcBorders>
          </w:tcPr>
          <w:p>
            <w:pP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2,449,913.76</w:t>
            </w: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广州辉远电子技术有限公司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46,632.00</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46,632.00</w:t>
            </w: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广州广电智能科技有限公司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1,300,000.00</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200,000.00</w:t>
            </w: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广州广电城市服务集团股份有限公司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1,799,658.61</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2,425,166.00</w:t>
            </w: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广州辉远电子技术有限公司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21,050.00</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21,050.00</w:t>
            </w:r>
          </w:p>
        </w:tc>
      </w:tr>
    </w:tbl>
    <w:p>
      <w:pPr>
        <w:spacing w:line="240" w:lineRule="auto" w:before="4"/>
        <w:rPr>
          <w:rFonts w:ascii="宋体" w:hAnsi="宋体" w:cs="宋体" w:eastAsia="宋体" w:hint="default"/>
          <w:sz w:val="19"/>
          <w:szCs w:val="19"/>
        </w:rPr>
      </w:pPr>
    </w:p>
    <w:p>
      <w:pPr>
        <w:pStyle w:val="Heading3"/>
        <w:spacing w:line="240" w:lineRule="auto"/>
        <w:ind w:right="1394"/>
        <w:jc w:val="left"/>
        <w:rPr>
          <w:b w:val="0"/>
          <w:bCs w:val="0"/>
        </w:rPr>
      </w:pPr>
      <w:bookmarkStart w:name="7、关联方承诺" w:id="391"/>
      <w:bookmarkEnd w:id="391"/>
      <w:r>
        <w:rPr>
          <w:b w:val="0"/>
          <w:bCs w:val="0"/>
        </w:rPr>
      </w:r>
      <w:r>
        <w:rPr>
          <w:rFonts w:ascii="Times New Roman" w:hAnsi="Times New Roman" w:cs="Times New Roman" w:eastAsia="Times New Roman" w:hint="default"/>
        </w:rPr>
        <w:t>7</w:t>
      </w:r>
      <w:r>
        <w:rPr/>
        <w:t>、关联方承诺</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472" w:right="1394"/>
        <w:jc w:val="left"/>
      </w:pPr>
      <w:r>
        <w:rPr/>
        <w:t>本公司没有于资产负债表日，已签约而尚不必在资产负债表上列示的与关联方有关的承诺事项。</w:t>
      </w:r>
    </w:p>
    <w:p>
      <w:pPr>
        <w:spacing w:line="240" w:lineRule="auto" w:before="1"/>
        <w:rPr>
          <w:rFonts w:ascii="宋体" w:hAnsi="宋体" w:cs="宋体" w:eastAsia="宋体" w:hint="default"/>
          <w:sz w:val="25"/>
          <w:szCs w:val="25"/>
        </w:rPr>
      </w:pPr>
    </w:p>
    <w:p>
      <w:pPr>
        <w:pStyle w:val="Heading2"/>
        <w:spacing w:line="240" w:lineRule="auto"/>
        <w:ind w:right="1394"/>
        <w:jc w:val="left"/>
        <w:rPr>
          <w:b w:val="0"/>
          <w:bCs w:val="0"/>
        </w:rPr>
      </w:pPr>
      <w:bookmarkStart w:name="十三、股份支付" w:id="392"/>
      <w:bookmarkEnd w:id="392"/>
      <w:r>
        <w:rPr>
          <w:b w:val="0"/>
          <w:bCs w:val="0"/>
        </w:rPr>
      </w:r>
      <w:r>
        <w:rPr/>
        <w:t>十三、股份支付</w:t>
      </w:r>
      <w:r>
        <w:rPr>
          <w:b w:val="0"/>
          <w:bCs w:val="0"/>
        </w:rPr>
      </w:r>
    </w:p>
    <w:p>
      <w:pPr>
        <w:spacing w:line="240" w:lineRule="auto" w:before="9"/>
        <w:rPr>
          <w:rFonts w:ascii="宋体" w:hAnsi="宋体" w:cs="宋体" w:eastAsia="宋体" w:hint="default"/>
          <w:b/>
          <w:bCs/>
          <w:sz w:val="24"/>
          <w:szCs w:val="24"/>
        </w:rPr>
      </w:pPr>
    </w:p>
    <w:p>
      <w:pPr>
        <w:pStyle w:val="Heading3"/>
        <w:spacing w:line="240" w:lineRule="auto" w:before="0"/>
        <w:ind w:right="1394"/>
        <w:jc w:val="left"/>
        <w:rPr>
          <w:b w:val="0"/>
          <w:bCs w:val="0"/>
        </w:rPr>
      </w:pPr>
      <w:bookmarkStart w:name="1、股份支付总体情况" w:id="393"/>
      <w:bookmarkEnd w:id="393"/>
      <w:r>
        <w:rPr>
          <w:b w:val="0"/>
          <w:bCs w:val="0"/>
        </w:rPr>
      </w:r>
      <w:r>
        <w:rPr>
          <w:rFonts w:ascii="Times New Roman" w:hAnsi="Times New Roman" w:cs="Times New Roman" w:eastAsia="Times New Roman" w:hint="default"/>
        </w:rPr>
        <w:t>1</w:t>
      </w:r>
      <w:r>
        <w:rPr/>
        <w:t>、股份支付总体情况</w:t>
      </w:r>
      <w:r>
        <w:rPr>
          <w:b w:val="0"/>
          <w:bCs w:val="0"/>
        </w:rPr>
      </w:r>
    </w:p>
    <w:p>
      <w:pPr>
        <w:spacing w:line="240" w:lineRule="auto" w:before="5"/>
        <w:rPr>
          <w:rFonts w:ascii="宋体" w:hAnsi="宋体" w:cs="宋体" w:eastAsia="宋体" w:hint="default"/>
          <w:b/>
          <w:bCs/>
          <w:sz w:val="32"/>
          <w:szCs w:val="32"/>
        </w:rPr>
      </w:pPr>
    </w:p>
    <w:p>
      <w:pPr>
        <w:pStyle w:val="BodyText"/>
        <w:spacing w:line="240" w:lineRule="auto"/>
        <w:ind w:left="532" w:right="1394"/>
        <w:jc w:val="left"/>
      </w:pPr>
      <w:r>
        <w:rPr/>
        <w:t>本公司本期没有发生该事项。</w:t>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3"/>
          <w:szCs w:val="13"/>
        </w:rPr>
      </w:pPr>
    </w:p>
    <w:p>
      <w:pPr>
        <w:pStyle w:val="Heading2"/>
        <w:spacing w:line="240" w:lineRule="auto"/>
        <w:ind w:right="1394"/>
        <w:jc w:val="left"/>
        <w:rPr>
          <w:b w:val="0"/>
          <w:bCs w:val="0"/>
        </w:rPr>
      </w:pPr>
      <w:bookmarkStart w:name="十四、承诺及或有事项" w:id="394"/>
      <w:bookmarkEnd w:id="394"/>
      <w:r>
        <w:rPr>
          <w:b w:val="0"/>
          <w:bCs w:val="0"/>
        </w:rPr>
      </w:r>
      <w:r>
        <w:rPr/>
        <w:t>十四、承诺及或有事项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before="0"/>
        <w:ind w:right="1394"/>
        <w:jc w:val="left"/>
        <w:rPr>
          <w:b w:val="0"/>
          <w:bCs w:val="0"/>
        </w:rPr>
      </w:pPr>
      <w:bookmarkStart w:name="1、重要承诺事项" w:id="395"/>
      <w:bookmarkEnd w:id="395"/>
      <w:r>
        <w:rPr>
          <w:b w:val="0"/>
          <w:bCs w:val="0"/>
        </w:rPr>
      </w:r>
      <w:r>
        <w:rPr>
          <w:rFonts w:ascii="Times New Roman" w:hAnsi="Times New Roman" w:cs="Times New Roman" w:eastAsia="Times New Roman" w:hint="default"/>
        </w:rPr>
        <w:t>1</w:t>
      </w:r>
      <w:r>
        <w:rPr/>
        <w:t>、重要承诺事项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32" w:right="1394"/>
        <w:jc w:val="left"/>
      </w:pPr>
      <w:r>
        <w:rPr/>
        <w:t>本公司没有资产负债表日存在的重要承诺。</w:t>
      </w:r>
    </w:p>
    <w:p>
      <w:pPr>
        <w:spacing w:line="240" w:lineRule="auto" w:before="11"/>
        <w:rPr>
          <w:rFonts w:ascii="宋体" w:hAnsi="宋体" w:cs="宋体" w:eastAsia="宋体" w:hint="default"/>
          <w:sz w:val="26"/>
          <w:szCs w:val="26"/>
        </w:rPr>
      </w:pPr>
    </w:p>
    <w:p>
      <w:pPr>
        <w:pStyle w:val="Heading3"/>
        <w:spacing w:line="240" w:lineRule="auto" w:before="0"/>
        <w:ind w:right="1394"/>
        <w:jc w:val="left"/>
        <w:rPr>
          <w:b w:val="0"/>
          <w:bCs w:val="0"/>
        </w:rPr>
      </w:pPr>
      <w:bookmarkStart w:name="2、或有事项" w:id="396"/>
      <w:bookmarkEnd w:id="396"/>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before="0"/>
        <w:ind w:right="1394"/>
        <w:jc w:val="left"/>
        <w:rPr>
          <w:b w:val="0"/>
          <w:bCs w:val="0"/>
        </w:rPr>
      </w:pPr>
      <w:bookmarkStart w:name="（1）资产负债表日存在的重要或有事项" w:id="397"/>
      <w:bookmarkEnd w:id="397"/>
      <w:r>
        <w:rPr>
          <w:b w:val="0"/>
          <w:bCs w:val="0"/>
        </w:rPr>
      </w: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7"/>
        <w:rPr>
          <w:rFonts w:ascii="宋体" w:hAnsi="宋体" w:cs="宋体" w:eastAsia="宋体" w:hint="default"/>
          <w:b/>
          <w:bCs/>
          <w:sz w:val="32"/>
          <w:szCs w:val="32"/>
        </w:rPr>
      </w:pPr>
    </w:p>
    <w:p>
      <w:pPr>
        <w:pStyle w:val="BodyText"/>
        <w:spacing w:line="451" w:lineRule="auto"/>
        <w:ind w:right="0" w:firstLine="420"/>
        <w:jc w:val="left"/>
      </w:pPr>
      <w:r>
        <w:rPr>
          <w:spacing w:val="-1"/>
        </w:rPr>
        <w:t>截至报告日止本公司未结清人民币保函为</w:t>
      </w:r>
      <w:r>
        <w:rPr>
          <w:rFonts w:ascii="Times New Roman" w:hAnsi="Times New Roman" w:cs="Times New Roman" w:eastAsia="Times New Roman" w:hint="default"/>
          <w:spacing w:val="-1"/>
        </w:rPr>
        <w:t>81,826,115.51</w:t>
      </w:r>
      <w:r>
        <w:rPr>
          <w:spacing w:val="-1"/>
        </w:rPr>
        <w:t>元，美元保函为</w:t>
      </w:r>
      <w:r>
        <w:rPr>
          <w:rFonts w:ascii="Times New Roman" w:hAnsi="Times New Roman" w:cs="Times New Roman" w:eastAsia="Times New Roman" w:hint="default"/>
          <w:spacing w:val="-1"/>
        </w:rPr>
        <w:t>6,005,379.62</w:t>
      </w:r>
      <w:r>
        <w:rPr>
          <w:spacing w:val="-1"/>
        </w:rPr>
        <w:t>元，里拉保函为</w:t>
      </w:r>
      <w:r>
        <w:rPr>
          <w:rFonts w:ascii="Times New Roman" w:hAnsi="Times New Roman" w:cs="Times New Roman" w:eastAsia="Times New Roman" w:hint="default"/>
          <w:spacing w:val="-1"/>
        </w:rPr>
        <w:t>5,424,285.00</w:t>
      </w:r>
      <w:r>
        <w:rPr>
          <w:spacing w:val="-1"/>
        </w:rPr>
        <w:t>元，对</w:t>
      </w:r>
      <w:r>
        <w:rPr/>
        <w:t> 本公司财务没有重大影响。</w:t>
      </w:r>
    </w:p>
    <w:p>
      <w:pPr>
        <w:spacing w:line="240" w:lineRule="auto" w:before="10"/>
        <w:rPr>
          <w:rFonts w:ascii="宋体" w:hAnsi="宋体" w:cs="宋体" w:eastAsia="宋体" w:hint="default"/>
          <w:sz w:val="20"/>
          <w:szCs w:val="20"/>
        </w:rPr>
      </w:pPr>
    </w:p>
    <w:p>
      <w:pPr>
        <w:pStyle w:val="Heading3"/>
        <w:spacing w:line="240" w:lineRule="auto" w:before="0"/>
        <w:ind w:right="1394"/>
        <w:jc w:val="left"/>
        <w:rPr>
          <w:b w:val="0"/>
          <w:bCs w:val="0"/>
        </w:rPr>
      </w:pPr>
      <w:bookmarkStart w:name="（2）公司没有需要披露的重要或有事项，也应予以说明" w:id="398"/>
      <w:bookmarkEnd w:id="398"/>
      <w:r>
        <w:rPr>
          <w:b w:val="0"/>
          <w:bCs w:val="0"/>
        </w:rPr>
      </w: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472" w:right="1394"/>
        <w:jc w:val="left"/>
      </w:pPr>
      <w:r>
        <w:rPr/>
        <w:t>公司不存在需要披露的重要或有事项。</w:t>
      </w:r>
    </w:p>
    <w:p>
      <w:pPr>
        <w:spacing w:after="0" w:line="240" w:lineRule="auto"/>
        <w:jc w:val="left"/>
        <w:sectPr>
          <w:pgSz w:w="11910" w:h="16840"/>
          <w:pgMar w:header="878" w:footer="978" w:top="1100" w:bottom="1160" w:left="1020" w:right="0"/>
        </w:sectPr>
      </w:pPr>
    </w:p>
    <w:p>
      <w:pPr>
        <w:spacing w:line="240" w:lineRule="auto" w:before="10"/>
        <w:rPr>
          <w:rFonts w:ascii="宋体" w:hAnsi="宋体" w:cs="宋体" w:eastAsia="宋体" w:hint="default"/>
          <w:sz w:val="19"/>
          <w:szCs w:val="19"/>
        </w:rPr>
      </w:pPr>
    </w:p>
    <w:p>
      <w:pPr>
        <w:pStyle w:val="Heading2"/>
        <w:spacing w:line="240" w:lineRule="auto" w:before="26"/>
        <w:ind w:right="1394"/>
        <w:jc w:val="left"/>
        <w:rPr>
          <w:b w:val="0"/>
          <w:bCs w:val="0"/>
        </w:rPr>
      </w:pPr>
      <w:bookmarkStart w:name="十五、资产负债表日后事项" w:id="399"/>
      <w:bookmarkEnd w:id="399"/>
      <w:r>
        <w:rPr>
          <w:b w:val="0"/>
          <w:bCs w:val="0"/>
        </w:rPr>
      </w:r>
      <w:r>
        <w:rPr/>
        <w:t>十五、资产负债表日后事项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before="0"/>
        <w:ind w:right="1394"/>
        <w:jc w:val="left"/>
        <w:rPr>
          <w:b w:val="0"/>
          <w:bCs w:val="0"/>
        </w:rPr>
      </w:pPr>
      <w:bookmarkStart w:name="1、重要的非调整事项" w:id="400"/>
      <w:bookmarkEnd w:id="400"/>
      <w:r>
        <w:rPr>
          <w:b w:val="0"/>
          <w:bCs w:val="0"/>
        </w:rPr>
      </w:r>
      <w:r>
        <w:rPr>
          <w:rFonts w:ascii="Times New Roman" w:hAnsi="Times New Roman" w:cs="Times New Roman" w:eastAsia="Times New Roman" w:hint="default"/>
        </w:rPr>
        <w:t>1</w:t>
      </w:r>
      <w:r>
        <w:rPr/>
        <w:t>、重要的非调整事项</w:t>
      </w:r>
      <w:r>
        <w:rPr>
          <w:b w:val="0"/>
          <w:bCs w:val="0"/>
        </w:rPr>
      </w:r>
    </w:p>
    <w:p>
      <w:pPr>
        <w:spacing w:line="240" w:lineRule="auto" w:before="5"/>
        <w:rPr>
          <w:rFonts w:ascii="宋体" w:hAnsi="宋体" w:cs="宋体" w:eastAsia="宋体" w:hint="default"/>
          <w:b/>
          <w:bCs/>
          <w:sz w:val="32"/>
          <w:szCs w:val="32"/>
        </w:rPr>
      </w:pPr>
    </w:p>
    <w:p>
      <w:pPr>
        <w:pStyle w:val="BodyText"/>
        <w:spacing w:line="240" w:lineRule="auto"/>
        <w:ind w:left="532" w:right="1394"/>
        <w:jc w:val="left"/>
      </w:pPr>
      <w:r>
        <w:rPr/>
        <w:t>本公司本期没有重要非调整事项。</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3"/>
        <w:spacing w:line="240" w:lineRule="auto" w:before="0"/>
        <w:ind w:right="1394"/>
        <w:jc w:val="left"/>
        <w:rPr>
          <w:b w:val="0"/>
          <w:bCs w:val="0"/>
        </w:rPr>
      </w:pPr>
      <w:bookmarkStart w:name="2、利润分配情况" w:id="401"/>
      <w:bookmarkEnd w:id="401"/>
      <w:r>
        <w:rPr>
          <w:b w:val="0"/>
          <w:bCs w:val="0"/>
        </w:rPr>
      </w:r>
      <w:r>
        <w:rPr>
          <w:rFonts w:ascii="Times New Roman" w:hAnsi="Times New Roman" w:cs="Times New Roman" w:eastAsia="Times New Roman" w:hint="default"/>
        </w:rPr>
        <w:t>2</w:t>
      </w:r>
      <w:r>
        <w:rPr/>
        <w:t>、利润分配情况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983"/>
        <w:gridCol w:w="4585"/>
      </w:tblGrid>
      <w:tr>
        <w:trPr>
          <w:trHeight w:val="402" w:hRule="exact"/>
        </w:trPr>
        <w:tc>
          <w:tcPr>
            <w:tcW w:w="4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289,079,274.12</w:t>
            </w:r>
          </w:p>
        </w:tc>
      </w:tr>
      <w:tr>
        <w:trPr>
          <w:trHeight w:val="402" w:hRule="exact"/>
        </w:trPr>
        <w:tc>
          <w:tcPr>
            <w:tcW w:w="4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289,079,274.12</w:t>
            </w:r>
          </w:p>
        </w:tc>
      </w:tr>
    </w:tbl>
    <w:p>
      <w:pPr>
        <w:spacing w:line="240" w:lineRule="auto" w:before="2"/>
        <w:rPr>
          <w:rFonts w:ascii="宋体" w:hAnsi="宋体" w:cs="宋体" w:eastAsia="宋体" w:hint="default"/>
          <w:sz w:val="19"/>
          <w:szCs w:val="19"/>
        </w:rPr>
      </w:pPr>
    </w:p>
    <w:p>
      <w:pPr>
        <w:pStyle w:val="Heading3"/>
        <w:spacing w:line="240" w:lineRule="auto"/>
        <w:ind w:right="1394"/>
        <w:jc w:val="left"/>
        <w:rPr>
          <w:b w:val="0"/>
          <w:bCs w:val="0"/>
        </w:rPr>
      </w:pPr>
      <w:bookmarkStart w:name="3、销售退回" w:id="402"/>
      <w:bookmarkEnd w:id="402"/>
      <w:r>
        <w:rPr>
          <w:b w:val="0"/>
          <w:bCs w:val="0"/>
        </w:rPr>
      </w:r>
      <w:r>
        <w:rPr>
          <w:rFonts w:ascii="Times New Roman" w:hAnsi="Times New Roman" w:cs="Times New Roman" w:eastAsia="Times New Roman" w:hint="default"/>
        </w:rPr>
        <w:t>3</w:t>
      </w:r>
      <w:r>
        <w:rPr/>
        <w:t>、销售退回</w:t>
      </w:r>
      <w:r>
        <w:rPr>
          <w:b w:val="0"/>
          <w:bCs w:val="0"/>
        </w:rPr>
      </w:r>
    </w:p>
    <w:p>
      <w:pPr>
        <w:spacing w:line="240" w:lineRule="auto" w:before="7"/>
        <w:rPr>
          <w:rFonts w:ascii="宋体" w:hAnsi="宋体" w:cs="宋体" w:eastAsia="宋体" w:hint="default"/>
          <w:b/>
          <w:bCs/>
          <w:sz w:val="32"/>
          <w:szCs w:val="32"/>
        </w:rPr>
      </w:pPr>
    </w:p>
    <w:p>
      <w:pPr>
        <w:pStyle w:val="BodyText"/>
        <w:spacing w:line="240" w:lineRule="auto"/>
        <w:ind w:left="532" w:right="1394"/>
        <w:jc w:val="left"/>
      </w:pPr>
      <w:r>
        <w:rPr/>
        <w:t>本公司本期没有重要的销售退回情况。</w:t>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3"/>
          <w:szCs w:val="13"/>
        </w:rPr>
      </w:pPr>
    </w:p>
    <w:p>
      <w:pPr>
        <w:pStyle w:val="Heading2"/>
        <w:spacing w:line="240" w:lineRule="auto"/>
        <w:ind w:right="1394"/>
        <w:jc w:val="left"/>
        <w:rPr>
          <w:b w:val="0"/>
          <w:bCs w:val="0"/>
        </w:rPr>
      </w:pPr>
      <w:bookmarkStart w:name="十六、其他重要事项" w:id="403"/>
      <w:bookmarkEnd w:id="403"/>
      <w:r>
        <w:rPr>
          <w:b w:val="0"/>
          <w:bCs w:val="0"/>
        </w:rPr>
      </w:r>
      <w:r>
        <w:rPr/>
        <w:t>十六、其他重要事项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before="0"/>
        <w:ind w:right="1394"/>
        <w:jc w:val="left"/>
        <w:rPr>
          <w:b w:val="0"/>
          <w:bCs w:val="0"/>
        </w:rPr>
      </w:pPr>
      <w:bookmarkStart w:name="1、前期会计差错更正" w:id="404"/>
      <w:bookmarkEnd w:id="404"/>
      <w:r>
        <w:rPr>
          <w:b w:val="0"/>
          <w:bCs w:val="0"/>
        </w:rPr>
      </w:r>
      <w:r>
        <w:rPr>
          <w:rFonts w:ascii="Times New Roman" w:hAnsi="Times New Roman" w:cs="Times New Roman" w:eastAsia="Times New Roman" w:hint="default"/>
        </w:rPr>
        <w:t>1</w:t>
      </w:r>
      <w:r>
        <w:rPr/>
        <w:t>、前期会计差错更正</w:t>
      </w:r>
      <w:r>
        <w:rPr>
          <w:b w:val="0"/>
          <w:bCs w:val="0"/>
        </w:rPr>
      </w:r>
    </w:p>
    <w:p>
      <w:pPr>
        <w:spacing w:line="240" w:lineRule="auto" w:before="5"/>
        <w:rPr>
          <w:rFonts w:ascii="宋体" w:hAnsi="宋体" w:cs="宋体" w:eastAsia="宋体" w:hint="default"/>
          <w:b/>
          <w:bCs/>
          <w:sz w:val="32"/>
          <w:szCs w:val="32"/>
        </w:rPr>
      </w:pPr>
    </w:p>
    <w:p>
      <w:pPr>
        <w:pStyle w:val="BodyText"/>
        <w:spacing w:line="240" w:lineRule="auto"/>
        <w:ind w:left="532" w:right="1394"/>
        <w:jc w:val="left"/>
      </w:pPr>
      <w:r>
        <w:rPr/>
        <w:t>本公司本期未发生该事项。</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3"/>
        <w:spacing w:line="240" w:lineRule="auto" w:before="0"/>
        <w:ind w:right="1394"/>
        <w:jc w:val="left"/>
        <w:rPr>
          <w:b w:val="0"/>
          <w:bCs w:val="0"/>
        </w:rPr>
      </w:pPr>
      <w:bookmarkStart w:name="2、债务重组" w:id="405"/>
      <w:bookmarkEnd w:id="405"/>
      <w:r>
        <w:rPr>
          <w:b w:val="0"/>
          <w:bCs w:val="0"/>
        </w:rPr>
      </w:r>
      <w:r>
        <w:rPr>
          <w:rFonts w:ascii="Times New Roman" w:hAnsi="Times New Roman" w:cs="Times New Roman" w:eastAsia="Times New Roman" w:hint="default"/>
        </w:rPr>
        <w:t>2</w:t>
      </w:r>
      <w:r>
        <w:rPr/>
        <w:t>、债务重组</w:t>
      </w:r>
      <w:r>
        <w:rPr>
          <w:b w:val="0"/>
          <w:bCs w:val="0"/>
        </w:rPr>
      </w:r>
    </w:p>
    <w:p>
      <w:pPr>
        <w:spacing w:line="240" w:lineRule="auto" w:before="7"/>
        <w:rPr>
          <w:rFonts w:ascii="宋体" w:hAnsi="宋体" w:cs="宋体" w:eastAsia="宋体" w:hint="default"/>
          <w:b/>
          <w:bCs/>
          <w:sz w:val="32"/>
          <w:szCs w:val="32"/>
        </w:rPr>
      </w:pPr>
    </w:p>
    <w:p>
      <w:pPr>
        <w:pStyle w:val="BodyText"/>
        <w:spacing w:line="240" w:lineRule="auto"/>
        <w:ind w:left="532" w:right="1394"/>
        <w:jc w:val="left"/>
      </w:pPr>
      <w:r>
        <w:rPr/>
        <w:t>本公司本期未发生该事项。</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3"/>
        <w:spacing w:line="240" w:lineRule="auto" w:before="0"/>
        <w:ind w:right="1394"/>
        <w:jc w:val="left"/>
        <w:rPr>
          <w:b w:val="0"/>
          <w:bCs w:val="0"/>
        </w:rPr>
      </w:pPr>
      <w:bookmarkStart w:name="3、资产置换" w:id="406"/>
      <w:bookmarkEnd w:id="406"/>
      <w:r>
        <w:rPr>
          <w:b w:val="0"/>
          <w:bCs w:val="0"/>
        </w:rPr>
      </w:r>
      <w:r>
        <w:rPr>
          <w:rFonts w:ascii="Times New Roman" w:hAnsi="Times New Roman" w:cs="Times New Roman" w:eastAsia="Times New Roman" w:hint="default"/>
        </w:rPr>
        <w:t>3</w:t>
      </w:r>
      <w:r>
        <w:rPr/>
        <w:t>、资产置换</w:t>
      </w:r>
      <w:r>
        <w:rPr>
          <w:b w:val="0"/>
          <w:bCs w:val="0"/>
        </w:rPr>
      </w:r>
    </w:p>
    <w:p>
      <w:pPr>
        <w:spacing w:line="240" w:lineRule="auto" w:before="7"/>
        <w:rPr>
          <w:rFonts w:ascii="宋体" w:hAnsi="宋体" w:cs="宋体" w:eastAsia="宋体" w:hint="default"/>
          <w:b/>
          <w:bCs/>
          <w:sz w:val="24"/>
          <w:szCs w:val="24"/>
        </w:rPr>
      </w:pPr>
    </w:p>
    <w:p>
      <w:pPr>
        <w:pStyle w:val="Heading3"/>
        <w:spacing w:line="240" w:lineRule="auto" w:before="0"/>
        <w:ind w:right="1394"/>
        <w:jc w:val="left"/>
        <w:rPr>
          <w:b w:val="0"/>
          <w:bCs w:val="0"/>
        </w:rPr>
      </w:pPr>
      <w:bookmarkStart w:name="（1）非货币性资产交换" w:id="407"/>
      <w:bookmarkEnd w:id="407"/>
      <w:r>
        <w:rPr>
          <w:b w:val="0"/>
          <w:bCs w:val="0"/>
        </w:rPr>
      </w:r>
      <w:r>
        <w:rPr/>
        <w:t>（</w:t>
      </w:r>
      <w:r>
        <w:rPr>
          <w:rFonts w:ascii="Times New Roman" w:hAnsi="Times New Roman" w:cs="Times New Roman" w:eastAsia="Times New Roman" w:hint="default"/>
        </w:rPr>
        <w:t>1</w:t>
      </w:r>
      <w:r>
        <w:rPr/>
        <w:t>）非货币性资产交换</w:t>
      </w:r>
      <w:r>
        <w:rPr>
          <w:b w:val="0"/>
          <w:bCs w:val="0"/>
        </w:rPr>
      </w:r>
    </w:p>
    <w:p>
      <w:pPr>
        <w:spacing w:line="240" w:lineRule="auto" w:before="7"/>
        <w:rPr>
          <w:rFonts w:ascii="宋体" w:hAnsi="宋体" w:cs="宋体" w:eastAsia="宋体" w:hint="default"/>
          <w:b/>
          <w:bCs/>
          <w:sz w:val="32"/>
          <w:szCs w:val="32"/>
        </w:rPr>
      </w:pPr>
    </w:p>
    <w:p>
      <w:pPr>
        <w:pStyle w:val="BodyText"/>
        <w:spacing w:line="240" w:lineRule="auto"/>
        <w:ind w:left="532" w:right="1394"/>
        <w:jc w:val="left"/>
      </w:pPr>
      <w:r>
        <w:rPr/>
        <w:t>本公司本期未发生该事项。</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3"/>
        <w:spacing w:line="240" w:lineRule="auto" w:before="0"/>
        <w:ind w:right="1394"/>
        <w:jc w:val="left"/>
        <w:rPr>
          <w:b w:val="0"/>
          <w:bCs w:val="0"/>
        </w:rPr>
      </w:pPr>
      <w:bookmarkStart w:name="（2）其他资产置换" w:id="408"/>
      <w:bookmarkEnd w:id="408"/>
      <w:r>
        <w:rPr>
          <w:b w:val="0"/>
          <w:bCs w:val="0"/>
        </w:rPr>
      </w:r>
      <w:r>
        <w:rPr/>
        <w:t>（</w:t>
      </w:r>
      <w:r>
        <w:rPr>
          <w:rFonts w:ascii="Times New Roman" w:hAnsi="Times New Roman" w:cs="Times New Roman" w:eastAsia="Times New Roman" w:hint="default"/>
        </w:rPr>
        <w:t>2</w:t>
      </w:r>
      <w:r>
        <w:rPr/>
        <w:t>）其他资产置换</w:t>
      </w:r>
      <w:r>
        <w:rPr>
          <w:b w:val="0"/>
          <w:bCs w:val="0"/>
        </w:rPr>
      </w:r>
    </w:p>
    <w:p>
      <w:pPr>
        <w:spacing w:line="240" w:lineRule="auto" w:before="5"/>
        <w:rPr>
          <w:rFonts w:ascii="宋体" w:hAnsi="宋体" w:cs="宋体" w:eastAsia="宋体" w:hint="default"/>
          <w:b/>
          <w:bCs/>
          <w:sz w:val="32"/>
          <w:szCs w:val="32"/>
        </w:rPr>
      </w:pPr>
    </w:p>
    <w:p>
      <w:pPr>
        <w:pStyle w:val="BodyText"/>
        <w:spacing w:line="240" w:lineRule="auto"/>
        <w:ind w:left="532" w:right="1394"/>
        <w:jc w:val="left"/>
      </w:pPr>
      <w:r>
        <w:rPr/>
        <w:t>本公司本期未发生该事项。</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3"/>
        <w:spacing w:line="240" w:lineRule="auto" w:before="0"/>
        <w:ind w:right="1394"/>
        <w:jc w:val="left"/>
        <w:rPr>
          <w:b w:val="0"/>
          <w:bCs w:val="0"/>
        </w:rPr>
      </w:pPr>
      <w:bookmarkStart w:name="4、年金计划" w:id="409"/>
      <w:bookmarkEnd w:id="409"/>
      <w:r>
        <w:rPr>
          <w:b w:val="0"/>
          <w:bCs w:val="0"/>
        </w:rPr>
      </w:r>
      <w:r>
        <w:rPr>
          <w:rFonts w:ascii="Times New Roman" w:hAnsi="Times New Roman" w:cs="Times New Roman" w:eastAsia="Times New Roman" w:hint="default"/>
        </w:rPr>
        <w:t>4</w:t>
      </w:r>
      <w:r>
        <w:rPr/>
        <w:t>、年金计划</w:t>
      </w:r>
      <w:r>
        <w:rPr>
          <w:b w:val="0"/>
          <w:bCs w:val="0"/>
        </w:rPr>
      </w:r>
    </w:p>
    <w:p>
      <w:pPr>
        <w:spacing w:line="240" w:lineRule="auto" w:before="7"/>
        <w:rPr>
          <w:rFonts w:ascii="宋体" w:hAnsi="宋体" w:cs="宋体" w:eastAsia="宋体" w:hint="default"/>
          <w:b/>
          <w:bCs/>
          <w:sz w:val="32"/>
          <w:szCs w:val="32"/>
        </w:rPr>
      </w:pPr>
    </w:p>
    <w:p>
      <w:pPr>
        <w:pStyle w:val="BodyText"/>
        <w:spacing w:line="240" w:lineRule="auto"/>
        <w:ind w:left="532" w:right="1394"/>
        <w:jc w:val="left"/>
      </w:pPr>
      <w:r>
        <w:rPr/>
        <w:t>本公司本期未发生该事项。</w:t>
      </w:r>
    </w:p>
    <w:p>
      <w:pPr>
        <w:spacing w:after="0" w:line="240" w:lineRule="auto"/>
        <w:jc w:val="left"/>
        <w:sectPr>
          <w:pgSz w:w="11910" w:h="16840"/>
          <w:pgMar w:header="878" w:footer="978" w:top="1100" w:bottom="1160" w:left="1020" w:right="0"/>
        </w:sectPr>
      </w:pPr>
    </w:p>
    <w:p>
      <w:pPr>
        <w:spacing w:line="240" w:lineRule="auto" w:before="12"/>
        <w:rPr>
          <w:rFonts w:ascii="宋体" w:hAnsi="宋体" w:cs="宋体" w:eastAsia="宋体" w:hint="default"/>
          <w:sz w:val="20"/>
          <w:szCs w:val="20"/>
        </w:rPr>
      </w:pPr>
    </w:p>
    <w:p>
      <w:pPr>
        <w:pStyle w:val="Heading3"/>
        <w:spacing w:line="240" w:lineRule="auto"/>
        <w:ind w:right="1394"/>
        <w:jc w:val="left"/>
        <w:rPr>
          <w:b w:val="0"/>
          <w:bCs w:val="0"/>
        </w:rPr>
      </w:pPr>
      <w:bookmarkStart w:name="5、终止经营" w:id="410"/>
      <w:bookmarkEnd w:id="410"/>
      <w:r>
        <w:rPr>
          <w:b w:val="0"/>
          <w:bCs w:val="0"/>
        </w:rPr>
      </w:r>
      <w:r>
        <w:rPr>
          <w:rFonts w:ascii="Times New Roman" w:hAnsi="Times New Roman" w:cs="Times New Roman" w:eastAsia="Times New Roman" w:hint="default"/>
        </w:rPr>
        <w:t>5</w:t>
      </w:r>
      <w:r>
        <w:rPr/>
        <w:t>、终止经营</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324" w:right="1394"/>
        <w:jc w:val="left"/>
      </w:pPr>
      <w:r>
        <w:rPr/>
        <w:t>本公司本期未发生该事项。</w:t>
      </w:r>
    </w:p>
    <w:p>
      <w:pPr>
        <w:spacing w:line="240" w:lineRule="auto" w:before="0"/>
        <w:rPr>
          <w:rFonts w:ascii="宋体" w:hAnsi="宋体" w:cs="宋体" w:eastAsia="宋体" w:hint="default"/>
          <w:sz w:val="18"/>
          <w:szCs w:val="18"/>
        </w:rPr>
      </w:pPr>
    </w:p>
    <w:p>
      <w:pPr>
        <w:pStyle w:val="Heading3"/>
        <w:spacing w:line="240" w:lineRule="auto" w:before="118"/>
        <w:ind w:right="1394"/>
        <w:jc w:val="left"/>
        <w:rPr>
          <w:b w:val="0"/>
          <w:bCs w:val="0"/>
        </w:rPr>
      </w:pPr>
      <w:bookmarkStart w:name="6、分部信息" w:id="411"/>
      <w:bookmarkEnd w:id="411"/>
      <w:r>
        <w:rPr>
          <w:b w:val="0"/>
          <w:bCs w:val="0"/>
        </w:rPr>
      </w:r>
      <w:r>
        <w:rPr>
          <w:rFonts w:ascii="Times New Roman" w:hAnsi="Times New Roman" w:cs="Times New Roman" w:eastAsia="Times New Roman" w:hint="default"/>
        </w:rPr>
        <w:t>6</w:t>
      </w:r>
      <w:r>
        <w:rPr/>
        <w:t>、分部信息</w:t>
      </w:r>
      <w:r>
        <w:rPr>
          <w:b w:val="0"/>
          <w:bCs w:val="0"/>
        </w:rPr>
      </w:r>
    </w:p>
    <w:p>
      <w:pPr>
        <w:spacing w:line="240" w:lineRule="auto" w:before="7"/>
        <w:rPr>
          <w:rFonts w:ascii="宋体" w:hAnsi="宋体" w:cs="宋体" w:eastAsia="宋体" w:hint="default"/>
          <w:b/>
          <w:bCs/>
          <w:sz w:val="24"/>
          <w:szCs w:val="24"/>
        </w:rPr>
      </w:pPr>
    </w:p>
    <w:p>
      <w:pPr>
        <w:pStyle w:val="Heading3"/>
        <w:spacing w:line="240" w:lineRule="auto" w:before="0"/>
        <w:ind w:right="1394"/>
        <w:jc w:val="left"/>
        <w:rPr>
          <w:b w:val="0"/>
          <w:bCs w:val="0"/>
        </w:rPr>
      </w:pPr>
      <w:bookmarkStart w:name="（1）报告分部的确定依据与会计政策" w:id="412"/>
      <w:bookmarkEnd w:id="412"/>
      <w:r>
        <w:rPr>
          <w:b w:val="0"/>
          <w:bCs w:val="0"/>
        </w:rPr>
      </w: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5"/>
        <w:rPr>
          <w:rFonts w:ascii="宋体" w:hAnsi="宋体" w:cs="宋体" w:eastAsia="宋体" w:hint="default"/>
          <w:b/>
          <w:bCs/>
          <w:sz w:val="32"/>
          <w:szCs w:val="32"/>
        </w:rPr>
      </w:pPr>
    </w:p>
    <w:p>
      <w:pPr>
        <w:pStyle w:val="BodyText"/>
        <w:spacing w:line="463" w:lineRule="auto"/>
        <w:ind w:right="1130" w:firstLine="420"/>
        <w:jc w:val="both"/>
      </w:pPr>
      <w:r>
        <w:rPr>
          <w:spacing w:val="-1"/>
        </w:rPr>
        <w:t>根根据本公司的内部组织结构、管理要求及内部报告制度确定了</w:t>
      </w:r>
      <w:r>
        <w:rPr>
          <w:rFonts w:ascii="Times New Roman" w:hAnsi="Times New Roman" w:cs="Times New Roman" w:eastAsia="Times New Roman" w:hint="default"/>
          <w:spacing w:val="-1"/>
        </w:rPr>
        <w:t>2</w:t>
      </w:r>
      <w:r>
        <w:rPr>
          <w:spacing w:val="-1"/>
        </w:rPr>
        <w:t>个报告分部，分别为：制造业和其他。本公司的各个</w:t>
      </w:r>
      <w:r>
        <w:rPr/>
        <w:t> </w:t>
      </w:r>
      <w:r>
        <w:rPr>
          <w:spacing w:val="-2"/>
        </w:rPr>
        <w:t>报告分部分别提供不同的产品或服务，或在不同地区从事经营活动。由于每个分部需要不同的技术或市场策略，本公司管理</w:t>
      </w:r>
      <w:r>
        <w:rPr>
          <w:spacing w:val="-63"/>
        </w:rPr>
        <w:t> </w:t>
      </w:r>
      <w:r>
        <w:rPr>
          <w:spacing w:val="-63"/>
        </w:rPr>
      </w:r>
      <w:r>
        <w:rPr/>
        <w:t>层分别单独管理各个报告分部的经营活动，定期评价这些报告分部的经营成果，以决定向其分配资源及评价其业绩。</w:t>
      </w:r>
    </w:p>
    <w:p>
      <w:pPr>
        <w:pStyle w:val="BodyText"/>
        <w:spacing w:line="477" w:lineRule="auto" w:before="106"/>
        <w:ind w:right="1132" w:firstLine="420"/>
        <w:jc w:val="both"/>
      </w:pPr>
      <w:r>
        <w:rPr/>
        <w:t>分部间转移价格按照实际交易价格为基础确定，间接归属于各分部的费用按照一定比例在分部之间进行分配。资产根 </w:t>
      </w:r>
      <w:r>
        <w:rPr>
          <w:spacing w:val="-2"/>
        </w:rPr>
        <w:t>据分部的经营以及资产的所在位置进行分配，分部负债包括分部经营活动形成的可归属于该分部的负债。如果多个经营分部</w:t>
      </w:r>
      <w:r>
        <w:rPr>
          <w:spacing w:val="-64"/>
        </w:rPr>
        <w:t> </w:t>
      </w:r>
      <w:r>
        <w:rPr>
          <w:spacing w:val="-64"/>
        </w:rPr>
      </w:r>
      <w:r>
        <w:rPr/>
        <w:t>共同承担的负债相关的费用分配给这些经营分部，该共同承担的负债也分配给这些经营分部。</w:t>
      </w:r>
    </w:p>
    <w:p>
      <w:pPr>
        <w:pStyle w:val="BodyText"/>
        <w:spacing w:line="240" w:lineRule="auto" w:before="16"/>
        <w:ind w:right="1394"/>
        <w:jc w:val="left"/>
      </w:pPr>
      <w:r>
        <w:rPr/>
        <w:t>（</w:t>
      </w:r>
      <w:r>
        <w:rPr>
          <w:rFonts w:ascii="Times New Roman" w:hAnsi="Times New Roman" w:cs="Times New Roman" w:eastAsia="Times New Roman" w:hint="default"/>
        </w:rPr>
        <w:t>2</w:t>
      </w:r>
      <w:r>
        <w:rPr/>
        <w:t>）报告分部的财务信息</w:t>
      </w:r>
    </w:p>
    <w:p>
      <w:pPr>
        <w:pStyle w:val="BodyText"/>
        <w:spacing w:line="240" w:lineRule="auto" w:before="103"/>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制造业</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2,776,092,987.48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4,862,753,388.12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1,142,581,278.76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6,496,265,096.84</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其中：对外交易收入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1,873,719,298.39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4,622,545,798.45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6,496,265,096.84</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分部间交易收入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902,373,689.09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240,207,589.67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1,142,581,278.76</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营业总成本</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2,776,092,987.48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3,966,313,081.47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1,142,110,386.73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5,600,295,682.22</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432,036,415.33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46,951,391.55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403,663,247.62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75,324,559.26</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586,847,019.04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853,397,705.60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404,134,139.65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1,036,110,584.99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资产总额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12,011,645,353.83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8,065,111,191.97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5,889,547,134.14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14,187,209,411.66</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负债总额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3,867,176,938.87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2,447,644,642.52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2,039,179,525.87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4,275,642,055.52</w:t>
            </w:r>
          </w:p>
        </w:tc>
      </w:tr>
    </w:tbl>
    <w:p>
      <w:pPr>
        <w:spacing w:line="240" w:lineRule="auto" w:before="4"/>
        <w:rPr>
          <w:rFonts w:ascii="宋体" w:hAnsi="宋体" w:cs="宋体" w:eastAsia="宋体" w:hint="default"/>
          <w:sz w:val="19"/>
          <w:szCs w:val="19"/>
        </w:rPr>
      </w:pPr>
    </w:p>
    <w:p>
      <w:pPr>
        <w:pStyle w:val="Heading3"/>
        <w:spacing w:line="240" w:lineRule="auto"/>
        <w:ind w:right="1394"/>
        <w:jc w:val="left"/>
        <w:rPr>
          <w:b w:val="0"/>
          <w:bCs w:val="0"/>
        </w:rPr>
      </w:pPr>
      <w:bookmarkStart w:name="7、其他对投资者决策有影响的重要交易和事项" w:id="413"/>
      <w:bookmarkEnd w:id="413"/>
      <w:r>
        <w:rPr>
          <w:b w:val="0"/>
          <w:bCs w:val="0"/>
        </w:rPr>
      </w:r>
      <w:r>
        <w:rPr>
          <w:rFonts w:ascii="Times New Roman" w:hAnsi="Times New Roman" w:cs="Times New Roman" w:eastAsia="Times New Roman" w:hint="default"/>
        </w:rPr>
        <w:t>7</w:t>
      </w:r>
      <w:r>
        <w:rPr/>
        <w:t>、其他对投资者决策有影响的重要交易和事项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324" w:right="1394"/>
        <w:jc w:val="left"/>
      </w:pPr>
      <w:r>
        <w:rPr/>
        <w:t>本公司本期未发生该事项。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2"/>
          <w:szCs w:val="12"/>
        </w:rPr>
      </w:pPr>
    </w:p>
    <w:p>
      <w:pPr>
        <w:pStyle w:val="Heading2"/>
        <w:spacing w:line="240" w:lineRule="auto"/>
        <w:ind w:right="1394"/>
        <w:jc w:val="left"/>
        <w:rPr>
          <w:b w:val="0"/>
          <w:bCs w:val="0"/>
        </w:rPr>
      </w:pPr>
      <w:bookmarkStart w:name="十七、母公司财务报表主要项目注释" w:id="414"/>
      <w:bookmarkEnd w:id="414"/>
      <w:r>
        <w:rPr>
          <w:b w:val="0"/>
          <w:bCs w:val="0"/>
        </w:rPr>
      </w:r>
      <w:r>
        <w:rPr/>
        <w:t>十七、母公司财务报表主要项目注释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before="0"/>
        <w:ind w:right="1394"/>
        <w:jc w:val="left"/>
        <w:rPr>
          <w:b w:val="0"/>
          <w:bCs w:val="0"/>
        </w:rPr>
      </w:pPr>
      <w:bookmarkStart w:name="1、应收账款" w:id="415"/>
      <w:bookmarkEnd w:id="415"/>
      <w:r>
        <w:rPr>
          <w:b w:val="0"/>
          <w:bCs w:val="0"/>
        </w:rPr>
      </w:r>
      <w:r>
        <w:rPr>
          <w:rFonts w:ascii="Times New Roman" w:hAnsi="Times New Roman" w:cs="Times New Roman" w:eastAsia="Times New Roman" w:hint="default"/>
        </w:rPr>
        <w:t>1</w:t>
      </w:r>
      <w:r>
        <w:rPr/>
        <w:t>、应收账款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before="0"/>
        <w:ind w:right="1394"/>
        <w:jc w:val="left"/>
        <w:rPr>
          <w:b w:val="0"/>
          <w:bCs w:val="0"/>
        </w:rPr>
      </w:pPr>
      <w:bookmarkStart w:name="（1）应收账款分类披露" w:id="416"/>
      <w:bookmarkEnd w:id="416"/>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after="0" w:line="240" w:lineRule="auto"/>
        <w:jc w:val="right"/>
        <w:sectPr>
          <w:pgSz w:w="11910" w:h="16840"/>
          <w:pgMar w:header="878" w:footer="978" w:top="1100" w:bottom="1160" w:left="1020" w:right="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1635"/>
        <w:gridCol w:w="763"/>
        <w:gridCol w:w="762"/>
        <w:gridCol w:w="762"/>
        <w:gridCol w:w="763"/>
        <w:gridCol w:w="789"/>
        <w:gridCol w:w="776"/>
        <w:gridCol w:w="797"/>
        <w:gridCol w:w="798"/>
        <w:gridCol w:w="790"/>
        <w:gridCol w:w="932"/>
      </w:tblGrid>
      <w:tr>
        <w:trPr>
          <w:trHeight w:val="402"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5"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7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2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86" w:right="105"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9" w:type="dxa"/>
            <w:vMerge/>
            <w:tcBorders>
              <w:left w:val="single" w:sz="4" w:space="0" w:color="000000"/>
              <w:bottom w:val="single" w:sz="4" w:space="0" w:color="000000"/>
              <w:right w:val="single" w:sz="4" w:space="0" w:color="000000"/>
            </w:tcBorders>
            <w:shd w:val="clear" w:color="auto" w:fill="D2D2D2"/>
          </w:tcPr>
          <w:p>
            <w:pP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0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12"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1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7"/>
              <w:jc w:val="righ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60"/>
              <w:jc w:val="left"/>
              <w:rPr>
                <w:rFonts w:ascii="宋体" w:hAnsi="宋体" w:cs="宋体" w:eastAsia="宋体" w:hint="default"/>
                <w:sz w:val="18"/>
                <w:szCs w:val="18"/>
              </w:rPr>
            </w:pPr>
            <w:r>
              <w:rPr>
                <w:rFonts w:ascii="宋体" w:hAnsi="宋体" w:cs="宋体" w:eastAsia="宋体" w:hint="default"/>
                <w:sz w:val="18"/>
                <w:szCs w:val="18"/>
              </w:rPr>
              <w:t>按单项计提坏账准 备的应收账款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8" w:right="0"/>
              <w:jc w:val="left"/>
              <w:rPr>
                <w:rFonts w:ascii="Times New Roman" w:hAnsi="Times New Roman" w:cs="Times New Roman" w:eastAsia="Times New Roman" w:hint="default"/>
                <w:sz w:val="18"/>
                <w:szCs w:val="18"/>
              </w:rPr>
            </w:pPr>
            <w:r>
              <w:rPr>
                <w:rFonts w:ascii="Times New Roman"/>
                <w:sz w:val="18"/>
              </w:rPr>
              <w:t>7,738,06</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4.15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1.23%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8" w:right="0"/>
              <w:jc w:val="left"/>
              <w:rPr>
                <w:rFonts w:ascii="Times New Roman" w:hAnsi="Times New Roman" w:cs="Times New Roman" w:eastAsia="Times New Roman" w:hint="default"/>
                <w:sz w:val="18"/>
                <w:szCs w:val="18"/>
              </w:rPr>
            </w:pPr>
            <w:r>
              <w:rPr>
                <w:rFonts w:ascii="Times New Roman"/>
                <w:sz w:val="18"/>
              </w:rPr>
              <w:t>7,738,06</w:t>
            </w:r>
          </w:p>
          <w:p>
            <w:pPr>
              <w:pStyle w:val="TableParagraph"/>
              <w:spacing w:line="240" w:lineRule="auto" w:before="105"/>
              <w:ind w:left="414" w:right="0"/>
              <w:jc w:val="left"/>
              <w:rPr>
                <w:rFonts w:ascii="Times New Roman" w:hAnsi="Times New Roman" w:cs="Times New Roman" w:eastAsia="Times New Roman" w:hint="default"/>
                <w:sz w:val="18"/>
                <w:szCs w:val="18"/>
              </w:rPr>
            </w:pPr>
            <w:r>
              <w:rPr>
                <w:rFonts w:ascii="Times New Roman"/>
                <w:sz w:val="18"/>
              </w:rPr>
              <w:t>4.15</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89"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24,225,99</w:t>
            </w:r>
          </w:p>
          <w:p>
            <w:pPr>
              <w:pStyle w:val="TableParagraph"/>
              <w:spacing w:line="240" w:lineRule="auto" w:before="105"/>
              <w:ind w:left="428" w:right="0"/>
              <w:jc w:val="left"/>
              <w:rPr>
                <w:rFonts w:ascii="Times New Roman" w:hAnsi="Times New Roman" w:cs="Times New Roman" w:eastAsia="Times New Roman" w:hint="default"/>
                <w:sz w:val="18"/>
                <w:szCs w:val="18"/>
              </w:rPr>
            </w:pPr>
            <w:r>
              <w:rPr>
                <w:rFonts w:ascii="Times New Roman"/>
                <w:sz w:val="18"/>
              </w:rPr>
              <w:t>4.24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7,738,064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31.94%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16,487,930.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09</w:t>
            </w:r>
          </w:p>
        </w:tc>
      </w:tr>
      <w:tr>
        <w:trPr>
          <w:trHeight w:val="402"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0"/>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7,738,06</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4.15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1.23%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7,738,06</w:t>
            </w:r>
          </w:p>
          <w:p>
            <w:pPr>
              <w:pStyle w:val="TableParagraph"/>
              <w:spacing w:line="240" w:lineRule="auto" w:before="105"/>
              <w:ind w:left="414" w:right="0"/>
              <w:jc w:val="left"/>
              <w:rPr>
                <w:rFonts w:ascii="Times New Roman" w:hAnsi="Times New Roman" w:cs="Times New Roman" w:eastAsia="Times New Roman" w:hint="default"/>
                <w:sz w:val="18"/>
                <w:szCs w:val="18"/>
              </w:rPr>
            </w:pPr>
            <w:r>
              <w:rPr>
                <w:rFonts w:ascii="Times New Roman"/>
                <w:sz w:val="18"/>
              </w:rPr>
              <w:t>4.15</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89"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24,225,99</w:t>
            </w:r>
          </w:p>
          <w:p>
            <w:pPr>
              <w:pStyle w:val="TableParagraph"/>
              <w:spacing w:line="240" w:lineRule="auto" w:before="105"/>
              <w:ind w:left="428" w:right="0"/>
              <w:jc w:val="left"/>
              <w:rPr>
                <w:rFonts w:ascii="Times New Roman" w:hAnsi="Times New Roman" w:cs="Times New Roman" w:eastAsia="Times New Roman" w:hint="default"/>
                <w:sz w:val="18"/>
                <w:szCs w:val="18"/>
              </w:rPr>
            </w:pPr>
            <w:r>
              <w:rPr>
                <w:rFonts w:ascii="Times New Roman"/>
                <w:sz w:val="18"/>
              </w:rPr>
              <w:t>4.24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7,738,064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31.94%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16,487,930.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09</w:t>
            </w:r>
          </w:p>
        </w:tc>
      </w:tr>
      <w:tr>
        <w:trPr>
          <w:trHeight w:val="714"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160"/>
              <w:jc w:val="left"/>
              <w:rPr>
                <w:rFonts w:ascii="宋体" w:hAnsi="宋体" w:cs="宋体" w:eastAsia="宋体" w:hint="default"/>
                <w:sz w:val="18"/>
                <w:szCs w:val="18"/>
              </w:rPr>
            </w:pPr>
            <w:r>
              <w:rPr>
                <w:rFonts w:ascii="宋体" w:hAnsi="宋体" w:cs="宋体" w:eastAsia="宋体" w:hint="default"/>
                <w:sz w:val="18"/>
                <w:szCs w:val="18"/>
              </w:rPr>
              <w:t>按组合计提坏账准 备的应收账款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5" w:right="0"/>
              <w:jc w:val="center"/>
              <w:rPr>
                <w:rFonts w:ascii="Times New Roman" w:hAnsi="Times New Roman" w:cs="Times New Roman" w:eastAsia="Times New Roman" w:hint="default"/>
                <w:sz w:val="18"/>
                <w:szCs w:val="18"/>
              </w:rPr>
            </w:pPr>
            <w:r>
              <w:rPr>
                <w:rFonts w:ascii="Times New Roman"/>
                <w:sz w:val="18"/>
              </w:rPr>
              <w:t>619,536,</w:t>
            </w:r>
          </w:p>
          <w:p>
            <w:pPr>
              <w:pStyle w:val="TableParagraph"/>
              <w:spacing w:line="240" w:lineRule="auto" w:before="105"/>
              <w:ind w:left="213" w:right="0"/>
              <w:jc w:val="center"/>
              <w:rPr>
                <w:rFonts w:ascii="Times New Roman" w:hAnsi="Times New Roman" w:cs="Times New Roman" w:eastAsia="Times New Roman" w:hint="default"/>
                <w:sz w:val="18"/>
                <w:szCs w:val="18"/>
              </w:rPr>
            </w:pPr>
            <w:r>
              <w:rPr>
                <w:rFonts w:ascii="Times New Roman"/>
                <w:sz w:val="18"/>
              </w:rPr>
              <w:t>512.40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98.77%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8" w:right="0"/>
              <w:jc w:val="left"/>
              <w:rPr>
                <w:rFonts w:ascii="Times New Roman" w:hAnsi="Times New Roman" w:cs="Times New Roman" w:eastAsia="Times New Roman" w:hint="default"/>
                <w:sz w:val="18"/>
                <w:szCs w:val="18"/>
              </w:rPr>
            </w:pPr>
            <w:r>
              <w:rPr>
                <w:rFonts w:ascii="Times New Roman"/>
                <w:sz w:val="18"/>
              </w:rPr>
              <w:t>31,582,9</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68.43</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5.10%</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7" w:right="0"/>
              <w:jc w:val="left"/>
              <w:rPr>
                <w:rFonts w:ascii="Times New Roman" w:hAnsi="Times New Roman" w:cs="Times New Roman" w:eastAsia="Times New Roman" w:hint="default"/>
                <w:sz w:val="18"/>
                <w:szCs w:val="18"/>
              </w:rPr>
            </w:pPr>
            <w:r>
              <w:rPr>
                <w:rFonts w:ascii="Times New Roman"/>
                <w:sz w:val="18"/>
              </w:rPr>
              <w:t>587,953,5</w:t>
            </w:r>
          </w:p>
          <w:p>
            <w:pPr>
              <w:pStyle w:val="TableParagraph"/>
              <w:spacing w:line="240" w:lineRule="auto" w:before="105"/>
              <w:ind w:left="351" w:right="0"/>
              <w:jc w:val="left"/>
              <w:rPr>
                <w:rFonts w:ascii="Times New Roman" w:hAnsi="Times New Roman" w:cs="Times New Roman" w:eastAsia="Times New Roman" w:hint="default"/>
                <w:sz w:val="18"/>
                <w:szCs w:val="18"/>
              </w:rPr>
            </w:pPr>
            <w:r>
              <w:rPr>
                <w:rFonts w:ascii="Times New Roman"/>
                <w:sz w:val="18"/>
              </w:rPr>
              <w:t>43.97</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537,361,9</w:t>
            </w:r>
          </w:p>
          <w:p>
            <w:pPr>
              <w:pStyle w:val="TableParagraph"/>
              <w:spacing w:line="240" w:lineRule="auto" w:before="105"/>
              <w:ind w:left="337" w:right="0"/>
              <w:jc w:val="left"/>
              <w:rPr>
                <w:rFonts w:ascii="Times New Roman" w:hAnsi="Times New Roman" w:cs="Times New Roman" w:eastAsia="Times New Roman" w:hint="default"/>
                <w:sz w:val="18"/>
                <w:szCs w:val="18"/>
              </w:rPr>
            </w:pPr>
            <w:r>
              <w:rPr>
                <w:rFonts w:ascii="Times New Roman"/>
                <w:sz w:val="18"/>
              </w:rPr>
              <w:t>78.85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95.69%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6" w:right="0"/>
              <w:jc w:val="left"/>
              <w:rPr>
                <w:rFonts w:ascii="Times New Roman" w:hAnsi="Times New Roman" w:cs="Times New Roman" w:eastAsia="Times New Roman" w:hint="default"/>
                <w:sz w:val="18"/>
                <w:szCs w:val="18"/>
              </w:rPr>
            </w:pPr>
            <w:r>
              <w:rPr>
                <w:rFonts w:ascii="Times New Roman"/>
                <w:sz w:val="18"/>
              </w:rPr>
              <w:t>38,611,70</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7.65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7.19%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0" w:right="0"/>
              <w:jc w:val="left"/>
              <w:rPr>
                <w:rFonts w:ascii="Times New Roman" w:hAnsi="Times New Roman" w:cs="Times New Roman" w:eastAsia="Times New Roman" w:hint="default"/>
                <w:sz w:val="18"/>
                <w:szCs w:val="18"/>
              </w:rPr>
            </w:pPr>
            <w:r>
              <w:rPr>
                <w:rFonts w:ascii="Times New Roman"/>
                <w:sz w:val="18"/>
              </w:rPr>
              <w:t>498,750,27</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1.20</w:t>
            </w:r>
          </w:p>
        </w:tc>
      </w:tr>
      <w:tr>
        <w:trPr>
          <w:trHeight w:val="402"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4"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5" w:right="0"/>
              <w:jc w:val="center"/>
              <w:rPr>
                <w:rFonts w:ascii="Times New Roman" w:hAnsi="Times New Roman" w:cs="Times New Roman" w:eastAsia="Times New Roman" w:hint="default"/>
                <w:sz w:val="18"/>
                <w:szCs w:val="18"/>
              </w:rPr>
            </w:pPr>
            <w:r>
              <w:rPr>
                <w:rFonts w:ascii="Times New Roman"/>
                <w:sz w:val="18"/>
              </w:rPr>
              <w:t>501,074,</w:t>
            </w:r>
          </w:p>
          <w:p>
            <w:pPr>
              <w:pStyle w:val="TableParagraph"/>
              <w:spacing w:line="240" w:lineRule="auto" w:before="105"/>
              <w:ind w:left="213" w:right="0"/>
              <w:jc w:val="center"/>
              <w:rPr>
                <w:rFonts w:ascii="Times New Roman" w:hAnsi="Times New Roman" w:cs="Times New Roman" w:eastAsia="Times New Roman" w:hint="default"/>
                <w:sz w:val="18"/>
                <w:szCs w:val="18"/>
              </w:rPr>
            </w:pPr>
            <w:r>
              <w:rPr>
                <w:rFonts w:ascii="Times New Roman"/>
                <w:sz w:val="18"/>
              </w:rPr>
              <w:t>253.06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79.88%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8" w:right="0"/>
              <w:jc w:val="left"/>
              <w:rPr>
                <w:rFonts w:ascii="Times New Roman" w:hAnsi="Times New Roman" w:cs="Times New Roman" w:eastAsia="Times New Roman" w:hint="default"/>
                <w:sz w:val="18"/>
                <w:szCs w:val="18"/>
              </w:rPr>
            </w:pPr>
            <w:r>
              <w:rPr>
                <w:rFonts w:ascii="Times New Roman"/>
                <w:sz w:val="18"/>
              </w:rPr>
              <w:t>31,582,9</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68.43</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6.30%</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7" w:right="0"/>
              <w:jc w:val="left"/>
              <w:rPr>
                <w:rFonts w:ascii="Times New Roman" w:hAnsi="Times New Roman" w:cs="Times New Roman" w:eastAsia="Times New Roman" w:hint="default"/>
                <w:sz w:val="18"/>
                <w:szCs w:val="18"/>
              </w:rPr>
            </w:pPr>
            <w:r>
              <w:rPr>
                <w:rFonts w:ascii="Times New Roman"/>
                <w:sz w:val="18"/>
              </w:rPr>
              <w:t>469,491,2</w:t>
            </w:r>
          </w:p>
          <w:p>
            <w:pPr>
              <w:pStyle w:val="TableParagraph"/>
              <w:spacing w:line="240" w:lineRule="auto" w:before="105"/>
              <w:ind w:left="351" w:right="0"/>
              <w:jc w:val="left"/>
              <w:rPr>
                <w:rFonts w:ascii="Times New Roman" w:hAnsi="Times New Roman" w:cs="Times New Roman" w:eastAsia="Times New Roman" w:hint="default"/>
                <w:sz w:val="18"/>
                <w:szCs w:val="18"/>
              </w:rPr>
            </w:pPr>
            <w:r>
              <w:rPr>
                <w:rFonts w:ascii="Times New Roman"/>
                <w:sz w:val="18"/>
              </w:rPr>
              <w:t>84.63</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462,437,7</w:t>
            </w:r>
          </w:p>
          <w:p>
            <w:pPr>
              <w:pStyle w:val="TableParagraph"/>
              <w:spacing w:line="240" w:lineRule="auto" w:before="105"/>
              <w:ind w:left="337" w:right="0"/>
              <w:jc w:val="left"/>
              <w:rPr>
                <w:rFonts w:ascii="Times New Roman" w:hAnsi="Times New Roman" w:cs="Times New Roman" w:eastAsia="Times New Roman" w:hint="default"/>
                <w:sz w:val="18"/>
                <w:szCs w:val="18"/>
              </w:rPr>
            </w:pPr>
            <w:r>
              <w:rPr>
                <w:rFonts w:ascii="Times New Roman"/>
                <w:sz w:val="18"/>
              </w:rPr>
              <w:t>46.84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82.35%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6" w:right="0"/>
              <w:jc w:val="left"/>
              <w:rPr>
                <w:rFonts w:ascii="Times New Roman" w:hAnsi="Times New Roman" w:cs="Times New Roman" w:eastAsia="Times New Roman" w:hint="default"/>
                <w:sz w:val="18"/>
                <w:szCs w:val="18"/>
              </w:rPr>
            </w:pPr>
            <w:r>
              <w:rPr>
                <w:rFonts w:ascii="Times New Roman"/>
                <w:sz w:val="18"/>
              </w:rPr>
              <w:t>38,611,70</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7.65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8.35%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0" w:right="0"/>
              <w:jc w:val="left"/>
              <w:rPr>
                <w:rFonts w:ascii="Times New Roman" w:hAnsi="Times New Roman" w:cs="Times New Roman" w:eastAsia="Times New Roman" w:hint="default"/>
                <w:sz w:val="18"/>
                <w:szCs w:val="18"/>
              </w:rPr>
            </w:pPr>
            <w:r>
              <w:rPr>
                <w:rFonts w:ascii="Times New Roman"/>
                <w:sz w:val="18"/>
              </w:rPr>
              <w:t>423,826,03</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9.19</w:t>
            </w:r>
          </w:p>
        </w:tc>
      </w:tr>
      <w:tr>
        <w:trPr>
          <w:trHeight w:val="714"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合并关联方</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5" w:right="0"/>
              <w:jc w:val="center"/>
              <w:rPr>
                <w:rFonts w:ascii="Times New Roman" w:hAnsi="Times New Roman" w:cs="Times New Roman" w:eastAsia="Times New Roman" w:hint="default"/>
                <w:sz w:val="18"/>
                <w:szCs w:val="18"/>
              </w:rPr>
            </w:pPr>
            <w:r>
              <w:rPr>
                <w:rFonts w:ascii="Times New Roman"/>
                <w:sz w:val="18"/>
              </w:rPr>
              <w:t>118,462,</w:t>
            </w:r>
          </w:p>
          <w:p>
            <w:pPr>
              <w:pStyle w:val="TableParagraph"/>
              <w:spacing w:line="240" w:lineRule="auto" w:before="105"/>
              <w:ind w:left="213" w:right="0"/>
              <w:jc w:val="center"/>
              <w:rPr>
                <w:rFonts w:ascii="Times New Roman" w:hAnsi="Times New Roman" w:cs="Times New Roman" w:eastAsia="Times New Roman" w:hint="default"/>
                <w:sz w:val="18"/>
                <w:szCs w:val="18"/>
              </w:rPr>
            </w:pPr>
            <w:r>
              <w:rPr>
                <w:rFonts w:ascii="Times New Roman"/>
                <w:sz w:val="18"/>
              </w:rPr>
              <w:t>259.34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18.89%</w:t>
            </w:r>
          </w:p>
        </w:tc>
        <w:tc>
          <w:tcPr>
            <w:tcW w:w="762"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7" w:right="0"/>
              <w:jc w:val="left"/>
              <w:rPr>
                <w:rFonts w:ascii="Times New Roman" w:hAnsi="Times New Roman" w:cs="Times New Roman" w:eastAsia="Times New Roman" w:hint="default"/>
                <w:sz w:val="18"/>
                <w:szCs w:val="18"/>
              </w:rPr>
            </w:pPr>
            <w:r>
              <w:rPr>
                <w:rFonts w:ascii="Times New Roman"/>
                <w:sz w:val="18"/>
              </w:rPr>
              <w:t>118,462,2</w:t>
            </w:r>
          </w:p>
          <w:p>
            <w:pPr>
              <w:pStyle w:val="TableParagraph"/>
              <w:spacing w:line="240" w:lineRule="auto" w:before="105"/>
              <w:ind w:left="351" w:right="0"/>
              <w:jc w:val="left"/>
              <w:rPr>
                <w:rFonts w:ascii="Times New Roman" w:hAnsi="Times New Roman" w:cs="Times New Roman" w:eastAsia="Times New Roman" w:hint="default"/>
                <w:sz w:val="18"/>
                <w:szCs w:val="18"/>
              </w:rPr>
            </w:pPr>
            <w:r>
              <w:rPr>
                <w:rFonts w:ascii="Times New Roman"/>
                <w:sz w:val="18"/>
              </w:rPr>
              <w:t>59.34</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74,924,23</w:t>
            </w:r>
          </w:p>
          <w:p>
            <w:pPr>
              <w:pStyle w:val="TableParagraph"/>
              <w:spacing w:line="240" w:lineRule="auto" w:before="105"/>
              <w:ind w:left="428" w:right="0"/>
              <w:jc w:val="left"/>
              <w:rPr>
                <w:rFonts w:ascii="Times New Roman" w:hAnsi="Times New Roman" w:cs="Times New Roman" w:eastAsia="Times New Roman" w:hint="default"/>
                <w:sz w:val="18"/>
                <w:szCs w:val="18"/>
              </w:rPr>
            </w:pPr>
            <w:r>
              <w:rPr>
                <w:rFonts w:ascii="Times New Roman"/>
                <w:sz w:val="18"/>
              </w:rPr>
              <w:t>2.01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13.34%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74,924,232.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01</w:t>
            </w:r>
          </w:p>
        </w:tc>
      </w:tr>
      <w:tr>
        <w:trPr>
          <w:trHeight w:val="714"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5" w:right="0"/>
              <w:jc w:val="center"/>
              <w:rPr>
                <w:rFonts w:ascii="Times New Roman" w:hAnsi="Times New Roman" w:cs="Times New Roman" w:eastAsia="Times New Roman" w:hint="default"/>
                <w:sz w:val="18"/>
                <w:szCs w:val="18"/>
              </w:rPr>
            </w:pPr>
            <w:r>
              <w:rPr>
                <w:rFonts w:ascii="Times New Roman"/>
                <w:sz w:val="18"/>
              </w:rPr>
              <w:t>627,274,</w:t>
            </w:r>
          </w:p>
          <w:p>
            <w:pPr>
              <w:pStyle w:val="TableParagraph"/>
              <w:spacing w:line="240" w:lineRule="auto" w:before="105"/>
              <w:ind w:left="213" w:right="0"/>
              <w:jc w:val="center"/>
              <w:rPr>
                <w:rFonts w:ascii="Times New Roman" w:hAnsi="Times New Roman" w:cs="Times New Roman" w:eastAsia="Times New Roman" w:hint="default"/>
                <w:sz w:val="18"/>
                <w:szCs w:val="18"/>
              </w:rPr>
            </w:pPr>
            <w:r>
              <w:rPr>
                <w:rFonts w:ascii="Times New Roman"/>
                <w:sz w:val="18"/>
              </w:rPr>
              <w:t>576.55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8" w:right="0"/>
              <w:jc w:val="left"/>
              <w:rPr>
                <w:rFonts w:ascii="Times New Roman" w:hAnsi="Times New Roman" w:cs="Times New Roman" w:eastAsia="Times New Roman" w:hint="default"/>
                <w:sz w:val="18"/>
                <w:szCs w:val="18"/>
              </w:rPr>
            </w:pPr>
            <w:r>
              <w:rPr>
                <w:rFonts w:ascii="Times New Roman"/>
                <w:sz w:val="18"/>
              </w:rPr>
              <w:t>39,321,0</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32.58</w:t>
            </w:r>
          </w:p>
        </w:tc>
        <w:tc>
          <w:tcPr>
            <w:tcW w:w="763" w:type="dxa"/>
            <w:tcBorders>
              <w:top w:val="single" w:sz="4" w:space="0" w:color="000000"/>
              <w:left w:val="single" w:sz="4" w:space="0" w:color="000000"/>
              <w:bottom w:val="single" w:sz="4" w:space="0" w:color="000000"/>
              <w:right w:val="single" w:sz="4" w:space="0" w:color="000000"/>
            </w:tcBorders>
          </w:tcPr>
          <w:p>
            <w:pP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7" w:right="0"/>
              <w:jc w:val="left"/>
              <w:rPr>
                <w:rFonts w:ascii="Times New Roman" w:hAnsi="Times New Roman" w:cs="Times New Roman" w:eastAsia="Times New Roman" w:hint="default"/>
                <w:sz w:val="18"/>
                <w:szCs w:val="18"/>
              </w:rPr>
            </w:pPr>
            <w:r>
              <w:rPr>
                <w:rFonts w:ascii="Times New Roman"/>
                <w:sz w:val="18"/>
              </w:rPr>
              <w:t>587,953,5</w:t>
            </w:r>
          </w:p>
          <w:p>
            <w:pPr>
              <w:pStyle w:val="TableParagraph"/>
              <w:spacing w:line="240" w:lineRule="auto" w:before="105"/>
              <w:ind w:left="351" w:right="0"/>
              <w:jc w:val="left"/>
              <w:rPr>
                <w:rFonts w:ascii="Times New Roman" w:hAnsi="Times New Roman" w:cs="Times New Roman" w:eastAsia="Times New Roman" w:hint="default"/>
                <w:sz w:val="18"/>
                <w:szCs w:val="18"/>
              </w:rPr>
            </w:pPr>
            <w:r>
              <w:rPr>
                <w:rFonts w:ascii="Times New Roman"/>
                <w:sz w:val="18"/>
              </w:rPr>
              <w:t>43.97</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561,587,9</w:t>
            </w:r>
          </w:p>
          <w:p>
            <w:pPr>
              <w:pStyle w:val="TableParagraph"/>
              <w:spacing w:line="240" w:lineRule="auto" w:before="105"/>
              <w:ind w:left="337" w:right="0"/>
              <w:jc w:val="left"/>
              <w:rPr>
                <w:rFonts w:ascii="Times New Roman" w:hAnsi="Times New Roman" w:cs="Times New Roman" w:eastAsia="Times New Roman" w:hint="default"/>
                <w:sz w:val="18"/>
                <w:szCs w:val="18"/>
              </w:rPr>
            </w:pPr>
            <w:r>
              <w:rPr>
                <w:rFonts w:ascii="Times New Roman"/>
                <w:sz w:val="18"/>
              </w:rPr>
              <w:t>73.09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6" w:right="0"/>
              <w:jc w:val="left"/>
              <w:rPr>
                <w:rFonts w:ascii="Times New Roman" w:hAnsi="Times New Roman" w:cs="Times New Roman" w:eastAsia="Times New Roman" w:hint="default"/>
                <w:sz w:val="18"/>
                <w:szCs w:val="18"/>
              </w:rPr>
            </w:pPr>
            <w:r>
              <w:rPr>
                <w:rFonts w:ascii="Times New Roman"/>
                <w:sz w:val="18"/>
              </w:rPr>
              <w:t>46,349,77</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1.80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8.25%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0" w:right="0"/>
              <w:jc w:val="left"/>
              <w:rPr>
                <w:rFonts w:ascii="Times New Roman" w:hAnsi="Times New Roman" w:cs="Times New Roman" w:eastAsia="Times New Roman" w:hint="default"/>
                <w:sz w:val="18"/>
                <w:szCs w:val="18"/>
              </w:rPr>
            </w:pPr>
            <w:r>
              <w:rPr>
                <w:rFonts w:ascii="Times New Roman"/>
                <w:sz w:val="18"/>
              </w:rPr>
              <w:t>515,238,20</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1.29</w:t>
            </w:r>
          </w:p>
        </w:tc>
      </w:tr>
    </w:tbl>
    <w:p>
      <w:pPr>
        <w:pStyle w:val="BodyText"/>
        <w:spacing w:line="240" w:lineRule="auto" w:before="51"/>
        <w:ind w:right="1394"/>
        <w:jc w:val="left"/>
      </w:pPr>
      <w:r>
        <w:rPr/>
        <w:t>按单项计提坏账准备：单项金额不重大但单独计提坏账准备的应收账款</w:t>
      </w:r>
    </w:p>
    <w:p>
      <w:pPr>
        <w:pStyle w:val="BodyText"/>
        <w:spacing w:line="240" w:lineRule="auto" w:before="117"/>
        <w:ind w:left="0" w:right="113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3"/>
        <w:gridCol w:w="1915"/>
        <w:gridCol w:w="1914"/>
        <w:gridCol w:w="1914"/>
        <w:gridCol w:w="1914"/>
      </w:tblGrid>
      <w:tr>
        <w:trPr>
          <w:trHeight w:val="402"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单位一</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7,738,064.15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7,738,064.15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35" w:right="0"/>
              <w:jc w:val="left"/>
              <w:rPr>
                <w:rFonts w:ascii="Times New Roman" w:hAnsi="Times New Roman" w:cs="Times New Roman" w:eastAsia="Times New Roman" w:hint="default"/>
                <w:sz w:val="18"/>
                <w:szCs w:val="18"/>
              </w:rPr>
            </w:pPr>
            <w:r>
              <w:rPr>
                <w:rFonts w:ascii="Times New Roman"/>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7,738,064.15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7,738,064.15</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0"/>
        <w:ind w:right="1394"/>
        <w:jc w:val="left"/>
      </w:pPr>
      <w:r>
        <w:rPr/>
        <w:t>按组合计提坏账准备：</w:t>
      </w:r>
      <w:r>
        <w:rPr>
          <w:rFonts w:ascii="Times New Roman" w:hAnsi="Times New Roman" w:cs="Times New Roman" w:eastAsia="Times New Roman" w:hint="default"/>
        </w:rPr>
        <w:t> </w:t>
      </w:r>
      <w:r>
        <w:rPr/>
        <w:t>组合中，按账龄分析法计提坏账准备的应收账款：</w:t>
      </w:r>
    </w:p>
    <w:p>
      <w:pPr>
        <w:pStyle w:val="BodyText"/>
        <w:spacing w:line="240" w:lineRule="auto" w:before="103"/>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17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338,732,367.76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1,693,661.84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0.50%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98,329,084.36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4,916,454.22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34,094,600.18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3,409,460.02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29,918,200.76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21,563,392.35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72.07%</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9,174,211.14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2,752,263.34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30.00%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3,865,721.22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1,932,860.61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50.00%</w:t>
            </w:r>
          </w:p>
        </w:tc>
      </w:tr>
      <w:tr>
        <w:trPr>
          <w:trHeight w:val="400"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16,878,268.40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16,878,268.40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100.00%</w:t>
            </w:r>
          </w:p>
        </w:tc>
      </w:tr>
    </w:tbl>
    <w:p>
      <w:pPr>
        <w:spacing w:after="0" w:line="240" w:lineRule="auto"/>
        <w:jc w:val="right"/>
        <w:rPr>
          <w:rFonts w:ascii="Times New Roman" w:hAnsi="Times New Roman" w:cs="Times New Roman" w:eastAsia="Times New Roman" w:hint="default"/>
          <w:sz w:val="18"/>
          <w:szCs w:val="18"/>
        </w:rPr>
        <w:sectPr>
          <w:pgSz w:w="11910" w:h="16840"/>
          <w:pgMar w:header="878" w:footer="978" w:top="1100" w:bottom="1160" w:left="1020" w:right="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33" w:right="0"/>
              <w:jc w:val="left"/>
              <w:rPr>
                <w:rFonts w:ascii="Times New Roman" w:hAnsi="Times New Roman" w:cs="Times New Roman" w:eastAsia="Times New Roman" w:hint="default"/>
                <w:sz w:val="18"/>
                <w:szCs w:val="18"/>
              </w:rPr>
            </w:pPr>
            <w:r>
              <w:rPr>
                <w:rFonts w:ascii="Times New Roman"/>
                <w:sz w:val="18"/>
              </w:rPr>
              <w:t>501,074,253.06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325" w:right="0"/>
              <w:jc w:val="left"/>
              <w:rPr>
                <w:rFonts w:ascii="Times New Roman" w:hAnsi="Times New Roman" w:cs="Times New Roman" w:eastAsia="Times New Roman" w:hint="default"/>
                <w:sz w:val="18"/>
                <w:szCs w:val="18"/>
              </w:rPr>
            </w:pPr>
            <w:r>
              <w:rPr>
                <w:rFonts w:ascii="Times New Roman"/>
                <w:sz w:val="18"/>
              </w:rPr>
              <w:t>31,582,968.43</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78" w:footer="978" w:top="1100" w:bottom="1160" w:left="1020" w:right="0"/>
        </w:sectPr>
      </w:pPr>
    </w:p>
    <w:p>
      <w:pPr>
        <w:pStyle w:val="BodyText"/>
        <w:spacing w:line="360" w:lineRule="auto" w:before="51"/>
        <w:ind w:right="3760"/>
        <w:jc w:val="left"/>
      </w:pPr>
      <w:r>
        <w:rPr/>
        <w:t>确定该组合依据的说明： 详见本附注五、</w:t>
      </w:r>
      <w:r>
        <w:rPr>
          <w:rFonts w:ascii="Times New Roman" w:hAnsi="Times New Roman" w:cs="Times New Roman" w:eastAsia="Times New Roman" w:hint="default"/>
        </w:rPr>
        <w:t>10 </w:t>
      </w:r>
      <w:r>
        <w:rPr>
          <w:rFonts w:ascii="Times New Roman" w:hAnsi="Times New Roman" w:cs="Times New Roman" w:eastAsia="Times New Roman" w:hint="default"/>
          <w:spacing w:val="1"/>
        </w:rPr>
        <w:t> </w:t>
      </w:r>
      <w:r>
        <w:rPr/>
        <w:t>。</w:t>
      </w:r>
    </w:p>
    <w:p>
      <w:pPr>
        <w:pStyle w:val="BodyText"/>
        <w:spacing w:line="240" w:lineRule="auto" w:before="1"/>
        <w:ind w:right="-20"/>
        <w:jc w:val="left"/>
      </w:pPr>
      <w:r>
        <w:rPr/>
        <w:t>按组合计提坏账准备：组合中，采用其他方法计提坏账准备的应收账款：</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2"/>
          <w:szCs w:val="12"/>
        </w:rPr>
      </w:pPr>
    </w:p>
    <w:p>
      <w:pPr>
        <w:pStyle w:val="BodyText"/>
        <w:spacing w:line="240" w:lineRule="auto"/>
        <w:ind w:right="0"/>
        <w:jc w:val="left"/>
      </w:pPr>
      <w:r>
        <w:rPr/>
        <w:t>单位：</w:t>
      </w:r>
      <w:r>
        <w:rPr>
          <w:spacing w:val="-2"/>
        </w:rPr>
        <w:t> </w:t>
      </w:r>
      <w:r>
        <w:rPr/>
        <w:t>元</w:t>
      </w:r>
    </w:p>
    <w:p>
      <w:pPr>
        <w:spacing w:after="0" w:line="240" w:lineRule="auto"/>
        <w:jc w:val="left"/>
        <w:sectPr>
          <w:type w:val="continuous"/>
          <w:pgSz w:w="11910" w:h="16840"/>
          <w:pgMar w:top="1100" w:bottom="1160" w:left="1020" w:right="0"/>
          <w:cols w:num="2" w:equalWidth="0">
            <w:col w:w="5873" w:space="2956"/>
            <w:col w:w="2061"/>
          </w:cols>
        </w:sectPr>
      </w:pP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17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合并关联方</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118,462,259.34</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118,462,259.34</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60" w:lineRule="auto" w:before="50"/>
        <w:ind w:right="8774"/>
        <w:jc w:val="left"/>
      </w:pPr>
      <w:r>
        <w:rPr/>
        <w:t>确定该组合依据的说明： 详见本附注五、</w:t>
      </w:r>
      <w:r>
        <w:rPr>
          <w:rFonts w:ascii="Times New Roman" w:hAnsi="Times New Roman" w:cs="Times New Roman" w:eastAsia="Times New Roman" w:hint="default"/>
        </w:rPr>
        <w:t>10</w:t>
      </w:r>
      <w:r>
        <w:rPr/>
        <w:t>。</w:t>
      </w:r>
    </w:p>
    <w:p>
      <w:pPr>
        <w:pStyle w:val="BodyText"/>
        <w:spacing w:line="240" w:lineRule="auto" w:before="4"/>
        <w:ind w:right="1394"/>
        <w:jc w:val="left"/>
      </w:pPr>
      <w:r>
        <w:rPr/>
        <w:t>如是按照预期信用损失一般模型计提应收账款坏账准备，请参照其他应收款的披露方式披露坏账准备的相关信息：</w:t>
      </w:r>
    </w:p>
    <w:p>
      <w:pPr>
        <w:pStyle w:val="BodyText"/>
        <w:spacing w:line="340" w:lineRule="auto" w:before="115"/>
        <w:ind w:right="9557"/>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 按账龄披露</w:t>
      </w:r>
    </w:p>
    <w:p>
      <w:pPr>
        <w:pStyle w:val="BodyText"/>
        <w:spacing w:line="240" w:lineRule="auto" w:before="41"/>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84"/>
        <w:gridCol w:w="4784"/>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457,881,353.25</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105,380,422.36</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34,094,600.18</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29,918,200.76</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9,174,211.14</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3,865,721.22</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16,878,268.40</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627,274,576.55</w:t>
            </w:r>
          </w:p>
        </w:tc>
      </w:tr>
    </w:tbl>
    <w:p>
      <w:pPr>
        <w:spacing w:line="240" w:lineRule="auto" w:before="5"/>
        <w:rPr>
          <w:rFonts w:ascii="宋体" w:hAnsi="宋体" w:cs="宋体" w:eastAsia="宋体" w:hint="default"/>
          <w:sz w:val="19"/>
          <w:szCs w:val="19"/>
        </w:rPr>
      </w:pPr>
    </w:p>
    <w:p>
      <w:pPr>
        <w:pStyle w:val="Heading3"/>
        <w:spacing w:line="240" w:lineRule="auto"/>
        <w:ind w:right="1394"/>
        <w:jc w:val="left"/>
        <w:rPr>
          <w:b w:val="0"/>
          <w:bCs w:val="0"/>
        </w:rPr>
      </w:pPr>
      <w:bookmarkStart w:name="（2）本期计提、收回或转回的坏账准备情况" w:id="417"/>
      <w:bookmarkEnd w:id="417"/>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1394"/>
        <w:jc w:val="left"/>
      </w:pPr>
      <w:r>
        <w:rPr/>
        <w:t>本期计提坏账准备情况：</w:t>
      </w:r>
    </w:p>
    <w:p>
      <w:pPr>
        <w:pStyle w:val="BodyText"/>
        <w:spacing w:line="240" w:lineRule="auto" w:before="115"/>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6"/>
        <w:gridCol w:w="1594"/>
        <w:gridCol w:w="1594"/>
        <w:gridCol w:w="1594"/>
        <w:gridCol w:w="1594"/>
        <w:gridCol w:w="1594"/>
      </w:tblGrid>
      <w:tr>
        <w:trPr>
          <w:trHeight w:val="402" w:hRule="exact"/>
        </w:trPr>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78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12" w:right="0"/>
              <w:jc w:val="left"/>
              <w:rPr>
                <w:rFonts w:ascii="宋体" w:hAnsi="宋体" w:cs="宋体" w:eastAsia="宋体" w:hint="default"/>
                <w:sz w:val="18"/>
                <w:szCs w:val="18"/>
              </w:rPr>
            </w:pP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41"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46,349,771.80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7" w:right="0"/>
              <w:jc w:val="left"/>
              <w:rPr>
                <w:rFonts w:ascii="Times New Roman" w:hAnsi="Times New Roman" w:cs="Times New Roman" w:eastAsia="Times New Roman" w:hint="default"/>
                <w:sz w:val="18"/>
                <w:szCs w:val="18"/>
              </w:rPr>
            </w:pPr>
            <w:r>
              <w:rPr>
                <w:rFonts w:ascii="Times New Roman"/>
                <w:sz w:val="18"/>
              </w:rPr>
              <w:t>-7,016,423.03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12,316.19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39,321,032.58</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46,349,771.80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57" w:right="0"/>
              <w:jc w:val="left"/>
              <w:rPr>
                <w:rFonts w:ascii="Times New Roman" w:hAnsi="Times New Roman" w:cs="Times New Roman" w:eastAsia="Times New Roman" w:hint="default"/>
                <w:sz w:val="18"/>
                <w:szCs w:val="18"/>
              </w:rPr>
            </w:pPr>
            <w:r>
              <w:rPr>
                <w:rFonts w:ascii="Times New Roman"/>
                <w:sz w:val="18"/>
              </w:rPr>
              <w:t>-7,016,423.03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12,316.19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39,321,032.58</w:t>
            </w:r>
          </w:p>
        </w:tc>
      </w:tr>
    </w:tbl>
    <w:p>
      <w:pPr>
        <w:spacing w:line="240" w:lineRule="auto" w:before="5"/>
        <w:rPr>
          <w:rFonts w:ascii="宋体" w:hAnsi="宋体" w:cs="宋体" w:eastAsia="宋体" w:hint="default"/>
          <w:sz w:val="19"/>
          <w:szCs w:val="19"/>
        </w:rPr>
      </w:pPr>
    </w:p>
    <w:p>
      <w:pPr>
        <w:pStyle w:val="Heading3"/>
        <w:spacing w:line="240" w:lineRule="auto"/>
        <w:ind w:right="1394"/>
        <w:jc w:val="left"/>
        <w:rPr>
          <w:b w:val="0"/>
          <w:bCs w:val="0"/>
        </w:rPr>
      </w:pPr>
      <w:bookmarkStart w:name="（3）本期实际核销的应收账款情况" w:id="418"/>
      <w:bookmarkEnd w:id="418"/>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2"/>
        </w:rPr>
        <w:t> </w:t>
      </w:r>
      <w:r>
        <w:rPr/>
        <w:t>元</w:t>
      </w:r>
    </w:p>
    <w:p>
      <w:pPr>
        <w:spacing w:after="0" w:line="240" w:lineRule="auto"/>
        <w:jc w:val="right"/>
        <w:sectPr>
          <w:type w:val="continuous"/>
          <w:pgSz w:w="11910" w:h="16840"/>
          <w:pgMar w:top="1100" w:bottom="1160" w:left="1020" w:right="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4983"/>
        <w:gridCol w:w="4585"/>
      </w:tblGrid>
      <w:tr>
        <w:trPr>
          <w:trHeight w:val="402" w:hRule="exact"/>
        </w:trPr>
        <w:tc>
          <w:tcPr>
            <w:tcW w:w="4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4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2" w:hRule="exact"/>
        </w:trPr>
        <w:tc>
          <w:tcPr>
            <w:tcW w:w="4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12,316.19</w:t>
            </w:r>
          </w:p>
        </w:tc>
      </w:tr>
    </w:tbl>
    <w:p>
      <w:pPr>
        <w:pStyle w:val="BodyText"/>
        <w:spacing w:line="240" w:lineRule="auto" w:before="50"/>
        <w:ind w:right="1394"/>
        <w:jc w:val="left"/>
      </w:pPr>
      <w:r>
        <w:rPr/>
        <w:t>其中重要的应收账款核销情况：</w:t>
      </w:r>
    </w:p>
    <w:p>
      <w:pPr>
        <w:pStyle w:val="BodyText"/>
        <w:spacing w:line="240" w:lineRule="auto" w:before="117"/>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843"/>
        <w:gridCol w:w="1701"/>
        <w:gridCol w:w="1418"/>
        <w:gridCol w:w="1275"/>
        <w:gridCol w:w="1717"/>
        <w:gridCol w:w="1615"/>
      </w:tblGrid>
      <w:tr>
        <w:trPr>
          <w:trHeight w:val="714" w:hRule="exact"/>
        </w:trPr>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应收账款性质</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核销原因</w:t>
            </w:r>
          </w:p>
        </w:tc>
        <w:tc>
          <w:tcPr>
            <w:tcW w:w="1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履行的核销程序</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31" w:right="81" w:hanging="449"/>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r>
        <w:trPr>
          <w:trHeight w:val="471"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0"/>
              <w:jc w:val="center"/>
              <w:rPr>
                <w:rFonts w:ascii="宋体" w:hAnsi="宋体" w:cs="宋体" w:eastAsia="宋体" w:hint="default"/>
                <w:sz w:val="18"/>
                <w:szCs w:val="18"/>
              </w:rPr>
            </w:pPr>
            <w:r>
              <w:rPr>
                <w:rFonts w:ascii="宋体" w:hAnsi="宋体" w:cs="宋体" w:eastAsia="宋体" w:hint="default"/>
                <w:sz w:val="18"/>
                <w:szCs w:val="18"/>
              </w:rPr>
              <w:t>单位一</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 w:right="0"/>
              <w:jc w:val="center"/>
              <w:rPr>
                <w:rFonts w:ascii="宋体" w:hAnsi="宋体" w:cs="宋体" w:eastAsia="宋体" w:hint="default"/>
                <w:sz w:val="18"/>
                <w:szCs w:val="18"/>
              </w:rPr>
            </w:pPr>
            <w:r>
              <w:rPr>
                <w:rFonts w:ascii="宋体" w:hAnsi="宋体" w:cs="宋体" w:eastAsia="宋体" w:hint="default"/>
                <w:sz w:val="18"/>
                <w:szCs w:val="18"/>
              </w:rPr>
              <w:t>货款</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0"/>
              <w:jc w:val="right"/>
              <w:rPr>
                <w:rFonts w:ascii="Times New Roman" w:hAnsi="Times New Roman" w:cs="Times New Roman" w:eastAsia="Times New Roman" w:hint="default"/>
                <w:sz w:val="18"/>
                <w:szCs w:val="18"/>
              </w:rPr>
            </w:pPr>
            <w:r>
              <w:rPr>
                <w:rFonts w:ascii="Times New Roman"/>
                <w:spacing w:val="-1"/>
                <w:sz w:val="18"/>
              </w:rPr>
              <w:t>12,316.19</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
              <w:jc w:val="center"/>
              <w:rPr>
                <w:rFonts w:ascii="宋体" w:hAnsi="宋体" w:cs="宋体" w:eastAsia="宋体" w:hint="default"/>
                <w:sz w:val="18"/>
                <w:szCs w:val="18"/>
              </w:rPr>
            </w:pPr>
            <w:r>
              <w:rPr>
                <w:rFonts w:ascii="宋体" w:hAnsi="宋体" w:cs="宋体" w:eastAsia="宋体" w:hint="default"/>
                <w:sz w:val="18"/>
                <w:szCs w:val="18"/>
              </w:rPr>
              <w:t>无法收回</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0"/>
              <w:jc w:val="center"/>
              <w:rPr>
                <w:rFonts w:ascii="宋体" w:hAnsi="宋体" w:cs="宋体" w:eastAsia="宋体" w:hint="default"/>
                <w:sz w:val="18"/>
                <w:szCs w:val="18"/>
              </w:rPr>
            </w:pPr>
            <w:r>
              <w:rPr>
                <w:rFonts w:ascii="宋体" w:hAnsi="宋体" w:cs="宋体" w:eastAsia="宋体" w:hint="default"/>
                <w:sz w:val="18"/>
                <w:szCs w:val="18"/>
              </w:rPr>
              <w:t>公司内部审批</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71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12,316.19</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1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742" w:right="0"/>
              <w:jc w:val="left"/>
              <w:rPr>
                <w:rFonts w:ascii="Times New Roman" w:hAnsi="Times New Roman" w:cs="Times New Roman" w:eastAsia="Times New Roman" w:hint="default"/>
                <w:sz w:val="18"/>
                <w:szCs w:val="18"/>
              </w:rPr>
            </w:pPr>
            <w:r>
              <w:rPr>
                <w:rFonts w:ascii="Times New Roman"/>
                <w:sz w:val="18"/>
              </w:rPr>
              <w:t>--</w:t>
            </w:r>
          </w:p>
        </w:tc>
      </w:tr>
    </w:tbl>
    <w:p>
      <w:pPr>
        <w:spacing w:line="240" w:lineRule="auto" w:before="5"/>
        <w:rPr>
          <w:rFonts w:ascii="宋体" w:hAnsi="宋体" w:cs="宋体" w:eastAsia="宋体" w:hint="default"/>
          <w:sz w:val="19"/>
          <w:szCs w:val="19"/>
        </w:rPr>
      </w:pPr>
    </w:p>
    <w:p>
      <w:pPr>
        <w:pStyle w:val="Heading3"/>
        <w:spacing w:line="240" w:lineRule="auto"/>
        <w:ind w:right="1394"/>
        <w:jc w:val="left"/>
        <w:rPr>
          <w:b w:val="0"/>
          <w:bCs w:val="0"/>
        </w:rPr>
      </w:pPr>
      <w:bookmarkStart w:name="（4）按欠款方归集的期末余额前五名的应收账款情况" w:id="419"/>
      <w:bookmarkEnd w:id="419"/>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69"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922" w:right="109" w:hanging="812"/>
              <w:jc w:val="left"/>
              <w:rPr>
                <w:rFonts w:ascii="宋体" w:hAnsi="宋体" w:cs="宋体" w:eastAsia="宋体" w:hint="default"/>
                <w:sz w:val="18"/>
                <w:szCs w:val="18"/>
              </w:rPr>
            </w:pPr>
            <w:r>
              <w:rPr>
                <w:rFonts w:ascii="宋体" w:hAnsi="宋体" w:cs="宋体" w:eastAsia="宋体" w:hint="default"/>
                <w:sz w:val="18"/>
                <w:szCs w:val="18"/>
              </w:rPr>
              <w:t>占应收账款期末余额合计数 的比例</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71"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客户一</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104,610,164.36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16.68%</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客户二</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32,616,982.06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163,084.91</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客户三</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30,617,177.76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1,030,569.56</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客户四</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26,057,919.13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4.16%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1,189,553.62</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客户五</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24,295,986.64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2,760,185.07</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218,198,229.95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34.79%</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5"/>
        <w:rPr>
          <w:rFonts w:ascii="宋体" w:hAnsi="宋体" w:cs="宋体" w:eastAsia="宋体" w:hint="default"/>
          <w:sz w:val="19"/>
          <w:szCs w:val="19"/>
        </w:rPr>
      </w:pPr>
    </w:p>
    <w:p>
      <w:pPr>
        <w:pStyle w:val="Heading3"/>
        <w:spacing w:line="240" w:lineRule="auto"/>
        <w:ind w:right="1394"/>
        <w:jc w:val="left"/>
        <w:rPr>
          <w:b w:val="0"/>
          <w:bCs w:val="0"/>
        </w:rPr>
      </w:pPr>
      <w:bookmarkStart w:name="（5）因金融资产转移而终止确认的应收账款" w:id="420"/>
      <w:bookmarkEnd w:id="420"/>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32" w:right="1394"/>
        <w:jc w:val="left"/>
      </w:pPr>
      <w:r>
        <w:rPr/>
        <w:t>本期没有因金融资产转移而终止确认的应收款项。</w:t>
      </w:r>
    </w:p>
    <w:p>
      <w:pPr>
        <w:spacing w:line="240" w:lineRule="auto" w:before="0"/>
        <w:rPr>
          <w:rFonts w:ascii="宋体" w:hAnsi="宋体" w:cs="宋体" w:eastAsia="宋体" w:hint="default"/>
          <w:sz w:val="18"/>
          <w:szCs w:val="18"/>
        </w:rPr>
      </w:pPr>
    </w:p>
    <w:p>
      <w:pPr>
        <w:pStyle w:val="Heading3"/>
        <w:spacing w:line="240" w:lineRule="auto" w:before="118"/>
        <w:ind w:right="1394"/>
        <w:jc w:val="left"/>
        <w:rPr>
          <w:b w:val="0"/>
          <w:bCs w:val="0"/>
        </w:rPr>
      </w:pPr>
      <w:bookmarkStart w:name="（6）转移应收账款且继续涉入形成的资产、负债金额" w:id="421"/>
      <w:bookmarkEnd w:id="421"/>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532" w:right="1394"/>
        <w:jc w:val="left"/>
      </w:pPr>
      <w:r>
        <w:rPr/>
        <w:t>本期未发生转移应收账款且继续涉入形成的资产、负债情况。</w:t>
      </w:r>
    </w:p>
    <w:p>
      <w:pPr>
        <w:spacing w:line="240" w:lineRule="auto" w:before="11"/>
        <w:rPr>
          <w:rFonts w:ascii="宋体" w:hAnsi="宋体" w:cs="宋体" w:eastAsia="宋体" w:hint="default"/>
          <w:sz w:val="26"/>
          <w:szCs w:val="26"/>
        </w:rPr>
      </w:pPr>
    </w:p>
    <w:p>
      <w:pPr>
        <w:pStyle w:val="Heading3"/>
        <w:spacing w:line="240" w:lineRule="auto" w:before="0"/>
        <w:ind w:right="1394"/>
        <w:jc w:val="left"/>
        <w:rPr>
          <w:b w:val="0"/>
          <w:bCs w:val="0"/>
        </w:rPr>
      </w:pPr>
      <w:bookmarkStart w:name="2、其他应收款" w:id="422"/>
      <w:bookmarkEnd w:id="422"/>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20,400,000.00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59,104,098.21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91,528,330.69</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459,104,098.21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111,928,330.69</w:t>
            </w:r>
          </w:p>
        </w:tc>
      </w:tr>
    </w:tbl>
    <w:p>
      <w:pPr>
        <w:spacing w:after="0" w:line="240" w:lineRule="auto"/>
        <w:jc w:val="right"/>
        <w:rPr>
          <w:rFonts w:ascii="Times New Roman" w:hAnsi="Times New Roman" w:cs="Times New Roman" w:eastAsia="Times New Roman" w:hint="default"/>
          <w:sz w:val="18"/>
          <w:szCs w:val="18"/>
        </w:rPr>
        <w:sectPr>
          <w:footerReference w:type="default" r:id="rId59"/>
          <w:pgSz w:w="11910" w:h="16840"/>
          <w:pgMar w:footer="978" w:header="878" w:top="1100" w:bottom="1160" w:left="1020" w:right="0"/>
          <w:pgNumType w:start="210"/>
        </w:sectPr>
      </w:pPr>
    </w:p>
    <w:p>
      <w:pPr>
        <w:spacing w:line="240" w:lineRule="auto" w:before="12"/>
        <w:rPr>
          <w:rFonts w:ascii="宋体" w:hAnsi="宋体" w:cs="宋体" w:eastAsia="宋体" w:hint="default"/>
          <w:sz w:val="20"/>
          <w:szCs w:val="20"/>
        </w:rPr>
      </w:pPr>
    </w:p>
    <w:p>
      <w:pPr>
        <w:pStyle w:val="Heading3"/>
        <w:spacing w:line="240" w:lineRule="auto"/>
        <w:ind w:right="1394"/>
        <w:jc w:val="left"/>
        <w:rPr>
          <w:b w:val="0"/>
          <w:bCs w:val="0"/>
        </w:rPr>
      </w:pPr>
      <w:bookmarkStart w:name="（1）应收股利" w:id="423"/>
      <w:bookmarkEnd w:id="423"/>
      <w:r>
        <w:rPr>
          <w:b w:val="0"/>
          <w:bCs w:val="0"/>
        </w:rPr>
      </w:r>
      <w:r>
        <w:rPr/>
        <w:t>（</w:t>
      </w:r>
      <w:r>
        <w:rPr>
          <w:rFonts w:ascii="Times New Roman" w:hAnsi="Times New Roman" w:cs="Times New Roman" w:eastAsia="Times New Roman" w:hint="default"/>
        </w:rPr>
        <w:t>1</w:t>
      </w:r>
      <w:r>
        <w:rPr/>
        <w:t>）应收股利</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before="0"/>
        <w:ind w:right="1394"/>
        <w:jc w:val="left"/>
        <w:rPr>
          <w:b w:val="0"/>
          <w:bCs w:val="0"/>
        </w:rPr>
      </w:pPr>
      <w:bookmarkStart w:name="1）应收股利分类" w:id="424"/>
      <w:bookmarkEnd w:id="424"/>
      <w:r>
        <w:rPr>
          <w:b w:val="0"/>
          <w:bCs w:val="0"/>
        </w:rPr>
      </w:r>
      <w:r>
        <w:rPr>
          <w:rFonts w:ascii="Times New Roman" w:hAnsi="Times New Roman" w:cs="Times New Roman" w:eastAsia="Times New Roman" w:hint="default"/>
        </w:rPr>
        <w:t>1</w:t>
      </w:r>
      <w:r>
        <w:rPr/>
        <w:t>）应收股利分类</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8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0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普通股股利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20,400,000.00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20,400,000.00</w:t>
            </w:r>
          </w:p>
        </w:tc>
      </w:tr>
    </w:tbl>
    <w:p>
      <w:pPr>
        <w:spacing w:line="240" w:lineRule="auto" w:before="2"/>
        <w:rPr>
          <w:rFonts w:ascii="宋体" w:hAnsi="宋体" w:cs="宋体" w:eastAsia="宋体" w:hint="default"/>
          <w:sz w:val="19"/>
          <w:szCs w:val="19"/>
        </w:rPr>
      </w:pPr>
    </w:p>
    <w:p>
      <w:pPr>
        <w:pStyle w:val="Heading3"/>
        <w:spacing w:line="240" w:lineRule="auto"/>
        <w:ind w:right="1394"/>
        <w:jc w:val="left"/>
        <w:rPr>
          <w:b w:val="0"/>
          <w:bCs w:val="0"/>
        </w:rPr>
      </w:pPr>
      <w:bookmarkStart w:name="（2）其他应收款" w:id="425"/>
      <w:bookmarkEnd w:id="425"/>
      <w:r>
        <w:rPr>
          <w:b w:val="0"/>
          <w:bCs w:val="0"/>
        </w:rPr>
      </w:r>
      <w:r>
        <w:rPr/>
        <w:t>（</w:t>
      </w:r>
      <w:r>
        <w:rPr>
          <w:rFonts w:ascii="Times New Roman" w:hAnsi="Times New Roman" w:cs="Times New Roman" w:eastAsia="Times New Roman" w:hint="default"/>
        </w:rPr>
        <w:t>2</w:t>
      </w:r>
      <w:r>
        <w:rPr/>
        <w:t>）其他应收款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before="0"/>
        <w:ind w:right="1394"/>
        <w:jc w:val="left"/>
        <w:rPr>
          <w:b w:val="0"/>
          <w:bCs w:val="0"/>
        </w:rPr>
      </w:pPr>
      <w:bookmarkStart w:name="1）其他应收款按款项性质分类情况" w:id="426"/>
      <w:bookmarkEnd w:id="426"/>
      <w:r>
        <w:rPr>
          <w:b w:val="0"/>
          <w:bCs w:val="0"/>
        </w:rPr>
      </w:r>
      <w:r>
        <w:rPr>
          <w:rFonts w:ascii="Times New Roman" w:hAnsi="Times New Roman" w:cs="Times New Roman" w:eastAsia="Times New Roman" w:hint="default"/>
        </w:rPr>
        <w:t>1</w:t>
      </w:r>
      <w:r>
        <w:rPr/>
        <w:t>）其他应收款按款项性质分类情况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11,162,903.76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16,449,009.89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44,014,472.48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72,318,590.18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职工借款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6,129,689.46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6,096,502.33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61,307,065.70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94,864,102.40</w:t>
            </w:r>
          </w:p>
        </w:tc>
      </w:tr>
    </w:tbl>
    <w:p>
      <w:pPr>
        <w:spacing w:line="240" w:lineRule="auto" w:before="4"/>
        <w:rPr>
          <w:rFonts w:ascii="宋体" w:hAnsi="宋体" w:cs="宋体" w:eastAsia="宋体" w:hint="default"/>
          <w:sz w:val="19"/>
          <w:szCs w:val="19"/>
        </w:rPr>
      </w:pPr>
    </w:p>
    <w:p>
      <w:pPr>
        <w:pStyle w:val="Heading3"/>
        <w:spacing w:line="240" w:lineRule="auto"/>
        <w:ind w:right="1394"/>
        <w:jc w:val="left"/>
        <w:rPr>
          <w:b w:val="0"/>
          <w:bCs w:val="0"/>
        </w:rPr>
      </w:pPr>
      <w:bookmarkStart w:name="2）坏账准备计提情况" w:id="427"/>
      <w:bookmarkEnd w:id="427"/>
      <w:r>
        <w:rPr>
          <w:b w:val="0"/>
          <w:bCs w:val="0"/>
        </w:rPr>
      </w:r>
      <w:r>
        <w:rPr>
          <w:rFonts w:ascii="Times New Roman" w:hAnsi="Times New Roman" w:cs="Times New Roman" w:eastAsia="Times New Roman" w:hint="default"/>
        </w:rPr>
        <w:t>2</w:t>
      </w:r>
      <w:r>
        <w:rPr/>
        <w:t>）坏账准备计提情况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6"/>
        <w:gridCol w:w="1650"/>
        <w:gridCol w:w="2099"/>
        <w:gridCol w:w="2099"/>
        <w:gridCol w:w="1804"/>
      </w:tblGrid>
      <w:tr>
        <w:trPr>
          <w:trHeight w:val="402" w:hRule="exact"/>
        </w:trPr>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1"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2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第三阶段</w:t>
            </w:r>
          </w:p>
        </w:tc>
        <w:tc>
          <w:tcPr>
            <w:tcW w:w="18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4" w:hRule="exact"/>
        </w:trPr>
        <w:tc>
          <w:tcPr>
            <w:tcW w:w="1916" w:type="dxa"/>
            <w:vMerge/>
            <w:tcBorders>
              <w:left w:val="single" w:sz="4" w:space="0" w:color="000000"/>
              <w:bottom w:val="single" w:sz="4" w:space="0" w:color="000000"/>
              <w:right w:val="single" w:sz="4" w:space="0" w:color="000000"/>
            </w:tcBorders>
            <w:shd w:val="clear" w:color="auto" w:fill="D2D2D2"/>
          </w:tcPr>
          <w:p>
            <w:pPr/>
          </w:p>
        </w:tc>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550" w:right="54" w:hanging="495"/>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个月预期信 用损失</w:t>
            </w:r>
          </w:p>
        </w:tc>
        <w:tc>
          <w:tcPr>
            <w:tcW w:w="2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3,335,771.71</w:t>
            </w:r>
          </w:p>
        </w:tc>
        <w:tc>
          <w:tcPr>
            <w:tcW w:w="2099" w:type="dxa"/>
            <w:tcBorders>
              <w:top w:val="single" w:sz="4" w:space="0" w:color="000000"/>
              <w:left w:val="single" w:sz="4" w:space="0" w:color="000000"/>
              <w:bottom w:val="single" w:sz="4" w:space="0" w:color="000000"/>
              <w:right w:val="single" w:sz="4" w:space="0" w:color="000000"/>
            </w:tcBorders>
          </w:tcPr>
          <w:p>
            <w:pPr/>
          </w:p>
        </w:tc>
        <w:tc>
          <w:tcPr>
            <w:tcW w:w="2099" w:type="dxa"/>
            <w:tcBorders>
              <w:top w:val="single" w:sz="4" w:space="0" w:color="000000"/>
              <w:left w:val="single" w:sz="4" w:space="0" w:color="000000"/>
              <w:bottom w:val="single" w:sz="4" w:space="0" w:color="000000"/>
              <w:right w:val="single" w:sz="4" w:space="0" w:color="000000"/>
            </w:tcBorders>
          </w:tcPr>
          <w:p>
            <w:pP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3,335,771.71</w:t>
            </w:r>
          </w:p>
        </w:tc>
      </w:tr>
      <w:tr>
        <w:trPr>
          <w:trHeight w:val="71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22" w:right="36"/>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日余额在 本期</w:t>
            </w:r>
          </w:p>
        </w:tc>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转入第二阶段</w:t>
            </w:r>
          </w:p>
        </w:tc>
        <w:tc>
          <w:tcPr>
            <w:tcW w:w="1650" w:type="dxa"/>
            <w:tcBorders>
              <w:top w:val="single" w:sz="4" w:space="0" w:color="000000"/>
              <w:left w:val="single" w:sz="4" w:space="0" w:color="000000"/>
              <w:bottom w:val="single" w:sz="4" w:space="0" w:color="000000"/>
              <w:right w:val="single" w:sz="4" w:space="0" w:color="000000"/>
            </w:tcBorders>
          </w:tcPr>
          <w:p>
            <w:pPr/>
          </w:p>
        </w:tc>
        <w:tc>
          <w:tcPr>
            <w:tcW w:w="2099" w:type="dxa"/>
            <w:tcBorders>
              <w:top w:val="single" w:sz="4" w:space="0" w:color="000000"/>
              <w:left w:val="single" w:sz="4" w:space="0" w:color="000000"/>
              <w:bottom w:val="single" w:sz="4" w:space="0" w:color="000000"/>
              <w:right w:val="single" w:sz="4" w:space="0" w:color="000000"/>
            </w:tcBorders>
          </w:tcPr>
          <w:p>
            <w:pPr/>
          </w:p>
        </w:tc>
        <w:tc>
          <w:tcPr>
            <w:tcW w:w="2099" w:type="dxa"/>
            <w:tcBorders>
              <w:top w:val="single" w:sz="4" w:space="0" w:color="000000"/>
              <w:left w:val="single" w:sz="4" w:space="0" w:color="000000"/>
              <w:bottom w:val="single" w:sz="4" w:space="0" w:color="000000"/>
              <w:right w:val="single" w:sz="4" w:space="0" w:color="000000"/>
            </w:tcBorders>
          </w:tcPr>
          <w:p>
            <w:pPr/>
          </w:p>
        </w:tc>
        <w:tc>
          <w:tcPr>
            <w:tcW w:w="180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转入第三阶段</w:t>
            </w:r>
          </w:p>
        </w:tc>
        <w:tc>
          <w:tcPr>
            <w:tcW w:w="1650" w:type="dxa"/>
            <w:tcBorders>
              <w:top w:val="single" w:sz="4" w:space="0" w:color="000000"/>
              <w:left w:val="single" w:sz="4" w:space="0" w:color="000000"/>
              <w:bottom w:val="single" w:sz="4" w:space="0" w:color="000000"/>
              <w:right w:val="single" w:sz="4" w:space="0" w:color="000000"/>
            </w:tcBorders>
          </w:tcPr>
          <w:p>
            <w:pPr/>
          </w:p>
        </w:tc>
        <w:tc>
          <w:tcPr>
            <w:tcW w:w="2099" w:type="dxa"/>
            <w:tcBorders>
              <w:top w:val="single" w:sz="4" w:space="0" w:color="000000"/>
              <w:left w:val="single" w:sz="4" w:space="0" w:color="000000"/>
              <w:bottom w:val="single" w:sz="4" w:space="0" w:color="000000"/>
              <w:right w:val="single" w:sz="4" w:space="0" w:color="000000"/>
            </w:tcBorders>
          </w:tcPr>
          <w:p>
            <w:pPr/>
          </w:p>
        </w:tc>
        <w:tc>
          <w:tcPr>
            <w:tcW w:w="2099" w:type="dxa"/>
            <w:tcBorders>
              <w:top w:val="single" w:sz="4" w:space="0" w:color="000000"/>
              <w:left w:val="single" w:sz="4" w:space="0" w:color="000000"/>
              <w:bottom w:val="single" w:sz="4" w:space="0" w:color="000000"/>
              <w:right w:val="single" w:sz="4" w:space="0" w:color="000000"/>
            </w:tcBorders>
          </w:tcPr>
          <w:p>
            <w:pPr/>
          </w:p>
        </w:tc>
        <w:tc>
          <w:tcPr>
            <w:tcW w:w="180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转回第二阶段</w:t>
            </w:r>
          </w:p>
        </w:tc>
        <w:tc>
          <w:tcPr>
            <w:tcW w:w="1650" w:type="dxa"/>
            <w:tcBorders>
              <w:top w:val="single" w:sz="4" w:space="0" w:color="000000"/>
              <w:left w:val="single" w:sz="4" w:space="0" w:color="000000"/>
              <w:bottom w:val="single" w:sz="4" w:space="0" w:color="000000"/>
              <w:right w:val="single" w:sz="4" w:space="0" w:color="000000"/>
            </w:tcBorders>
          </w:tcPr>
          <w:p>
            <w:pPr/>
          </w:p>
        </w:tc>
        <w:tc>
          <w:tcPr>
            <w:tcW w:w="2099" w:type="dxa"/>
            <w:tcBorders>
              <w:top w:val="single" w:sz="4" w:space="0" w:color="000000"/>
              <w:left w:val="single" w:sz="4" w:space="0" w:color="000000"/>
              <w:bottom w:val="single" w:sz="4" w:space="0" w:color="000000"/>
              <w:right w:val="single" w:sz="4" w:space="0" w:color="000000"/>
            </w:tcBorders>
          </w:tcPr>
          <w:p>
            <w:pPr/>
          </w:p>
        </w:tc>
        <w:tc>
          <w:tcPr>
            <w:tcW w:w="2099" w:type="dxa"/>
            <w:tcBorders>
              <w:top w:val="single" w:sz="4" w:space="0" w:color="000000"/>
              <w:left w:val="single" w:sz="4" w:space="0" w:color="000000"/>
              <w:bottom w:val="single" w:sz="4" w:space="0" w:color="000000"/>
              <w:right w:val="single" w:sz="4" w:space="0" w:color="000000"/>
            </w:tcBorders>
          </w:tcPr>
          <w:p>
            <w:pPr/>
          </w:p>
        </w:tc>
        <w:tc>
          <w:tcPr>
            <w:tcW w:w="180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转回第一阶段</w:t>
            </w:r>
          </w:p>
        </w:tc>
        <w:tc>
          <w:tcPr>
            <w:tcW w:w="1650" w:type="dxa"/>
            <w:tcBorders>
              <w:top w:val="single" w:sz="4" w:space="0" w:color="000000"/>
              <w:left w:val="single" w:sz="4" w:space="0" w:color="000000"/>
              <w:bottom w:val="single" w:sz="4" w:space="0" w:color="000000"/>
              <w:right w:val="single" w:sz="4" w:space="0" w:color="000000"/>
            </w:tcBorders>
          </w:tcPr>
          <w:p>
            <w:pPr/>
          </w:p>
        </w:tc>
        <w:tc>
          <w:tcPr>
            <w:tcW w:w="2099" w:type="dxa"/>
            <w:tcBorders>
              <w:top w:val="single" w:sz="4" w:space="0" w:color="000000"/>
              <w:left w:val="single" w:sz="4" w:space="0" w:color="000000"/>
              <w:bottom w:val="single" w:sz="4" w:space="0" w:color="000000"/>
              <w:right w:val="single" w:sz="4" w:space="0" w:color="000000"/>
            </w:tcBorders>
          </w:tcPr>
          <w:p>
            <w:pPr/>
          </w:p>
        </w:tc>
        <w:tc>
          <w:tcPr>
            <w:tcW w:w="2099" w:type="dxa"/>
            <w:tcBorders>
              <w:top w:val="single" w:sz="4" w:space="0" w:color="000000"/>
              <w:left w:val="single" w:sz="4" w:space="0" w:color="000000"/>
              <w:bottom w:val="single" w:sz="4" w:space="0" w:color="000000"/>
              <w:right w:val="single" w:sz="4" w:space="0" w:color="000000"/>
            </w:tcBorders>
          </w:tcPr>
          <w:p>
            <w:pPr/>
          </w:p>
        </w:tc>
        <w:tc>
          <w:tcPr>
            <w:tcW w:w="180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-1,132,804.22</w:t>
            </w:r>
          </w:p>
        </w:tc>
        <w:tc>
          <w:tcPr>
            <w:tcW w:w="2099" w:type="dxa"/>
            <w:tcBorders>
              <w:top w:val="single" w:sz="4" w:space="0" w:color="000000"/>
              <w:left w:val="single" w:sz="4" w:space="0" w:color="000000"/>
              <w:bottom w:val="single" w:sz="4" w:space="0" w:color="000000"/>
              <w:right w:val="single" w:sz="4" w:space="0" w:color="000000"/>
            </w:tcBorders>
          </w:tcPr>
          <w:p>
            <w:pPr/>
          </w:p>
        </w:tc>
        <w:tc>
          <w:tcPr>
            <w:tcW w:w="2099" w:type="dxa"/>
            <w:tcBorders>
              <w:top w:val="single" w:sz="4" w:space="0" w:color="000000"/>
              <w:left w:val="single" w:sz="4" w:space="0" w:color="000000"/>
              <w:bottom w:val="single" w:sz="4" w:space="0" w:color="000000"/>
              <w:right w:val="single" w:sz="4" w:space="0" w:color="000000"/>
            </w:tcBorders>
          </w:tcPr>
          <w:p>
            <w:pP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-1,132,804.22</w:t>
            </w:r>
          </w:p>
        </w:tc>
      </w:tr>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本期转回</w:t>
            </w:r>
          </w:p>
        </w:tc>
        <w:tc>
          <w:tcPr>
            <w:tcW w:w="1650" w:type="dxa"/>
            <w:tcBorders>
              <w:top w:val="single" w:sz="4" w:space="0" w:color="000000"/>
              <w:left w:val="single" w:sz="4" w:space="0" w:color="000000"/>
              <w:bottom w:val="single" w:sz="4" w:space="0" w:color="000000"/>
              <w:right w:val="single" w:sz="4" w:space="0" w:color="000000"/>
            </w:tcBorders>
          </w:tcPr>
          <w:p>
            <w:pPr/>
          </w:p>
        </w:tc>
        <w:tc>
          <w:tcPr>
            <w:tcW w:w="2099" w:type="dxa"/>
            <w:tcBorders>
              <w:top w:val="single" w:sz="4" w:space="0" w:color="000000"/>
              <w:left w:val="single" w:sz="4" w:space="0" w:color="000000"/>
              <w:bottom w:val="single" w:sz="4" w:space="0" w:color="000000"/>
              <w:right w:val="single" w:sz="4" w:space="0" w:color="000000"/>
            </w:tcBorders>
          </w:tcPr>
          <w:p>
            <w:pPr/>
          </w:p>
        </w:tc>
        <w:tc>
          <w:tcPr>
            <w:tcW w:w="2099" w:type="dxa"/>
            <w:tcBorders>
              <w:top w:val="single" w:sz="4" w:space="0" w:color="000000"/>
              <w:left w:val="single" w:sz="4" w:space="0" w:color="000000"/>
              <w:bottom w:val="single" w:sz="4" w:space="0" w:color="000000"/>
              <w:right w:val="single" w:sz="4" w:space="0" w:color="000000"/>
            </w:tcBorders>
          </w:tcPr>
          <w:p>
            <w:pPr/>
          </w:p>
        </w:tc>
        <w:tc>
          <w:tcPr>
            <w:tcW w:w="180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本期转销</w:t>
            </w:r>
          </w:p>
        </w:tc>
        <w:tc>
          <w:tcPr>
            <w:tcW w:w="1650" w:type="dxa"/>
            <w:tcBorders>
              <w:top w:val="single" w:sz="4" w:space="0" w:color="000000"/>
              <w:left w:val="single" w:sz="4" w:space="0" w:color="000000"/>
              <w:bottom w:val="single" w:sz="4" w:space="0" w:color="000000"/>
              <w:right w:val="single" w:sz="4" w:space="0" w:color="000000"/>
            </w:tcBorders>
          </w:tcPr>
          <w:p>
            <w:pPr/>
          </w:p>
        </w:tc>
        <w:tc>
          <w:tcPr>
            <w:tcW w:w="2099" w:type="dxa"/>
            <w:tcBorders>
              <w:top w:val="single" w:sz="4" w:space="0" w:color="000000"/>
              <w:left w:val="single" w:sz="4" w:space="0" w:color="000000"/>
              <w:bottom w:val="single" w:sz="4" w:space="0" w:color="000000"/>
              <w:right w:val="single" w:sz="4" w:space="0" w:color="000000"/>
            </w:tcBorders>
          </w:tcPr>
          <w:p>
            <w:pPr/>
          </w:p>
        </w:tc>
        <w:tc>
          <w:tcPr>
            <w:tcW w:w="2099" w:type="dxa"/>
            <w:tcBorders>
              <w:top w:val="single" w:sz="4" w:space="0" w:color="000000"/>
              <w:left w:val="single" w:sz="4" w:space="0" w:color="000000"/>
              <w:bottom w:val="single" w:sz="4" w:space="0" w:color="000000"/>
              <w:right w:val="single" w:sz="4" w:space="0" w:color="000000"/>
            </w:tcBorders>
          </w:tcPr>
          <w:p>
            <w:pPr/>
          </w:p>
        </w:tc>
        <w:tc>
          <w:tcPr>
            <w:tcW w:w="180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本期核销</w:t>
            </w:r>
          </w:p>
        </w:tc>
        <w:tc>
          <w:tcPr>
            <w:tcW w:w="1650" w:type="dxa"/>
            <w:tcBorders>
              <w:top w:val="single" w:sz="4" w:space="0" w:color="000000"/>
              <w:left w:val="single" w:sz="4" w:space="0" w:color="000000"/>
              <w:bottom w:val="single" w:sz="4" w:space="0" w:color="000000"/>
              <w:right w:val="single" w:sz="4" w:space="0" w:color="000000"/>
            </w:tcBorders>
          </w:tcPr>
          <w:p>
            <w:pPr/>
          </w:p>
        </w:tc>
        <w:tc>
          <w:tcPr>
            <w:tcW w:w="2099" w:type="dxa"/>
            <w:tcBorders>
              <w:top w:val="single" w:sz="4" w:space="0" w:color="000000"/>
              <w:left w:val="single" w:sz="4" w:space="0" w:color="000000"/>
              <w:bottom w:val="single" w:sz="4" w:space="0" w:color="000000"/>
              <w:right w:val="single" w:sz="4" w:space="0" w:color="000000"/>
            </w:tcBorders>
          </w:tcPr>
          <w:p>
            <w:pPr/>
          </w:p>
        </w:tc>
        <w:tc>
          <w:tcPr>
            <w:tcW w:w="2099" w:type="dxa"/>
            <w:tcBorders>
              <w:top w:val="single" w:sz="4" w:space="0" w:color="000000"/>
              <w:left w:val="single" w:sz="4" w:space="0" w:color="000000"/>
              <w:bottom w:val="single" w:sz="4" w:space="0" w:color="000000"/>
              <w:right w:val="single" w:sz="4" w:space="0" w:color="000000"/>
            </w:tcBorders>
          </w:tcPr>
          <w:p>
            <w:pPr/>
          </w:p>
        </w:tc>
        <w:tc>
          <w:tcPr>
            <w:tcW w:w="1804"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650" w:type="dxa"/>
            <w:tcBorders>
              <w:top w:val="single" w:sz="4" w:space="0" w:color="000000"/>
              <w:left w:val="single" w:sz="4" w:space="0" w:color="000000"/>
              <w:bottom w:val="single" w:sz="4" w:space="0" w:color="000000"/>
              <w:right w:val="single" w:sz="4" w:space="0" w:color="000000"/>
            </w:tcBorders>
          </w:tcPr>
          <w:p>
            <w:pPr/>
          </w:p>
        </w:tc>
        <w:tc>
          <w:tcPr>
            <w:tcW w:w="2099" w:type="dxa"/>
            <w:tcBorders>
              <w:top w:val="single" w:sz="4" w:space="0" w:color="000000"/>
              <w:left w:val="single" w:sz="4" w:space="0" w:color="000000"/>
              <w:bottom w:val="single" w:sz="4" w:space="0" w:color="000000"/>
              <w:right w:val="single" w:sz="4" w:space="0" w:color="000000"/>
            </w:tcBorders>
          </w:tcPr>
          <w:p>
            <w:pPr/>
          </w:p>
        </w:tc>
        <w:tc>
          <w:tcPr>
            <w:tcW w:w="2099" w:type="dxa"/>
            <w:tcBorders>
              <w:top w:val="single" w:sz="4" w:space="0" w:color="000000"/>
              <w:left w:val="single" w:sz="4" w:space="0" w:color="000000"/>
              <w:bottom w:val="single" w:sz="4" w:space="0" w:color="000000"/>
              <w:right w:val="single" w:sz="4" w:space="0" w:color="000000"/>
            </w:tcBorders>
          </w:tcPr>
          <w:p>
            <w:pPr/>
          </w:p>
        </w:tc>
        <w:tc>
          <w:tcPr>
            <w:tcW w:w="180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8" w:footer="978" w:top="1100" w:bottom="1160" w:left="1020" w:right="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1916"/>
        <w:gridCol w:w="1650"/>
        <w:gridCol w:w="2099"/>
        <w:gridCol w:w="2099"/>
        <w:gridCol w:w="1804"/>
      </w:tblGrid>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72" w:right="0"/>
              <w:jc w:val="left"/>
              <w:rPr>
                <w:rFonts w:ascii="Times New Roman" w:hAnsi="Times New Roman" w:cs="Times New Roman" w:eastAsia="Times New Roman" w:hint="default"/>
                <w:sz w:val="18"/>
                <w:szCs w:val="18"/>
              </w:rPr>
            </w:pPr>
            <w:r>
              <w:rPr>
                <w:rFonts w:ascii="Times New Roman"/>
                <w:sz w:val="18"/>
              </w:rPr>
              <w:t>2,202,967.49</w:t>
            </w:r>
          </w:p>
        </w:tc>
        <w:tc>
          <w:tcPr>
            <w:tcW w:w="2099" w:type="dxa"/>
            <w:tcBorders>
              <w:top w:val="single" w:sz="4" w:space="0" w:color="000000"/>
              <w:left w:val="single" w:sz="4" w:space="0" w:color="000000"/>
              <w:bottom w:val="single" w:sz="4" w:space="0" w:color="000000"/>
              <w:right w:val="single" w:sz="4" w:space="0" w:color="000000"/>
            </w:tcBorders>
          </w:tcPr>
          <w:p>
            <w:pPr/>
          </w:p>
        </w:tc>
        <w:tc>
          <w:tcPr>
            <w:tcW w:w="2099" w:type="dxa"/>
            <w:tcBorders>
              <w:top w:val="single" w:sz="4" w:space="0" w:color="000000"/>
              <w:left w:val="single" w:sz="4" w:space="0" w:color="000000"/>
              <w:bottom w:val="single" w:sz="4" w:space="0" w:color="000000"/>
              <w:right w:val="single" w:sz="4" w:space="0" w:color="000000"/>
            </w:tcBorders>
          </w:tcPr>
          <w:p>
            <w:pP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26" w:right="0"/>
              <w:jc w:val="left"/>
              <w:rPr>
                <w:rFonts w:ascii="Times New Roman" w:hAnsi="Times New Roman" w:cs="Times New Roman" w:eastAsia="Times New Roman" w:hint="default"/>
                <w:sz w:val="18"/>
                <w:szCs w:val="18"/>
              </w:rPr>
            </w:pPr>
            <w:r>
              <w:rPr>
                <w:rFonts w:ascii="Times New Roman"/>
                <w:sz w:val="18"/>
              </w:rPr>
              <w:t>2,202,967.49</w:t>
            </w:r>
          </w:p>
        </w:tc>
      </w:tr>
    </w:tbl>
    <w:p>
      <w:pPr>
        <w:pStyle w:val="BodyText"/>
        <w:spacing w:line="240" w:lineRule="auto" w:before="51"/>
        <w:ind w:right="1394"/>
        <w:jc w:val="left"/>
      </w:pPr>
      <w:r>
        <w:rPr/>
        <w:t>按账龄披露</w:t>
      </w:r>
    </w:p>
    <w:p>
      <w:pPr>
        <w:pStyle w:val="BodyText"/>
        <w:spacing w:line="240" w:lineRule="auto" w:before="117"/>
        <w:ind w:left="0" w:right="113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84"/>
        <w:gridCol w:w="4784"/>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15,529,442.42</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2,053,035.51</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1,333,663.26</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4,086,373.61</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1,299,387.76</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2,575,000.00</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211,985.85</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23,002,514.80</w:t>
            </w:r>
          </w:p>
        </w:tc>
      </w:tr>
    </w:tbl>
    <w:p>
      <w:pPr>
        <w:spacing w:line="240" w:lineRule="auto" w:before="5"/>
        <w:rPr>
          <w:rFonts w:ascii="宋体" w:hAnsi="宋体" w:cs="宋体" w:eastAsia="宋体" w:hint="default"/>
          <w:sz w:val="19"/>
          <w:szCs w:val="19"/>
        </w:rPr>
      </w:pPr>
    </w:p>
    <w:p>
      <w:pPr>
        <w:pStyle w:val="Heading3"/>
        <w:spacing w:line="240" w:lineRule="auto"/>
        <w:ind w:right="1394"/>
        <w:jc w:val="left"/>
        <w:rPr>
          <w:b w:val="0"/>
          <w:bCs w:val="0"/>
        </w:rPr>
      </w:pPr>
      <w:bookmarkStart w:name="3）本期计提、收回或转回的坏账准备情况" w:id="428"/>
      <w:bookmarkEnd w:id="428"/>
      <w:r>
        <w:rPr>
          <w:b w:val="0"/>
          <w:bCs w:val="0"/>
        </w:rPr>
      </w:r>
      <w:r>
        <w:rPr>
          <w:rFonts w:ascii="Times New Roman" w:hAnsi="Times New Roman" w:cs="Times New Roman" w:eastAsia="Times New Roman" w:hint="default"/>
        </w:rPr>
        <w:t>3</w:t>
      </w:r>
      <w:r>
        <w:rPr/>
        <w:t>）本期计提、收回或转回的坏账准备情况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394"/>
        <w:jc w:val="left"/>
      </w:pPr>
      <w:r>
        <w:rPr/>
        <w:t>本期计提坏账准备情况：</w:t>
      </w:r>
    </w:p>
    <w:p>
      <w:pPr>
        <w:pStyle w:val="BodyText"/>
        <w:spacing w:line="240" w:lineRule="auto" w:before="117"/>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889"/>
        <w:gridCol w:w="1302"/>
        <w:gridCol w:w="1593"/>
        <w:gridCol w:w="1592"/>
        <w:gridCol w:w="1303"/>
        <w:gridCol w:w="1889"/>
      </w:tblGrid>
      <w:tr>
        <w:trPr>
          <w:trHeight w:val="402" w:hRule="exact"/>
        </w:trPr>
        <w:tc>
          <w:tcPr>
            <w:tcW w:w="18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8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48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8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57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vMerge/>
            <w:tcBorders>
              <w:left w:val="single" w:sz="4" w:space="0" w:color="000000"/>
              <w:bottom w:val="single" w:sz="4" w:space="0" w:color="000000"/>
              <w:right w:val="single" w:sz="4" w:space="0" w:color="000000"/>
            </w:tcBorders>
            <w:shd w:val="clear" w:color="auto" w:fill="D2D2D2"/>
          </w:tcPr>
          <w:p>
            <w:pPr/>
          </w:p>
        </w:tc>
        <w:tc>
          <w:tcPr>
            <w:tcW w:w="1302" w:type="dxa"/>
            <w:vMerge/>
            <w:tcBorders>
              <w:left w:val="single" w:sz="4" w:space="0" w:color="000000"/>
              <w:bottom w:val="single" w:sz="4" w:space="0" w:color="000000"/>
              <w:right w:val="single" w:sz="4" w:space="0" w:color="000000"/>
            </w:tcBorders>
            <w:shd w:val="clear" w:color="auto" w:fill="D2D2D2"/>
          </w:tcPr>
          <w:p>
            <w:pPr/>
          </w:p>
        </w:tc>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1" w:right="0"/>
              <w:jc w:val="left"/>
              <w:rPr>
                <w:rFonts w:ascii="宋体" w:hAnsi="宋体" w:cs="宋体" w:eastAsia="宋体" w:hint="default"/>
                <w:sz w:val="18"/>
                <w:szCs w:val="18"/>
              </w:rPr>
            </w:pPr>
            <w:r>
              <w:rPr>
                <w:rFonts w:ascii="宋体" w:hAnsi="宋体" w:cs="宋体" w:eastAsia="宋体" w:hint="default"/>
                <w:sz w:val="18"/>
                <w:szCs w:val="18"/>
              </w:rPr>
              <w:t>计提</w:t>
            </w: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1"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核销</w:t>
            </w:r>
          </w:p>
        </w:tc>
        <w:tc>
          <w:tcPr>
            <w:tcW w:w="1889"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3,335,771.71</w:t>
            </w:r>
          </w:p>
        </w:tc>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56" w:right="0"/>
              <w:jc w:val="left"/>
              <w:rPr>
                <w:rFonts w:ascii="Times New Roman" w:hAnsi="Times New Roman" w:cs="Times New Roman" w:eastAsia="Times New Roman" w:hint="default"/>
                <w:sz w:val="18"/>
                <w:szCs w:val="18"/>
              </w:rPr>
            </w:pPr>
            <w:r>
              <w:rPr>
                <w:rFonts w:ascii="Times New Roman"/>
                <w:sz w:val="18"/>
              </w:rPr>
              <w:t>-1,132,804.22</w:t>
            </w:r>
          </w:p>
        </w:tc>
        <w:tc>
          <w:tcPr>
            <w:tcW w:w="1592"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2,202,967.49</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3,335,771.71</w:t>
            </w:r>
          </w:p>
        </w:tc>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56" w:right="0"/>
              <w:jc w:val="left"/>
              <w:rPr>
                <w:rFonts w:ascii="Times New Roman" w:hAnsi="Times New Roman" w:cs="Times New Roman" w:eastAsia="Times New Roman" w:hint="default"/>
                <w:sz w:val="18"/>
                <w:szCs w:val="18"/>
              </w:rPr>
            </w:pPr>
            <w:r>
              <w:rPr>
                <w:rFonts w:ascii="Times New Roman"/>
                <w:sz w:val="18"/>
              </w:rPr>
              <w:t>-1,132,804.22</w:t>
            </w:r>
          </w:p>
        </w:tc>
        <w:tc>
          <w:tcPr>
            <w:tcW w:w="1592"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2,202,967.49</w:t>
            </w:r>
          </w:p>
        </w:tc>
      </w:tr>
    </w:tbl>
    <w:p>
      <w:pPr>
        <w:spacing w:line="240" w:lineRule="auto" w:before="3"/>
        <w:rPr>
          <w:rFonts w:ascii="宋体" w:hAnsi="宋体" w:cs="宋体" w:eastAsia="宋体" w:hint="default"/>
          <w:sz w:val="19"/>
          <w:szCs w:val="19"/>
        </w:rPr>
      </w:pPr>
    </w:p>
    <w:p>
      <w:pPr>
        <w:pStyle w:val="Heading3"/>
        <w:spacing w:line="240" w:lineRule="auto"/>
        <w:ind w:right="1394"/>
        <w:jc w:val="left"/>
        <w:rPr>
          <w:b w:val="0"/>
          <w:bCs w:val="0"/>
        </w:rPr>
      </w:pPr>
      <w:bookmarkStart w:name="4）本期实际核销的其他应收款情况" w:id="429"/>
      <w:bookmarkEnd w:id="429"/>
      <w:r>
        <w:rPr>
          <w:b w:val="0"/>
          <w:bCs w:val="0"/>
        </w:rPr>
      </w:r>
      <w:r>
        <w:rPr>
          <w:rFonts w:ascii="Times New Roman" w:hAnsi="Times New Roman" w:cs="Times New Roman" w:eastAsia="Times New Roman" w:hint="default"/>
        </w:rPr>
        <w:t>4</w:t>
      </w:r>
      <w:r>
        <w:rPr/>
        <w:t>）本期实际核销的其他应收款情况</w:t>
      </w:r>
      <w:r>
        <w:rPr>
          <w:b w:val="0"/>
          <w:bCs w:val="0"/>
        </w:rPr>
      </w:r>
    </w:p>
    <w:p>
      <w:pPr>
        <w:spacing w:line="240" w:lineRule="auto" w:before="7"/>
        <w:rPr>
          <w:rFonts w:ascii="宋体" w:hAnsi="宋体" w:cs="宋体" w:eastAsia="宋体" w:hint="default"/>
          <w:b/>
          <w:bCs/>
          <w:sz w:val="32"/>
          <w:szCs w:val="32"/>
        </w:rPr>
      </w:pPr>
    </w:p>
    <w:p>
      <w:pPr>
        <w:pStyle w:val="BodyText"/>
        <w:spacing w:line="240" w:lineRule="auto"/>
        <w:ind w:left="532" w:right="1394"/>
        <w:jc w:val="left"/>
      </w:pPr>
      <w:r>
        <w:rPr/>
        <w:t>本报告期没有实际核销的其他应收款。</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3"/>
        <w:spacing w:line="240" w:lineRule="auto" w:before="0"/>
        <w:ind w:right="1394"/>
        <w:jc w:val="left"/>
        <w:rPr>
          <w:b w:val="0"/>
          <w:bCs w:val="0"/>
        </w:rPr>
      </w:pPr>
      <w:bookmarkStart w:name="5）按欠款方归集的期末余额前五名的其他应收款情况" w:id="430"/>
      <w:bookmarkEnd w:id="430"/>
      <w:r>
        <w:rPr>
          <w:b w:val="0"/>
          <w:bCs w:val="0"/>
        </w:rPr>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84"/>
        <w:gridCol w:w="1551"/>
        <w:gridCol w:w="1552"/>
        <w:gridCol w:w="1552"/>
        <w:gridCol w:w="1615"/>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2" w:right="8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81"/>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单位一</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27,931,836.34</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526" w:right="0"/>
              <w:jc w:val="left"/>
              <w:rPr>
                <w:rFonts w:ascii="Times New Roman" w:hAnsi="Times New Roman" w:cs="Times New Roman" w:eastAsia="Times New Roman" w:hint="default"/>
                <w:sz w:val="18"/>
                <w:szCs w:val="18"/>
              </w:rPr>
            </w:pPr>
            <w:r>
              <w:rPr>
                <w:rFonts w:ascii="Times New Roman"/>
                <w:sz w:val="18"/>
              </w:rPr>
              <w:t>45.56%</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单位二</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4,868,916.42</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两年以内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9" w:right="0"/>
              <w:jc w:val="left"/>
              <w:rPr>
                <w:rFonts w:ascii="Times New Roman" w:hAnsi="Times New Roman" w:cs="Times New Roman" w:eastAsia="Times New Roman" w:hint="default"/>
                <w:sz w:val="18"/>
                <w:szCs w:val="18"/>
              </w:rPr>
            </w:pPr>
            <w:r>
              <w:rPr>
                <w:rFonts w:ascii="Times New Roman"/>
                <w:sz w:val="18"/>
              </w:rPr>
              <w:t>7.94%</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单位三</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2,830,000.00</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一至五年</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569" w:right="0"/>
              <w:jc w:val="left"/>
              <w:rPr>
                <w:rFonts w:ascii="Times New Roman" w:hAnsi="Times New Roman" w:cs="Times New Roman" w:eastAsia="Times New Roman" w:hint="default"/>
                <w:sz w:val="18"/>
                <w:szCs w:val="18"/>
              </w:rPr>
            </w:pPr>
            <w:r>
              <w:rPr>
                <w:rFonts w:ascii="Times New Roman"/>
                <w:sz w:val="18"/>
              </w:rPr>
              <w:t>4.62%</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1,122,500.00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单位四</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2,617,233.76</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9" w:right="0"/>
              <w:jc w:val="left"/>
              <w:rPr>
                <w:rFonts w:ascii="Times New Roman" w:hAnsi="Times New Roman" w:cs="Times New Roman" w:eastAsia="Times New Roman" w:hint="default"/>
                <w:sz w:val="18"/>
                <w:szCs w:val="18"/>
              </w:rPr>
            </w:pPr>
            <w:r>
              <w:rPr>
                <w:rFonts w:ascii="Times New Roman"/>
                <w:sz w:val="18"/>
              </w:rPr>
              <w:t>4.27%</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13,086.17</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单位五</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2,340,500.00</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569" w:right="0"/>
              <w:jc w:val="left"/>
              <w:rPr>
                <w:rFonts w:ascii="Times New Roman" w:hAnsi="Times New Roman" w:cs="Times New Roman" w:eastAsia="Times New Roman" w:hint="default"/>
                <w:sz w:val="18"/>
                <w:szCs w:val="18"/>
              </w:rPr>
            </w:pPr>
            <w:r>
              <w:rPr>
                <w:rFonts w:ascii="Times New Roman"/>
                <w:sz w:val="18"/>
              </w:rPr>
              <w:t>3.82%</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11,702.50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40,588,486.52</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6" w:right="0"/>
              <w:jc w:val="left"/>
              <w:rPr>
                <w:rFonts w:ascii="Times New Roman" w:hAnsi="Times New Roman" w:cs="Times New Roman" w:eastAsia="Times New Roman" w:hint="default"/>
                <w:sz w:val="18"/>
                <w:szCs w:val="18"/>
              </w:rPr>
            </w:pPr>
            <w:r>
              <w:rPr>
                <w:rFonts w:ascii="Times New Roman"/>
                <w:sz w:val="18"/>
              </w:rPr>
              <w:t>66.21%</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1,147,288.67</w:t>
            </w:r>
          </w:p>
        </w:tc>
      </w:tr>
    </w:tbl>
    <w:p>
      <w:pPr>
        <w:spacing w:after="0" w:line="240" w:lineRule="auto"/>
        <w:jc w:val="right"/>
        <w:rPr>
          <w:rFonts w:ascii="Times New Roman" w:hAnsi="Times New Roman" w:cs="Times New Roman" w:eastAsia="Times New Roman" w:hint="default"/>
          <w:sz w:val="18"/>
          <w:szCs w:val="18"/>
        </w:rPr>
        <w:sectPr>
          <w:pgSz w:w="11910" w:h="16840"/>
          <w:pgMar w:header="878" w:footer="978" w:top="1100" w:bottom="1160" w:left="1020" w:right="0"/>
        </w:sectPr>
      </w:pPr>
    </w:p>
    <w:p>
      <w:pPr>
        <w:spacing w:line="240" w:lineRule="auto" w:before="12"/>
        <w:rPr>
          <w:rFonts w:ascii="宋体" w:hAnsi="宋体" w:cs="宋体" w:eastAsia="宋体" w:hint="default"/>
          <w:sz w:val="20"/>
          <w:szCs w:val="20"/>
        </w:rPr>
      </w:pPr>
    </w:p>
    <w:p>
      <w:pPr>
        <w:pStyle w:val="Heading3"/>
        <w:spacing w:line="240" w:lineRule="auto"/>
        <w:ind w:right="1394"/>
        <w:jc w:val="left"/>
        <w:rPr>
          <w:b w:val="0"/>
          <w:bCs w:val="0"/>
        </w:rPr>
      </w:pPr>
      <w:bookmarkStart w:name="6）涉及政府补助的应收款项" w:id="431"/>
      <w:bookmarkEnd w:id="431"/>
      <w:r>
        <w:rPr>
          <w:b w:val="0"/>
          <w:bCs w:val="0"/>
        </w:rPr>
      </w:r>
      <w:r>
        <w:rPr>
          <w:rFonts w:ascii="Times New Roman" w:hAnsi="Times New Roman" w:cs="Times New Roman" w:eastAsia="Times New Roman" w:hint="default"/>
        </w:rPr>
        <w:t>6</w:t>
      </w:r>
      <w:r>
        <w:rPr/>
        <w:t>）涉及政府补助的应收款项</w:t>
      </w:r>
      <w:r>
        <w:rPr>
          <w:b w:val="0"/>
          <w:bCs w:val="0"/>
        </w:rPr>
      </w:r>
    </w:p>
    <w:p>
      <w:pPr>
        <w:spacing w:line="240" w:lineRule="auto" w:before="7"/>
        <w:rPr>
          <w:rFonts w:ascii="宋体" w:hAnsi="宋体" w:cs="宋体" w:eastAsia="宋体" w:hint="default"/>
          <w:b/>
          <w:bCs/>
          <w:sz w:val="32"/>
          <w:szCs w:val="32"/>
        </w:rPr>
      </w:pPr>
    </w:p>
    <w:p>
      <w:pPr>
        <w:pStyle w:val="BodyText"/>
        <w:spacing w:line="240" w:lineRule="auto"/>
        <w:ind w:left="532" w:right="1394"/>
        <w:jc w:val="left"/>
      </w:pPr>
      <w:r>
        <w:rPr/>
        <w:t>本期没有涉及政府补助的应收款项。</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3"/>
        <w:spacing w:line="240" w:lineRule="auto" w:before="0"/>
        <w:ind w:right="1394"/>
        <w:jc w:val="left"/>
        <w:rPr>
          <w:b w:val="0"/>
          <w:bCs w:val="0"/>
        </w:rPr>
      </w:pPr>
      <w:bookmarkStart w:name="7）因金融资产转移而终止确认的其他应收款" w:id="432"/>
      <w:bookmarkEnd w:id="432"/>
      <w:r>
        <w:rPr>
          <w:b w:val="0"/>
          <w:bCs w:val="0"/>
        </w:rPr>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32" w:right="1394"/>
        <w:jc w:val="left"/>
      </w:pPr>
      <w:r>
        <w:rPr/>
        <w:t>本期没有因金融资产转移而终止确认的其他应收款。</w:t>
      </w:r>
    </w:p>
    <w:p>
      <w:pPr>
        <w:spacing w:line="240" w:lineRule="auto" w:before="0"/>
        <w:rPr>
          <w:rFonts w:ascii="宋体" w:hAnsi="宋体" w:cs="宋体" w:eastAsia="宋体" w:hint="default"/>
          <w:sz w:val="18"/>
          <w:szCs w:val="18"/>
        </w:rPr>
      </w:pPr>
    </w:p>
    <w:p>
      <w:pPr>
        <w:pStyle w:val="Heading3"/>
        <w:spacing w:line="240" w:lineRule="auto" w:before="118"/>
        <w:ind w:right="1394"/>
        <w:jc w:val="left"/>
        <w:rPr>
          <w:b w:val="0"/>
          <w:bCs w:val="0"/>
        </w:rPr>
      </w:pPr>
      <w:bookmarkStart w:name="8）转移其他应收款且继续涉入形成的资产、负债金额" w:id="433"/>
      <w:bookmarkEnd w:id="433"/>
      <w:r>
        <w:rPr>
          <w:b w:val="0"/>
          <w:bCs w:val="0"/>
        </w:rPr>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532" w:right="1394"/>
        <w:jc w:val="left"/>
      </w:pPr>
      <w:r>
        <w:rPr/>
        <w:t>本期没有转移其他应收款且继续涉入形成的资产、负债。</w:t>
      </w:r>
    </w:p>
    <w:p>
      <w:pPr>
        <w:spacing w:line="240" w:lineRule="auto" w:before="11"/>
        <w:rPr>
          <w:rFonts w:ascii="宋体" w:hAnsi="宋体" w:cs="宋体" w:eastAsia="宋体" w:hint="default"/>
          <w:sz w:val="26"/>
          <w:szCs w:val="26"/>
        </w:rPr>
      </w:pPr>
    </w:p>
    <w:p>
      <w:pPr>
        <w:pStyle w:val="Heading3"/>
        <w:spacing w:line="240" w:lineRule="auto" w:before="0"/>
        <w:ind w:right="1394"/>
        <w:jc w:val="left"/>
        <w:rPr>
          <w:b w:val="0"/>
          <w:bCs w:val="0"/>
        </w:rPr>
      </w:pPr>
      <w:bookmarkStart w:name="3、长期股权投资" w:id="434"/>
      <w:bookmarkEnd w:id="434"/>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368"/>
        <w:gridCol w:w="1375"/>
        <w:gridCol w:w="1418"/>
        <w:gridCol w:w="1559"/>
        <w:gridCol w:w="1116"/>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6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4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4"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4,463,113,959.48</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05" w:right="0"/>
              <w:jc w:val="left"/>
              <w:rPr>
                <w:rFonts w:ascii="Times New Roman" w:hAnsi="Times New Roman" w:cs="Times New Roman" w:eastAsia="Times New Roman" w:hint="default"/>
                <w:sz w:val="18"/>
                <w:szCs w:val="18"/>
              </w:rPr>
            </w:pPr>
            <w:r>
              <w:rPr>
                <w:rFonts w:ascii="Times New Roman"/>
                <w:sz w:val="18"/>
              </w:rPr>
              <w:t>27,230,177.17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4,435,883,782.31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4,255,390,770.48</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5" w:right="0"/>
              <w:jc w:val="center"/>
              <w:rPr>
                <w:rFonts w:ascii="Times New Roman" w:hAnsi="Times New Roman" w:cs="Times New Roman" w:eastAsia="Times New Roman" w:hint="default"/>
                <w:sz w:val="18"/>
                <w:szCs w:val="18"/>
              </w:rPr>
            </w:pPr>
            <w:r>
              <w:rPr>
                <w:rFonts w:ascii="Times New Roman"/>
                <w:sz w:val="18"/>
              </w:rPr>
              <w:t>14,100,114.46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4,241,290,656.02</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73"/>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497,512,740.24</w:t>
            </w:r>
          </w:p>
        </w:tc>
        <w:tc>
          <w:tcPr>
            <w:tcW w:w="13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497,512,740.24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373,894,765.79</w:t>
            </w:r>
          </w:p>
        </w:tc>
        <w:tc>
          <w:tcPr>
            <w:tcW w:w="111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373,894,765.79</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4,960,626,699.72</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05" w:right="0"/>
              <w:jc w:val="left"/>
              <w:rPr>
                <w:rFonts w:ascii="Times New Roman" w:hAnsi="Times New Roman" w:cs="Times New Roman" w:eastAsia="Times New Roman" w:hint="default"/>
                <w:sz w:val="18"/>
                <w:szCs w:val="18"/>
              </w:rPr>
            </w:pPr>
            <w:r>
              <w:rPr>
                <w:rFonts w:ascii="Times New Roman"/>
                <w:sz w:val="18"/>
              </w:rPr>
              <w:t>27,230,177.17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4,933,396,522.55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4,629,285,536.27</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5" w:right="0"/>
              <w:jc w:val="center"/>
              <w:rPr>
                <w:rFonts w:ascii="Times New Roman" w:hAnsi="Times New Roman" w:cs="Times New Roman" w:eastAsia="Times New Roman" w:hint="default"/>
                <w:sz w:val="18"/>
                <w:szCs w:val="18"/>
              </w:rPr>
            </w:pPr>
            <w:r>
              <w:rPr>
                <w:rFonts w:ascii="Times New Roman"/>
                <w:sz w:val="18"/>
              </w:rPr>
              <w:t>14,100,114.46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4,615,185,421.81</w:t>
            </w:r>
          </w:p>
        </w:tc>
      </w:tr>
    </w:tbl>
    <w:p>
      <w:pPr>
        <w:spacing w:line="240" w:lineRule="auto" w:before="5"/>
        <w:rPr>
          <w:rFonts w:ascii="宋体" w:hAnsi="宋体" w:cs="宋体" w:eastAsia="宋体" w:hint="default"/>
          <w:sz w:val="19"/>
          <w:szCs w:val="19"/>
        </w:rPr>
      </w:pPr>
    </w:p>
    <w:p>
      <w:pPr>
        <w:pStyle w:val="Heading3"/>
        <w:spacing w:line="240" w:lineRule="auto"/>
        <w:ind w:right="1394"/>
        <w:jc w:val="left"/>
        <w:rPr>
          <w:b w:val="0"/>
          <w:bCs w:val="0"/>
        </w:rPr>
      </w:pPr>
      <w:bookmarkStart w:name="（1）对子公司投资" w:id="435"/>
      <w:bookmarkEnd w:id="435"/>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267"/>
        <w:gridCol w:w="1427"/>
        <w:gridCol w:w="992"/>
        <w:gridCol w:w="1134"/>
        <w:gridCol w:w="1134"/>
        <w:gridCol w:w="992"/>
        <w:gridCol w:w="1418"/>
        <w:gridCol w:w="1206"/>
      </w:tblGrid>
      <w:tr>
        <w:trPr>
          <w:trHeight w:val="402" w:hRule="exact"/>
        </w:trPr>
        <w:tc>
          <w:tcPr>
            <w:tcW w:w="12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78"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4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00" w:lineRule="auto"/>
              <w:ind w:left="589" w:right="48" w:hanging="540"/>
              <w:jc w:val="left"/>
              <w:rPr>
                <w:rFonts w:ascii="Times New Roman" w:hAnsi="Times New Roman" w:cs="Times New Roman" w:eastAsia="Times New Roman"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425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4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00" w:lineRule="auto"/>
              <w:ind w:left="583" w:right="42" w:hanging="540"/>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120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418" w:right="55" w:hanging="360"/>
              <w:jc w:val="left"/>
              <w:rPr>
                <w:rFonts w:ascii="宋体" w:hAnsi="宋体" w:cs="宋体" w:eastAsia="宋体" w:hint="default"/>
                <w:sz w:val="18"/>
                <w:szCs w:val="18"/>
              </w:rPr>
            </w:pPr>
            <w:r>
              <w:rPr>
                <w:rFonts w:ascii="宋体" w:hAnsi="宋体" w:cs="宋体" w:eastAsia="宋体" w:hint="default"/>
                <w:sz w:val="18"/>
                <w:szCs w:val="18"/>
              </w:rPr>
              <w:t>减值准备期末 余额</w:t>
            </w:r>
          </w:p>
        </w:tc>
      </w:tr>
      <w:tr>
        <w:trPr>
          <w:trHeight w:val="714" w:hRule="exact"/>
        </w:trPr>
        <w:tc>
          <w:tcPr>
            <w:tcW w:w="1267" w:type="dxa"/>
            <w:vMerge/>
            <w:tcBorders>
              <w:left w:val="single" w:sz="4" w:space="0" w:color="000000"/>
              <w:bottom w:val="single" w:sz="4" w:space="0" w:color="000000"/>
              <w:right w:val="single" w:sz="4" w:space="0" w:color="000000"/>
            </w:tcBorders>
            <w:shd w:val="clear" w:color="auto" w:fill="D2D2D2"/>
          </w:tcPr>
          <w:p>
            <w:pPr/>
          </w:p>
        </w:tc>
        <w:tc>
          <w:tcPr>
            <w:tcW w:w="1427" w:type="dxa"/>
            <w:vMerge/>
            <w:tcBorders>
              <w:left w:val="single" w:sz="4" w:space="0" w:color="000000"/>
              <w:bottom w:val="single" w:sz="4" w:space="0" w:color="000000"/>
              <w:right w:val="single" w:sz="4" w:space="0" w:color="000000"/>
            </w:tcBorders>
            <w:shd w:val="clear" w:color="auto" w:fill="D2D2D2"/>
          </w:tcPr>
          <w:p>
            <w:pP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1"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减少投资</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73" w:right="109" w:hanging="360"/>
              <w:jc w:val="left"/>
              <w:rPr>
                <w:rFonts w:ascii="宋体" w:hAnsi="宋体" w:cs="宋体" w:eastAsia="宋体" w:hint="default"/>
                <w:sz w:val="18"/>
                <w:szCs w:val="18"/>
              </w:rPr>
            </w:pPr>
            <w:r>
              <w:rPr>
                <w:rFonts w:ascii="宋体" w:hAnsi="宋体" w:cs="宋体" w:eastAsia="宋体" w:hint="default"/>
                <w:sz w:val="18"/>
                <w:szCs w:val="18"/>
              </w:rPr>
              <w:t>计提减值准 备</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8" w:type="dxa"/>
            <w:vMerge/>
            <w:tcBorders>
              <w:left w:val="single" w:sz="4" w:space="0" w:color="000000"/>
              <w:bottom w:val="single" w:sz="4" w:space="0" w:color="000000"/>
              <w:right w:val="single" w:sz="4" w:space="0" w:color="000000"/>
            </w:tcBorders>
            <w:shd w:val="clear" w:color="auto" w:fill="D2D2D2"/>
          </w:tcPr>
          <w:p>
            <w:pPr/>
          </w:p>
        </w:tc>
        <w:tc>
          <w:tcPr>
            <w:tcW w:w="1206" w:type="dxa"/>
            <w:vMerge/>
            <w:tcBorders>
              <w:left w:val="single" w:sz="4" w:space="0" w:color="000000"/>
              <w:bottom w:val="single" w:sz="4" w:space="0" w:color="000000"/>
              <w:right w:val="single" w:sz="4" w:space="0" w:color="000000"/>
            </w:tcBorders>
            <w:shd w:val="clear" w:color="auto" w:fill="D2D2D2"/>
          </w:tcPr>
          <w:p>
            <w:pPr/>
          </w:p>
        </w:tc>
      </w:tr>
      <w:tr>
        <w:trPr>
          <w:trHeight w:val="357" w:hRule="exact"/>
        </w:trPr>
        <w:tc>
          <w:tcPr>
            <w:tcW w:w="12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广州广电汇通</w:t>
            </w:r>
          </w:p>
        </w:tc>
        <w:tc>
          <w:tcPr>
            <w:tcW w:w="1427" w:type="dxa"/>
            <w:tcBorders>
              <w:top w:val="single" w:sz="4" w:space="0" w:color="000000"/>
              <w:left w:val="single" w:sz="4" w:space="0" w:color="000000"/>
              <w:bottom w:val="nil" w:sz="6" w:space="0" w:color="auto"/>
              <w:right w:val="single" w:sz="4" w:space="0" w:color="000000"/>
            </w:tcBorders>
          </w:tcPr>
          <w:p>
            <w:pPr/>
          </w:p>
        </w:tc>
        <w:tc>
          <w:tcPr>
            <w:tcW w:w="992" w:type="dxa"/>
            <w:vMerge w:val="restart"/>
            <w:tcBorders>
              <w:top w:val="single" w:sz="4" w:space="0" w:color="000000"/>
              <w:left w:val="single" w:sz="4" w:space="0" w:color="000000"/>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1134" w:type="dxa"/>
            <w:vMerge w:val="restart"/>
            <w:tcBorders>
              <w:top w:val="single" w:sz="4" w:space="0" w:color="000000"/>
              <w:left w:val="single" w:sz="4" w:space="0" w:color="000000"/>
              <w:right w:val="single" w:sz="4" w:space="0" w:color="000000"/>
            </w:tcBorders>
          </w:tcPr>
          <w:p>
            <w:pPr/>
          </w:p>
        </w:tc>
        <w:tc>
          <w:tcPr>
            <w:tcW w:w="992" w:type="dxa"/>
            <w:vMerge w:val="restart"/>
            <w:tcBorders>
              <w:top w:val="single" w:sz="4" w:space="0" w:color="000000"/>
              <w:left w:val="single" w:sz="4" w:space="0" w:color="000000"/>
              <w:right w:val="single" w:sz="4" w:space="0" w:color="000000"/>
            </w:tcBorders>
          </w:tcPr>
          <w:p>
            <w:pPr/>
          </w:p>
        </w:tc>
        <w:tc>
          <w:tcPr>
            <w:tcW w:w="1418" w:type="dxa"/>
            <w:tcBorders>
              <w:top w:val="single" w:sz="4" w:space="0" w:color="000000"/>
              <w:left w:val="single" w:sz="4" w:space="0" w:color="000000"/>
              <w:bottom w:val="nil" w:sz="6" w:space="0" w:color="auto"/>
              <w:right w:val="single" w:sz="4" w:space="0" w:color="000000"/>
            </w:tcBorders>
          </w:tcPr>
          <w:p>
            <w:pPr/>
          </w:p>
        </w:tc>
        <w:tc>
          <w:tcPr>
            <w:tcW w:w="1206" w:type="dxa"/>
            <w:vMerge w:val="restart"/>
            <w:tcBorders>
              <w:top w:val="single" w:sz="4" w:space="0" w:color="000000"/>
              <w:left w:val="single" w:sz="4" w:space="0" w:color="000000"/>
              <w:right w:val="single" w:sz="4" w:space="0" w:color="000000"/>
            </w:tcBorders>
          </w:tcPr>
          <w:p>
            <w:pPr/>
          </w:p>
        </w:tc>
      </w:tr>
      <w:tr>
        <w:trPr>
          <w:trHeight w:val="317" w:hRule="exact"/>
        </w:trPr>
        <w:tc>
          <w:tcPr>
            <w:tcW w:w="12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金融服务有限</w:t>
            </w:r>
          </w:p>
        </w:tc>
        <w:tc>
          <w:tcPr>
            <w:tcW w:w="142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100,000,000.00</w:t>
            </w:r>
          </w:p>
        </w:tc>
        <w:tc>
          <w:tcPr>
            <w:tcW w:w="992" w:type="dxa"/>
            <w:vMerge/>
            <w:tcBorders>
              <w:left w:val="single" w:sz="4" w:space="0" w:color="000000"/>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43" w:right="0"/>
              <w:jc w:val="center"/>
              <w:rPr>
                <w:rFonts w:ascii="Times New Roman" w:hAnsi="Times New Roman" w:cs="Times New Roman" w:eastAsia="Times New Roman" w:hint="default"/>
                <w:sz w:val="18"/>
                <w:szCs w:val="18"/>
              </w:rPr>
            </w:pPr>
            <w:r>
              <w:rPr>
                <w:rFonts w:ascii="Times New Roman"/>
                <w:sz w:val="18"/>
              </w:rPr>
              <w:t>70,000,000.00</w:t>
            </w:r>
          </w:p>
        </w:tc>
        <w:tc>
          <w:tcPr>
            <w:tcW w:w="1134"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30,000,000.00</w:t>
            </w:r>
          </w:p>
        </w:tc>
        <w:tc>
          <w:tcPr>
            <w:tcW w:w="1206" w:type="dxa"/>
            <w:vMerge/>
            <w:tcBorders>
              <w:left w:val="single" w:sz="4" w:space="0" w:color="000000"/>
              <w:right w:val="single" w:sz="4" w:space="0" w:color="000000"/>
            </w:tcBorders>
          </w:tcPr>
          <w:p>
            <w:pPr/>
          </w:p>
        </w:tc>
      </w:tr>
      <w:tr>
        <w:trPr>
          <w:trHeight w:val="353" w:hRule="exact"/>
        </w:trPr>
        <w:tc>
          <w:tcPr>
            <w:tcW w:w="12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27" w:type="dxa"/>
            <w:tcBorders>
              <w:top w:val="nil" w:sz="6" w:space="0" w:color="auto"/>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1418" w:type="dxa"/>
            <w:tcBorders>
              <w:top w:val="nil" w:sz="6" w:space="0" w:color="auto"/>
              <w:left w:val="single" w:sz="4" w:space="0" w:color="000000"/>
              <w:bottom w:val="single" w:sz="4" w:space="0" w:color="000000"/>
              <w:right w:val="single" w:sz="4" w:space="0" w:color="000000"/>
            </w:tcBorders>
          </w:tcPr>
          <w:p>
            <w:pPr/>
          </w:p>
        </w:tc>
        <w:tc>
          <w:tcPr>
            <w:tcW w:w="1206" w:type="dxa"/>
            <w:vMerge/>
            <w:tcBorders>
              <w:left w:val="single" w:sz="4" w:space="0" w:color="000000"/>
              <w:bottom w:val="single" w:sz="4" w:space="0" w:color="000000"/>
              <w:right w:val="single" w:sz="4" w:space="0" w:color="000000"/>
            </w:tcBorders>
          </w:tcPr>
          <w:p>
            <w:pPr/>
          </w:p>
        </w:tc>
      </w:tr>
      <w:tr>
        <w:trPr>
          <w:trHeight w:val="355" w:hRule="exact"/>
        </w:trPr>
        <w:tc>
          <w:tcPr>
            <w:tcW w:w="12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广州市龙源环</w:t>
            </w:r>
          </w:p>
        </w:tc>
        <w:tc>
          <w:tcPr>
            <w:tcW w:w="1427" w:type="dxa"/>
            <w:tcBorders>
              <w:top w:val="single" w:sz="4" w:space="0" w:color="000000"/>
              <w:left w:val="single" w:sz="4" w:space="0" w:color="000000"/>
              <w:bottom w:val="nil" w:sz="6" w:space="0" w:color="auto"/>
              <w:right w:val="single" w:sz="4" w:space="0" w:color="000000"/>
            </w:tcBorders>
          </w:tcPr>
          <w:p>
            <w:pPr/>
          </w:p>
        </w:tc>
        <w:tc>
          <w:tcPr>
            <w:tcW w:w="992" w:type="dxa"/>
            <w:vMerge w:val="restart"/>
            <w:tcBorders>
              <w:top w:val="single" w:sz="4" w:space="0" w:color="000000"/>
              <w:left w:val="single" w:sz="4" w:space="0" w:color="000000"/>
              <w:right w:val="single" w:sz="4" w:space="0" w:color="000000"/>
            </w:tcBorders>
          </w:tcPr>
          <w:p>
            <w:pPr/>
          </w:p>
        </w:tc>
        <w:tc>
          <w:tcPr>
            <w:tcW w:w="1134" w:type="dxa"/>
            <w:vMerge w:val="restart"/>
            <w:tcBorders>
              <w:top w:val="single" w:sz="4" w:space="0" w:color="000000"/>
              <w:left w:val="single" w:sz="4" w:space="0" w:color="000000"/>
              <w:right w:val="single" w:sz="4" w:space="0" w:color="000000"/>
            </w:tcBorders>
          </w:tcPr>
          <w:p>
            <w:pPr/>
          </w:p>
        </w:tc>
        <w:tc>
          <w:tcPr>
            <w:tcW w:w="1134" w:type="dxa"/>
            <w:vMerge w:val="restart"/>
            <w:tcBorders>
              <w:top w:val="single" w:sz="4" w:space="0" w:color="000000"/>
              <w:left w:val="single" w:sz="4" w:space="0" w:color="000000"/>
              <w:right w:val="single" w:sz="4" w:space="0" w:color="000000"/>
            </w:tcBorders>
          </w:tcPr>
          <w:p>
            <w:pPr/>
          </w:p>
        </w:tc>
        <w:tc>
          <w:tcPr>
            <w:tcW w:w="992" w:type="dxa"/>
            <w:vMerge w:val="restart"/>
            <w:tcBorders>
              <w:top w:val="single" w:sz="4" w:space="0" w:color="000000"/>
              <w:left w:val="single" w:sz="4" w:space="0" w:color="000000"/>
              <w:right w:val="single" w:sz="4" w:space="0" w:color="000000"/>
            </w:tcBorders>
          </w:tcPr>
          <w:p>
            <w:pPr/>
          </w:p>
        </w:tc>
        <w:tc>
          <w:tcPr>
            <w:tcW w:w="1418" w:type="dxa"/>
            <w:tcBorders>
              <w:top w:val="single" w:sz="4" w:space="0" w:color="000000"/>
              <w:left w:val="single" w:sz="4" w:space="0" w:color="000000"/>
              <w:bottom w:val="nil" w:sz="6" w:space="0" w:color="auto"/>
              <w:right w:val="single" w:sz="4" w:space="0" w:color="000000"/>
            </w:tcBorders>
          </w:tcPr>
          <w:p>
            <w:pPr/>
          </w:p>
        </w:tc>
        <w:tc>
          <w:tcPr>
            <w:tcW w:w="1206" w:type="dxa"/>
            <w:vMerge w:val="restart"/>
            <w:tcBorders>
              <w:top w:val="single" w:sz="4" w:space="0" w:color="000000"/>
              <w:left w:val="single" w:sz="4" w:space="0" w:color="000000"/>
              <w:right w:val="single" w:sz="4" w:space="0" w:color="000000"/>
            </w:tcBorders>
          </w:tcPr>
          <w:p>
            <w:pPr/>
          </w:p>
        </w:tc>
      </w:tr>
      <w:tr>
        <w:trPr>
          <w:trHeight w:val="317" w:hRule="exact"/>
        </w:trPr>
        <w:tc>
          <w:tcPr>
            <w:tcW w:w="12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保科技有限公</w:t>
            </w:r>
          </w:p>
        </w:tc>
        <w:tc>
          <w:tcPr>
            <w:tcW w:w="142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150,971,193.64</w:t>
            </w:r>
          </w:p>
        </w:tc>
        <w:tc>
          <w:tcPr>
            <w:tcW w:w="992"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150,971,193.64</w:t>
            </w:r>
          </w:p>
        </w:tc>
        <w:tc>
          <w:tcPr>
            <w:tcW w:w="1206" w:type="dxa"/>
            <w:vMerge/>
            <w:tcBorders>
              <w:left w:val="single" w:sz="4" w:space="0" w:color="000000"/>
              <w:right w:val="single" w:sz="4" w:space="0" w:color="000000"/>
            </w:tcBorders>
          </w:tcPr>
          <w:p>
            <w:pPr/>
          </w:p>
        </w:tc>
      </w:tr>
      <w:tr>
        <w:trPr>
          <w:trHeight w:val="354" w:hRule="exact"/>
        </w:trPr>
        <w:tc>
          <w:tcPr>
            <w:tcW w:w="12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427" w:type="dxa"/>
            <w:tcBorders>
              <w:top w:val="nil" w:sz="6" w:space="0" w:color="auto"/>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1418" w:type="dxa"/>
            <w:tcBorders>
              <w:top w:val="nil" w:sz="6" w:space="0" w:color="auto"/>
              <w:left w:val="single" w:sz="4" w:space="0" w:color="000000"/>
              <w:bottom w:val="single" w:sz="4" w:space="0" w:color="000000"/>
              <w:right w:val="single" w:sz="4" w:space="0" w:color="000000"/>
            </w:tcBorders>
          </w:tcPr>
          <w:p>
            <w:pPr/>
          </w:p>
        </w:tc>
        <w:tc>
          <w:tcPr>
            <w:tcW w:w="1206" w:type="dxa"/>
            <w:vMerge/>
            <w:tcBorders>
              <w:left w:val="single" w:sz="4" w:space="0" w:color="000000"/>
              <w:bottom w:val="single" w:sz="4" w:space="0" w:color="000000"/>
              <w:right w:val="single" w:sz="4" w:space="0" w:color="000000"/>
            </w:tcBorders>
          </w:tcPr>
          <w:p>
            <w:pPr/>
          </w:p>
        </w:tc>
      </w:tr>
      <w:tr>
        <w:trPr>
          <w:trHeight w:val="714"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52"/>
              <w:jc w:val="left"/>
              <w:rPr>
                <w:rFonts w:ascii="宋体" w:hAnsi="宋体" w:cs="宋体" w:eastAsia="宋体" w:hint="default"/>
                <w:sz w:val="18"/>
                <w:szCs w:val="18"/>
              </w:rPr>
            </w:pPr>
            <w:r>
              <w:rPr>
                <w:rFonts w:ascii="宋体" w:hAnsi="宋体" w:cs="宋体" w:eastAsia="宋体" w:hint="default"/>
                <w:sz w:val="18"/>
                <w:szCs w:val="18"/>
              </w:rPr>
              <w:t>广州穗通金融 服务有限公司</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25,500,000.00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18,008,789.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43,508,789.00</w:t>
            </w:r>
          </w:p>
        </w:tc>
        <w:tc>
          <w:tcPr>
            <w:tcW w:w="1206" w:type="dxa"/>
            <w:tcBorders>
              <w:top w:val="single" w:sz="4" w:space="0" w:color="000000"/>
              <w:left w:val="single" w:sz="4" w:space="0" w:color="000000"/>
              <w:bottom w:val="single" w:sz="4" w:space="0" w:color="000000"/>
              <w:right w:val="single" w:sz="4" w:space="0" w:color="000000"/>
            </w:tcBorders>
          </w:tcPr>
          <w:p>
            <w:pPr/>
          </w:p>
        </w:tc>
      </w:tr>
      <w:tr>
        <w:trPr>
          <w:trHeight w:val="1024"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152"/>
              <w:jc w:val="both"/>
              <w:rPr>
                <w:rFonts w:ascii="宋体" w:hAnsi="宋体" w:cs="宋体" w:eastAsia="宋体" w:hint="default"/>
                <w:sz w:val="18"/>
                <w:szCs w:val="18"/>
              </w:rPr>
            </w:pPr>
            <w:r>
              <w:rPr>
                <w:rFonts w:ascii="宋体" w:hAnsi="宋体" w:cs="宋体" w:eastAsia="宋体" w:hint="default"/>
                <w:sz w:val="18"/>
                <w:szCs w:val="18"/>
              </w:rPr>
              <w:t>广州广电银通 金融电子科技 有限公司</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2,821,044,424.84</w:t>
            </w: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-1,166,537,4</w:t>
            </w:r>
          </w:p>
          <w:p>
            <w:pPr>
              <w:pStyle w:val="TableParagraph"/>
              <w:spacing w:line="240" w:lineRule="auto" w:before="105"/>
              <w:ind w:left="553" w:right="0"/>
              <w:jc w:val="left"/>
              <w:rPr>
                <w:rFonts w:ascii="Times New Roman" w:hAnsi="Times New Roman" w:cs="Times New Roman" w:eastAsia="Times New Roman" w:hint="default"/>
                <w:sz w:val="18"/>
                <w:szCs w:val="18"/>
              </w:rPr>
            </w:pPr>
            <w:r>
              <w:rPr>
                <w:rFonts w:ascii="Times New Roman"/>
                <w:sz w:val="18"/>
              </w:rPr>
              <w:t>50.11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1,654,506,974.73</w:t>
            </w:r>
          </w:p>
        </w:tc>
        <w:tc>
          <w:tcPr>
            <w:tcW w:w="120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8" w:footer="978" w:top="1100" w:bottom="1160" w:left="1020" w:right="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1267"/>
        <w:gridCol w:w="1427"/>
        <w:gridCol w:w="992"/>
        <w:gridCol w:w="1134"/>
        <w:gridCol w:w="1134"/>
        <w:gridCol w:w="992"/>
        <w:gridCol w:w="1418"/>
        <w:gridCol w:w="1206"/>
      </w:tblGrid>
      <w:tr>
        <w:trPr>
          <w:trHeight w:val="1026"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52"/>
              <w:jc w:val="both"/>
              <w:rPr>
                <w:rFonts w:ascii="宋体" w:hAnsi="宋体" w:cs="宋体" w:eastAsia="宋体" w:hint="default"/>
                <w:sz w:val="18"/>
                <w:szCs w:val="18"/>
              </w:rPr>
            </w:pPr>
            <w:r>
              <w:rPr>
                <w:rFonts w:ascii="宋体" w:hAnsi="宋体" w:cs="宋体" w:eastAsia="宋体" w:hint="default"/>
                <w:sz w:val="18"/>
                <w:szCs w:val="18"/>
              </w:rPr>
              <w:t>江苏汇通金融 数据股份有限 公司</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152,430,497.54</w:t>
            </w: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1" w:right="0"/>
              <w:jc w:val="center"/>
              <w:rPr>
                <w:rFonts w:ascii="Times New Roman" w:hAnsi="Times New Roman" w:cs="Times New Roman" w:eastAsia="Times New Roman" w:hint="default"/>
                <w:sz w:val="18"/>
                <w:szCs w:val="18"/>
              </w:rPr>
            </w:pPr>
            <w:r>
              <w:rPr>
                <w:rFonts w:ascii="Times New Roman"/>
                <w:sz w:val="18"/>
              </w:rPr>
              <w:t>13,130,062.71</w:t>
            </w:r>
          </w:p>
        </w:tc>
        <w:tc>
          <w:tcPr>
            <w:tcW w:w="99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139,300,434.83</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27,230,177.17</w:t>
            </w:r>
          </w:p>
        </w:tc>
      </w:tr>
      <w:tr>
        <w:trPr>
          <w:trHeight w:val="714"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2"/>
              <w:jc w:val="left"/>
              <w:rPr>
                <w:rFonts w:ascii="宋体" w:hAnsi="宋体" w:cs="宋体" w:eastAsia="宋体" w:hint="default"/>
                <w:sz w:val="18"/>
                <w:szCs w:val="18"/>
              </w:rPr>
            </w:pPr>
            <w:r>
              <w:rPr>
                <w:rFonts w:ascii="宋体" w:hAnsi="宋体" w:cs="宋体" w:eastAsia="宋体" w:hint="default"/>
                <w:sz w:val="18"/>
                <w:szCs w:val="18"/>
              </w:rPr>
              <w:t>深圳市创自技 术有限公司</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136,500,000.00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141,960,000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278,460,000.00</w:t>
            </w:r>
          </w:p>
        </w:tc>
        <w:tc>
          <w:tcPr>
            <w:tcW w:w="120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52"/>
              <w:jc w:val="left"/>
              <w:rPr>
                <w:rFonts w:ascii="宋体" w:hAnsi="宋体" w:cs="宋体" w:eastAsia="宋体" w:hint="default"/>
                <w:sz w:val="18"/>
                <w:szCs w:val="18"/>
              </w:rPr>
            </w:pPr>
            <w:r>
              <w:rPr>
                <w:rFonts w:ascii="宋体" w:hAnsi="宋体" w:cs="宋体" w:eastAsia="宋体" w:hint="default"/>
                <w:sz w:val="18"/>
                <w:szCs w:val="18"/>
              </w:rPr>
              <w:t>广电运通国际 有限公司</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86,044,540.00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53,754,400.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139,798,940.00</w:t>
            </w:r>
          </w:p>
        </w:tc>
        <w:tc>
          <w:tcPr>
            <w:tcW w:w="120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2"/>
              <w:jc w:val="both"/>
              <w:rPr>
                <w:rFonts w:ascii="宋体" w:hAnsi="宋体" w:cs="宋体" w:eastAsia="宋体" w:hint="default"/>
                <w:sz w:val="18"/>
                <w:szCs w:val="18"/>
              </w:rPr>
            </w:pPr>
            <w:r>
              <w:rPr>
                <w:rFonts w:ascii="宋体" w:hAnsi="宋体" w:cs="宋体" w:eastAsia="宋体" w:hint="default"/>
                <w:sz w:val="18"/>
                <w:szCs w:val="18"/>
              </w:rPr>
              <w:t>广州广电运通 信息科技有限 公司</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50,000,000.00</w:t>
            </w:r>
          </w:p>
        </w:tc>
        <w:tc>
          <w:tcPr>
            <w:tcW w:w="120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52"/>
              <w:jc w:val="left"/>
              <w:rPr>
                <w:rFonts w:ascii="宋体" w:hAnsi="宋体" w:cs="宋体" w:eastAsia="宋体" w:hint="default"/>
                <w:sz w:val="18"/>
                <w:szCs w:val="18"/>
              </w:rPr>
            </w:pPr>
            <w:r>
              <w:rPr>
                <w:rFonts w:ascii="宋体" w:hAnsi="宋体" w:cs="宋体" w:eastAsia="宋体" w:hint="default"/>
                <w:sz w:val="18"/>
                <w:szCs w:val="18"/>
              </w:rPr>
              <w:t>广州支点创业 投资有限公司</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196,000,000.00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64,000,000.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260,000,000.00</w:t>
            </w:r>
          </w:p>
        </w:tc>
        <w:tc>
          <w:tcPr>
            <w:tcW w:w="120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2"/>
              <w:jc w:val="both"/>
              <w:rPr>
                <w:rFonts w:ascii="宋体" w:hAnsi="宋体" w:cs="宋体" w:eastAsia="宋体" w:hint="default"/>
                <w:sz w:val="18"/>
                <w:szCs w:val="18"/>
              </w:rPr>
            </w:pPr>
            <w:r>
              <w:rPr>
                <w:rFonts w:ascii="宋体" w:hAnsi="宋体" w:cs="宋体" w:eastAsia="宋体" w:hint="default"/>
                <w:sz w:val="18"/>
                <w:szCs w:val="18"/>
              </w:rPr>
              <w:t>北京中科江南 信息技术股份 有限公司</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312,800,000.00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312,800,000.00</w:t>
            </w:r>
          </w:p>
        </w:tc>
        <w:tc>
          <w:tcPr>
            <w:tcW w:w="120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52"/>
              <w:jc w:val="both"/>
              <w:rPr>
                <w:rFonts w:ascii="宋体" w:hAnsi="宋体" w:cs="宋体" w:eastAsia="宋体" w:hint="default"/>
                <w:sz w:val="18"/>
                <w:szCs w:val="18"/>
              </w:rPr>
            </w:pPr>
            <w:r>
              <w:rPr>
                <w:rFonts w:ascii="宋体" w:hAnsi="宋体" w:cs="宋体" w:eastAsia="宋体" w:hint="default"/>
                <w:sz w:val="18"/>
                <w:szCs w:val="18"/>
              </w:rPr>
              <w:t>广州广电运通 智能科技有限 公司</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80,000,000.00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80,000,000.00</w:t>
            </w:r>
          </w:p>
        </w:tc>
        <w:tc>
          <w:tcPr>
            <w:tcW w:w="120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2"/>
              <w:jc w:val="both"/>
              <w:rPr>
                <w:rFonts w:ascii="宋体" w:hAnsi="宋体" w:cs="宋体" w:eastAsia="宋体" w:hint="default"/>
                <w:sz w:val="18"/>
                <w:szCs w:val="18"/>
              </w:rPr>
            </w:pPr>
            <w:r>
              <w:rPr>
                <w:rFonts w:ascii="宋体" w:hAnsi="宋体" w:cs="宋体" w:eastAsia="宋体" w:hint="default"/>
                <w:sz w:val="18"/>
                <w:szCs w:val="18"/>
              </w:rPr>
              <w:t>广州中智融通 金融科技有限 公司</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130,000,000.00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130,000,000.00</w:t>
            </w:r>
          </w:p>
        </w:tc>
        <w:tc>
          <w:tcPr>
            <w:tcW w:w="120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52"/>
              <w:jc w:val="both"/>
              <w:rPr>
                <w:rFonts w:ascii="宋体" w:hAnsi="宋体" w:cs="宋体" w:eastAsia="宋体" w:hint="default"/>
                <w:sz w:val="18"/>
                <w:szCs w:val="18"/>
              </w:rPr>
            </w:pPr>
            <w:r>
              <w:rPr>
                <w:rFonts w:ascii="宋体" w:hAnsi="宋体" w:cs="宋体" w:eastAsia="宋体" w:hint="default"/>
                <w:sz w:val="18"/>
                <w:szCs w:val="18"/>
              </w:rPr>
              <w:t>广州广电银通 安保投资有限 公司</w:t>
            </w:r>
          </w:p>
        </w:tc>
        <w:tc>
          <w:tcPr>
            <w:tcW w:w="142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839,287,450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.11</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839,287,450.11</w:t>
            </w:r>
          </w:p>
        </w:tc>
        <w:tc>
          <w:tcPr>
            <w:tcW w:w="120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2"/>
              <w:jc w:val="left"/>
              <w:rPr>
                <w:rFonts w:ascii="宋体" w:hAnsi="宋体" w:cs="宋体" w:eastAsia="宋体" w:hint="default"/>
                <w:sz w:val="18"/>
                <w:szCs w:val="18"/>
              </w:rPr>
            </w:pPr>
            <w:r>
              <w:rPr>
                <w:rFonts w:ascii="宋体" w:hAnsi="宋体" w:cs="宋体" w:eastAsia="宋体" w:hint="default"/>
                <w:sz w:val="18"/>
                <w:szCs w:val="18"/>
              </w:rPr>
              <w:t>深圳市信义科 技有限公司</w:t>
            </w:r>
          </w:p>
        </w:tc>
        <w:tc>
          <w:tcPr>
            <w:tcW w:w="142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327,250,000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327,250,000.00</w:t>
            </w:r>
          </w:p>
        </w:tc>
        <w:tc>
          <w:tcPr>
            <w:tcW w:w="120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4,241,290,656.02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1,444,260,6</w:t>
            </w:r>
          </w:p>
          <w:p>
            <w:pPr>
              <w:pStyle w:val="TableParagraph"/>
              <w:spacing w:line="240" w:lineRule="auto" w:before="105"/>
              <w:ind w:left="554" w:right="0"/>
              <w:jc w:val="left"/>
              <w:rPr>
                <w:rFonts w:ascii="Times New Roman" w:hAnsi="Times New Roman" w:cs="Times New Roman" w:eastAsia="Times New Roman" w:hint="default"/>
                <w:sz w:val="18"/>
                <w:szCs w:val="18"/>
              </w:rPr>
            </w:pPr>
            <w:r>
              <w:rPr>
                <w:rFonts w:ascii="Times New Roman"/>
                <w:sz w:val="18"/>
              </w:rPr>
              <w:t>39.11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6" w:right="0"/>
              <w:jc w:val="left"/>
              <w:rPr>
                <w:rFonts w:ascii="Times New Roman" w:hAnsi="Times New Roman" w:cs="Times New Roman" w:eastAsia="Times New Roman" w:hint="default"/>
                <w:sz w:val="18"/>
                <w:szCs w:val="18"/>
              </w:rPr>
            </w:pPr>
            <w:r>
              <w:rPr>
                <w:rFonts w:ascii="Times New Roman"/>
                <w:sz w:val="18"/>
              </w:rPr>
              <w:t>70,000,000.00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1" w:right="0"/>
              <w:jc w:val="center"/>
              <w:rPr>
                <w:rFonts w:ascii="Times New Roman" w:hAnsi="Times New Roman" w:cs="Times New Roman" w:eastAsia="Times New Roman" w:hint="default"/>
                <w:sz w:val="18"/>
                <w:szCs w:val="18"/>
              </w:rPr>
            </w:pPr>
            <w:r>
              <w:rPr>
                <w:rFonts w:ascii="Times New Roman"/>
                <w:sz w:val="18"/>
              </w:rPr>
              <w:t>13,130,062.71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-1,166,537,4</w:t>
            </w:r>
          </w:p>
          <w:p>
            <w:pPr>
              <w:pStyle w:val="TableParagraph"/>
              <w:spacing w:line="240" w:lineRule="auto" w:before="105"/>
              <w:ind w:left="553" w:right="0"/>
              <w:jc w:val="left"/>
              <w:rPr>
                <w:rFonts w:ascii="Times New Roman" w:hAnsi="Times New Roman" w:cs="Times New Roman" w:eastAsia="Times New Roman" w:hint="default"/>
                <w:sz w:val="18"/>
                <w:szCs w:val="18"/>
              </w:rPr>
            </w:pPr>
            <w:r>
              <w:rPr>
                <w:rFonts w:ascii="Times New Roman"/>
                <w:sz w:val="18"/>
              </w:rPr>
              <w:t>50.11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4,435,883,782.31</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27,230,177.17</w:t>
            </w:r>
          </w:p>
        </w:tc>
      </w:tr>
    </w:tbl>
    <w:p>
      <w:pPr>
        <w:spacing w:line="240" w:lineRule="auto" w:before="4"/>
        <w:rPr>
          <w:rFonts w:ascii="宋体" w:hAnsi="宋体" w:cs="宋体" w:eastAsia="宋体" w:hint="default"/>
          <w:sz w:val="19"/>
          <w:szCs w:val="19"/>
        </w:rPr>
      </w:pPr>
    </w:p>
    <w:p>
      <w:pPr>
        <w:pStyle w:val="Heading3"/>
        <w:spacing w:line="240" w:lineRule="auto"/>
        <w:ind w:right="1394"/>
        <w:jc w:val="left"/>
        <w:rPr>
          <w:b w:val="0"/>
          <w:bCs w:val="0"/>
        </w:rPr>
      </w:pPr>
      <w:bookmarkStart w:name="（2）对联营、合营企业投资" w:id="436"/>
      <w:bookmarkEnd w:id="436"/>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796"/>
        <w:gridCol w:w="797"/>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09" w:lineRule="auto"/>
              <w:ind w:left="33" w:right="32"/>
              <w:jc w:val="center"/>
              <w:rPr>
                <w:rFonts w:ascii="Times New Roman" w:hAnsi="Times New Roman" w:cs="Times New Roman" w:eastAsia="Times New Roman" w:hint="default"/>
                <w:sz w:val="18"/>
                <w:szCs w:val="18"/>
              </w:rPr>
            </w:pPr>
            <w:r>
              <w:rPr>
                <w:rFonts w:ascii="宋体" w:hAnsi="宋体" w:cs="宋体" w:eastAsia="宋体" w:hint="default"/>
                <w:sz w:val="18"/>
                <w:szCs w:val="18"/>
              </w:rPr>
              <w:t>期初余额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09" w:lineRule="auto"/>
              <w:ind w:left="33" w:right="32"/>
              <w:jc w:val="center"/>
              <w:rPr>
                <w:rFonts w:ascii="Times New Roman" w:hAnsi="Times New Roman" w:cs="Times New Roman" w:eastAsia="Times New Roman" w:hint="default"/>
                <w:sz w:val="18"/>
                <w:szCs w:val="18"/>
              </w:rPr>
            </w:pPr>
            <w:r>
              <w:rPr>
                <w:rFonts w:ascii="宋体" w:hAnsi="宋体" w:cs="宋体" w:eastAsia="宋体" w:hint="default"/>
                <w:sz w:val="18"/>
                <w:szCs w:val="18"/>
              </w:rPr>
              <w:t>期末余额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5"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5"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2"/>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5"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5"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一、联营企业</w:t>
            </w:r>
          </w:p>
        </w:tc>
      </w:tr>
      <w:tr>
        <w:trPr>
          <w:trHeight w:val="1024"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重庆中余 锦通科技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1,105,448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-24,618.9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1,080,829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.29</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8" w:footer="978" w:top="1100" w:bottom="1160" w:left="1020" w:right="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796"/>
        <w:gridCol w:w="797"/>
        <w:gridCol w:w="797"/>
        <w:gridCol w:w="798"/>
        <w:gridCol w:w="798"/>
        <w:gridCol w:w="798"/>
        <w:gridCol w:w="798"/>
        <w:gridCol w:w="798"/>
        <w:gridCol w:w="798"/>
        <w:gridCol w:w="798"/>
        <w:gridCol w:w="798"/>
        <w:gridCol w:w="798"/>
      </w:tblGrid>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41"/>
              <w:jc w:val="both"/>
              <w:rPr>
                <w:rFonts w:ascii="宋体" w:hAnsi="宋体" w:cs="宋体" w:eastAsia="宋体" w:hint="default"/>
                <w:sz w:val="18"/>
                <w:szCs w:val="18"/>
              </w:rPr>
            </w:pPr>
            <w:r>
              <w:rPr>
                <w:rFonts w:ascii="宋体" w:hAnsi="宋体" w:cs="宋体" w:eastAsia="宋体" w:hint="default"/>
                <w:sz w:val="18"/>
                <w:szCs w:val="18"/>
              </w:rPr>
              <w:t>广州市广 百小额贷 款有限公 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57,033,25</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1.36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-536,460.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1,550,947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54,945,84</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3.97</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广州广电 计量检测 股份有限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300,024,6</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03.12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195,662,7</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74.30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19,401,54</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6.40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77" w:right="0"/>
              <w:jc w:val="left"/>
              <w:rPr>
                <w:rFonts w:ascii="Times New Roman" w:hAnsi="Times New Roman" w:cs="Times New Roman" w:eastAsia="Times New Roman" w:hint="default"/>
                <w:sz w:val="18"/>
                <w:szCs w:val="18"/>
              </w:rPr>
            </w:pPr>
            <w:r>
              <w:rPr>
                <w:rFonts w:ascii="Times New Roman"/>
                <w:sz w:val="18"/>
              </w:rPr>
              <w:t>-74,149,1</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05.90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440,939,8</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17.92</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41"/>
              <w:jc w:val="both"/>
              <w:rPr>
                <w:rFonts w:ascii="宋体" w:hAnsi="宋体" w:cs="宋体" w:eastAsia="宋体" w:hint="default"/>
                <w:sz w:val="18"/>
                <w:szCs w:val="18"/>
              </w:rPr>
            </w:pPr>
            <w:r>
              <w:rPr>
                <w:rFonts w:ascii="宋体" w:hAnsi="宋体" w:cs="宋体" w:eastAsia="宋体" w:hint="default"/>
                <w:sz w:val="18"/>
                <w:szCs w:val="18"/>
              </w:rPr>
              <w:t>广东美电 贝尔科技 集团股份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14,929,26</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4.25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-216,286.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-14,712,9</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77.91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广州市力 沛企业管 理咨询有 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802,198.8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7" w:right="0"/>
              <w:jc w:val="left"/>
              <w:rPr>
                <w:rFonts w:ascii="Times New Roman" w:hAnsi="Times New Roman" w:cs="Times New Roman" w:eastAsia="Times New Roman" w:hint="default"/>
                <w:sz w:val="18"/>
                <w:szCs w:val="18"/>
              </w:rPr>
            </w:pPr>
            <w:r>
              <w:rPr>
                <w:rFonts w:ascii="Times New Roman"/>
                <w:sz w:val="18"/>
              </w:rPr>
              <w:t>-5,770.78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250,179.0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546,249.0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5" w:right="0"/>
              <w:jc w:val="left"/>
              <w:rPr>
                <w:rFonts w:ascii="Times New Roman" w:hAnsi="Times New Roman" w:cs="Times New Roman" w:eastAsia="Times New Roman" w:hint="default"/>
                <w:sz w:val="18"/>
                <w:szCs w:val="18"/>
              </w:rPr>
            </w:pPr>
            <w:r>
              <w:rPr>
                <w:rFonts w:ascii="Times New Roman"/>
                <w:sz w:val="18"/>
              </w:rPr>
              <w:t>373,894,7</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65.79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5" w:right="0"/>
              <w:jc w:val="left"/>
              <w:rPr>
                <w:rFonts w:ascii="Times New Roman" w:hAnsi="Times New Roman" w:cs="Times New Roman" w:eastAsia="Times New Roman" w:hint="default"/>
                <w:sz w:val="18"/>
                <w:szCs w:val="18"/>
              </w:rPr>
            </w:pPr>
            <w:r>
              <w:rPr>
                <w:rFonts w:ascii="Times New Roman"/>
                <w:sz w:val="18"/>
              </w:rPr>
              <w:t>195,662,7</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74.30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5" w:right="0"/>
              <w:jc w:val="left"/>
              <w:rPr>
                <w:rFonts w:ascii="Times New Roman" w:hAnsi="Times New Roman" w:cs="Times New Roman" w:eastAsia="Times New Roman" w:hint="default"/>
                <w:sz w:val="18"/>
                <w:szCs w:val="18"/>
              </w:rPr>
            </w:pPr>
            <w:r>
              <w:rPr>
                <w:rFonts w:ascii="Times New Roman"/>
                <w:sz w:val="18"/>
              </w:rPr>
              <w:t>18,618,41</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0.35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7" w:right="0"/>
              <w:jc w:val="left"/>
              <w:rPr>
                <w:rFonts w:ascii="Times New Roman" w:hAnsi="Times New Roman" w:cs="Times New Roman" w:eastAsia="Times New Roman" w:hint="default"/>
                <w:sz w:val="18"/>
                <w:szCs w:val="18"/>
              </w:rPr>
            </w:pPr>
            <w:r>
              <w:rPr>
                <w:rFonts w:ascii="Times New Roman"/>
                <w:sz w:val="18"/>
              </w:rPr>
              <w:t>-74,149,1</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05.90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1,801,126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5" w:right="0"/>
              <w:jc w:val="left"/>
              <w:rPr>
                <w:rFonts w:ascii="Times New Roman" w:hAnsi="Times New Roman" w:cs="Times New Roman" w:eastAsia="Times New Roman" w:hint="default"/>
                <w:sz w:val="18"/>
                <w:szCs w:val="18"/>
              </w:rPr>
            </w:pPr>
            <w:r>
              <w:rPr>
                <w:rFonts w:ascii="Times New Roman"/>
                <w:sz w:val="18"/>
              </w:rPr>
              <w:t>-14,712,9</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77.91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6" w:right="0"/>
              <w:jc w:val="left"/>
              <w:rPr>
                <w:rFonts w:ascii="Times New Roman" w:hAnsi="Times New Roman" w:cs="Times New Roman" w:eastAsia="Times New Roman" w:hint="default"/>
                <w:sz w:val="18"/>
                <w:szCs w:val="18"/>
              </w:rPr>
            </w:pPr>
            <w:r>
              <w:rPr>
                <w:rFonts w:ascii="Times New Roman"/>
                <w:sz w:val="18"/>
              </w:rPr>
              <w:t>497,512,7</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40.24</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373,894,7</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65.79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195,662,7</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74.30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18,618,41</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0.35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7" w:right="0"/>
              <w:jc w:val="left"/>
              <w:rPr>
                <w:rFonts w:ascii="Times New Roman" w:hAnsi="Times New Roman" w:cs="Times New Roman" w:eastAsia="Times New Roman" w:hint="default"/>
                <w:sz w:val="18"/>
                <w:szCs w:val="18"/>
              </w:rPr>
            </w:pPr>
            <w:r>
              <w:rPr>
                <w:rFonts w:ascii="Times New Roman"/>
                <w:sz w:val="18"/>
              </w:rPr>
              <w:t>-74,149,1</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05.90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1,801,126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5" w:right="0"/>
              <w:jc w:val="left"/>
              <w:rPr>
                <w:rFonts w:ascii="Times New Roman" w:hAnsi="Times New Roman" w:cs="Times New Roman" w:eastAsia="Times New Roman" w:hint="default"/>
                <w:sz w:val="18"/>
                <w:szCs w:val="18"/>
              </w:rPr>
            </w:pPr>
            <w:r>
              <w:rPr>
                <w:rFonts w:ascii="Times New Roman"/>
                <w:sz w:val="18"/>
              </w:rPr>
              <w:t>-14,712,9</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77.91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6" w:right="0"/>
              <w:jc w:val="left"/>
              <w:rPr>
                <w:rFonts w:ascii="Times New Roman" w:hAnsi="Times New Roman" w:cs="Times New Roman" w:eastAsia="Times New Roman" w:hint="default"/>
                <w:sz w:val="18"/>
                <w:szCs w:val="18"/>
              </w:rPr>
            </w:pPr>
            <w:r>
              <w:rPr>
                <w:rFonts w:ascii="Times New Roman"/>
                <w:sz w:val="18"/>
              </w:rPr>
              <w:t>497,512,7</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40.24</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ind w:right="1394"/>
        <w:jc w:val="left"/>
        <w:rPr>
          <w:b w:val="0"/>
          <w:bCs w:val="0"/>
        </w:rPr>
      </w:pPr>
      <w:bookmarkStart w:name="4、营业收入和营业成本" w:id="437"/>
      <w:bookmarkEnd w:id="437"/>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94"/>
        <w:gridCol w:w="1837"/>
        <w:gridCol w:w="1913"/>
        <w:gridCol w:w="1913"/>
        <w:gridCol w:w="1913"/>
      </w:tblGrid>
      <w:tr>
        <w:trPr>
          <w:trHeight w:val="402" w:hRule="exact"/>
        </w:trPr>
        <w:tc>
          <w:tcPr>
            <w:tcW w:w="19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1994" w:type="dxa"/>
            <w:vMerge/>
            <w:tcBorders>
              <w:left w:val="single" w:sz="4" w:space="0" w:color="000000"/>
              <w:bottom w:val="single" w:sz="4" w:space="0" w:color="000000"/>
              <w:right w:val="single" w:sz="4" w:space="0" w:color="000000"/>
            </w:tcBorders>
            <w:shd w:val="clear" w:color="auto" w:fill="D2D2D2"/>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2,261,189,522.91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1,592,093,582.32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2,079,527,076.22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1,296,679,883.82</w:t>
            </w: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2,261,189,522.91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1,592,093,582.32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2,079,527,076.22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1,296,679,883.82</w:t>
            </w:r>
          </w:p>
        </w:tc>
      </w:tr>
    </w:tbl>
    <w:p>
      <w:pPr>
        <w:spacing w:line="240" w:lineRule="auto" w:before="5"/>
        <w:rPr>
          <w:rFonts w:ascii="宋体" w:hAnsi="宋体" w:cs="宋体" w:eastAsia="宋体" w:hint="default"/>
          <w:sz w:val="19"/>
          <w:szCs w:val="19"/>
        </w:rPr>
      </w:pPr>
    </w:p>
    <w:p>
      <w:pPr>
        <w:pStyle w:val="Heading3"/>
        <w:spacing w:line="240" w:lineRule="auto"/>
        <w:ind w:right="1394"/>
        <w:jc w:val="left"/>
        <w:rPr>
          <w:b w:val="0"/>
          <w:bCs w:val="0"/>
        </w:rPr>
      </w:pPr>
      <w:bookmarkStart w:name="5、投资收益" w:id="438"/>
      <w:bookmarkEnd w:id="438"/>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400,000,000.00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20,400,000.00</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18,618,410.35</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13,177,633.39</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-27,275.70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-9,019,666.51</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处置可供出售金融资产取得的投资收益</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-1,092,516.95</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其他权益工具投资在持有期间的投资收益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8,588,466.67</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国债回购收益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198,096.17</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165,062.55</w:t>
            </w:r>
          </w:p>
        </w:tc>
      </w:tr>
    </w:tbl>
    <w:p>
      <w:pPr>
        <w:spacing w:after="0" w:line="240" w:lineRule="auto"/>
        <w:jc w:val="right"/>
        <w:rPr>
          <w:rFonts w:ascii="Times New Roman" w:hAnsi="Times New Roman" w:cs="Times New Roman" w:eastAsia="Times New Roman" w:hint="default"/>
          <w:sz w:val="18"/>
          <w:szCs w:val="18"/>
        </w:rPr>
        <w:sectPr>
          <w:pgSz w:w="11910" w:h="16840"/>
          <w:pgMar w:header="878" w:footer="978" w:top="1100" w:bottom="1160" w:left="1020" w:right="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理财产品收益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1,561,961.64</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12,280,636.98</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428,939,659.13</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35,911,149.46</w:t>
            </w:r>
          </w:p>
        </w:tc>
      </w:tr>
    </w:tbl>
    <w:p>
      <w:pPr>
        <w:spacing w:line="240" w:lineRule="auto" w:before="2"/>
        <w:rPr>
          <w:rFonts w:ascii="宋体" w:hAnsi="宋体" w:cs="宋体" w:eastAsia="宋体" w:hint="default"/>
          <w:sz w:val="18"/>
          <w:szCs w:val="18"/>
        </w:rPr>
      </w:pPr>
    </w:p>
    <w:p>
      <w:pPr>
        <w:pStyle w:val="Heading2"/>
        <w:spacing w:line="240" w:lineRule="auto" w:before="26"/>
        <w:ind w:right="1394"/>
        <w:jc w:val="left"/>
        <w:rPr>
          <w:b w:val="0"/>
          <w:bCs w:val="0"/>
        </w:rPr>
      </w:pPr>
      <w:bookmarkStart w:name="十八、补充资料" w:id="439"/>
      <w:bookmarkEnd w:id="439"/>
      <w:r>
        <w:rPr>
          <w:b w:val="0"/>
          <w:bCs w:val="0"/>
        </w:rPr>
      </w:r>
      <w:r>
        <w:rPr/>
        <w:t>十八、补充资料</w:t>
      </w:r>
      <w:r>
        <w:rPr>
          <w:b w:val="0"/>
          <w:bCs w:val="0"/>
        </w:rPr>
      </w:r>
    </w:p>
    <w:p>
      <w:pPr>
        <w:spacing w:line="240" w:lineRule="auto" w:before="9"/>
        <w:rPr>
          <w:rFonts w:ascii="宋体" w:hAnsi="宋体" w:cs="宋体" w:eastAsia="宋体" w:hint="default"/>
          <w:b/>
          <w:bCs/>
          <w:sz w:val="24"/>
          <w:szCs w:val="24"/>
        </w:rPr>
      </w:pPr>
    </w:p>
    <w:p>
      <w:pPr>
        <w:pStyle w:val="Heading3"/>
        <w:spacing w:line="240" w:lineRule="auto" w:before="0"/>
        <w:ind w:right="1394"/>
        <w:jc w:val="left"/>
        <w:rPr>
          <w:b w:val="0"/>
          <w:bCs w:val="0"/>
        </w:rPr>
      </w:pPr>
      <w:bookmarkStart w:name="1、当期非经常性损益明细表" w:id="440"/>
      <w:bookmarkEnd w:id="440"/>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13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pStyle w:val="BodyText"/>
        <w:spacing w:line="240" w:lineRule="auto" w:before="101"/>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-1,462,164.47</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49"/>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102,231,882.90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48,445,582.62</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70,212.89</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10,052,519.37</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25,659,220.83</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15,886,470.38</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117,792,342.10</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spacing w:val="-3"/>
        </w:rPr>
        <w:t>对公司根据《公开发行证券的公司信息披露解释性公告第</w:t>
      </w:r>
      <w:r>
        <w:rPr>
          <w:spacing w:val="-38"/>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3"/>
        <w:ind w:right="1120"/>
        <w:jc w:val="left"/>
      </w:pPr>
      <w:r>
        <w:rPr/>
        <w:t>开发行证券的公司信息披露解释性公告第</w:t>
      </w:r>
      <w:r>
        <w:rPr>
          <w:spacing w:val="-35"/>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spacing w:val="-88"/>
        </w:rPr>
        <w:t> </w:t>
      </w:r>
      <w:r>
        <w:rPr>
          <w:spacing w:val="-88"/>
        </w:rPr>
      </w:r>
      <w:r>
        <w:rPr/>
        <w:t>说明原因。</w:t>
      </w:r>
    </w:p>
    <w:p>
      <w:pPr>
        <w:pStyle w:val="BodyText"/>
        <w:spacing w:line="240" w:lineRule="auto" w:before="72"/>
        <w:ind w:right="13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324"/>
        <w:gridCol w:w="2772"/>
        <w:gridCol w:w="3473"/>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9" w:right="0"/>
              <w:jc w:val="left"/>
              <w:rPr>
                <w:rFonts w:ascii="宋体" w:hAnsi="宋体" w:cs="宋体" w:eastAsia="宋体" w:hint="default"/>
                <w:sz w:val="18"/>
                <w:szCs w:val="18"/>
              </w:rPr>
            </w:pPr>
            <w:r>
              <w:rPr>
                <w:rFonts w:ascii="宋体" w:hAnsi="宋体" w:cs="宋体" w:eastAsia="宋体" w:hint="default"/>
                <w:sz w:val="18"/>
                <w:szCs w:val="18"/>
              </w:rPr>
              <w:t>涉及金额（元）</w:t>
            </w:r>
          </w:p>
        </w:tc>
        <w:tc>
          <w:tcPr>
            <w:tcW w:w="3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361" w:hRule="exact"/>
        </w:trPr>
        <w:tc>
          <w:tcPr>
            <w:tcW w:w="3324" w:type="dxa"/>
            <w:tcBorders>
              <w:top w:val="single" w:sz="4" w:space="0" w:color="000000"/>
              <w:left w:val="single" w:sz="4" w:space="0" w:color="000000"/>
              <w:bottom w:val="nil" w:sz="6" w:space="0" w:color="auto"/>
              <w:right w:val="single" w:sz="4" w:space="0" w:color="000000"/>
            </w:tcBorders>
          </w:tcPr>
          <w:p>
            <w:pPr/>
          </w:p>
        </w:tc>
        <w:tc>
          <w:tcPr>
            <w:tcW w:w="2772" w:type="dxa"/>
            <w:tcBorders>
              <w:top w:val="single" w:sz="4" w:space="0" w:color="000000"/>
              <w:left w:val="single" w:sz="4" w:space="0" w:color="000000"/>
              <w:bottom w:val="nil" w:sz="6" w:space="0" w:color="auto"/>
              <w:right w:val="single" w:sz="4" w:space="0" w:color="000000"/>
            </w:tcBorders>
          </w:tcPr>
          <w:p>
            <w:pPr/>
          </w:p>
        </w:tc>
        <w:tc>
          <w:tcPr>
            <w:tcW w:w="347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根据</w:t>
            </w:r>
            <w:r>
              <w:rPr>
                <w:rFonts w:ascii="Times New Roman" w:hAnsi="Times New Roman" w:cs="Times New Roman" w:eastAsia="Times New Roman" w:hint="default"/>
                <w:sz w:val="18"/>
                <w:szCs w:val="18"/>
              </w:rPr>
              <w:t>"</w:t>
            </w:r>
            <w:r>
              <w:rPr>
                <w:rFonts w:ascii="宋体" w:hAnsi="宋体" w:cs="宋体" w:eastAsia="宋体" w:hint="default"/>
                <w:sz w:val="18"/>
                <w:szCs w:val="18"/>
              </w:rPr>
              <w:t>财税【</w:t>
            </w:r>
            <w:r>
              <w:rPr>
                <w:rFonts w:ascii="Times New Roman" w:hAnsi="Times New Roman" w:cs="Times New Roman" w:eastAsia="Times New Roman" w:hint="default"/>
                <w:sz w:val="18"/>
                <w:szCs w:val="18"/>
              </w:rPr>
              <w:t>2011</w:t>
            </w:r>
            <w:r>
              <w:rPr>
                <w:rFonts w:ascii="宋体" w:hAnsi="宋体" w:cs="宋体" w:eastAsia="宋体" w:hint="default"/>
                <w:sz w:val="18"/>
                <w:szCs w:val="18"/>
              </w:rPr>
              <w:t>】</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文《关于软件产</w:t>
            </w:r>
          </w:p>
        </w:tc>
      </w:tr>
      <w:tr>
        <w:trPr>
          <w:trHeight w:val="312" w:hRule="exact"/>
        </w:trPr>
        <w:tc>
          <w:tcPr>
            <w:tcW w:w="332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政府补助中的增值税返还</w:t>
            </w:r>
          </w:p>
        </w:tc>
        <w:tc>
          <w:tcPr>
            <w:tcW w:w="2772"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left="1705" w:right="0"/>
              <w:jc w:val="left"/>
              <w:rPr>
                <w:rFonts w:ascii="Times New Roman" w:hAnsi="Times New Roman" w:cs="Times New Roman" w:eastAsia="Times New Roman" w:hint="default"/>
                <w:sz w:val="18"/>
                <w:szCs w:val="18"/>
              </w:rPr>
            </w:pPr>
            <w:r>
              <w:rPr>
                <w:rFonts w:ascii="Times New Roman"/>
                <w:sz w:val="18"/>
              </w:rPr>
              <w:t>40,685,269.96</w:t>
            </w:r>
          </w:p>
        </w:tc>
        <w:tc>
          <w:tcPr>
            <w:tcW w:w="347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品增值税政策的通知》的规定，享受软件产</w:t>
            </w:r>
          </w:p>
        </w:tc>
      </w:tr>
      <w:tr>
        <w:trPr>
          <w:trHeight w:val="353" w:hRule="exact"/>
        </w:trPr>
        <w:tc>
          <w:tcPr>
            <w:tcW w:w="3324" w:type="dxa"/>
            <w:tcBorders>
              <w:top w:val="nil" w:sz="6" w:space="0" w:color="auto"/>
              <w:left w:val="single" w:sz="4" w:space="0" w:color="000000"/>
              <w:bottom w:val="single" w:sz="4" w:space="0" w:color="000000"/>
              <w:right w:val="single" w:sz="4" w:space="0" w:color="000000"/>
            </w:tcBorders>
          </w:tcPr>
          <w:p>
            <w:pPr/>
          </w:p>
        </w:tc>
        <w:tc>
          <w:tcPr>
            <w:tcW w:w="2772" w:type="dxa"/>
            <w:tcBorders>
              <w:top w:val="nil" w:sz="6" w:space="0" w:color="auto"/>
              <w:left w:val="single" w:sz="4" w:space="0" w:color="000000"/>
              <w:bottom w:val="single" w:sz="4" w:space="0" w:color="000000"/>
              <w:right w:val="single" w:sz="4" w:space="0" w:color="000000"/>
            </w:tcBorders>
          </w:tcPr>
          <w:p>
            <w:pPr/>
          </w:p>
        </w:tc>
        <w:tc>
          <w:tcPr>
            <w:tcW w:w="347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品增值税即征即退税收优惠。</w:t>
            </w:r>
          </w:p>
        </w:tc>
      </w:tr>
    </w:tbl>
    <w:p>
      <w:pPr>
        <w:spacing w:line="240" w:lineRule="auto" w:before="2"/>
        <w:rPr>
          <w:rFonts w:ascii="宋体" w:hAnsi="宋体" w:cs="宋体" w:eastAsia="宋体" w:hint="default"/>
          <w:sz w:val="19"/>
          <w:szCs w:val="19"/>
        </w:rPr>
      </w:pPr>
    </w:p>
    <w:p>
      <w:pPr>
        <w:pStyle w:val="Heading3"/>
        <w:spacing w:line="240" w:lineRule="auto"/>
        <w:ind w:right="1394"/>
        <w:jc w:val="left"/>
        <w:rPr>
          <w:b w:val="0"/>
          <w:bCs w:val="0"/>
        </w:rPr>
      </w:pPr>
      <w:bookmarkStart w:name="2、净资产收益率及每股收益" w:id="441"/>
      <w:bookmarkEnd w:id="441"/>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2662"/>
        <w:gridCol w:w="3080"/>
        <w:gridCol w:w="1913"/>
        <w:gridCol w:w="1913"/>
      </w:tblGrid>
      <w:tr>
        <w:trPr>
          <w:trHeight w:val="402" w:hRule="exact"/>
        </w:trPr>
        <w:tc>
          <w:tcPr>
            <w:tcW w:w="26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877"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634"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402" w:hRule="exact"/>
        </w:trPr>
        <w:tc>
          <w:tcPr>
            <w:tcW w:w="2662" w:type="dxa"/>
            <w:vMerge/>
            <w:tcBorders>
              <w:left w:val="single" w:sz="4" w:space="0" w:color="000000"/>
              <w:bottom w:val="single" w:sz="4" w:space="0" w:color="000000"/>
              <w:right w:val="single" w:sz="4" w:space="0" w:color="000000"/>
            </w:tcBorders>
            <w:shd w:val="clear" w:color="auto" w:fill="D2D2D2"/>
          </w:tcPr>
          <w:p>
            <w:pPr/>
          </w:p>
        </w:tc>
        <w:tc>
          <w:tcPr>
            <w:tcW w:w="3080" w:type="dxa"/>
            <w:vMerge/>
            <w:tcBorders>
              <w:left w:val="single" w:sz="4" w:space="0" w:color="000000"/>
              <w:bottom w:val="single" w:sz="4" w:space="0" w:color="000000"/>
              <w:right w:val="single" w:sz="4" w:space="0" w:color="000000"/>
            </w:tcBorders>
            <w:shd w:val="clear" w:color="auto" w:fill="D2D2D2"/>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4"/>
              <w:jc w:val="right"/>
              <w:rPr>
                <w:rFonts w:ascii="宋体" w:hAnsi="宋体" w:cs="宋体" w:eastAsia="宋体" w:hint="default"/>
                <w:sz w:val="18"/>
                <w:szCs w:val="18"/>
              </w:rPr>
            </w:pPr>
            <w:r>
              <w:rPr>
                <w:rFonts w:ascii="宋体" w:hAnsi="宋体" w:cs="宋体" w:eastAsia="宋体" w:hint="default"/>
                <w:w w:val="95"/>
                <w:sz w:val="18"/>
                <w:szCs w:val="18"/>
              </w:rPr>
              <w:t>基本每股收益（元</w:t>
            </w:r>
            <w:r>
              <w:rPr>
                <w:rFonts w:ascii="Times New Roman" w:hAnsi="Times New Roman" w:cs="Times New Roman" w:eastAsia="Times New Roman" w:hint="default"/>
                <w:w w:val="95"/>
                <w:sz w:val="18"/>
                <w:szCs w:val="18"/>
              </w:rPr>
              <w:t>/</w:t>
            </w:r>
            <w:r>
              <w:rPr>
                <w:rFonts w:ascii="宋体" w:hAnsi="宋体" w:cs="宋体" w:eastAsia="宋体" w:hint="default"/>
                <w:w w:val="95"/>
                <w:sz w:val="18"/>
                <w:szCs w:val="18"/>
              </w:rPr>
              <w:t>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4"/>
              <w:jc w:val="right"/>
              <w:rPr>
                <w:rFonts w:ascii="宋体" w:hAnsi="宋体" w:cs="宋体" w:eastAsia="宋体" w:hint="default"/>
                <w:sz w:val="18"/>
                <w:szCs w:val="18"/>
              </w:rPr>
            </w:pPr>
            <w:r>
              <w:rPr>
                <w:rFonts w:ascii="宋体" w:hAnsi="宋体" w:cs="宋体" w:eastAsia="宋体" w:hint="default"/>
                <w:w w:val="95"/>
                <w:sz w:val="18"/>
                <w:szCs w:val="18"/>
              </w:rPr>
              <w:t>稀释每股收益（元</w:t>
            </w:r>
            <w:r>
              <w:rPr>
                <w:rFonts w:ascii="Times New Roman" w:hAnsi="Times New Roman" w:cs="Times New Roman" w:eastAsia="Times New Roman" w:hint="default"/>
                <w:w w:val="95"/>
                <w:sz w:val="18"/>
                <w:szCs w:val="18"/>
              </w:rPr>
              <w:t>/</w:t>
            </w:r>
            <w:r>
              <w:rPr>
                <w:rFonts w:ascii="宋体" w:hAnsi="宋体" w:cs="宋体" w:eastAsia="宋体" w:hint="default"/>
                <w:w w:val="95"/>
                <w:sz w:val="18"/>
                <w:szCs w:val="18"/>
              </w:rPr>
              <w:t>股）</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8.59%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0.31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0.31</w:t>
            </w:r>
          </w:p>
        </w:tc>
      </w:tr>
      <w:tr>
        <w:trPr>
          <w:trHeight w:val="714"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7.26%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0.27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0.27</w:t>
            </w:r>
          </w:p>
        </w:tc>
      </w:tr>
    </w:tbl>
    <w:p>
      <w:pPr>
        <w:spacing w:after="0" w:line="240" w:lineRule="auto"/>
        <w:jc w:val="right"/>
        <w:rPr>
          <w:rFonts w:ascii="Times New Roman" w:hAnsi="Times New Roman" w:cs="Times New Roman" w:eastAsia="Times New Roman" w:hint="default"/>
          <w:sz w:val="18"/>
          <w:szCs w:val="18"/>
        </w:rPr>
        <w:sectPr>
          <w:pgSz w:w="11910" w:h="16840"/>
          <w:pgMar w:header="878" w:footer="978" w:top="1100" w:bottom="1160" w:left="1020" w:right="0"/>
        </w:sectPr>
      </w:pPr>
    </w:p>
    <w:p>
      <w:pPr>
        <w:spacing w:line="240" w:lineRule="auto" w:before="12"/>
        <w:rPr>
          <w:rFonts w:ascii="宋体" w:hAnsi="宋体" w:cs="宋体" w:eastAsia="宋体" w:hint="default"/>
          <w:b/>
          <w:bCs/>
          <w:sz w:val="20"/>
          <w:szCs w:val="20"/>
        </w:rPr>
      </w:pPr>
    </w:p>
    <w:p>
      <w:pPr>
        <w:pStyle w:val="Heading3"/>
        <w:spacing w:line="240" w:lineRule="auto"/>
        <w:ind w:right="1394"/>
        <w:jc w:val="left"/>
        <w:rPr>
          <w:b w:val="0"/>
          <w:bCs w:val="0"/>
        </w:rPr>
      </w:pPr>
      <w:bookmarkStart w:name="第十三节 备查文件目录" w:id="442"/>
      <w:bookmarkEnd w:id="442"/>
      <w:r>
        <w:rPr>
          <w:b w:val="0"/>
          <w:bCs w:val="0"/>
        </w:rPr>
      </w:r>
      <w:bookmarkStart w:name="3、境内外会计准则下会计数据差异" w:id="443"/>
      <w:bookmarkEnd w:id="443"/>
      <w:r>
        <w:rPr>
          <w:b w:val="0"/>
          <w:bCs w:val="0"/>
        </w:rPr>
      </w:r>
      <w:r>
        <w:rPr>
          <w:rFonts w:ascii="Times New Roman" w:hAnsi="Times New Roman" w:cs="Times New Roman" w:eastAsia="Times New Roman" w:hint="default"/>
        </w:rPr>
        <w:t>3</w:t>
      </w:r>
      <w:r>
        <w:rPr/>
        <w:t>、境内外会计准则下会计数据差异</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394"/>
        <w:jc w:val="left"/>
      </w:pPr>
      <w:r>
        <w:rPr/>
        <w:t>公司本期未发生此事项。</w:t>
      </w:r>
    </w:p>
    <w:p>
      <w:pPr>
        <w:spacing w:after="0" w:line="240" w:lineRule="auto"/>
        <w:jc w:val="left"/>
        <w:sectPr>
          <w:pgSz w:w="11910" w:h="16840"/>
          <w:pgMar w:header="878" w:footer="978" w:top="1100" w:bottom="116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pStyle w:val="Heading1"/>
        <w:spacing w:line="240" w:lineRule="auto"/>
        <w:ind w:left="3247" w:right="1394"/>
        <w:jc w:val="left"/>
        <w:rPr>
          <w:b w:val="0"/>
          <w:bCs w:val="0"/>
        </w:rPr>
      </w:pPr>
      <w:bookmarkStart w:name="_bookmark12" w:id="444"/>
      <w:bookmarkEnd w:id="444"/>
      <w:r>
        <w:rPr>
          <w:b w:val="0"/>
          <w:bCs w:val="0"/>
        </w:rPr>
      </w:r>
      <w:r>
        <w:rPr/>
        <w:t>第十三节</w:t>
      </w:r>
      <w:r>
        <w:rPr>
          <w:spacing w:val="-10"/>
        </w:rPr>
        <w:t> </w:t>
      </w:r>
      <w:r>
        <w:rPr/>
        <w:t>备查文件目录</w:t>
      </w:r>
      <w:r>
        <w:rPr>
          <w:b w:val="0"/>
          <w:bCs w:val="0"/>
        </w:rPr>
      </w:r>
    </w:p>
    <w:p>
      <w:pPr>
        <w:spacing w:line="240" w:lineRule="auto" w:before="6"/>
        <w:rPr>
          <w:rFonts w:ascii="宋体" w:hAnsi="宋体" w:cs="宋体" w:eastAsia="宋体" w:hint="default"/>
          <w:b/>
          <w:bCs/>
          <w:sz w:val="42"/>
          <w:szCs w:val="42"/>
        </w:rPr>
      </w:pPr>
    </w:p>
    <w:p>
      <w:pPr>
        <w:pStyle w:val="BodyText"/>
        <w:spacing w:line="352" w:lineRule="auto"/>
        <w:ind w:left="472" w:right="1115"/>
        <w:jc w:val="left"/>
      </w:pPr>
      <w:r>
        <w:rPr/>
        <w:t>一、载有董事长签名的</w:t>
      </w:r>
      <w:r>
        <w:rPr>
          <w:spacing w:val="-4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年年度报告全文； 二、载有法定代表人、主管会计工作负责人、会计机构负责人签名并盖章的财务报表； 三、载有会计师事务所盖章、注册会计师签名并盖章的审计报告原件； 四、报告期内，公司在《证券时报》《中国证券报》《上海证券报》和巨潮资讯网</w:t>
      </w:r>
      <w:r>
        <w:rPr>
          <w:spacing w:val="-54"/>
        </w:rPr>
        <w:t> </w:t>
      </w:r>
      <w:hyperlink r:id="rId10">
        <w:r>
          <w:rPr>
            <w:rFonts w:ascii="Times New Roman" w:hAnsi="Times New Roman" w:cs="Times New Roman" w:eastAsia="Times New Roman" w:hint="default"/>
          </w:rPr>
          <w:t>www.cninfo.com.cn</w:t>
        </w:r>
      </w:hyperlink>
      <w:r>
        <w:rPr>
          <w:rFonts w:ascii="Times New Roman" w:hAnsi="Times New Roman" w:cs="Times New Roman" w:eastAsia="Times New Roman" w:hint="default"/>
          <w:spacing w:val="-7"/>
        </w:rPr>
        <w:t> </w:t>
      </w:r>
      <w:r>
        <w:rPr/>
        <w:t>上公开披露过的</w:t>
      </w:r>
    </w:p>
    <w:p>
      <w:pPr>
        <w:pStyle w:val="BodyText"/>
        <w:spacing w:line="205" w:lineRule="exact"/>
        <w:ind w:right="1394"/>
        <w:jc w:val="left"/>
      </w:pPr>
      <w:r>
        <w:rPr/>
        <w:t>所有公司文件的正本及公告的原稿。</w:t>
      </w:r>
    </w:p>
    <w:p>
      <w:pPr>
        <w:pStyle w:val="BodyText"/>
        <w:spacing w:line="240" w:lineRule="auto" w:before="117"/>
        <w:ind w:left="472" w:right="1394"/>
        <w:jc w:val="left"/>
      </w:pPr>
      <w:r>
        <w:rPr/>
        <w:t>上述文件的原件或具有法律效力的复印件同时备置于公司董事会办公室、深交所备查。</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4"/>
          <w:szCs w:val="14"/>
        </w:rPr>
      </w:pPr>
    </w:p>
    <w:p>
      <w:pPr>
        <w:pStyle w:val="BodyText"/>
        <w:spacing w:line="518" w:lineRule="auto"/>
        <w:ind w:left="7502" w:right="1384" w:hanging="900"/>
        <w:jc w:val="left"/>
      </w:pPr>
      <w:r>
        <w:rPr/>
        <w:t>广州广电运通金融电子股份有限公司 董事长：黄跃珍 </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03</w:t>
      </w:r>
      <w:r>
        <w:rPr/>
        <w:t>月</w:t>
      </w:r>
      <w:r>
        <w:rPr>
          <w:rFonts w:ascii="Times New Roman" w:hAnsi="Times New Roman" w:cs="Times New Roman" w:eastAsia="Times New Roman" w:hint="default"/>
        </w:rPr>
        <w:t>27</w:t>
      </w:r>
      <w:r>
        <w:rPr/>
        <w:t>日</w:t>
      </w:r>
    </w:p>
    <w:sectPr>
      <w:pgSz w:w="11910" w:h="16840"/>
      <w:pgMar w:header="878" w:footer="978" w:top="1100" w:bottom="1160" w:left="102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mbria Math">
    <w:altName w:val="Cambria Math"/>
    <w:charset w:val="0"/>
    <w:family w:val="roman"/>
    <w:pitch w:val="variable"/>
  </w:font>
  <w:font w:name="MS PGothic">
    <w:altName w:val="MS PGothic"/>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487920" type="#_x0000_t75" stroked="false">
          <v:imagedata r:id="rId1" o:title=""/>
        </v:shape>
      </w:pict>
    </w:r>
    <w:r>
      <w:rPr/>
      <w:pict>
        <v:shape style="position:absolute;margin-left:532.119995pt;margin-top:782.007935pt;width:8.5pt;height:11pt;mso-position-horizontal-relative:page;mso-position-vertical-relative:page;z-index:-148789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487488" type="#_x0000_t75" stroked="false">
          <v:imagedata r:id="rId1" o:title=""/>
        </v:shape>
      </w:pict>
    </w:r>
    <w:r>
      <w:rPr/>
      <w:pict>
        <v:shape style="position:absolute;margin-left:527.559021pt;margin-top:782.007935pt;width:13.1pt;height:11pt;mso-position-horizontal-relative:page;mso-position-vertical-relative:page;z-index:-148746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90</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60522pt;margin-top:806.749146pt;width:59.495726pt;height:26.795785pt;mso-position-horizontal-relative:page;mso-position-vertical-relative:page;z-index:-1487392" type="#_x0000_t75" stroked="false">
          <v:imagedata r:id="rId1" o:title=""/>
        </v:shape>
      </w:pict>
    </w:r>
    <w:r>
      <w:rPr/>
      <w:pict>
        <v:shape style="position:absolute;margin-left:494.440002pt;margin-top:767.726929pt;width:13.1pt;height:11pt;mso-position-horizontal-relative:page;mso-position-vertical-relative:page;z-index:-148736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92</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60522pt;margin-top:806.749146pt;width:59.495726pt;height:26.795785pt;mso-position-horizontal-relative:page;mso-position-vertical-relative:page;z-index:-1487344" type="#_x0000_t75" stroked="false">
          <v:imagedata r:id="rId1" o:title=""/>
        </v:shape>
      </w:pict>
    </w:r>
    <w:r>
      <w:rPr/>
      <w:pict>
        <v:shape style="position:absolute;margin-left:490pt;margin-top:767.726929pt;width:17.5pt;height:11pt;mso-position-horizontal-relative:page;mso-position-vertical-relative:page;z-index:-148732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100</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60522pt;margin-top:806.749146pt;width:59.495726pt;height:26.795785pt;mso-position-horizontal-relative:page;mso-position-vertical-relative:page;z-index:-1487296" type="#_x0000_t75" stroked="false">
          <v:imagedata r:id="rId1" o:title=""/>
        </v:shape>
      </w:pict>
    </w:r>
    <w:r>
      <w:rPr/>
      <w:pict>
        <v:shape style="position:absolute;margin-left:490pt;margin-top:767.726929pt;width:17.5pt;height:11pt;mso-position-horizontal-relative:page;mso-position-vertical-relative:page;z-index:-148727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110</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60522pt;margin-top:806.749146pt;width:59.495726pt;height:26.795785pt;mso-position-horizontal-relative:page;mso-position-vertical-relative:page;z-index:-1487248" type="#_x0000_t75" stroked="false">
          <v:imagedata r:id="rId1" o:title=""/>
        </v:shape>
      </w:pict>
    </w:r>
    <w:r>
      <w:rPr/>
      <w:pict>
        <v:shape style="position:absolute;margin-left:490pt;margin-top:767.726929pt;width:17.5pt;height:11pt;mso-position-horizontal-relative:page;mso-position-vertical-relative:page;z-index:-148722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113</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60522pt;margin-top:806.749146pt;width:59.495726pt;height:26.795785pt;mso-position-horizontal-relative:page;mso-position-vertical-relative:page;z-index:-1487200" type="#_x0000_t75" stroked="false">
          <v:imagedata r:id="rId1" o:title=""/>
        </v:shape>
      </w:pict>
    </w:r>
    <w:r>
      <w:rPr/>
      <w:pict>
        <v:shape style="position:absolute;margin-left:490pt;margin-top:767.726929pt;width:17.5pt;height:11pt;mso-position-horizontal-relative:page;mso-position-vertical-relative:page;z-index:-148717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114</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60522pt;margin-top:806.749146pt;width:59.495726pt;height:26.795785pt;mso-position-horizontal-relative:page;mso-position-vertical-relative:page;z-index:-1487152" type="#_x0000_t75" stroked="false">
          <v:imagedata r:id="rId1" o:title=""/>
        </v:shape>
      </w:pict>
    </w:r>
    <w:r>
      <w:rPr/>
      <w:pict>
        <v:shape style="position:absolute;margin-left:490pt;margin-top:767.726929pt;width:17.5pt;height:11pt;mso-position-horizontal-relative:page;mso-position-vertical-relative:page;z-index:-148712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120</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60522pt;margin-top:806.749146pt;width:59.495726pt;height:26.795785pt;mso-position-horizontal-relative:page;mso-position-vertical-relative:page;z-index:-1487104" type="#_x0000_t75" stroked="false">
          <v:imagedata r:id="rId1" o:title=""/>
        </v:shape>
      </w:pict>
    </w:r>
    <w:r>
      <w:rPr/>
      <w:pict>
        <v:shape style="position:absolute;margin-left:490pt;margin-top:767.726929pt;width:17.5pt;height:11pt;mso-position-horizontal-relative:page;mso-position-vertical-relative:page;z-index:-148708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130</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487008" type="#_x0000_t75" stroked="false">
          <v:imagedata r:id="rId1" o:title=""/>
        </v:shape>
      </w:pict>
    </w:r>
    <w:r>
      <w:rPr/>
      <w:pict>
        <v:shape style="position:absolute;margin-left:523.119995pt;margin-top:782.007935pt;width:17.5pt;height:11pt;mso-position-horizontal-relative:page;mso-position-vertical-relative:page;z-index:-148698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136</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486960" type="#_x0000_t75" stroked="false">
          <v:imagedata r:id="rId1" o:title=""/>
        </v:shape>
      </w:pict>
    </w:r>
    <w:r>
      <w:rPr/>
      <w:pict>
        <v:shape style="position:absolute;margin-left:523.119995pt;margin-top:782.007935pt;width:17.5pt;height:11pt;mso-position-horizontal-relative:page;mso-position-vertical-relative:page;z-index:-148693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140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487872" type="#_x0000_t75" stroked="false">
          <v:imagedata r:id="rId1" o:title=""/>
        </v:shape>
      </w:pict>
    </w:r>
    <w:r>
      <w:rPr/>
      <w:pict>
        <v:shape style="position:absolute;margin-left:527.559021pt;margin-top:782.007935pt;width:13.1pt;height:11pt;mso-position-horizontal-relative:page;mso-position-vertical-relative:page;z-index:-148784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486912" type="#_x0000_t75" stroked="false">
          <v:imagedata r:id="rId1" o:title=""/>
        </v:shape>
      </w:pict>
    </w:r>
    <w:r>
      <w:rPr/>
      <w:pict>
        <v:shape style="position:absolute;margin-left:523.119995pt;margin-top:782.007935pt;width:17.5pt;height:11pt;mso-position-horizontal-relative:page;mso-position-vertical-relative:page;z-index:-148688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150</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486864" type="#_x0000_t75" stroked="false">
          <v:imagedata r:id="rId1" o:title=""/>
        </v:shape>
      </w:pict>
    </w:r>
    <w:r>
      <w:rPr/>
      <w:pict>
        <v:shape style="position:absolute;margin-left:523.119995pt;margin-top:782.007935pt;width:17.5pt;height:11pt;mso-position-horizontal-relative:page;mso-position-vertical-relative:page;z-index:-148684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160</w:t>
                </w:r>
                <w:r>
                  <w:rPr/>
                  <w:fldChar w:fldCharType="end"/>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486816" type="#_x0000_t75" stroked="false">
          <v:imagedata r:id="rId1" o:title=""/>
        </v:shape>
      </w:pict>
    </w:r>
    <w:r>
      <w:rPr/>
      <w:pict>
        <v:shape style="position:absolute;margin-left:523.119995pt;margin-top:782.007935pt;width:17.5pt;height:11pt;mso-position-horizontal-relative:page;mso-position-vertical-relative:page;z-index:-148679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170</w:t>
                </w:r>
                <w:r>
                  <w:rPr/>
                  <w:fldChar w:fldCharType="end"/>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486768" type="#_x0000_t75" stroked="false">
          <v:imagedata r:id="rId1" o:title=""/>
        </v:shape>
      </w:pict>
    </w:r>
    <w:r>
      <w:rPr/>
      <w:pict>
        <v:shape style="position:absolute;margin-left:523.119995pt;margin-top:782.007935pt;width:17.5pt;height:11pt;mso-position-horizontal-relative:page;mso-position-vertical-relative:page;z-index:-148674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180</w:t>
                </w:r>
                <w:r>
                  <w:rPr/>
                  <w:fldChar w:fldCharType="end"/>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23877pt;margin-top:570.411133pt;width:42.066597pt;height:18.946025pt;mso-position-horizontal-relative:page;mso-position-vertical-relative:page;z-index:-1486672" type="#_x0000_t75" stroked="false">
          <v:imagedata r:id="rId1" o:title=""/>
        </v:shape>
      </w:pict>
    </w:r>
    <w:r>
      <w:rPr/>
      <w:pict>
        <v:shape style="position:absolute;margin-left:754.359009pt;margin-top:535.407898pt;width:17.5pt;height:11pt;mso-position-horizontal-relative:page;mso-position-vertical-relative:page;z-index:-148664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186</w:t>
                </w:r>
                <w:r>
                  <w:rPr/>
                  <w:fldChar w:fldCharType="end"/>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486576" type="#_x0000_t75" stroked="false">
          <v:imagedata r:id="rId1" o:title=""/>
        </v:shape>
      </w:pict>
    </w:r>
    <w:r>
      <w:rPr/>
      <w:pict>
        <v:shape style="position:absolute;margin-left:523.119995pt;margin-top:782.007935pt;width:17.5pt;height:11pt;mso-position-horizontal-relative:page;mso-position-vertical-relative:page;z-index:-148655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188</w:t>
                </w:r>
                <w:r>
                  <w:rPr/>
                  <w:fldChar w:fldCharType="end"/>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486528" type="#_x0000_t75" stroked="false">
          <v:imagedata r:id="rId1" o:title=""/>
        </v:shape>
      </w:pict>
    </w:r>
    <w:r>
      <w:rPr/>
      <w:pict>
        <v:shape style="position:absolute;margin-left:523.119995pt;margin-top:782.007935pt;width:17.5pt;height:11pt;mso-position-horizontal-relative:page;mso-position-vertical-relative:page;z-index:-148650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190</w:t>
                </w:r>
                <w:r>
                  <w:rPr/>
                  <w:fldChar w:fldCharType="end"/>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486480" type="#_x0000_t75" stroked="false">
          <v:imagedata r:id="rId1" o:title=""/>
        </v:shape>
      </w:pict>
    </w:r>
    <w:r>
      <w:rPr/>
      <w:pict>
        <v:shape style="position:absolute;margin-left:523.119995pt;margin-top:782.007935pt;width:17.5pt;height:11pt;mso-position-horizontal-relative:page;mso-position-vertical-relative:page;z-index:-148645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200</w:t>
                </w:r>
                <w:r>
                  <w:rPr/>
                  <w:fldChar w:fldCharType="end"/>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486432" type="#_x0000_t75" stroked="false">
          <v:imagedata r:id="rId1" o:title=""/>
        </v:shape>
      </w:pict>
    </w:r>
    <w:r>
      <w:rPr/>
      <w:pict>
        <v:shape style="position:absolute;margin-left:523.119995pt;margin-top:782.007935pt;width:17.5pt;height:11pt;mso-position-horizontal-relative:page;mso-position-vertical-relative:page;z-index:-148640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487824" type="#_x0000_t75" stroked="false">
          <v:imagedata r:id="rId1" o:title=""/>
        </v:shape>
      </w:pict>
    </w:r>
    <w:r>
      <w:rPr/>
      <w:pict>
        <v:shape style="position:absolute;margin-left:527.559021pt;margin-top:782.007935pt;width:13.1pt;height:11pt;mso-position-horizontal-relative:page;mso-position-vertical-relative:page;z-index:-148780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20</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487776" type="#_x0000_t75" stroked="false">
          <v:imagedata r:id="rId1" o:title=""/>
        </v:shape>
      </w:pict>
    </w:r>
    <w:r>
      <w:rPr/>
      <w:pict>
        <v:shape style="position:absolute;margin-left:527.559021pt;margin-top:782.007935pt;width:13.1pt;height:11pt;mso-position-horizontal-relative:page;mso-position-vertical-relative:page;z-index:-148775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30</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487728" type="#_x0000_t75" stroked="false">
          <v:imagedata r:id="rId1" o:title=""/>
        </v:shape>
      </w:pict>
    </w:r>
    <w:r>
      <w:rPr/>
      <w:pict>
        <v:shape style="position:absolute;margin-left:527.559021pt;margin-top:782.007935pt;width:13.1pt;height:11pt;mso-position-horizontal-relative:page;mso-position-vertical-relative:page;z-index:-148770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40</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487680" type="#_x0000_t75" stroked="false">
          <v:imagedata r:id="rId1" o:title=""/>
        </v:shape>
      </w:pict>
    </w:r>
    <w:r>
      <w:rPr/>
      <w:pict>
        <v:shape style="position:absolute;margin-left:527.559021pt;margin-top:782.007935pt;width:13.1pt;height:11pt;mso-position-horizontal-relative:page;mso-position-vertical-relative:page;z-index:-148765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50</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487632" type="#_x0000_t75" stroked="false">
          <v:imagedata r:id="rId1" o:title=""/>
        </v:shape>
      </w:pict>
    </w:r>
    <w:r>
      <w:rPr/>
      <w:pict>
        <v:shape style="position:absolute;margin-left:527.559021pt;margin-top:782.007935pt;width:13.1pt;height:11pt;mso-position-horizontal-relative:page;mso-position-vertical-relative:page;z-index:-148760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60</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487584" type="#_x0000_t75" stroked="false">
          <v:imagedata r:id="rId1" o:title=""/>
        </v:shape>
      </w:pict>
    </w:r>
    <w:r>
      <w:rPr/>
      <w:pict>
        <v:shape style="position:absolute;margin-left:527.559021pt;margin-top:782.007935pt;width:13.1pt;height:11pt;mso-position-horizontal-relative:page;mso-position-vertical-relative:page;z-index:-148756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70</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487536" type="#_x0000_t75" stroked="false">
          <v:imagedata r:id="rId1" o:title=""/>
        </v:shape>
      </w:pict>
    </w:r>
    <w:r>
      <w:rPr/>
      <w:pict>
        <v:shape style="position:absolute;margin-left:527.559021pt;margin-top:782.007935pt;width:13.1pt;height:11pt;mso-position-horizontal-relative:page;mso-position-vertical-relative:page;z-index:-148751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80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6.700001pt;margin-top:55.560024pt;width:481.9pt;height:.1pt;mso-position-horizontal-relative:page;mso-position-vertical-relative:page;z-index:-1487968" coordorigin="1134,1111" coordsize="9638,2">
          <v:shape style="position:absolute;left:1134;top:1111;width:9638;height:2" coordorigin="1134,1111" coordsize="9638,0" path="m1134,1111l10772,1111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308.119995pt;margin-top:42.915649pt;width:231.45pt;height:11.5pt;mso-position-horizontal-relative:page;mso-position-vertical-relative:page;z-index:-1487944" type="#_x0000_t202" filled="false" stroked="false">
          <v:textbox inset="0,0,0,0">
            <w:txbxContent>
              <w:p>
                <w:pPr>
                  <w:pStyle w:val="BodyText"/>
                  <w:spacing w:line="214" w:lineRule="exact"/>
                  <w:ind w:left="20" w:right="0"/>
                  <w:jc w:val="left"/>
                </w:pPr>
                <w:r>
                  <w:rPr/>
                  <w:t>广州广电运通金融电子股份有限公司</w:t>
                </w:r>
                <w:r>
                  <w:rPr>
                    <w:spacing w:val="-4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年年度报告全文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9.849998pt;margin-top:48.840012pt;width:415.65pt;height:.1pt;mso-position-horizontal-relative:page;mso-position-vertical-relative:page;z-index:-1487440" coordorigin="1797,977" coordsize="8313,2">
          <v:shape style="position:absolute;left:1797;top:977;width:8313;height:2" coordorigin="1797,977" coordsize="8313,0" path="m1797,977l10110,977e" filled="false" stroked="true" strokeweight=".48pt" strokecolor="#000000">
            <v:path arrowok="t"/>
          </v:shape>
          <w10:wrap type="none"/>
        </v:group>
      </w:pict>
    </w:r>
    <w:r>
      <w:rPr/>
      <w:pict>
        <v:shape style="position:absolute;margin-left:236.839996pt;margin-top:34.589542pt;width:269.650pt;height:12.45pt;mso-position-horizontal-relative:page;mso-position-vertical-relative:page;z-index:-1487416" type="#_x0000_t202" filled="false" stroked="false">
          <v:textbox inset="0,0,0,0">
            <w:txbxContent>
              <w:p>
                <w:pPr>
                  <w:spacing w:line="229" w:lineRule="exact"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广州广电运通金融电子股份有限公司</w:t>
                </w:r>
                <w:r>
                  <w:rPr>
                    <w:rFonts w:ascii="宋体" w:hAnsi="宋体" w:cs="宋体" w:eastAsia="宋体" w:hint="default"/>
                    <w:spacing w:val="-60"/>
                    <w:sz w:val="21"/>
                    <w:szCs w:val="21"/>
                  </w:rPr>
                  <w:t> </w:t>
                </w:r>
                <w:r>
                  <w:rPr>
                    <w:rFonts w:ascii="宋体" w:hAnsi="宋体" w:cs="宋体" w:eastAsia="宋体" w:hint="default"/>
                    <w:sz w:val="21"/>
                    <w:szCs w:val="21"/>
                  </w:rPr>
                  <w:t>2019</w:t>
                </w:r>
                <w:r>
                  <w:rPr>
                    <w:rFonts w:ascii="宋体" w:hAnsi="宋体" w:cs="宋体" w:eastAsia="宋体" w:hint="default"/>
                    <w:spacing w:val="-61"/>
                    <w:sz w:val="21"/>
                    <w:szCs w:val="21"/>
                  </w:rPr>
                  <w:t> </w:t>
                </w:r>
                <w:r>
                  <w:rPr>
                    <w:rFonts w:ascii="宋体" w:hAnsi="宋体" w:cs="宋体" w:eastAsia="宋体" w:hint="default"/>
                    <w:sz w:val="21"/>
                    <w:szCs w:val="21"/>
                  </w:rPr>
                  <w:t>年年度报告全文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6.700001pt;margin-top:55.560024pt;width:481.9pt;height:.1pt;mso-position-horizontal-relative:page;mso-position-vertical-relative:page;z-index:-1487056" coordorigin="1134,1111" coordsize="9638,2">
          <v:shape style="position:absolute;left:1134;top:1111;width:9638;height:2" coordorigin="1134,1111" coordsize="9638,0" path="m1134,1111l10772,1111e" filled="false" stroked="true" strokeweight=".72pt" strokecolor="#000000">
            <v:path arrowok="t"/>
          </v:shape>
          <w10:wrap type="none"/>
        </v:group>
      </w:pict>
    </w:r>
    <w:r>
      <w:rPr/>
      <w:pict>
        <v:shape style="position:absolute;margin-left:308.119995pt;margin-top:42.915649pt;width:231.45pt;height:11.5pt;mso-position-horizontal-relative:page;mso-position-vertical-relative:page;z-index:-1487032" type="#_x0000_t202" filled="false" stroked="false">
          <v:textbox inset="0,0,0,0">
            <w:txbxContent>
              <w:p>
                <w:pPr>
                  <w:pStyle w:val="BodyText"/>
                  <w:spacing w:line="214" w:lineRule="exact"/>
                  <w:ind w:left="20" w:right="0"/>
                  <w:jc w:val="left"/>
                </w:pPr>
                <w:r>
                  <w:rPr/>
                  <w:t>广州广电运通金融电子股份有限公司</w:t>
                </w:r>
                <w:r>
                  <w:rPr>
                    <w:spacing w:val="-4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年年度报告全文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2pt;margin-top:55.559986pt;width:697.9pt;height:.1pt;mso-position-horizontal-relative:page;mso-position-vertical-relative:page;z-index:-1486720" coordorigin="1440,1111" coordsize="13958,2">
          <v:shape style="position:absolute;left:1440;top:1111;width:13958;height:2" coordorigin="1440,1111" coordsize="13958,0" path="m1440,1111l15398,1111e" filled="false" stroked="true" strokeweight=".72pt" strokecolor="#000000">
            <v:path arrowok="t"/>
          </v:shape>
          <w10:wrap type="none"/>
        </v:group>
      </w:pict>
    </w:r>
    <w:r>
      <w:rPr/>
      <w:pict>
        <v:shape style="position:absolute;margin-left:539.359009pt;margin-top:42.915611pt;width:231.6pt;height:11.5pt;mso-position-horizontal-relative:page;mso-position-vertical-relative:page;z-index:-1486696" type="#_x0000_t202" filled="false" stroked="false">
          <v:textbox inset="0,0,0,0">
            <w:txbxContent>
              <w:p>
                <w:pPr>
                  <w:pStyle w:val="BodyText"/>
                  <w:spacing w:line="214" w:lineRule="exact"/>
                  <w:ind w:left="20" w:right="0"/>
                  <w:jc w:val="left"/>
                </w:pPr>
                <w:r>
                  <w:rPr/>
                  <w:t>广州广电运通金融电子股份有限公司</w:t>
                </w:r>
                <w:r>
                  <w:rPr>
                    <w:spacing w:val="-4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年年度报告全文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6.700001pt;margin-top:55.560024pt;width:481.9pt;height:.1pt;mso-position-horizontal-relative:page;mso-position-vertical-relative:page;z-index:-1486624" coordorigin="1134,1111" coordsize="9638,2">
          <v:shape style="position:absolute;left:1134;top:1111;width:9638;height:2" coordorigin="1134,1111" coordsize="9638,0" path="m1134,1111l10772,1111e" filled="false" stroked="true" strokeweight=".72pt" strokecolor="#000000">
            <v:path arrowok="t"/>
          </v:shape>
          <w10:wrap type="none"/>
        </v:group>
      </w:pict>
    </w:r>
    <w:r>
      <w:rPr/>
      <w:pict>
        <v:shape style="position:absolute;margin-left:308.119995pt;margin-top:42.915649pt;width:231.45pt;height:11.5pt;mso-position-horizontal-relative:page;mso-position-vertical-relative:page;z-index:-1486600" type="#_x0000_t202" filled="false" stroked="false">
          <v:textbox inset="0,0,0,0">
            <w:txbxContent>
              <w:p>
                <w:pPr>
                  <w:pStyle w:val="BodyText"/>
                  <w:spacing w:line="214" w:lineRule="exact"/>
                  <w:ind w:left="20" w:right="0"/>
                  <w:jc w:val="left"/>
                </w:pPr>
                <w:r>
                  <w:rPr/>
                  <w:t>广州广电运通金融电子股份有限公司</w:t>
                </w:r>
                <w:r>
                  <w:rPr>
                    <w:spacing w:val="-4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19"/>
      <w:ind w:left="112"/>
    </w:pPr>
    <w:rPr>
      <w:rFonts w:ascii="宋体" w:hAnsi="宋体" w:eastAsia="宋体"/>
      <w:sz w:val="24"/>
      <w:szCs w:val="24"/>
    </w:rPr>
  </w:style>
  <w:style w:styleId="BodyText" w:type="paragraph">
    <w:name w:val="Body Text"/>
    <w:basedOn w:val="Normal"/>
    <w:uiPriority w:val="1"/>
    <w:qFormat/>
    <w:pPr>
      <w:ind w:left="112"/>
    </w:pPr>
    <w:rPr>
      <w:rFonts w:ascii="宋体" w:hAnsi="宋体" w:eastAsia="宋体"/>
      <w:sz w:val="18"/>
      <w:szCs w:val="18"/>
    </w:rPr>
  </w:style>
  <w:style w:styleId="Heading1" w:type="paragraph">
    <w:name w:val="Heading 1"/>
    <w:basedOn w:val="Normal"/>
    <w:uiPriority w:val="1"/>
    <w:qFormat/>
    <w:pPr>
      <w:outlineLvl w:val="1"/>
    </w:pPr>
    <w:rPr>
      <w:rFonts w:ascii="宋体" w:hAnsi="宋体" w:eastAsia="宋体"/>
      <w:b/>
      <w:bCs/>
      <w:sz w:val="32"/>
      <w:szCs w:val="32"/>
    </w:rPr>
  </w:style>
  <w:style w:styleId="Heading2" w:type="paragraph">
    <w:name w:val="Heading 2"/>
    <w:basedOn w:val="Normal"/>
    <w:uiPriority w:val="1"/>
    <w:qFormat/>
    <w:pPr>
      <w:ind w:left="112"/>
      <w:outlineLvl w:val="2"/>
    </w:pPr>
    <w:rPr>
      <w:rFonts w:ascii="宋体" w:hAnsi="宋体" w:eastAsia="宋体"/>
      <w:b/>
      <w:bCs/>
      <w:sz w:val="24"/>
      <w:szCs w:val="24"/>
    </w:rPr>
  </w:style>
  <w:style w:styleId="Heading3" w:type="paragraph">
    <w:name w:val="Heading 3"/>
    <w:basedOn w:val="Normal"/>
    <w:uiPriority w:val="1"/>
    <w:qFormat/>
    <w:pPr>
      <w:spacing w:before="34"/>
      <w:ind w:left="112"/>
      <w:outlineLvl w:val="3"/>
    </w:pPr>
    <w:rPr>
      <w:rFonts w:ascii="宋体" w:hAnsi="宋体" w:eastAsia="宋体"/>
      <w:b/>
      <w:bCs/>
      <w:sz w:val="21"/>
      <w:szCs w:val="21"/>
    </w:rPr>
  </w:style>
  <w:style w:styleId="Heading4" w:type="paragraph">
    <w:name w:val="Heading 4"/>
    <w:basedOn w:val="Normal"/>
    <w:uiPriority w:val="1"/>
    <w:qFormat/>
    <w:pPr>
      <w:spacing w:before="32"/>
      <w:ind w:left="117"/>
      <w:outlineLvl w:val="4"/>
    </w:pPr>
    <w:rPr>
      <w:rFonts w:ascii="宋体" w:hAnsi="宋体" w:eastAsia="宋体"/>
      <w:sz w:val="21"/>
      <w:szCs w:val="21"/>
    </w:rPr>
  </w:style>
  <w:style w:styleId="Heading5" w:type="paragraph">
    <w:name w:val="Heading 5"/>
    <w:basedOn w:val="Normal"/>
    <w:uiPriority w:val="1"/>
    <w:qFormat/>
    <w:pPr>
      <w:ind w:left="112"/>
      <w:outlineLvl w:val="5"/>
    </w:pPr>
    <w:rPr>
      <w:rFonts w:ascii="宋体" w:hAnsi="宋体" w:eastAsia="宋体"/>
      <w:b/>
      <w:bCs/>
      <w:sz w:val="20"/>
      <w:szCs w:val="20"/>
    </w:rPr>
  </w:style>
  <w:style w:styleId="Heading6" w:type="paragraph">
    <w:name w:val="Heading 6"/>
    <w:basedOn w:val="Normal"/>
    <w:uiPriority w:val="1"/>
    <w:qFormat/>
    <w:pPr>
      <w:ind w:left="472"/>
      <w:outlineLvl w:val="6"/>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hyperlink" Target="http://www.grgbanking.com/" TargetMode="External"/><Relationship Id="rId9" Type="http://schemas.openxmlformats.org/officeDocument/2006/relationships/hyperlink" Target="mailto:securities@grgbanking.com" TargetMode="External"/><Relationship Id="rId10" Type="http://schemas.openxmlformats.org/officeDocument/2006/relationships/hyperlink" Target="http://www.cninfo.com.cn/" TargetMode="Externa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hyperlink" Target="http://www.cninfo.com.cn&#19978;&#30340;&#20020;&#26102;&#20844;&#21578;/" TargetMode="External"/><Relationship Id="rId15" Type="http://schemas.openxmlformats.org/officeDocument/2006/relationships/footer" Target="footer5.xml"/><Relationship Id="rId16" Type="http://schemas.openxmlformats.org/officeDocument/2006/relationships/footer" Target="footer6.xml"/><Relationship Id="rId17" Type="http://schemas.openxmlformats.org/officeDocument/2006/relationships/hyperlink" Target="http://disclosure.szse.cn/m/finalpage/2015-03-11/1200687927.PDF" TargetMode="External"/><Relationship Id="rId18" Type="http://schemas.openxmlformats.org/officeDocument/2006/relationships/hyperlink" Target="http://disclosure.szse.cn/m/finalpage/2015-03-11/1200687930.PDF" TargetMode="External"/><Relationship Id="rId19" Type="http://schemas.openxmlformats.org/officeDocument/2006/relationships/hyperlink" Target="http://disclosure.szse.cn/m/finalpage/2015-03-11/1200687931.PDF" TargetMode="External"/><Relationship Id="rId20" Type="http://schemas.openxmlformats.org/officeDocument/2006/relationships/hyperlink" Target="http://disclosure.szse.cn/m/finalpage/2015-03-11/1200687934.PDF" TargetMode="External"/><Relationship Id="rId21" Type="http://schemas.openxmlformats.org/officeDocument/2006/relationships/hyperlink" Target="http://disclosure.szse.cn/m/finalpage/2015-04-17/1200849145.PDF" TargetMode="External"/><Relationship Id="rId22" Type="http://schemas.openxmlformats.org/officeDocument/2006/relationships/hyperlink" Target="http://disclosure.szse.cn/m/finalpage/2015-08-03/1201383088.PDF" TargetMode="External"/><Relationship Id="rId23" Type="http://schemas.openxmlformats.org/officeDocument/2006/relationships/hyperlink" Target="http://disclosure.szse.cn/m/finalpage/2015-08-03/1201383091.PDF" TargetMode="External"/><Relationship Id="rId24" Type="http://schemas.openxmlformats.org/officeDocument/2006/relationships/hyperlink" Target="http://disclosure.szse.cn/m/finalpage/2015-10-10/1201674705.PDF" TargetMode="External"/><Relationship Id="rId25" Type="http://schemas.openxmlformats.org/officeDocument/2006/relationships/hyperlink" Target="http://disclosure.szse.cn/m/finalpage/2015-10-10/1201674709.PDF" TargetMode="External"/><Relationship Id="rId26" Type="http://schemas.openxmlformats.org/officeDocument/2006/relationships/hyperlink" Target="http://disclosure.szse.cn/m/finalpage/2015-10-10/1201674716.PDF" TargetMode="External"/><Relationship Id="rId27" Type="http://schemas.openxmlformats.org/officeDocument/2006/relationships/hyperlink" Target="http://disclosure.szse.cn/m/finalpage/2015-10-27/1201726851.PDF" TargetMode="External"/><Relationship Id="rId28" Type="http://schemas.openxmlformats.org/officeDocument/2006/relationships/hyperlink" Target="http://disclosure.szse.cn/m/finalpage/2016-01-04/1201882846.PDF" TargetMode="External"/><Relationship Id="rId29" Type="http://schemas.openxmlformats.org/officeDocument/2006/relationships/footer" Target="footer7.xml"/><Relationship Id="rId30" Type="http://schemas.openxmlformats.org/officeDocument/2006/relationships/hyperlink" Target="http://www.cninfo.com.cn&#19978;&#30340;&#30456;&#20851;&#20844;&#21578;/" TargetMode="External"/><Relationship Id="rId31" Type="http://schemas.openxmlformats.org/officeDocument/2006/relationships/hyperlink" Target="http://www.cninfo.com.cn&#19978;&#30340;&#20020;2019-012/" TargetMode="External"/><Relationship Id="rId32" Type="http://schemas.openxmlformats.org/officeDocument/2006/relationships/footer" Target="footer8.xml"/><Relationship Id="rId33" Type="http://schemas.openxmlformats.org/officeDocument/2006/relationships/image" Target="media/image3.jpeg"/><Relationship Id="rId34" Type="http://schemas.openxmlformats.org/officeDocument/2006/relationships/footer" Target="footer9.xml"/><Relationship Id="rId35" Type="http://schemas.openxmlformats.org/officeDocument/2006/relationships/image" Target="media/image4.png"/><Relationship Id="rId36" Type="http://schemas.openxmlformats.org/officeDocument/2006/relationships/image" Target="media/image5.png"/><Relationship Id="rId37" Type="http://schemas.openxmlformats.org/officeDocument/2006/relationships/footer" Target="footer10.xml"/><Relationship Id="rId38" Type="http://schemas.openxmlformats.org/officeDocument/2006/relationships/header" Target="header2.xml"/><Relationship Id="rId39" Type="http://schemas.openxmlformats.org/officeDocument/2006/relationships/footer" Target="footer11.xml"/><Relationship Id="rId40" Type="http://schemas.openxmlformats.org/officeDocument/2006/relationships/footer" Target="footer12.xml"/><Relationship Id="rId41" Type="http://schemas.openxmlformats.org/officeDocument/2006/relationships/footer" Target="footer13.xml"/><Relationship Id="rId42" Type="http://schemas.openxmlformats.org/officeDocument/2006/relationships/footer" Target="footer14.xml"/><Relationship Id="rId43" Type="http://schemas.openxmlformats.org/officeDocument/2006/relationships/footer" Target="footer15.xml"/><Relationship Id="rId44" Type="http://schemas.openxmlformats.org/officeDocument/2006/relationships/footer" Target="footer16.xml"/><Relationship Id="rId45" Type="http://schemas.openxmlformats.org/officeDocument/2006/relationships/footer" Target="footer17.xml"/><Relationship Id="rId46" Type="http://schemas.openxmlformats.org/officeDocument/2006/relationships/header" Target="header3.xml"/><Relationship Id="rId47" Type="http://schemas.openxmlformats.org/officeDocument/2006/relationships/footer" Target="footer18.xml"/><Relationship Id="rId48" Type="http://schemas.openxmlformats.org/officeDocument/2006/relationships/footer" Target="footer19.xml"/><Relationship Id="rId49" Type="http://schemas.openxmlformats.org/officeDocument/2006/relationships/footer" Target="footer20.xml"/><Relationship Id="rId50" Type="http://schemas.openxmlformats.org/officeDocument/2006/relationships/footer" Target="footer21.xml"/><Relationship Id="rId51" Type="http://schemas.openxmlformats.org/officeDocument/2006/relationships/footer" Target="footer22.xml"/><Relationship Id="rId52" Type="http://schemas.openxmlformats.org/officeDocument/2006/relationships/footer" Target="footer23.xml"/><Relationship Id="rId53" Type="http://schemas.openxmlformats.org/officeDocument/2006/relationships/header" Target="header4.xml"/><Relationship Id="rId54" Type="http://schemas.openxmlformats.org/officeDocument/2006/relationships/footer" Target="footer24.xml"/><Relationship Id="rId55" Type="http://schemas.openxmlformats.org/officeDocument/2006/relationships/header" Target="header5.xml"/><Relationship Id="rId56" Type="http://schemas.openxmlformats.org/officeDocument/2006/relationships/footer" Target="footer25.xml"/><Relationship Id="rId57" Type="http://schemas.openxmlformats.org/officeDocument/2006/relationships/footer" Target="footer26.xml"/><Relationship Id="rId58" Type="http://schemas.openxmlformats.org/officeDocument/2006/relationships/footer" Target="footer27.xml"/><Relationship Id="rId59" Type="http://schemas.openxmlformats.org/officeDocument/2006/relationships/footer" Target="footer28.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10.xml.rels><?xml version="1.0" encoding="UTF-8" standalone="yes"?>
<Relationships xmlns="http://schemas.openxmlformats.org/package/2006/relationships"><Relationship Id="rId1" Type="http://schemas.openxmlformats.org/officeDocument/2006/relationships/image" Target="media/image1.jpeg"/></Relationships>

</file>

<file path=word/_rels/footer11.xml.rels><?xml version="1.0" encoding="UTF-8" standalone="yes"?>
<Relationships xmlns="http://schemas.openxmlformats.org/package/2006/relationships"><Relationship Id="rId1" Type="http://schemas.openxmlformats.org/officeDocument/2006/relationships/image" Target="media/image1.jpeg"/></Relationships>

</file>

<file path=word/_rels/footer12.xml.rels><?xml version="1.0" encoding="UTF-8" standalone="yes"?>
<Relationships xmlns="http://schemas.openxmlformats.org/package/2006/relationships"><Relationship Id="rId1" Type="http://schemas.openxmlformats.org/officeDocument/2006/relationships/image" Target="media/image1.jpeg"/></Relationships>

</file>

<file path=word/_rels/footer13.xml.rels><?xml version="1.0" encoding="UTF-8" standalone="yes"?>
<Relationships xmlns="http://schemas.openxmlformats.org/package/2006/relationships"><Relationship Id="rId1" Type="http://schemas.openxmlformats.org/officeDocument/2006/relationships/image" Target="media/image1.jpeg"/></Relationships>

</file>

<file path=word/_rels/footer14.xml.rels><?xml version="1.0" encoding="UTF-8" standalone="yes"?>
<Relationships xmlns="http://schemas.openxmlformats.org/package/2006/relationships"><Relationship Id="rId1" Type="http://schemas.openxmlformats.org/officeDocument/2006/relationships/image" Target="media/image1.jpeg"/></Relationships>

</file>

<file path=word/_rels/footer15.xml.rels><?xml version="1.0" encoding="UTF-8" standalone="yes"?>
<Relationships xmlns="http://schemas.openxmlformats.org/package/2006/relationships"><Relationship Id="rId1" Type="http://schemas.openxmlformats.org/officeDocument/2006/relationships/image" Target="media/image1.jpeg"/></Relationships>

</file>

<file path=word/_rels/footer16.xml.rels><?xml version="1.0" encoding="UTF-8" standalone="yes"?>
<Relationships xmlns="http://schemas.openxmlformats.org/package/2006/relationships"><Relationship Id="rId1" Type="http://schemas.openxmlformats.org/officeDocument/2006/relationships/image" Target="media/image1.jpeg"/></Relationships>

</file>

<file path=word/_rels/footer17.xml.rels><?xml version="1.0" encoding="UTF-8" standalone="yes"?>
<Relationships xmlns="http://schemas.openxmlformats.org/package/2006/relationships"><Relationship Id="rId1" Type="http://schemas.openxmlformats.org/officeDocument/2006/relationships/image" Target="media/image1.jpeg"/></Relationships>

</file>

<file path=word/_rels/footer18.xml.rels><?xml version="1.0" encoding="UTF-8" standalone="yes"?>
<Relationships xmlns="http://schemas.openxmlformats.org/package/2006/relationships"><Relationship Id="rId1" Type="http://schemas.openxmlformats.org/officeDocument/2006/relationships/image" Target="media/image1.jpeg"/></Relationships>

</file>

<file path=word/_rels/footer19.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20.xml.rels><?xml version="1.0" encoding="UTF-8" standalone="yes"?>
<Relationships xmlns="http://schemas.openxmlformats.org/package/2006/relationships"><Relationship Id="rId1" Type="http://schemas.openxmlformats.org/officeDocument/2006/relationships/image" Target="media/image1.jpeg"/></Relationships>

</file>

<file path=word/_rels/footer21.xml.rels><?xml version="1.0" encoding="UTF-8" standalone="yes"?>
<Relationships xmlns="http://schemas.openxmlformats.org/package/2006/relationships"><Relationship Id="rId1" Type="http://schemas.openxmlformats.org/officeDocument/2006/relationships/image" Target="media/image1.jpeg"/></Relationships>

</file>

<file path=word/_rels/footer22.xml.rels><?xml version="1.0" encoding="UTF-8" standalone="yes"?>
<Relationships xmlns="http://schemas.openxmlformats.org/package/2006/relationships"><Relationship Id="rId1" Type="http://schemas.openxmlformats.org/officeDocument/2006/relationships/image" Target="media/image1.jpeg"/></Relationships>

</file>

<file path=word/_rels/footer23.xml.rels><?xml version="1.0" encoding="UTF-8" standalone="yes"?>
<Relationships xmlns="http://schemas.openxmlformats.org/package/2006/relationships"><Relationship Id="rId1" Type="http://schemas.openxmlformats.org/officeDocument/2006/relationships/image" Target="media/image1.jpeg"/></Relationships>

</file>

<file path=word/_rels/footer24.xml.rels><?xml version="1.0" encoding="UTF-8" standalone="yes"?>
<Relationships xmlns="http://schemas.openxmlformats.org/package/2006/relationships"><Relationship Id="rId1" Type="http://schemas.openxmlformats.org/officeDocument/2006/relationships/image" Target="media/image1.jpeg"/></Relationships>

</file>

<file path=word/_rels/footer25.xml.rels><?xml version="1.0" encoding="UTF-8" standalone="yes"?>
<Relationships xmlns="http://schemas.openxmlformats.org/package/2006/relationships"><Relationship Id="rId1" Type="http://schemas.openxmlformats.org/officeDocument/2006/relationships/image" Target="media/image1.jpeg"/></Relationships>

</file>

<file path=word/_rels/footer26.xml.rels><?xml version="1.0" encoding="UTF-8" standalone="yes"?>
<Relationships xmlns="http://schemas.openxmlformats.org/package/2006/relationships"><Relationship Id="rId1" Type="http://schemas.openxmlformats.org/officeDocument/2006/relationships/image" Target="media/image1.jpeg"/></Relationships>

</file>

<file path=word/_rels/footer27.xml.rels><?xml version="1.0" encoding="UTF-8" standalone="yes"?>
<Relationships xmlns="http://schemas.openxmlformats.org/package/2006/relationships"><Relationship Id="rId1" Type="http://schemas.openxmlformats.org/officeDocument/2006/relationships/image" Target="media/image1.jpeg"/></Relationships>

</file>

<file path=word/_rels/footer28.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_rels/footer7.xml.rels><?xml version="1.0" encoding="UTF-8" standalone="yes"?>
<Relationships xmlns="http://schemas.openxmlformats.org/package/2006/relationships"><Relationship Id="rId1" Type="http://schemas.openxmlformats.org/officeDocument/2006/relationships/image" Target="media/image1.jpeg"/></Relationships>

</file>

<file path=word/_rels/footer8.xml.rels><?xml version="1.0" encoding="UTF-8" standalone="yes"?>
<Relationships xmlns="http://schemas.openxmlformats.org/package/2006/relationships"><Relationship Id="rId1" Type="http://schemas.openxmlformats.org/officeDocument/2006/relationships/image" Target="media/image1.jpeg"/></Relationships>

</file>

<file path=word/_rels/foot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广州广电运通金融电子股份有限公司</dc:creator>
  <dc:title>广州广电运通金融电子股份有限公司2017年年度报告全文</dc:title>
  <dcterms:created xsi:type="dcterms:W3CDTF">2020-05-19T01:47:20Z</dcterms:created>
  <dcterms:modified xsi:type="dcterms:W3CDTF">2020-05-19T01:47:20Z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2020-03-30T00:00:00Z</vt:filetime>
  </property>
  <property fmtid="{D5CDD505-2E9C-101B-9397-08002B2CF9AE}" pid="3" name="Creator">
    <vt:lpwstr>WPS 文字</vt:lpwstr>
  </property>
  <property fmtid="{D5CDD505-2E9C-101B-9397-08002B2CF9AE}" pid="4" name="LastSaved">
    <vt:filetime>2020-05-18T00:00:00Z</vt:filetime>
  </property>
</Properties>
</file>