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5"/>
        <w:ind w:left="1418" w:right="1417" w:firstLine="0"/>
        <w:jc w:val="center"/>
        <w:rPr>
          <w:rFonts w:ascii="宋体" w:hAnsi="宋体" w:cs="宋体" w:eastAsia="宋体" w:hint="default"/>
          <w:sz w:val="44"/>
          <w:szCs w:val="44"/>
        </w:rPr>
      </w:pPr>
      <w:r>
        <w:rPr>
          <w:rFonts w:ascii="宋体" w:hAnsi="宋体" w:cs="宋体" w:eastAsia="宋体" w:hint="default"/>
          <w:b/>
          <w:bCs/>
          <w:sz w:val="44"/>
          <w:szCs w:val="44"/>
        </w:rPr>
        <w:t>北京中长石基信息技术股份有限公司</w:t>
      </w:r>
      <w:r>
        <w:rPr>
          <w:rFonts w:ascii="宋体" w:hAnsi="宋体" w:cs="宋体" w:eastAsia="宋体" w:hint="default"/>
          <w:sz w:val="44"/>
          <w:szCs w:val="44"/>
        </w:rPr>
      </w:r>
    </w:p>
    <w:p>
      <w:pPr>
        <w:spacing w:before="351"/>
        <w:ind w:left="1418" w:right="1255" w:firstLine="0"/>
        <w:jc w:val="center"/>
        <w:rPr>
          <w:rFonts w:ascii="Times New Roman" w:hAnsi="Times New Roman" w:cs="Times New Roman" w:eastAsia="Times New Roman" w:hint="default"/>
          <w:sz w:val="32"/>
          <w:szCs w:val="32"/>
        </w:rPr>
      </w:pPr>
      <w:r>
        <w:rPr>
          <w:rFonts w:ascii="Times New Roman"/>
          <w:b/>
          <w:sz w:val="32"/>
        </w:rPr>
        <w:t>Beijing Shiji Information </w:t>
      </w:r>
      <w:r>
        <w:rPr>
          <w:rFonts w:ascii="Times New Roman"/>
          <w:b/>
          <w:spacing w:val="-4"/>
          <w:sz w:val="32"/>
        </w:rPr>
        <w:t>Technology </w:t>
      </w:r>
      <w:r>
        <w:rPr>
          <w:rFonts w:ascii="Times New Roman"/>
          <w:b/>
          <w:sz w:val="32"/>
        </w:rPr>
        <w:t>Co.,</w:t>
      </w:r>
      <w:r>
        <w:rPr>
          <w:rFonts w:ascii="Times New Roman"/>
          <w:b/>
          <w:spacing w:val="-22"/>
          <w:sz w:val="32"/>
        </w:rPr>
        <w:t> </w:t>
      </w:r>
      <w:r>
        <w:rPr>
          <w:rFonts w:ascii="Times New Roman"/>
          <w:b/>
          <w:sz w:val="32"/>
        </w:rPr>
        <w:t>Ltd.</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8"/>
        <w:rPr>
          <w:rFonts w:ascii="Times New Roman" w:hAnsi="Times New Roman" w:cs="Times New Roman" w:eastAsia="Times New Roman" w:hint="default"/>
          <w:b/>
          <w:bCs/>
          <w:sz w:val="34"/>
          <w:szCs w:val="34"/>
        </w:rPr>
      </w:pPr>
    </w:p>
    <w:p>
      <w:pPr>
        <w:spacing w:before="0"/>
        <w:ind w:left="1418" w:right="1086" w:firstLine="0"/>
        <w:jc w:val="center"/>
        <w:rPr>
          <w:rFonts w:ascii="宋体" w:hAnsi="宋体" w:cs="宋体" w:eastAsia="宋体" w:hint="default"/>
          <w:sz w:val="48"/>
          <w:szCs w:val="48"/>
        </w:rPr>
      </w:pPr>
      <w:r>
        <w:rPr>
          <w:rFonts w:ascii="宋体" w:hAnsi="宋体" w:cs="宋体" w:eastAsia="宋体" w:hint="default"/>
          <w:b/>
          <w:bCs/>
          <w:sz w:val="48"/>
          <w:szCs w:val="48"/>
        </w:rPr>
        <w:t>2010</w:t>
      </w:r>
      <w:r>
        <w:rPr>
          <w:rFonts w:ascii="宋体" w:hAnsi="宋体" w:cs="宋体" w:eastAsia="宋体" w:hint="default"/>
          <w:b/>
          <w:bCs/>
          <w:spacing w:val="-130"/>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3549" w:lineRule="exact"/>
        <w:ind w:left="347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177779" cy="225361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177779" cy="225361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line="338" w:lineRule="auto" w:before="13"/>
        <w:ind w:left="3918" w:right="3476" w:hanging="1"/>
        <w:jc w:val="left"/>
        <w:rPr>
          <w:rFonts w:ascii="宋体" w:hAnsi="宋体" w:cs="宋体" w:eastAsia="宋体" w:hint="default"/>
          <w:sz w:val="28"/>
          <w:szCs w:val="28"/>
        </w:rPr>
      </w:pPr>
      <w:r>
        <w:rPr>
          <w:rFonts w:ascii="宋体" w:hAnsi="宋体" w:cs="宋体" w:eastAsia="宋体" w:hint="default"/>
          <w:b/>
          <w:bCs/>
          <w:sz w:val="28"/>
          <w:szCs w:val="28"/>
        </w:rPr>
        <w:t>证券代码：</w:t>
      </w:r>
      <w:r>
        <w:rPr>
          <w:rFonts w:ascii="Times New Roman" w:hAnsi="Times New Roman" w:cs="Times New Roman" w:eastAsia="Times New Roman" w:hint="default"/>
          <w:b/>
          <w:bCs/>
          <w:sz w:val="28"/>
          <w:szCs w:val="28"/>
        </w:rPr>
        <w:t>002153</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证券简称：石基信息</w:t>
      </w:r>
      <w:r>
        <w:rPr>
          <w:rFonts w:ascii="宋体" w:hAnsi="宋体" w:cs="宋体" w:eastAsia="宋体" w:hint="default"/>
          <w:sz w:val="28"/>
          <w:szCs w:val="28"/>
        </w:rPr>
      </w:r>
    </w:p>
    <w:p>
      <w:pPr>
        <w:spacing w:before="63"/>
        <w:ind w:left="3470" w:right="172" w:firstLine="0"/>
        <w:jc w:val="left"/>
        <w:rPr>
          <w:rFonts w:ascii="宋体" w:hAnsi="宋体" w:cs="宋体" w:eastAsia="宋体" w:hint="default"/>
          <w:sz w:val="28"/>
          <w:szCs w:val="28"/>
        </w:rPr>
      </w:pPr>
      <w:r>
        <w:rPr>
          <w:rFonts w:ascii="宋体" w:hAnsi="宋体" w:cs="宋体" w:eastAsia="宋体" w:hint="default"/>
          <w:b/>
          <w:bCs/>
          <w:sz w:val="28"/>
          <w:szCs w:val="28"/>
        </w:rPr>
        <w:t>披露日期：</w:t>
      </w:r>
      <w:r>
        <w:rPr>
          <w:rFonts w:ascii="Times New Roman" w:hAnsi="Times New Roman" w:cs="Times New Roman" w:eastAsia="Times New Roman" w:hint="default"/>
          <w:b/>
          <w:bCs/>
          <w:sz w:val="28"/>
          <w:szCs w:val="28"/>
        </w:rPr>
        <w:t>2011</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年</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5"/>
          <w:type w:val="continuous"/>
          <w:pgSz w:w="11910" w:h="16840"/>
          <w:pgMar w:header="851" w:top="1200" w:bottom="280" w:left="980" w:right="980"/>
        </w:sectPr>
      </w:pPr>
    </w:p>
    <w:p>
      <w:pPr>
        <w:spacing w:line="240" w:lineRule="auto" w:before="9"/>
        <w:rPr>
          <w:rFonts w:ascii="宋体" w:hAnsi="宋体" w:cs="宋体" w:eastAsia="宋体" w:hint="default"/>
          <w:b/>
          <w:bCs/>
          <w:sz w:val="18"/>
          <w:szCs w:val="18"/>
        </w:rPr>
      </w:pPr>
    </w:p>
    <w:p>
      <w:pPr>
        <w:tabs>
          <w:tab w:pos="4521" w:val="left" w:leader="none"/>
          <w:tab w:pos="5124" w:val="left" w:leader="none"/>
          <w:tab w:pos="5726" w:val="left" w:leader="none"/>
        </w:tabs>
        <w:spacing w:before="7"/>
        <w:ind w:left="3708" w:right="3476" w:firstLine="0"/>
        <w:jc w:val="left"/>
        <w:rPr>
          <w:rFonts w:ascii="宋体" w:hAnsi="宋体" w:cs="宋体" w:eastAsia="宋体" w:hint="default"/>
          <w:sz w:val="21"/>
          <w:szCs w:val="21"/>
        </w:rPr>
      </w:pPr>
      <w:r>
        <w:rPr>
          <w:rFonts w:ascii="宋体" w:hAnsi="宋体" w:cs="宋体" w:eastAsia="宋体" w:hint="default"/>
          <w:spacing w:val="-1"/>
          <w:w w:val="95"/>
          <w:sz w:val="21"/>
          <w:szCs w:val="21"/>
        </w:rPr>
        <w:t>【</w:t>
      </w:r>
      <w:r>
        <w:rPr>
          <w:rFonts w:ascii="宋体" w:hAnsi="宋体" w:cs="宋体" w:eastAsia="宋体" w:hint="default"/>
          <w:b/>
          <w:bCs/>
          <w:spacing w:val="-1"/>
          <w:w w:val="95"/>
          <w:sz w:val="30"/>
          <w:szCs w:val="30"/>
        </w:rPr>
        <w:t>重</w:t>
        <w:tab/>
      </w:r>
      <w:r>
        <w:rPr>
          <w:rFonts w:ascii="宋体" w:hAnsi="宋体" w:cs="宋体" w:eastAsia="宋体" w:hint="default"/>
          <w:b/>
          <w:bCs/>
          <w:w w:val="95"/>
          <w:sz w:val="30"/>
          <w:szCs w:val="30"/>
        </w:rPr>
        <w:t>要</w:t>
        <w:tab/>
        <w:t>提</w:t>
        <w:tab/>
      </w:r>
      <w:r>
        <w:rPr>
          <w:rFonts w:ascii="宋体" w:hAnsi="宋体" w:cs="宋体" w:eastAsia="宋体" w:hint="default"/>
          <w:b/>
          <w:bCs/>
          <w:sz w:val="30"/>
          <w:szCs w:val="30"/>
        </w:rPr>
        <w:t>示</w:t>
      </w:r>
      <w:r>
        <w:rPr>
          <w:rFonts w:ascii="宋体" w:hAnsi="宋体" w:cs="宋体" w:eastAsia="宋体" w:hint="default"/>
          <w:sz w:val="21"/>
          <w:szCs w:val="21"/>
        </w:rPr>
        <w:t>】</w:t>
      </w:r>
    </w:p>
    <w:p>
      <w:pPr>
        <w:spacing w:line="240" w:lineRule="auto" w:before="0"/>
        <w:rPr>
          <w:rFonts w:ascii="宋体" w:hAnsi="宋体" w:cs="宋体" w:eastAsia="宋体" w:hint="default"/>
          <w:sz w:val="30"/>
          <w:szCs w:val="30"/>
        </w:rPr>
      </w:pPr>
    </w:p>
    <w:p>
      <w:pPr>
        <w:pStyle w:val="BodyText"/>
        <w:spacing w:line="355" w:lineRule="auto" w:before="222"/>
        <w:ind w:left="512" w:right="172" w:firstLine="420"/>
        <w:jc w:val="left"/>
        <w:rPr>
          <w:rFonts w:ascii="黑体" w:hAnsi="黑体" w:cs="黑体" w:eastAsia="黑体" w:hint="default"/>
        </w:rPr>
      </w:pPr>
      <w:r>
        <w:rPr>
          <w:rFonts w:ascii="黑体" w:hAnsi="黑体" w:cs="黑体" w:eastAsia="黑体" w:hint="default"/>
        </w:rPr>
        <w:t>本公司董事会、监事会及董事、监事、高级管理人员保证本报告所载资料不存在任何虚假记载、 误导性陈述或者重大遗漏，并对其内容的真实性、准确性和完整性承担个别及连带责任。</w:t>
      </w:r>
    </w:p>
    <w:p>
      <w:pPr>
        <w:pStyle w:val="BodyText"/>
        <w:spacing w:line="357" w:lineRule="auto" w:before="32"/>
        <w:ind w:left="932" w:right="0"/>
        <w:jc w:val="left"/>
        <w:rPr>
          <w:rFonts w:ascii="黑体" w:hAnsi="黑体" w:cs="黑体" w:eastAsia="黑体" w:hint="default"/>
        </w:rPr>
      </w:pPr>
      <w:r>
        <w:rPr>
          <w:rFonts w:ascii="黑体" w:hAnsi="黑体" w:cs="黑体" w:eastAsia="黑体" w:hint="default"/>
          <w:spacing w:val="-4"/>
        </w:rPr>
        <w:t>没有董事、监事、高级管理人员对年度报告内容的真实性、准确性、完整性无法保证或存在异议。</w:t>
      </w:r>
      <w:r>
        <w:rPr>
          <w:rFonts w:ascii="黑体" w:hAnsi="黑体" w:cs="黑体" w:eastAsia="黑体" w:hint="default"/>
          <w:spacing w:val="-73"/>
        </w:rPr>
        <w:t> </w:t>
      </w:r>
      <w:r>
        <w:rPr>
          <w:rFonts w:ascii="黑体" w:hAnsi="黑体" w:cs="黑体" w:eastAsia="黑体" w:hint="default"/>
          <w:spacing w:val="-73"/>
        </w:rPr>
      </w:r>
      <w:r>
        <w:rPr>
          <w:rFonts w:ascii="黑体" w:hAnsi="黑体" w:cs="黑体" w:eastAsia="黑体" w:hint="default"/>
        </w:rPr>
        <w:t>公司全体董事亲自出席了本次审议年度报告的董事会。 武汉众环会计师事务所有限责任公司对本公司财务报表出具了标准无保留意见的审计报告。 公司董事长李仲初先生、财务负责人赖德源先生及会计机构负责人李天达先生声明：保证年度报</w:t>
      </w:r>
    </w:p>
    <w:p>
      <w:pPr>
        <w:pStyle w:val="BodyText"/>
        <w:spacing w:line="240" w:lineRule="auto" w:before="30"/>
        <w:ind w:left="512" w:right="3476"/>
        <w:jc w:val="left"/>
        <w:rPr>
          <w:rFonts w:ascii="黑体" w:hAnsi="黑体" w:cs="黑体" w:eastAsia="黑体" w:hint="default"/>
        </w:rPr>
      </w:pPr>
      <w:r>
        <w:rPr>
          <w:rFonts w:ascii="黑体" w:hAnsi="黑体" w:cs="黑体" w:eastAsia="黑体" w:hint="default"/>
        </w:rPr>
        <w:t>告中财务报告的真实、完整。</w:t>
      </w:r>
    </w:p>
    <w:p>
      <w:pPr>
        <w:spacing w:after="0" w:line="240" w:lineRule="auto"/>
        <w:jc w:val="left"/>
        <w:rPr>
          <w:rFonts w:ascii="黑体" w:hAnsi="黑体" w:cs="黑体" w:eastAsia="黑体" w:hint="default"/>
        </w:rPr>
        <w:sectPr>
          <w:footerReference w:type="default" r:id="rId7"/>
          <w:pgSz w:w="11910" w:h="16840"/>
          <w:pgMar w:footer="982" w:header="851" w:top="1320" w:bottom="1180" w:left="980" w:right="980"/>
          <w:pgNumType w:start="2"/>
        </w:sectPr>
      </w:pPr>
    </w:p>
    <w:p>
      <w:pPr>
        <w:spacing w:line="240" w:lineRule="auto" w:before="0"/>
        <w:rPr>
          <w:rFonts w:ascii="黑体" w:hAnsi="黑体" w:cs="黑体" w:eastAsia="黑体" w:hint="default"/>
          <w:sz w:val="20"/>
          <w:szCs w:val="20"/>
        </w:rPr>
      </w:pPr>
    </w:p>
    <w:p>
      <w:pPr>
        <w:spacing w:before="175"/>
        <w:ind w:left="1417" w:right="1417"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2"/>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22"/>
          <w:szCs w:val="22"/>
        </w:rPr>
      </w:pPr>
    </w:p>
    <w:sdt>
      <w:sdtPr>
        <w:docPartObj>
          <w:docPartGallery w:val="Table of Contents"/>
          <w:docPartUnique/>
        </w:docPartObj>
      </w:sdtPr>
      <w:sdtEndPr/>
      <w:sdtContent>
        <w:p>
          <w:pPr>
            <w:pStyle w:val="TOC1"/>
            <w:tabs>
              <w:tab w:pos="9781" w:val="right" w:leader="dot"/>
            </w:tabs>
            <w:spacing w:line="240" w:lineRule="auto" w:before="0"/>
            <w:ind w:right="0"/>
            <w:jc w:val="left"/>
          </w:pPr>
          <w:r>
            <w:fldChar w:fldCharType="begin"/>
          </w:r>
          <w:r>
            <w:instrText>TOC \o "1-1" \h \z \u </w:instrText>
          </w:r>
          <w:r>
            <w:fldChar w:fldCharType="separate"/>
          </w:r>
          <w:hyperlink w:history="true" w:anchor="_bookmark0">
            <w:r>
              <w:rPr/>
              <w:t>第一节 公司基本情况简介</w:t>
            </w:r>
            <w:r>
              <w:rPr>
                <w:rFonts w:ascii="Times New Roman" w:hAnsi="Times New Roman" w:cs="Times New Roman" w:eastAsia="Times New Roman" w:hint="default"/>
              </w:rPr>
              <w:tab/>
            </w:r>
            <w:r>
              <w:rPr/>
              <w:t>4</w:t>
            </w:r>
          </w:hyperlink>
        </w:p>
        <w:p>
          <w:pPr>
            <w:pStyle w:val="TOC1"/>
            <w:tabs>
              <w:tab w:pos="9781" w:val="right" w:leader="dot"/>
            </w:tabs>
            <w:spacing w:line="240" w:lineRule="auto" w:before="154"/>
            <w:ind w:right="0"/>
            <w:jc w:val="left"/>
          </w:pPr>
          <w:hyperlink w:history="true" w:anchor="_bookmark1">
            <w:r>
              <w:rPr/>
              <w:t>第二节 会计数据和业务数据摘要</w:t>
            </w:r>
            <w:r>
              <w:rPr>
                <w:rFonts w:ascii="Times New Roman" w:hAnsi="Times New Roman" w:cs="Times New Roman" w:eastAsia="Times New Roman" w:hint="default"/>
              </w:rPr>
              <w:tab/>
            </w:r>
            <w:r>
              <w:rPr/>
              <w:t>6</w:t>
            </w:r>
          </w:hyperlink>
        </w:p>
        <w:p>
          <w:pPr>
            <w:pStyle w:val="TOC1"/>
            <w:tabs>
              <w:tab w:pos="9781" w:val="right" w:leader="dot"/>
            </w:tabs>
            <w:spacing w:line="240" w:lineRule="auto"/>
            <w:ind w:right="0"/>
            <w:jc w:val="left"/>
          </w:pPr>
          <w:hyperlink w:history="true" w:anchor="_bookmark2">
            <w:r>
              <w:rPr/>
              <w:t>第三节 股本变动及股东情况</w:t>
            </w:r>
            <w:r>
              <w:rPr>
                <w:rFonts w:ascii="Times New Roman" w:hAnsi="Times New Roman" w:cs="Times New Roman" w:eastAsia="Times New Roman" w:hint="default"/>
              </w:rPr>
              <w:tab/>
            </w:r>
            <w:r>
              <w:rPr/>
              <w:t>8</w:t>
            </w:r>
          </w:hyperlink>
        </w:p>
        <w:p>
          <w:pPr>
            <w:pStyle w:val="TOC1"/>
            <w:tabs>
              <w:tab w:pos="9781" w:val="right" w:leader="dot"/>
            </w:tabs>
            <w:spacing w:line="240" w:lineRule="auto"/>
            <w:ind w:right="0"/>
            <w:jc w:val="left"/>
          </w:pPr>
          <w:hyperlink w:history="true" w:anchor="_bookmark3">
            <w:r>
              <w:rPr/>
              <w:t>第四节 董事、监事、高级管理人员和员工情况</w:t>
            </w:r>
            <w:r>
              <w:rPr>
                <w:rFonts w:ascii="Times New Roman" w:hAnsi="Times New Roman" w:cs="Times New Roman" w:eastAsia="Times New Roman" w:hint="default"/>
              </w:rPr>
              <w:tab/>
            </w:r>
            <w:r>
              <w:rPr/>
              <w:t>12</w:t>
            </w:r>
          </w:hyperlink>
        </w:p>
        <w:p>
          <w:pPr>
            <w:pStyle w:val="TOC1"/>
            <w:tabs>
              <w:tab w:pos="9781" w:val="right" w:leader="dot"/>
            </w:tabs>
            <w:spacing w:line="240" w:lineRule="auto"/>
            <w:ind w:right="0"/>
            <w:jc w:val="left"/>
          </w:pPr>
          <w:hyperlink w:history="true" w:anchor="_bookmark4">
            <w:r>
              <w:rPr/>
              <w:t>第五节 公司治理结构</w:t>
            </w:r>
            <w:r>
              <w:rPr>
                <w:rFonts w:ascii="Times New Roman" w:hAnsi="Times New Roman" w:cs="Times New Roman" w:eastAsia="Times New Roman" w:hint="default"/>
              </w:rPr>
              <w:tab/>
            </w:r>
            <w:r>
              <w:rPr/>
              <w:t>16</w:t>
            </w:r>
          </w:hyperlink>
        </w:p>
        <w:p>
          <w:pPr>
            <w:pStyle w:val="TOC1"/>
            <w:tabs>
              <w:tab w:pos="9781" w:val="right" w:leader="dot"/>
            </w:tabs>
            <w:spacing w:line="240" w:lineRule="auto"/>
            <w:ind w:right="0"/>
            <w:jc w:val="left"/>
          </w:pPr>
          <w:hyperlink w:history="true" w:anchor="_bookmark5">
            <w:r>
              <w:rPr/>
              <w:t>第六节 股东大会情况简介</w:t>
            </w:r>
            <w:r>
              <w:rPr>
                <w:rFonts w:ascii="Times New Roman" w:hAnsi="Times New Roman" w:cs="Times New Roman" w:eastAsia="Times New Roman" w:hint="default"/>
              </w:rPr>
              <w:tab/>
            </w:r>
            <w:r>
              <w:rPr/>
              <w:t>22</w:t>
            </w:r>
          </w:hyperlink>
        </w:p>
        <w:p>
          <w:pPr>
            <w:pStyle w:val="TOC1"/>
            <w:tabs>
              <w:tab w:pos="9781" w:val="right" w:leader="dot"/>
            </w:tabs>
            <w:spacing w:line="240" w:lineRule="auto"/>
            <w:ind w:right="0"/>
            <w:jc w:val="left"/>
          </w:pPr>
          <w:hyperlink w:history="true" w:anchor="_bookmark6">
            <w:r>
              <w:rPr/>
              <w:t>第七节 董事会工作报告</w:t>
            </w:r>
            <w:r>
              <w:rPr>
                <w:rFonts w:ascii="Times New Roman" w:hAnsi="Times New Roman" w:cs="Times New Roman" w:eastAsia="Times New Roman" w:hint="default"/>
              </w:rPr>
              <w:tab/>
            </w:r>
            <w:r>
              <w:rPr/>
              <w:t>22</w:t>
            </w:r>
          </w:hyperlink>
        </w:p>
        <w:p>
          <w:pPr>
            <w:pStyle w:val="TOC1"/>
            <w:tabs>
              <w:tab w:pos="9781" w:val="right" w:leader="dot"/>
            </w:tabs>
            <w:spacing w:line="240" w:lineRule="auto"/>
            <w:ind w:right="0"/>
            <w:jc w:val="left"/>
          </w:pPr>
          <w:hyperlink w:history="true" w:anchor="_bookmark7">
            <w:r>
              <w:rPr/>
              <w:t>第八节 监事会工作报告</w:t>
            </w:r>
            <w:r>
              <w:rPr>
                <w:rFonts w:ascii="Times New Roman" w:hAnsi="Times New Roman" w:cs="Times New Roman" w:eastAsia="Times New Roman" w:hint="default"/>
              </w:rPr>
              <w:tab/>
            </w:r>
            <w:r>
              <w:rPr/>
              <w:t>42</w:t>
            </w:r>
          </w:hyperlink>
        </w:p>
        <w:p>
          <w:pPr>
            <w:pStyle w:val="TOC1"/>
            <w:tabs>
              <w:tab w:pos="9781" w:val="right" w:leader="dot"/>
            </w:tabs>
            <w:spacing w:line="240" w:lineRule="auto"/>
            <w:ind w:right="0"/>
            <w:jc w:val="left"/>
          </w:pPr>
          <w:hyperlink w:history="true" w:anchor="_bookmark8">
            <w:r>
              <w:rPr/>
              <w:t>第九节 重要事项</w:t>
            </w:r>
            <w:r>
              <w:rPr>
                <w:rFonts w:ascii="Times New Roman" w:hAnsi="Times New Roman" w:cs="Times New Roman" w:eastAsia="Times New Roman" w:hint="default"/>
              </w:rPr>
              <w:tab/>
            </w:r>
            <w:r>
              <w:rPr/>
              <w:t>45</w:t>
            </w:r>
          </w:hyperlink>
        </w:p>
        <w:p>
          <w:pPr>
            <w:pStyle w:val="TOC1"/>
            <w:tabs>
              <w:tab w:pos="9781" w:val="right" w:leader="dot"/>
            </w:tabs>
            <w:spacing w:line="240" w:lineRule="auto"/>
            <w:ind w:right="0"/>
            <w:jc w:val="left"/>
          </w:pPr>
          <w:hyperlink w:history="true" w:anchor="_bookmark9">
            <w:r>
              <w:rPr/>
              <w:t>第十节 财务报告</w:t>
            </w:r>
            <w:r>
              <w:rPr>
                <w:rFonts w:ascii="Times New Roman" w:hAnsi="Times New Roman" w:cs="Times New Roman" w:eastAsia="Times New Roman" w:hint="default"/>
              </w:rPr>
              <w:tab/>
            </w:r>
            <w:r>
              <w:rPr/>
              <w:t>52</w:t>
            </w:r>
          </w:hyperlink>
        </w:p>
        <w:p>
          <w:pPr>
            <w:pStyle w:val="TOC1"/>
            <w:tabs>
              <w:tab w:pos="9781" w:val="right" w:leader="dot"/>
            </w:tabs>
            <w:spacing w:line="240" w:lineRule="auto"/>
            <w:ind w:right="0"/>
            <w:jc w:val="left"/>
          </w:pPr>
          <w:hyperlink w:history="true" w:anchor="_bookmark10">
            <w:r>
              <w:rPr/>
              <w:t>第十一节 备查文件目录</w:t>
            </w:r>
            <w:r>
              <w:rPr>
                <w:rFonts w:ascii="Times New Roman" w:hAnsi="Times New Roman" w:cs="Times New Roman" w:eastAsia="Times New Roman" w:hint="default"/>
              </w:rPr>
              <w:tab/>
            </w:r>
            <w:r>
              <w:rPr/>
              <w:t>135</w:t>
            </w:r>
          </w:hyperlink>
        </w:p>
        <w:p>
          <w:pPr/>
          <w:r>
            <w:fldChar w:fldCharType="end"/>
          </w:r>
        </w:p>
      </w:sdtContent>
    </w:sdt>
    <w:p>
      <w:pPr>
        <w:spacing w:after="0"/>
        <w:sectPr>
          <w:pgSz w:w="11910" w:h="16840"/>
          <w:pgMar w:header="851" w:footer="982" w:top="1320" w:bottom="1180" w:left="980" w:right="980"/>
        </w:sectPr>
      </w:pPr>
    </w:p>
    <w:p>
      <w:pPr>
        <w:pStyle w:val="Heading1"/>
        <w:spacing w:line="240" w:lineRule="auto" w:before="234"/>
        <w:ind w:right="1417"/>
        <w:jc w:val="center"/>
        <w:rPr>
          <w:b w:val="0"/>
          <w:bCs w:val="0"/>
        </w:rPr>
      </w:pPr>
      <w:bookmarkStart w:name="_bookmark0" w:id="1"/>
      <w:bookmarkEnd w:id="1"/>
      <w:r>
        <w:rPr>
          <w:b w:val="0"/>
          <w:bCs w:val="0"/>
        </w:rPr>
      </w:r>
      <w:r>
        <w:rPr/>
        <w:t>第一节</w:t>
      </w:r>
      <w:r>
        <w:rPr>
          <w:spacing w:val="-6"/>
        </w:rPr>
        <w:t> </w:t>
      </w:r>
      <w:r>
        <w:rPr/>
        <w:t>公司基本情况简介</w:t>
      </w:r>
      <w:r>
        <w:rPr>
          <w:b w:val="0"/>
          <w:bCs w:val="0"/>
        </w:rPr>
      </w:r>
    </w:p>
    <w:p>
      <w:pPr>
        <w:spacing w:line="240" w:lineRule="auto" w:before="12"/>
        <w:rPr>
          <w:rFonts w:ascii="宋体" w:hAnsi="宋体" w:cs="宋体" w:eastAsia="宋体" w:hint="default"/>
          <w:b/>
          <w:bCs/>
          <w:sz w:val="35"/>
          <w:szCs w:val="35"/>
        </w:rPr>
      </w:pPr>
    </w:p>
    <w:p>
      <w:pPr>
        <w:pStyle w:val="BodyText"/>
        <w:spacing w:line="355" w:lineRule="auto"/>
        <w:ind w:left="573" w:right="1909" w:hanging="420"/>
        <w:jc w:val="left"/>
      </w:pPr>
      <w:r>
        <w:rPr/>
        <w:t>一、公司法定中文名称：北京中长石基信息技术股份有限公司 公司法定英文名称：Beijing Shiji Information Technology Co.,</w:t>
      </w:r>
      <w:r>
        <w:rPr>
          <w:spacing w:val="-42"/>
        </w:rPr>
        <w:t> </w:t>
      </w:r>
      <w:r>
        <w:rPr/>
        <w:t>Ltd.</w:t>
      </w:r>
      <w:r>
        <w:rPr>
          <w:spacing w:val="-1"/>
        </w:rPr>
        <w:t> </w:t>
      </w:r>
      <w:r>
        <w:rPr/>
        <w:t>中文简称：石基信息</w:t>
      </w:r>
    </w:p>
    <w:p>
      <w:pPr>
        <w:pStyle w:val="BodyText"/>
        <w:spacing w:line="355" w:lineRule="auto" w:before="33"/>
        <w:ind w:left="153" w:right="6411"/>
        <w:jc w:val="left"/>
      </w:pPr>
      <w:r>
        <w:rPr/>
        <w:t>二、法定代表人:</w:t>
      </w:r>
      <w:r>
        <w:rPr>
          <w:spacing w:val="-1"/>
        </w:rPr>
        <w:t> </w:t>
      </w:r>
      <w:r>
        <w:rPr/>
        <w:t>李仲初</w:t>
      </w:r>
      <w:r>
        <w:rPr/>
        <w:t> 三、公司董事会秘书、证券事务代表</w:t>
      </w:r>
    </w:p>
    <w:p>
      <w:pPr>
        <w:pStyle w:val="BodyText"/>
        <w:spacing w:line="240" w:lineRule="auto" w:before="33"/>
        <w:ind w:left="573" w:right="3476"/>
        <w:jc w:val="left"/>
      </w:pPr>
      <w:r>
        <w:rPr/>
        <w:t>公司董事会秘书：郭洁</w:t>
      </w:r>
    </w:p>
    <w:p>
      <w:pPr>
        <w:pStyle w:val="BodyText"/>
        <w:spacing w:line="357" w:lineRule="auto" w:before="133"/>
        <w:ind w:left="573" w:right="4205"/>
        <w:jc w:val="left"/>
      </w:pPr>
      <w:r>
        <w:rPr/>
        <w:t>联系地址</w:t>
      </w:r>
      <w:r>
        <w:rPr>
          <w:spacing w:val="-6"/>
        </w:rPr>
        <w:t> </w:t>
      </w:r>
      <w:r>
        <w:rPr/>
        <w:t>：北京市海淀区复兴路甲</w:t>
      </w:r>
      <w:r>
        <w:rPr>
          <w:spacing w:val="-56"/>
        </w:rPr>
        <w:t> </w:t>
      </w:r>
      <w:r>
        <w:rPr/>
        <w:t>65</w:t>
      </w:r>
      <w:r>
        <w:rPr>
          <w:spacing w:val="-55"/>
        </w:rPr>
        <w:t> </w:t>
      </w:r>
      <w:r>
        <w:rPr/>
        <w:t>号-A</w:t>
      </w:r>
      <w:r>
        <w:rPr>
          <w:spacing w:val="-6"/>
        </w:rPr>
        <w:t> </w:t>
      </w:r>
      <w:r>
        <w:rPr/>
        <w:t>14</w:t>
      </w:r>
      <w:r>
        <w:rPr>
          <w:spacing w:val="-55"/>
        </w:rPr>
        <w:t> </w:t>
      </w:r>
      <w:r>
        <w:rPr/>
        <w:t>层</w:t>
      </w:r>
      <w:r>
        <w:rPr/>
        <w:t> 联系电话</w:t>
      </w:r>
      <w:r>
        <w:rPr>
          <w:spacing w:val="-15"/>
        </w:rPr>
        <w:t> </w:t>
      </w:r>
      <w:r>
        <w:rPr/>
        <w:t>：010-68249356</w:t>
      </w:r>
    </w:p>
    <w:p>
      <w:pPr>
        <w:pStyle w:val="BodyText"/>
        <w:tabs>
          <w:tab w:pos="1204" w:val="left" w:leader="none"/>
        </w:tabs>
        <w:spacing w:line="240" w:lineRule="auto" w:before="30"/>
        <w:ind w:left="573" w:right="3476"/>
        <w:jc w:val="left"/>
      </w:pPr>
      <w:r>
        <w:rPr/>
        <w:t>传</w:t>
        <w:tab/>
        <w:t>真</w:t>
      </w:r>
      <w:r>
        <w:rPr>
          <w:spacing w:val="-10"/>
        </w:rPr>
        <w:t> </w:t>
      </w:r>
      <w:r>
        <w:rPr/>
        <w:t>：010-68183776</w:t>
      </w:r>
    </w:p>
    <w:p>
      <w:pPr>
        <w:pStyle w:val="BodyText"/>
        <w:spacing w:line="357" w:lineRule="auto" w:before="133"/>
        <w:ind w:left="573" w:right="6323"/>
        <w:jc w:val="left"/>
      </w:pPr>
      <w:r>
        <w:rPr/>
        <w:t>电子信箱</w:t>
      </w:r>
      <w:r>
        <w:rPr>
          <w:spacing w:val="-17"/>
        </w:rPr>
        <w:t> </w:t>
      </w:r>
      <w:r>
        <w:rPr/>
        <w:t>：</w:t>
      </w:r>
      <w:hyperlink r:id="rId8">
        <w:r>
          <w:rPr/>
          <w:t>Ir@shijinet.com.cn</w:t>
        </w:r>
      </w:hyperlink>
      <w:r>
        <w:rPr>
          <w:spacing w:val="-1"/>
        </w:rPr>
        <w:t> </w:t>
      </w:r>
      <w:r>
        <w:rPr/>
        <w:t>证券事务代表：王雯娟</w:t>
      </w:r>
    </w:p>
    <w:p>
      <w:pPr>
        <w:pStyle w:val="BodyText"/>
        <w:spacing w:line="357" w:lineRule="auto" w:before="30"/>
        <w:ind w:left="573" w:right="4205"/>
        <w:jc w:val="left"/>
      </w:pPr>
      <w:r>
        <w:rPr/>
        <w:t>联系地址</w:t>
      </w:r>
      <w:r>
        <w:rPr>
          <w:spacing w:val="-6"/>
        </w:rPr>
        <w:t> </w:t>
      </w:r>
      <w:r>
        <w:rPr/>
        <w:t>：北京市海淀区复兴路甲</w:t>
      </w:r>
      <w:r>
        <w:rPr>
          <w:spacing w:val="-56"/>
        </w:rPr>
        <w:t> </w:t>
      </w:r>
      <w:r>
        <w:rPr/>
        <w:t>65</w:t>
      </w:r>
      <w:r>
        <w:rPr>
          <w:spacing w:val="-55"/>
        </w:rPr>
        <w:t> </w:t>
      </w:r>
      <w:r>
        <w:rPr/>
        <w:t>号-A</w:t>
      </w:r>
      <w:r>
        <w:rPr>
          <w:spacing w:val="-6"/>
        </w:rPr>
        <w:t> </w:t>
      </w:r>
      <w:r>
        <w:rPr/>
        <w:t>14</w:t>
      </w:r>
      <w:r>
        <w:rPr>
          <w:spacing w:val="-55"/>
        </w:rPr>
        <w:t> </w:t>
      </w:r>
      <w:r>
        <w:rPr/>
        <w:t>层</w:t>
      </w:r>
      <w:r>
        <w:rPr/>
        <w:t> 联系电话</w:t>
      </w:r>
      <w:r>
        <w:rPr>
          <w:spacing w:val="-19"/>
        </w:rPr>
        <w:t> </w:t>
      </w:r>
      <w:r>
        <w:rPr/>
        <w:t>：010-68183778-670</w:t>
      </w:r>
    </w:p>
    <w:p>
      <w:pPr>
        <w:pStyle w:val="BodyText"/>
        <w:tabs>
          <w:tab w:pos="1204" w:val="left" w:leader="none"/>
        </w:tabs>
        <w:spacing w:line="240" w:lineRule="auto" w:before="30"/>
        <w:ind w:left="573" w:right="3476"/>
        <w:jc w:val="left"/>
      </w:pPr>
      <w:r>
        <w:rPr/>
        <w:t>传</w:t>
        <w:tab/>
        <w:t>真</w:t>
      </w:r>
      <w:r>
        <w:rPr>
          <w:spacing w:val="-10"/>
        </w:rPr>
        <w:t> </w:t>
      </w:r>
      <w:r>
        <w:rPr/>
        <w:t>：010-68183776</w:t>
      </w:r>
    </w:p>
    <w:p>
      <w:pPr>
        <w:pStyle w:val="BodyText"/>
        <w:spacing w:line="355" w:lineRule="auto" w:before="134"/>
        <w:ind w:left="153" w:right="3476" w:firstLine="420"/>
        <w:jc w:val="left"/>
      </w:pPr>
      <w:r>
        <w:rPr/>
        <w:t>电子信箱</w:t>
      </w:r>
      <w:r>
        <w:rPr>
          <w:spacing w:val="-4"/>
        </w:rPr>
        <w:t> </w:t>
      </w:r>
      <w:r>
        <w:rPr/>
        <w:t>：</w:t>
      </w:r>
      <w:hyperlink r:id="rId9">
        <w:r>
          <w:rPr/>
          <w:t>willa.wang@shijinet.com.cn</w:t>
        </w:r>
      </w:hyperlink>
      <w:r>
        <w:rPr>
          <w:spacing w:val="-1"/>
        </w:rPr>
        <w:t> </w:t>
      </w:r>
      <w:r>
        <w:rPr/>
        <w:t>四、公司注册地址：北京市海淀区复兴路甲</w:t>
      </w:r>
      <w:r>
        <w:rPr>
          <w:spacing w:val="-58"/>
        </w:rPr>
        <w:t> </w:t>
      </w:r>
      <w:r>
        <w:rPr/>
        <w:t>65</w:t>
      </w:r>
      <w:r>
        <w:rPr>
          <w:spacing w:val="-58"/>
        </w:rPr>
        <w:t> </w:t>
      </w:r>
      <w:r>
        <w:rPr/>
        <w:t>号-A</w:t>
      </w:r>
      <w:r>
        <w:rPr>
          <w:spacing w:val="-10"/>
        </w:rPr>
        <w:t> </w:t>
      </w:r>
      <w:r>
        <w:rPr/>
        <w:t>11</w:t>
      </w:r>
      <w:r>
        <w:rPr>
          <w:spacing w:val="-57"/>
        </w:rPr>
        <w:t> </w:t>
      </w:r>
      <w:r>
        <w:rPr/>
        <w:t>层</w:t>
      </w:r>
    </w:p>
    <w:p>
      <w:pPr>
        <w:pStyle w:val="BodyText"/>
        <w:spacing w:line="357" w:lineRule="auto" w:before="32"/>
        <w:ind w:left="573" w:right="172"/>
        <w:jc w:val="left"/>
      </w:pPr>
      <w:r>
        <w:rPr/>
        <w:t>公司办公地址：北京市海淀区复兴路甲</w:t>
      </w:r>
      <w:r>
        <w:rPr>
          <w:spacing w:val="-57"/>
        </w:rPr>
        <w:t> </w:t>
      </w:r>
      <w:r>
        <w:rPr/>
        <w:t>65</w:t>
      </w:r>
      <w:r>
        <w:rPr>
          <w:spacing w:val="-56"/>
        </w:rPr>
        <w:t> </w:t>
      </w:r>
      <w:r>
        <w:rPr/>
        <w:t>号-A</w:t>
      </w:r>
      <w:r>
        <w:rPr>
          <w:spacing w:val="-8"/>
        </w:rPr>
        <w:t> </w:t>
      </w:r>
      <w:r>
        <w:rPr/>
        <w:t>11</w:t>
      </w:r>
      <w:r>
        <w:rPr>
          <w:spacing w:val="-56"/>
        </w:rPr>
        <w:t> </w:t>
      </w:r>
      <w:r>
        <w:rPr/>
        <w:t>层、14</w:t>
      </w:r>
      <w:r>
        <w:rPr>
          <w:spacing w:val="-57"/>
        </w:rPr>
        <w:t> </w:t>
      </w:r>
      <w:r>
        <w:rPr/>
        <w:t>层，北京市东城区东水井胡同</w:t>
      </w:r>
      <w:r>
        <w:rPr>
          <w:spacing w:val="-57"/>
        </w:rPr>
        <w:t> </w:t>
      </w:r>
      <w:r>
        <w:rPr/>
        <w:t>5</w:t>
      </w:r>
      <w:r>
        <w:rPr>
          <w:spacing w:val="-56"/>
        </w:rPr>
        <w:t> </w:t>
      </w:r>
      <w:r>
        <w:rPr/>
        <w:t>号</w:t>
      </w:r>
      <w:r>
        <w:rPr>
          <w:spacing w:val="-58"/>
        </w:rPr>
        <w:t> </w:t>
      </w:r>
      <w:r>
        <w:rPr/>
        <w:t>15</w:t>
      </w:r>
      <w:r>
        <w:rPr>
          <w:spacing w:val="-56"/>
        </w:rPr>
        <w:t> </w:t>
      </w:r>
      <w:r>
        <w:rPr/>
        <w:t>层</w:t>
      </w:r>
      <w:r>
        <w:rPr/>
        <w:t> 邮政编码：100036</w:t>
      </w:r>
    </w:p>
    <w:p>
      <w:pPr>
        <w:pStyle w:val="BodyText"/>
        <w:spacing w:line="357" w:lineRule="auto" w:before="30"/>
        <w:ind w:left="574" w:right="5676" w:hanging="1"/>
        <w:jc w:val="left"/>
      </w:pPr>
      <w:r>
        <w:rPr/>
        <w:t>公司互联网网址：</w:t>
      </w:r>
      <w:r>
        <w:rPr>
          <w:color w:val="0000FF"/>
        </w:rPr>
      </w:r>
      <w:hyperlink r:id="rId10">
        <w:r>
          <w:rPr>
            <w:color w:val="0000FF"/>
            <w:u w:val="single" w:color="0000FF"/>
          </w:rPr>
          <w:t>www.shijinet.com.cn</w:t>
        </w:r>
        <w:r>
          <w:rPr>
            <w:color w:val="0000FF"/>
            <w:spacing w:val="-1"/>
          </w:rPr>
        </w:r>
      </w:hyperlink>
      <w:r>
        <w:rPr>
          <w:color w:val="0000FF"/>
          <w:spacing w:val="-1"/>
        </w:rPr>
        <w:t> </w:t>
      </w:r>
      <w:hyperlink r:id="rId8">
        <w:r>
          <w:rPr/>
          <w:t>电子信箱：Ir@shijinet.com.cn</w:t>
        </w:r>
      </w:hyperlink>
    </w:p>
    <w:p>
      <w:pPr>
        <w:pStyle w:val="BodyText"/>
        <w:spacing w:line="357" w:lineRule="auto" w:before="30"/>
        <w:ind w:left="574" w:right="3575" w:hanging="420"/>
        <w:jc w:val="left"/>
      </w:pPr>
      <w:r>
        <w:rPr>
          <w:spacing w:val="-12"/>
        </w:rPr>
        <w:t>五、公司指定信息披露报刊名称：《中国证券报》、《证券时报》</w:t>
      </w:r>
      <w:r>
        <w:rPr>
          <w:spacing w:val="-77"/>
        </w:rPr>
        <w:t> </w:t>
      </w:r>
      <w:r>
        <w:rPr>
          <w:spacing w:val="-77"/>
        </w:rPr>
      </w:r>
      <w:r>
        <w:rPr/>
        <w:t>登载年度报告的中国证监会指定网站网址：</w:t>
      </w:r>
      <w:r>
        <w:rPr>
          <w:color w:val="0000FF"/>
        </w:rPr>
      </w:r>
      <w:hyperlink r:id="rId11">
        <w:r>
          <w:rPr>
            <w:color w:val="0000FF"/>
            <w:u w:val="single" w:color="0000FF"/>
          </w:rPr>
          <w:t>www.cninfo.com.cn</w:t>
        </w:r>
        <w:r>
          <w:rPr>
            <w:color w:val="0000FF"/>
            <w:spacing w:val="-1"/>
          </w:rPr>
        </w:r>
      </w:hyperlink>
      <w:r>
        <w:rPr>
          <w:color w:val="0000FF"/>
          <w:spacing w:val="-1"/>
        </w:rPr>
        <w:t> </w:t>
      </w:r>
      <w:r>
        <w:rPr/>
        <w:t>公司年度报告备置地点：深圳证券交易所</w:t>
      </w:r>
    </w:p>
    <w:p>
      <w:pPr>
        <w:pStyle w:val="BodyText"/>
        <w:spacing w:line="357" w:lineRule="auto" w:before="30"/>
        <w:ind w:right="5780" w:firstLine="2731"/>
        <w:jc w:val="left"/>
      </w:pPr>
      <w:r>
        <w:rPr/>
        <w:t>公司证券部 六、公司股票上市交易所：深圳证券交易所</w:t>
      </w:r>
    </w:p>
    <w:p>
      <w:pPr>
        <w:pStyle w:val="BodyText"/>
        <w:spacing w:line="357" w:lineRule="auto" w:before="30"/>
        <w:ind w:left="574" w:right="7040"/>
        <w:jc w:val="left"/>
      </w:pPr>
      <w:r>
        <w:rPr/>
        <w:t>公司股票简称：石基信息 公司股票代码：002153</w:t>
      </w:r>
    </w:p>
    <w:p>
      <w:pPr>
        <w:pStyle w:val="BodyText"/>
        <w:spacing w:line="240" w:lineRule="auto" w:before="30"/>
        <w:ind w:right="3476"/>
        <w:jc w:val="left"/>
      </w:pPr>
      <w:r>
        <w:rPr/>
        <w:t>七、其他有关资料</w:t>
      </w:r>
    </w:p>
    <w:p>
      <w:pPr>
        <w:pStyle w:val="BodyText"/>
        <w:spacing w:line="357" w:lineRule="auto" w:before="134"/>
        <w:ind w:left="512" w:right="5161" w:firstLine="61"/>
        <w:jc w:val="left"/>
      </w:pPr>
      <w:r>
        <w:rPr/>
        <w:t>公司首次注册登记日期：2001</w:t>
      </w:r>
      <w:r>
        <w:rPr>
          <w:spacing w:val="-55"/>
        </w:rPr>
        <w:t> </w:t>
      </w:r>
      <w:r>
        <w:rPr/>
        <w:t>年</w:t>
      </w:r>
      <w:r>
        <w:rPr>
          <w:spacing w:val="-55"/>
        </w:rPr>
        <w:t> </w:t>
      </w:r>
      <w:r>
        <w:rPr/>
        <w:t>12</w:t>
      </w:r>
      <w:r>
        <w:rPr>
          <w:spacing w:val="-55"/>
        </w:rPr>
        <w:t> </w:t>
      </w:r>
      <w:r>
        <w:rPr/>
        <w:t>月</w:t>
      </w:r>
      <w:r>
        <w:rPr>
          <w:spacing w:val="-55"/>
        </w:rPr>
        <w:t> </w:t>
      </w:r>
      <w:r>
        <w:rPr/>
        <w:t>21</w:t>
      </w:r>
      <w:r>
        <w:rPr>
          <w:spacing w:val="-54"/>
        </w:rPr>
        <w:t> </w:t>
      </w:r>
      <w:r>
        <w:rPr/>
        <w:t>日</w:t>
      </w:r>
      <w:r>
        <w:rPr/>
        <w:t> 注册登记地点：北京市工商行政管理局 公司最近一次变更登记日期：2009</w:t>
      </w:r>
      <w:r>
        <w:rPr>
          <w:spacing w:val="-53"/>
        </w:rPr>
        <w:t> </w:t>
      </w:r>
      <w:r>
        <w:rPr/>
        <w:t>年</w:t>
      </w:r>
      <w:r>
        <w:rPr>
          <w:spacing w:val="-53"/>
        </w:rPr>
        <w:t> </w:t>
      </w:r>
      <w:r>
        <w:rPr/>
        <w:t>8</w:t>
      </w:r>
      <w:r>
        <w:rPr>
          <w:spacing w:val="-52"/>
        </w:rPr>
        <w:t> </w:t>
      </w:r>
      <w:r>
        <w:rPr/>
        <w:t>月</w:t>
      </w:r>
      <w:r>
        <w:rPr>
          <w:spacing w:val="-54"/>
        </w:rPr>
        <w:t> </w:t>
      </w:r>
      <w:r>
        <w:rPr/>
        <w:t>4</w:t>
      </w:r>
      <w:r>
        <w:rPr>
          <w:spacing w:val="-52"/>
        </w:rPr>
        <w:t> </w:t>
      </w:r>
      <w:r>
        <w:rPr/>
        <w:t>日</w:t>
      </w:r>
      <w:r>
        <w:rPr/>
        <w:t> 注册登记地点：北京市工商行政管理局</w:t>
      </w:r>
    </w:p>
    <w:p>
      <w:pPr>
        <w:spacing w:after="0" w:line="357" w:lineRule="auto"/>
        <w:jc w:val="left"/>
        <w:sectPr>
          <w:pgSz w:w="11910" w:h="16840"/>
          <w:pgMar w:header="851" w:footer="982" w:top="1260" w:bottom="1180" w:left="980" w:right="980"/>
        </w:sectPr>
      </w:pPr>
    </w:p>
    <w:p>
      <w:pPr>
        <w:pStyle w:val="BodyText"/>
        <w:spacing w:line="338" w:lineRule="auto" w:before="32"/>
        <w:ind w:left="512" w:right="3339"/>
        <w:jc w:val="left"/>
      </w:pPr>
      <w:r>
        <w:rPr/>
        <w:pict>
          <v:group style="position:absolute;margin-left:55.200001pt;margin-top:2.943948pt;width:484.95pt;height:.1pt;mso-position-horizontal-relative:page;mso-position-vertical-relative:paragraph;z-index:-710584" coordorigin="1104,59" coordsize="9699,2">
            <v:shape style="position:absolute;left:1104;top:59;width:9699;height:2" coordorigin="1104,59" coordsize="9699,0" path="m1104,59l10802,59e" filled="false" stroked="true" strokeweight=".72pt" strokecolor="#000000">
              <v:path arrowok="t"/>
            </v:shape>
            <w10:wrap type="none"/>
          </v:group>
        </w:pict>
      </w:r>
      <w:r>
        <w:rPr/>
        <w:t>注册资本：</w:t>
      </w:r>
      <w:r>
        <w:rPr>
          <w:rFonts w:ascii="Arial" w:hAnsi="Arial" w:cs="Arial" w:eastAsia="Arial" w:hint="default"/>
        </w:rPr>
        <w:t>22,400</w:t>
      </w:r>
      <w:r>
        <w:rPr>
          <w:rFonts w:ascii="Arial" w:hAnsi="Arial" w:cs="Arial" w:eastAsia="Arial" w:hint="default"/>
          <w:spacing w:val="-7"/>
        </w:rPr>
        <w:t> </w:t>
      </w:r>
      <w:r>
        <w:rPr/>
        <w:t>万元 公司法人营业执照注册号：</w:t>
      </w:r>
      <w:r>
        <w:rPr>
          <w:rFonts w:ascii="Arial" w:hAnsi="Arial" w:cs="Arial" w:eastAsia="Arial" w:hint="default"/>
        </w:rPr>
        <w:t>110000004733224</w:t>
      </w:r>
      <w:r>
        <w:rPr>
          <w:rFonts w:ascii="Arial" w:hAnsi="Arial" w:cs="Arial" w:eastAsia="Arial" w:hint="default"/>
          <w:w w:val="99"/>
        </w:rPr>
        <w:t> </w:t>
      </w:r>
      <w:r>
        <w:rPr/>
        <w:t>公司税务登记证号码：</w:t>
      </w:r>
      <w:r>
        <w:rPr>
          <w:rFonts w:ascii="Arial" w:hAnsi="Arial" w:cs="Arial" w:eastAsia="Arial" w:hint="default"/>
        </w:rPr>
        <w:t>110108634342985</w:t>
      </w:r>
      <w:r>
        <w:rPr>
          <w:rFonts w:ascii="Arial" w:hAnsi="Arial" w:cs="Arial" w:eastAsia="Arial" w:hint="default"/>
          <w:spacing w:val="-1"/>
          <w:w w:val="99"/>
        </w:rPr>
        <w:t> </w:t>
      </w:r>
      <w:r>
        <w:rPr/>
        <w:t>公司组织机构代码：</w:t>
      </w:r>
      <w:r>
        <w:rPr>
          <w:rFonts w:ascii="Arial" w:hAnsi="Arial" w:cs="Arial" w:eastAsia="Arial" w:hint="default"/>
        </w:rPr>
        <w:t>63434298-5</w:t>
      </w:r>
      <w:r>
        <w:rPr>
          <w:rFonts w:ascii="Arial" w:hAnsi="Arial" w:cs="Arial" w:eastAsia="Arial" w:hint="default"/>
          <w:spacing w:val="-1"/>
          <w:w w:val="99"/>
        </w:rPr>
        <w:t> </w:t>
      </w:r>
      <w:r>
        <w:rPr/>
        <w:t>本公司聘请的会计师事务所：武汉众环会计师事务所有限责任公司</w:t>
      </w:r>
    </w:p>
    <w:p>
      <w:pPr>
        <w:pStyle w:val="BodyText"/>
        <w:spacing w:line="240" w:lineRule="auto" w:before="47"/>
        <w:ind w:left="512" w:right="172"/>
        <w:jc w:val="left"/>
      </w:pPr>
      <w:r>
        <w:rPr/>
        <w:t>会计师事务所办公地址：江汉区单洞路特</w:t>
      </w:r>
      <w:r>
        <w:rPr>
          <w:spacing w:val="-54"/>
        </w:rPr>
        <w:t> </w:t>
      </w:r>
      <w:r>
        <w:rPr>
          <w:rFonts w:ascii="Arial" w:hAnsi="Arial" w:cs="Arial" w:eastAsia="Arial" w:hint="default"/>
        </w:rPr>
        <w:t>1</w:t>
      </w:r>
      <w:r>
        <w:rPr>
          <w:rFonts w:ascii="Arial" w:hAnsi="Arial" w:cs="Arial" w:eastAsia="Arial" w:hint="default"/>
          <w:spacing w:val="-7"/>
        </w:rPr>
        <w:t> </w:t>
      </w:r>
      <w:r>
        <w:rPr/>
        <w:t>号武汉国际大厦</w:t>
      </w:r>
      <w:r>
        <w:rPr>
          <w:spacing w:val="-54"/>
        </w:rPr>
        <w:t> </w:t>
      </w:r>
      <w:r>
        <w:rPr>
          <w:rFonts w:ascii="Arial" w:hAnsi="Arial" w:cs="Arial" w:eastAsia="Arial" w:hint="default"/>
        </w:rPr>
        <w:t>B</w:t>
      </w:r>
      <w:r>
        <w:rPr>
          <w:rFonts w:ascii="Arial" w:hAnsi="Arial" w:cs="Arial" w:eastAsia="Arial" w:hint="default"/>
          <w:spacing w:val="-7"/>
        </w:rPr>
        <w:t> </w:t>
      </w:r>
      <w:r>
        <w:rPr/>
        <w:t>栋</w:t>
      </w:r>
      <w:r>
        <w:rPr>
          <w:spacing w:val="-54"/>
        </w:rPr>
        <w:t> </w:t>
      </w:r>
      <w:r>
        <w:rPr>
          <w:rFonts w:ascii="Arial" w:hAnsi="Arial" w:cs="Arial" w:eastAsia="Arial" w:hint="default"/>
        </w:rPr>
        <w:t>16</w:t>
      </w:r>
      <w:r>
        <w:rPr>
          <w:rFonts w:ascii="Arial" w:hAnsi="Arial" w:cs="Arial" w:eastAsia="Arial" w:hint="default"/>
          <w:spacing w:val="-7"/>
        </w:rPr>
        <w:t> </w:t>
      </w:r>
      <w:r>
        <w:rPr/>
        <w:t>层</w:t>
      </w:r>
    </w:p>
    <w:p>
      <w:pPr>
        <w:spacing w:after="0" w:line="240" w:lineRule="auto"/>
        <w:jc w:val="left"/>
        <w:sectPr>
          <w:pgSz w:w="11910" w:h="16840"/>
          <w:pgMar w:header="851" w:footer="982" w:top="1200" w:bottom="1180" w:left="980" w:right="980"/>
        </w:sectPr>
      </w:pPr>
    </w:p>
    <w:p>
      <w:pPr>
        <w:pStyle w:val="Heading1"/>
        <w:spacing w:line="240" w:lineRule="auto" w:before="21"/>
        <w:ind w:left="2994" w:right="0"/>
        <w:jc w:val="left"/>
        <w:rPr>
          <w:b w:val="0"/>
          <w:bCs w:val="0"/>
        </w:rPr>
      </w:pPr>
      <w:r>
        <w:rPr/>
        <w:pict>
          <v:group style="position:absolute;margin-left:55.200001pt;margin-top:2.94186pt;width:484.95pt;height:.1pt;mso-position-horizontal-relative:page;mso-position-vertical-relative:paragraph;z-index:-710560"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1" w:id="2"/>
      <w:bookmarkEnd w:id="2"/>
      <w:r>
        <w:rPr>
          <w:b w:val="0"/>
          <w:bCs w:val="0"/>
        </w:rPr>
      </w:r>
      <w:r>
        <w:rPr/>
        <w:t>第二节</w:t>
      </w:r>
      <w:r>
        <w:rPr>
          <w:spacing w:val="-7"/>
        </w:rPr>
        <w:t> </w:t>
      </w:r>
      <w:r>
        <w:rPr/>
        <w:t>会计数据和业务数据摘要</w:t>
      </w:r>
      <w:r>
        <w:rPr>
          <w:b w:val="0"/>
          <w:bCs w:val="0"/>
        </w:rPr>
      </w:r>
    </w:p>
    <w:p>
      <w:pPr>
        <w:spacing w:line="240" w:lineRule="auto" w:before="11"/>
        <w:rPr>
          <w:rFonts w:ascii="宋体" w:hAnsi="宋体" w:cs="宋体" w:eastAsia="宋体" w:hint="default"/>
          <w:b/>
          <w:bCs/>
          <w:sz w:val="35"/>
          <w:szCs w:val="35"/>
        </w:rPr>
      </w:pPr>
    </w:p>
    <w:p>
      <w:pPr>
        <w:pStyle w:val="Heading3"/>
        <w:spacing w:line="240" w:lineRule="auto"/>
        <w:ind w:left="421" w:right="0"/>
        <w:jc w:val="left"/>
        <w:rPr>
          <w:b w:val="0"/>
          <w:bCs w:val="0"/>
        </w:rPr>
      </w:pPr>
      <w:r>
        <w:rPr/>
        <w:t>一、</w:t>
      </w:r>
      <w:r>
        <w:rPr>
          <w:spacing w:val="-81"/>
        </w:rPr>
        <w:t> </w:t>
      </w:r>
      <w:r>
        <w:rPr/>
        <w:t>报告期内主要财务数据和指标</w:t>
      </w:r>
      <w:r>
        <w:rPr>
          <w:spacing w:val="-8"/>
        </w:rPr>
        <w:t> </w:t>
      </w:r>
      <w:r>
        <w:rPr/>
        <w:t>（单位：人民币元）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tbl>
      <w:tblPr>
        <w:tblW w:w="0" w:type="auto"/>
        <w:jc w:val="left"/>
        <w:tblInd w:w="194" w:type="dxa"/>
        <w:tblLayout w:type="fixed"/>
        <w:tblCellMar>
          <w:top w:w="0" w:type="dxa"/>
          <w:left w:w="0" w:type="dxa"/>
          <w:bottom w:w="0" w:type="dxa"/>
          <w:right w:w="0" w:type="dxa"/>
        </w:tblCellMar>
        <w:tblLook w:val="01E0"/>
      </w:tblPr>
      <w:tblGrid>
        <w:gridCol w:w="5050"/>
        <w:gridCol w:w="4800"/>
      </w:tblGrid>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632" w:val="left" w:leader="none"/>
              </w:tabs>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526" w:val="left" w:leader="none"/>
              </w:tabs>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206,884,219.24</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244,870,891.86</w:t>
            </w:r>
          </w:p>
        </w:tc>
      </w:tr>
      <w:tr>
        <w:trPr>
          <w:trHeight w:val="320"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213,897,872.25</w:t>
            </w:r>
          </w:p>
        </w:tc>
      </w:tr>
      <w:tr>
        <w:trPr>
          <w:trHeight w:val="293"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211,495,240.62</w:t>
            </w:r>
            <w:r>
              <w:rPr>
                <w:rFonts w:ascii="宋体"/>
                <w:sz w:val="21"/>
              </w:rPr>
            </w:r>
          </w:p>
        </w:tc>
      </w:tr>
      <w:tr>
        <w:trPr>
          <w:trHeight w:val="321" w:hRule="exact"/>
        </w:trPr>
        <w:tc>
          <w:tcPr>
            <w:tcW w:w="50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8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203,266,424.33</w:t>
            </w:r>
          </w:p>
        </w:tc>
      </w:tr>
    </w:tbl>
    <w:p>
      <w:pPr>
        <w:spacing w:line="240" w:lineRule="auto" w:before="1"/>
        <w:rPr>
          <w:rFonts w:ascii="宋体" w:hAnsi="宋体" w:cs="宋体" w:eastAsia="宋体" w:hint="default"/>
          <w:b/>
          <w:bCs/>
          <w:sz w:val="16"/>
          <w:szCs w:val="16"/>
        </w:rPr>
      </w:pPr>
    </w:p>
    <w:p>
      <w:pPr>
        <w:pStyle w:val="BodyText"/>
        <w:spacing w:line="240" w:lineRule="auto" w:before="35"/>
        <w:ind w:left="214" w:right="0"/>
        <w:jc w:val="left"/>
      </w:pPr>
      <w:r>
        <w:rPr/>
        <w:t>【注】：非经常性损益项目（单位：人民币元）</w:t>
      </w:r>
    </w:p>
    <w:p>
      <w:pPr>
        <w:spacing w:line="240" w:lineRule="auto" w:before="6"/>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5650"/>
        <w:gridCol w:w="4200"/>
      </w:tblGrid>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2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92"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-66,122.46</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2,185,918.10</w:t>
            </w:r>
            <w:r>
              <w:rPr>
                <w:rFonts w:ascii="宋体"/>
                <w:sz w:val="21"/>
              </w:rPr>
            </w:r>
          </w:p>
        </w:tc>
      </w:tr>
      <w:tr>
        <w:trPr>
          <w:trHeight w:val="837"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计入当期损益的政府补助，但与公司正常经营业务密切相</w:t>
            </w:r>
            <w:r>
              <w:rPr>
                <w:rFonts w:ascii="宋体" w:hAnsi="宋体" w:cs="宋体" w:eastAsia="宋体" w:hint="default"/>
                <w:sz w:val="21"/>
                <w:szCs w:val="21"/>
              </w:rPr>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关，符合国家政策规定、按照一定标准定额或定量持续享受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的政府补助除外</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2,453,474.54</w:t>
            </w:r>
          </w:p>
        </w:tc>
      </w:tr>
      <w:tr>
        <w:trPr>
          <w:trHeight w:val="1109"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98"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w:t>
            </w:r>
          </w:p>
          <w:p>
            <w:pPr>
              <w:pStyle w:val="TableParagraph"/>
              <w:spacing w:line="272" w:lineRule="exact" w:before="26"/>
              <w:ind w:left="98" w:right="71"/>
              <w:jc w:val="both"/>
              <w:rPr>
                <w:rFonts w:ascii="宋体" w:hAnsi="宋体" w:cs="宋体" w:eastAsia="宋体" w:hint="default"/>
                <w:sz w:val="21"/>
                <w:szCs w:val="21"/>
              </w:rPr>
            </w:pPr>
            <w:r>
              <w:rPr>
                <w:rFonts w:ascii="宋体" w:hAnsi="宋体" w:cs="宋体" w:eastAsia="宋体" w:hint="default"/>
                <w:sz w:val="21"/>
                <w:szCs w:val="21"/>
              </w:rPr>
              <w:t>易性金融资产、交易性金融负债产生的公允价值变动损益， 以及处置交易性金融资产、交易性金融负债和可供出售金融 资产取得的投资收益</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18,976.37</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z w:val="21"/>
              </w:rPr>
              <w:t>-1,730,334.30</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-387,177.13</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-72,103.49</w:t>
            </w:r>
          </w:p>
        </w:tc>
      </w:tr>
      <w:tr>
        <w:trPr>
          <w:trHeight w:val="321"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pacing w:val="-1"/>
                <w:sz w:val="21"/>
              </w:rPr>
              <w:t>2,402,631.63</w:t>
            </w:r>
          </w:p>
        </w:tc>
      </w:tr>
    </w:tbl>
    <w:p>
      <w:pPr>
        <w:spacing w:line="240" w:lineRule="auto" w:before="2"/>
        <w:rPr>
          <w:rFonts w:ascii="宋体" w:hAnsi="宋体" w:cs="宋体" w:eastAsia="宋体" w:hint="default"/>
          <w:sz w:val="16"/>
          <w:szCs w:val="16"/>
        </w:rPr>
      </w:pPr>
    </w:p>
    <w:p>
      <w:pPr>
        <w:pStyle w:val="Heading3"/>
        <w:spacing w:line="240" w:lineRule="auto" w:before="35"/>
        <w:ind w:left="523" w:right="0"/>
        <w:jc w:val="left"/>
        <w:rPr>
          <w:b w:val="0"/>
          <w:bCs w:val="0"/>
        </w:rPr>
      </w:pPr>
      <w:r>
        <w:rPr/>
        <w:t>二、截止报告期末公司近三年的主要会计数据和财务指标</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425" w:right="0"/>
        <w:jc w:val="left"/>
        <w:rPr>
          <w:b w:val="0"/>
          <w:bCs w:val="0"/>
        </w:rPr>
      </w:pPr>
      <w:r>
        <w:rPr/>
        <w:t>（一）主要会计数据（单位：人民币元）</w:t>
      </w:r>
      <w:r>
        <w:rPr>
          <w:b w:val="0"/>
          <w:bCs w:val="0"/>
        </w:rPr>
      </w:r>
    </w:p>
    <w:p>
      <w:pPr>
        <w:spacing w:line="240" w:lineRule="auto" w:before="10"/>
        <w:rPr>
          <w:rFonts w:ascii="宋体" w:hAnsi="宋体" w:cs="宋体" w:eastAsia="宋体" w:hint="default"/>
          <w:b/>
          <w:bCs/>
          <w:sz w:val="12"/>
          <w:szCs w:val="12"/>
        </w:rPr>
      </w:pPr>
    </w:p>
    <w:tbl>
      <w:tblPr>
        <w:tblW w:w="0" w:type="auto"/>
        <w:jc w:val="left"/>
        <w:tblInd w:w="114" w:type="dxa"/>
        <w:tblLayout w:type="fixed"/>
        <w:tblCellMar>
          <w:top w:w="0" w:type="dxa"/>
          <w:left w:w="0" w:type="dxa"/>
          <w:bottom w:w="0" w:type="dxa"/>
          <w:right w:w="0" w:type="dxa"/>
        </w:tblCellMar>
        <w:tblLook w:val="01E0"/>
      </w:tblPr>
      <w:tblGrid>
        <w:gridCol w:w="2880"/>
        <w:gridCol w:w="1860"/>
        <w:gridCol w:w="1620"/>
        <w:gridCol w:w="1320"/>
        <w:gridCol w:w="2148"/>
      </w:tblGrid>
      <w:tr>
        <w:trPr>
          <w:trHeight w:val="142"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58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46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1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2" w:hRule="exact"/>
        </w:trPr>
        <w:tc>
          <w:tcPr>
            <w:tcW w:w="2880" w:type="dxa"/>
            <w:tcBorders>
              <w:top w:val="nil" w:sz="6" w:space="0" w:color="auto"/>
              <w:left w:val="single" w:sz="4" w:space="0" w:color="000000"/>
              <w:bottom w:val="nil" w:sz="6" w:space="0" w:color="auto"/>
              <w:right w:val="single" w:sz="4" w:space="0" w:color="000000"/>
            </w:tcBorders>
            <w:shd w:val="clear" w:color="auto" w:fill="DCDCDC"/>
          </w:tcPr>
          <w:p>
            <w:pPr/>
          </w:p>
        </w:tc>
        <w:tc>
          <w:tcPr>
            <w:tcW w:w="186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right w:val="single" w:sz="4" w:space="0" w:color="000000"/>
            </w:tcBorders>
            <w:shd w:val="clear" w:color="auto" w:fill="DCDCDC"/>
          </w:tcPr>
          <w:p>
            <w:pPr/>
          </w:p>
        </w:tc>
        <w:tc>
          <w:tcPr>
            <w:tcW w:w="1320" w:type="dxa"/>
            <w:vMerge/>
            <w:tcBorders>
              <w:left w:val="single" w:sz="4" w:space="0" w:color="000000"/>
              <w:right w:val="single" w:sz="4" w:space="0" w:color="000000"/>
            </w:tcBorders>
            <w:shd w:val="clear" w:color="auto" w:fill="DCDCDC"/>
          </w:tcPr>
          <w:p>
            <w:pPr/>
          </w:p>
        </w:tc>
        <w:tc>
          <w:tcPr>
            <w:tcW w:w="2148" w:type="dxa"/>
            <w:vMerge/>
            <w:tcBorders>
              <w:left w:val="single" w:sz="4" w:space="0" w:color="000000"/>
              <w:right w:val="single" w:sz="4" w:space="0" w:color="000000"/>
            </w:tcBorders>
            <w:shd w:val="clear" w:color="auto" w:fill="DCDCDC"/>
          </w:tcPr>
          <w:p>
            <w:pPr/>
          </w:p>
        </w:tc>
      </w:tr>
      <w:tr>
        <w:trPr>
          <w:trHeight w:val="140"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6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320" w:type="dxa"/>
            <w:vMerge/>
            <w:tcBorders>
              <w:left w:val="single" w:sz="4" w:space="0" w:color="000000"/>
              <w:bottom w:val="single" w:sz="4" w:space="0" w:color="000000"/>
              <w:right w:val="single" w:sz="4" w:space="0" w:color="000000"/>
            </w:tcBorders>
            <w:shd w:val="clear" w:color="auto" w:fill="DCDCDC"/>
          </w:tcPr>
          <w:p>
            <w:pPr/>
          </w:p>
        </w:tc>
        <w:tc>
          <w:tcPr>
            <w:tcW w:w="2148"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610,247,365.99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406,620,993.67</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w w:val="95"/>
                <w:sz w:val="21"/>
              </w:rPr>
              <w:t>50.08</w:t>
            </w:r>
            <w:r>
              <w:rPr>
                <w:rFonts w:ascii="宋体"/>
                <w:w w:val="95"/>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442,732,505.08</w:t>
            </w:r>
            <w:r>
              <w:rPr>
                <w:rFonts w:ascii="宋体"/>
                <w:sz w:val="21"/>
              </w:rPr>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244,870,891.86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144,742,260.51</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w w:val="95"/>
                <w:sz w:val="21"/>
              </w:rPr>
              <w:t>69.18</w:t>
            </w:r>
            <w:r>
              <w:rPr>
                <w:rFonts w:ascii="宋体"/>
                <w:w w:val="95"/>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170,328,029.99</w:t>
            </w:r>
            <w:r>
              <w:rPr>
                <w:rFonts w:ascii="宋体"/>
                <w:sz w:val="21"/>
              </w:rPr>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213,897,872.25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131,664,286.61</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w w:val="95"/>
                <w:sz w:val="21"/>
              </w:rPr>
              <w:t>62.46</w:t>
            </w:r>
            <w:r>
              <w:rPr>
                <w:rFonts w:ascii="宋体"/>
                <w:w w:val="95"/>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142,217,978.46</w:t>
            </w:r>
            <w:r>
              <w:rPr>
                <w:rFonts w:ascii="宋体"/>
                <w:sz w:val="21"/>
              </w:rPr>
            </w:r>
          </w:p>
        </w:tc>
      </w:tr>
      <w:tr>
        <w:trPr>
          <w:trHeight w:val="55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86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211,495,240.62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131,492,548.54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60.84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142,181,983.02</w:t>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203,266,424.33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145,853,782.86</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w w:val="95"/>
                <w:sz w:val="21"/>
              </w:rPr>
              <w:t>39.36</w:t>
            </w:r>
            <w:r>
              <w:rPr>
                <w:rFonts w:ascii="宋体"/>
                <w:w w:val="95"/>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168,128,227.34</w:t>
            </w:r>
            <w:r>
              <w:rPr>
                <w:rFonts w:ascii="宋体"/>
                <w:sz w:val="21"/>
              </w:rPr>
            </w:r>
          </w:p>
        </w:tc>
      </w:tr>
      <w:tr>
        <w:trPr>
          <w:trHeight w:val="140"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0"/>
              <w:ind w:left="47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0"/>
              <w:ind w:left="35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3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214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0"/>
              <w:ind w:left="62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72" w:hRule="exact"/>
        </w:trPr>
        <w:tc>
          <w:tcPr>
            <w:tcW w:w="2880" w:type="dxa"/>
            <w:tcBorders>
              <w:top w:val="nil" w:sz="6" w:space="0" w:color="auto"/>
              <w:left w:val="single" w:sz="4" w:space="0" w:color="000000"/>
              <w:bottom w:val="nil" w:sz="6" w:space="0" w:color="auto"/>
              <w:right w:val="single" w:sz="4" w:space="0" w:color="000000"/>
            </w:tcBorders>
            <w:shd w:val="clear" w:color="auto" w:fill="DCDCDC"/>
          </w:tcPr>
          <w:p>
            <w:pPr/>
          </w:p>
        </w:tc>
        <w:tc>
          <w:tcPr>
            <w:tcW w:w="186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right w:val="single" w:sz="4" w:space="0" w:color="000000"/>
            </w:tcBorders>
            <w:shd w:val="clear" w:color="auto" w:fill="DCDCDC"/>
          </w:tcPr>
          <w:p>
            <w:pPr/>
          </w:p>
        </w:tc>
        <w:tc>
          <w:tcPr>
            <w:tcW w:w="1320" w:type="dxa"/>
            <w:vMerge/>
            <w:tcBorders>
              <w:left w:val="single" w:sz="4" w:space="0" w:color="000000"/>
              <w:right w:val="single" w:sz="4" w:space="0" w:color="000000"/>
            </w:tcBorders>
            <w:shd w:val="clear" w:color="auto" w:fill="DCDCDC"/>
          </w:tcPr>
          <w:p>
            <w:pPr/>
          </w:p>
        </w:tc>
        <w:tc>
          <w:tcPr>
            <w:tcW w:w="2148" w:type="dxa"/>
            <w:vMerge/>
            <w:tcBorders>
              <w:left w:val="single" w:sz="4" w:space="0" w:color="000000"/>
              <w:right w:val="single" w:sz="4" w:space="0" w:color="000000"/>
            </w:tcBorders>
            <w:shd w:val="clear" w:color="auto" w:fill="DCDCDC"/>
          </w:tcPr>
          <w:p>
            <w:pPr/>
          </w:p>
        </w:tc>
      </w:tr>
      <w:tr>
        <w:trPr>
          <w:trHeight w:val="142"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6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320" w:type="dxa"/>
            <w:vMerge/>
            <w:tcBorders>
              <w:left w:val="single" w:sz="4" w:space="0" w:color="000000"/>
              <w:bottom w:val="single" w:sz="4" w:space="0" w:color="000000"/>
              <w:right w:val="single" w:sz="4" w:space="0" w:color="000000"/>
            </w:tcBorders>
            <w:shd w:val="clear" w:color="auto" w:fill="DCDCDC"/>
          </w:tcPr>
          <w:p>
            <w:pPr/>
          </w:p>
        </w:tc>
        <w:tc>
          <w:tcPr>
            <w:tcW w:w="2148"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1,070,041,696.23</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869,006,514.15</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23.13</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782,121,103.61</w:t>
            </w:r>
            <w:r>
              <w:rPr>
                <w:rFonts w:ascii="宋体"/>
                <w:sz w:val="21"/>
              </w:rPr>
            </w:r>
          </w:p>
        </w:tc>
      </w:tr>
      <w:tr>
        <w:trPr>
          <w:trHeight w:val="55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归属于上市公司股东的所有者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86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872,475,376.70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720,332,293.42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21.12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639,691,335.18</w:t>
            </w: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224,000,000.00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224,000,000.00</w:t>
            </w:r>
            <w:r>
              <w:rPr>
                <w:rFonts w:ascii="宋体"/>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0.00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112,000,000.00</w:t>
            </w:r>
            <w:r>
              <w:rPr>
                <w:rFonts w:ascii="宋体"/>
                <w:sz w:val="21"/>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3"/>
        <w:spacing w:line="240" w:lineRule="auto" w:before="35"/>
        <w:ind w:left="425" w:right="0"/>
        <w:jc w:val="left"/>
        <w:rPr>
          <w:b w:val="0"/>
          <w:bCs w:val="0"/>
        </w:rPr>
      </w:pPr>
      <w:r>
        <w:rPr/>
        <w:t>（二）主要财务指标（单位：人民币元）</w:t>
      </w:r>
      <w:r>
        <w:rPr>
          <w:b w:val="0"/>
          <w:bCs w:val="0"/>
        </w:rPr>
      </w:r>
    </w:p>
    <w:p>
      <w:pPr>
        <w:spacing w:after="0" w:line="240" w:lineRule="auto"/>
        <w:jc w:val="left"/>
        <w:sectPr>
          <w:pgSz w:w="11910" w:h="16840"/>
          <w:pgMar w:header="851" w:footer="982" w:top="1200" w:bottom="1180" w:left="920" w:right="800"/>
        </w:sectPr>
      </w:pPr>
    </w:p>
    <w:p>
      <w:pPr>
        <w:spacing w:line="240" w:lineRule="auto" w:before="13"/>
        <w:rPr>
          <w:rFonts w:ascii="宋体" w:hAnsi="宋体" w:cs="宋体" w:eastAsia="宋体" w:hint="default"/>
          <w:b/>
          <w:bCs/>
          <w:sz w:val="3"/>
          <w:szCs w:val="3"/>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2"/>
          <w:szCs w:val="22"/>
        </w:rPr>
      </w:pPr>
    </w:p>
    <w:tbl>
      <w:tblPr>
        <w:tblW w:w="0" w:type="auto"/>
        <w:jc w:val="left"/>
        <w:tblInd w:w="106" w:type="dxa"/>
        <w:tblLayout w:type="fixed"/>
        <w:tblCellMar>
          <w:top w:w="0" w:type="dxa"/>
          <w:left w:w="0" w:type="dxa"/>
          <w:bottom w:w="0" w:type="dxa"/>
          <w:right w:w="0" w:type="dxa"/>
        </w:tblCellMar>
        <w:tblLook w:val="01E0"/>
      </w:tblPr>
      <w:tblGrid>
        <w:gridCol w:w="2520"/>
        <w:gridCol w:w="542"/>
        <w:gridCol w:w="1126"/>
        <w:gridCol w:w="1668"/>
        <w:gridCol w:w="2520"/>
        <w:gridCol w:w="1428"/>
      </w:tblGrid>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0.59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61.02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0.63</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0.59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61.02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0.63</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66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0.94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0.59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59.32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0.63</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加权平均净资产收益率（%</w:t>
            </w:r>
            <w:r>
              <w:rPr>
                <w:rFonts w:ascii="宋体" w:hAnsi="宋体" w:cs="宋体" w:eastAsia="宋体" w:hint="default"/>
                <w:sz w:val="21"/>
                <w:szCs w:val="21"/>
              </w:rPr>
            </w:r>
          </w:p>
        </w:tc>
        <w:tc>
          <w:tcPr>
            <w:tcW w:w="54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sz w:val="21"/>
              </w:rPr>
              <w:t>27.05%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19.52%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7.53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24.14%</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p>
        </w:tc>
        <w:tc>
          <w:tcPr>
            <w:tcW w:w="166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left="992" w:right="0"/>
              <w:jc w:val="left"/>
              <w:rPr>
                <w:rFonts w:ascii="宋体" w:hAnsi="宋体" w:cs="宋体" w:eastAsia="宋体" w:hint="default"/>
                <w:sz w:val="21"/>
                <w:szCs w:val="21"/>
              </w:rPr>
            </w:pPr>
            <w:r>
              <w:rPr>
                <w:rFonts w:ascii="宋体"/>
                <w:sz w:val="21"/>
              </w:rPr>
              <w:t>26.79%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19.50%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7.29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24.14%</w:t>
            </w: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66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0.65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40.00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1.50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3"/>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66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3.22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20.81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5.71</w:t>
            </w:r>
          </w:p>
        </w:tc>
      </w:tr>
    </w:tbl>
    <w:p>
      <w:pPr>
        <w:pStyle w:val="Heading3"/>
        <w:spacing w:line="241" w:lineRule="exact"/>
        <w:ind w:left="606" w:right="210"/>
        <w:jc w:val="left"/>
        <w:rPr>
          <w:b w:val="0"/>
          <w:bCs w:val="0"/>
        </w:rPr>
      </w:pPr>
      <w:r>
        <w:rPr/>
        <w:t>三、报告期内股东权益变动情况（单位：人民币元）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89" w:type="dxa"/>
        <w:tblLayout w:type="fixed"/>
        <w:tblCellMar>
          <w:top w:w="0" w:type="dxa"/>
          <w:left w:w="0" w:type="dxa"/>
          <w:bottom w:w="0" w:type="dxa"/>
          <w:right w:w="0" w:type="dxa"/>
        </w:tblCellMar>
        <w:tblLook w:val="01E0"/>
      </w:tblPr>
      <w:tblGrid>
        <w:gridCol w:w="1548"/>
        <w:gridCol w:w="2052"/>
        <w:gridCol w:w="1980"/>
        <w:gridCol w:w="1800"/>
        <w:gridCol w:w="2447"/>
      </w:tblGrid>
      <w:tr>
        <w:trPr>
          <w:trHeight w:val="374" w:hRule="exact"/>
        </w:trPr>
        <w:tc>
          <w:tcPr>
            <w:tcW w:w="1548"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2"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3"/>
              <w:ind w:left="7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80"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3"/>
              <w:ind w:left="6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3"/>
              <w:ind w:left="5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447" w:type="dxa"/>
            <w:tcBorders>
              <w:top w:val="single" w:sz="4" w:space="0" w:color="000000"/>
              <w:left w:val="single" w:sz="4" w:space="0" w:color="000000"/>
              <w:bottom w:val="single" w:sz="4" w:space="0" w:color="000000"/>
              <w:right w:val="single" w:sz="4" w:space="0" w:color="000000"/>
            </w:tcBorders>
            <w:shd w:val="clear" w:color="auto" w:fill="E1E1E1"/>
          </w:tcPr>
          <w:p>
            <w:pPr>
              <w:pStyle w:val="TableParagraph"/>
              <w:spacing w:line="240" w:lineRule="auto" w:before="13"/>
              <w:ind w:left="120"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83"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33" w:val="left" w:leader="none"/>
              </w:tabs>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股</w:t>
              <w:tab/>
              <w:t>本</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21"/>
                <w:szCs w:val="21"/>
              </w:rPr>
            </w:pPr>
            <w:r>
              <w:rPr>
                <w:rFonts w:ascii="宋体"/>
                <w:spacing w:val="-1"/>
                <w:sz w:val="21"/>
              </w:rPr>
              <w:t>224,000,000.00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21"/>
                <w:szCs w:val="21"/>
              </w:rPr>
            </w:pPr>
            <w:r>
              <w:rPr>
                <w:rFonts w:ascii="宋体"/>
                <w:spacing w:val="-1"/>
                <w:sz w:val="21"/>
              </w:rPr>
              <w:t>224,000,000.00</w:t>
            </w:r>
          </w:p>
        </w:tc>
      </w:tr>
      <w:tr>
        <w:trPr>
          <w:trHeight w:val="378"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86,262,108.98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7,602,355.17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93,864,464.15</w:t>
            </w:r>
          </w:p>
        </w:tc>
      </w:tr>
      <w:tr>
        <w:trPr>
          <w:trHeight w:val="378"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32,255,696.32</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13,932,122.05</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46,187,818.37</w:t>
            </w:r>
            <w:r>
              <w:rPr>
                <w:rFonts w:ascii="宋体"/>
                <w:sz w:val="21"/>
              </w:rPr>
            </w:r>
          </w:p>
        </w:tc>
      </w:tr>
      <w:tr>
        <w:trPr>
          <w:trHeight w:val="379"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379,326,457.17</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213,897,872.25</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81,132,122.05</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512,092,207.37</w:t>
            </w:r>
            <w:r>
              <w:rPr>
                <w:rFonts w:ascii="宋体"/>
                <w:sz w:val="21"/>
              </w:rPr>
            </w:r>
          </w:p>
        </w:tc>
      </w:tr>
      <w:tr>
        <w:trPr>
          <w:trHeight w:val="378"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745,212,011.49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234,094,597.33</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73,510,072.57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905,796,536.25</w:t>
            </w:r>
            <w:r>
              <w:rPr>
                <w:rFonts w:ascii="宋体"/>
                <w:sz w:val="21"/>
              </w:rPr>
            </w:r>
          </w:p>
        </w:tc>
      </w:tr>
    </w:tbl>
    <w:p>
      <w:pPr>
        <w:spacing w:line="240" w:lineRule="auto" w:before="7"/>
        <w:rPr>
          <w:rFonts w:ascii="宋体" w:hAnsi="宋体" w:cs="宋体" w:eastAsia="宋体" w:hint="default"/>
          <w:b/>
          <w:bCs/>
          <w:sz w:val="10"/>
          <w:szCs w:val="10"/>
        </w:rPr>
      </w:pPr>
    </w:p>
    <w:p>
      <w:pPr>
        <w:pStyle w:val="BodyText"/>
        <w:spacing w:line="240" w:lineRule="auto" w:before="35"/>
        <w:ind w:left="305" w:right="210"/>
        <w:jc w:val="left"/>
      </w:pPr>
      <w:r>
        <w:rPr/>
        <w:t>[注]：1．未分配利润增加额为本年度净利润增加额，减少额为分配现金股利</w:t>
      </w:r>
      <w:r>
        <w:rPr>
          <w:spacing w:val="-70"/>
        </w:rPr>
        <w:t> </w:t>
      </w:r>
      <w:r>
        <w:rPr/>
        <w:t>6,720</w:t>
      </w:r>
      <w:r>
        <w:rPr>
          <w:spacing w:val="-70"/>
        </w:rPr>
        <w:t> </w:t>
      </w:r>
      <w:r>
        <w:rPr/>
        <w:t>万元、提取</w:t>
      </w:r>
    </w:p>
    <w:p>
      <w:pPr>
        <w:pStyle w:val="BodyText"/>
        <w:spacing w:line="240" w:lineRule="auto" w:before="133"/>
        <w:ind w:left="305" w:right="210"/>
        <w:jc w:val="left"/>
      </w:pPr>
      <w:r>
        <w:rPr/>
        <w:t>法定盈余公积金</w:t>
      </w:r>
      <w:r>
        <w:rPr>
          <w:spacing w:val="-53"/>
        </w:rPr>
        <w:t> </w:t>
      </w:r>
      <w:r>
        <w:rPr/>
        <w:t>1,393</w:t>
      </w:r>
      <w:r>
        <w:rPr>
          <w:spacing w:val="-53"/>
        </w:rPr>
        <w:t> </w:t>
      </w:r>
      <w:r>
        <w:rPr/>
        <w:t>万元。</w:t>
      </w:r>
    </w:p>
    <w:p>
      <w:pPr>
        <w:spacing w:after="0" w:line="240" w:lineRule="auto"/>
        <w:jc w:val="left"/>
        <w:sectPr>
          <w:pgSz w:w="11910" w:h="16840"/>
          <w:pgMar w:header="851" w:footer="982" w:top="1200" w:bottom="1180" w:left="940" w:right="820"/>
        </w:sectPr>
      </w:pPr>
    </w:p>
    <w:p>
      <w:pPr>
        <w:spacing w:line="240" w:lineRule="auto" w:before="13"/>
        <w:rPr>
          <w:rFonts w:ascii="宋体" w:hAnsi="宋体" w:cs="宋体" w:eastAsia="宋体" w:hint="default"/>
          <w:sz w:val="21"/>
          <w:szCs w:val="21"/>
        </w:rPr>
      </w:pPr>
    </w:p>
    <w:p>
      <w:pPr>
        <w:pStyle w:val="Heading1"/>
        <w:spacing w:line="240" w:lineRule="auto"/>
        <w:ind w:left="3636" w:right="0"/>
        <w:jc w:val="left"/>
        <w:rPr>
          <w:b w:val="0"/>
          <w:bCs w:val="0"/>
        </w:rPr>
      </w:pPr>
      <w:bookmarkStart w:name="_bookmark2" w:id="3"/>
      <w:bookmarkEnd w:id="3"/>
      <w:r>
        <w:rPr>
          <w:b w:val="0"/>
          <w:bCs w:val="0"/>
        </w:rPr>
      </w:r>
      <w:r>
        <w:rPr/>
        <w:t>第三节</w:t>
      </w:r>
      <w:r>
        <w:rPr>
          <w:spacing w:val="-7"/>
        </w:rPr>
        <w:t> </w:t>
      </w:r>
      <w:r>
        <w:rPr/>
        <w:t>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3"/>
        <w:spacing w:line="240" w:lineRule="auto"/>
        <w:ind w:right="0"/>
        <w:jc w:val="left"/>
        <w:rPr>
          <w:b w:val="0"/>
          <w:bCs w:val="0"/>
        </w:rPr>
      </w:pPr>
      <w:r>
        <w:rPr/>
        <w:t>一、股本变动情况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left="574" w:right="0"/>
        <w:jc w:val="left"/>
        <w:rPr>
          <w:b w:val="0"/>
          <w:bCs w:val="0"/>
        </w:rPr>
      </w:pPr>
      <w:r>
        <w:rPr/>
        <w:t>（一）股本变动情况表（单位：股）</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55" w:type="dxa"/>
        <w:tblLayout w:type="fixed"/>
        <w:tblCellMar>
          <w:top w:w="0" w:type="dxa"/>
          <w:left w:w="0" w:type="dxa"/>
          <w:bottom w:w="0" w:type="dxa"/>
          <w:right w:w="0" w:type="dxa"/>
        </w:tblCellMar>
        <w:tblLook w:val="01E0"/>
      </w:tblPr>
      <w:tblGrid>
        <w:gridCol w:w="1985"/>
        <w:gridCol w:w="1135"/>
        <w:gridCol w:w="665"/>
        <w:gridCol w:w="529"/>
        <w:gridCol w:w="480"/>
        <w:gridCol w:w="720"/>
        <w:gridCol w:w="1206"/>
        <w:gridCol w:w="1080"/>
        <w:gridCol w:w="1112"/>
        <w:gridCol w:w="713"/>
      </w:tblGrid>
      <w:tr>
        <w:trPr>
          <w:trHeight w:val="340" w:hRule="exact"/>
        </w:trPr>
        <w:tc>
          <w:tcPr>
            <w:tcW w:w="1985" w:type="dxa"/>
            <w:vMerge w:val="restart"/>
            <w:tcBorders>
              <w:top w:val="single" w:sz="4" w:space="0" w:color="000000"/>
              <w:left w:val="single" w:sz="4" w:space="0" w:color="000000"/>
              <w:right w:val="single" w:sz="4" w:space="0" w:color="000000"/>
            </w:tcBorders>
            <w:shd w:val="clear" w:color="auto" w:fill="DCDCDC"/>
          </w:tcPr>
          <w:p>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5"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5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72" w:hRule="exact"/>
        </w:trPr>
        <w:tc>
          <w:tcPr>
            <w:tcW w:w="1985" w:type="dxa"/>
            <w:vMerge/>
            <w:tcBorders>
              <w:left w:val="single" w:sz="4" w:space="0" w:color="000000"/>
              <w:bottom w:val="single" w:sz="4" w:space="0" w:color="000000"/>
              <w:right w:val="single" w:sz="4" w:space="0" w:color="000000"/>
            </w:tcBorders>
            <w:shd w:val="clear" w:color="auto" w:fill="DCDCDC"/>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right="71"/>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79" w:right="7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left="5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73" w:right="8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left="331"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其他</w:t>
            </w:r>
            <w:r>
              <w:rPr>
                <w:rFonts w:ascii="宋体" w:hAnsi="宋体" w:cs="宋体" w:eastAsia="宋体" w:hint="default"/>
                <w:position w:val="9"/>
                <w:sz w:val="9"/>
                <w:szCs w:val="9"/>
              </w:rPr>
              <w:t>注</w:t>
            </w:r>
            <w:r>
              <w:rPr>
                <w:rFonts w:ascii="宋体" w:hAnsi="宋体" w:cs="宋体" w:eastAsia="宋体" w:hint="default"/>
                <w:spacing w:val="-23"/>
                <w:position w:val="9"/>
                <w:sz w:val="9"/>
                <w:szCs w:val="9"/>
              </w:rPr>
              <w:t> </w:t>
            </w:r>
            <w:r>
              <w:rPr>
                <w:rFonts w:ascii="Times New Roman" w:hAnsi="Times New Roman" w:cs="Times New Roman" w:eastAsia="Times New Roman" w:hint="default"/>
                <w:position w:val="8"/>
                <w:sz w:val="12"/>
                <w:szCs w:val="12"/>
              </w:rPr>
              <w:t>2</w:t>
            </w:r>
            <w:r>
              <w:rPr>
                <w:rFonts w:ascii="Times New Roman" w:hAnsi="Times New Roman" w:cs="Times New Roman" w:eastAsia="Times New Roman" w:hint="default"/>
                <w:sz w:val="12"/>
                <w:szCs w:val="12"/>
              </w:rPr>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left="3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left="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152,365,712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68.02</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-44,237,428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-44,237,428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 w:right="0"/>
              <w:jc w:val="center"/>
              <w:rPr>
                <w:rFonts w:ascii="宋体" w:hAnsi="宋体" w:cs="宋体" w:eastAsia="宋体" w:hint="default"/>
                <w:sz w:val="18"/>
                <w:szCs w:val="18"/>
              </w:rPr>
            </w:pPr>
            <w:r>
              <w:rPr>
                <w:rFonts w:ascii="宋体"/>
                <w:sz w:val="18"/>
              </w:rPr>
              <w:t>108,128,284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48.27</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152,365,712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68.02</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-44,237,428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-44,237,428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 w:right="0"/>
              <w:jc w:val="center"/>
              <w:rPr>
                <w:rFonts w:ascii="宋体" w:hAnsi="宋体" w:cs="宋体" w:eastAsia="宋体" w:hint="default"/>
                <w:sz w:val="18"/>
                <w:szCs w:val="18"/>
              </w:rPr>
            </w:pPr>
            <w:r>
              <w:rPr>
                <w:rFonts w:ascii="宋体"/>
                <w:sz w:val="18"/>
              </w:rPr>
              <w:t>108,128,284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48.27</w:t>
            </w:r>
          </w:p>
        </w:tc>
      </w:tr>
      <w:tr>
        <w:trPr>
          <w:trHeight w:val="572"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14" w:firstLine="90"/>
              <w:jc w:val="left"/>
              <w:rPr>
                <w:rFonts w:ascii="宋体" w:hAnsi="宋体" w:cs="宋体" w:eastAsia="宋体" w:hint="default"/>
                <w:sz w:val="18"/>
                <w:szCs w:val="18"/>
              </w:rPr>
            </w:pPr>
            <w:r>
              <w:rPr>
                <w:rFonts w:ascii="宋体" w:hAnsi="宋体" w:cs="宋体" w:eastAsia="宋体" w:hint="default"/>
                <w:spacing w:val="3"/>
                <w:sz w:val="18"/>
                <w:szCs w:val="18"/>
              </w:rPr>
              <w:t>其中：境内非国有法人</w:t>
            </w:r>
            <w:r>
              <w:rPr>
                <w:rFonts w:ascii="宋体" w:hAnsi="宋体" w:cs="宋体" w:eastAsia="宋体" w:hint="default"/>
                <w:spacing w:val="4"/>
                <w:sz w:val="18"/>
                <w:szCs w:val="18"/>
              </w:rPr>
              <w:t> </w:t>
            </w:r>
            <w:r>
              <w:rPr>
                <w:rFonts w:ascii="宋体" w:hAnsi="宋体" w:cs="宋体" w:eastAsia="宋体" w:hint="default"/>
                <w:sz w:val="18"/>
                <w:szCs w:val="18"/>
              </w:rPr>
              <w:t>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6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152,365,712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68.02</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-44,237,428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-44,237,428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 w:right="0"/>
              <w:jc w:val="center"/>
              <w:rPr>
                <w:rFonts w:ascii="宋体" w:hAnsi="宋体" w:cs="宋体" w:eastAsia="宋体" w:hint="default"/>
                <w:sz w:val="18"/>
                <w:szCs w:val="18"/>
              </w:rPr>
            </w:pPr>
            <w:r>
              <w:rPr>
                <w:rFonts w:ascii="宋体"/>
                <w:sz w:val="18"/>
              </w:rPr>
              <w:t>108,128,284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48.27</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6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、高管锁定股份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1,837,712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0.82</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106,290,572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106,290,572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 w:right="0"/>
              <w:jc w:val="center"/>
              <w:rPr>
                <w:rFonts w:ascii="宋体" w:hAnsi="宋体" w:cs="宋体" w:eastAsia="宋体" w:hint="default"/>
                <w:sz w:val="18"/>
                <w:szCs w:val="18"/>
              </w:rPr>
            </w:pPr>
            <w:r>
              <w:rPr>
                <w:rFonts w:ascii="宋体"/>
                <w:sz w:val="18"/>
              </w:rPr>
              <w:t>108,128,284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48.27</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71,634,288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31.98</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44,237,428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44,237,428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 w:right="0"/>
              <w:jc w:val="center"/>
              <w:rPr>
                <w:rFonts w:ascii="宋体" w:hAnsi="宋体" w:cs="宋体" w:eastAsia="宋体" w:hint="default"/>
                <w:sz w:val="18"/>
                <w:szCs w:val="18"/>
              </w:rPr>
            </w:pPr>
            <w:r>
              <w:rPr>
                <w:rFonts w:ascii="宋体"/>
                <w:sz w:val="18"/>
              </w:rPr>
              <w:t>115,871,716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51.73</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71,634,288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31.98</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44,237,428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44,237,428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 w:right="0"/>
              <w:jc w:val="center"/>
              <w:rPr>
                <w:rFonts w:ascii="宋体" w:hAnsi="宋体" w:cs="宋体" w:eastAsia="宋体" w:hint="default"/>
                <w:sz w:val="18"/>
                <w:szCs w:val="18"/>
              </w:rPr>
            </w:pPr>
            <w:r>
              <w:rPr>
                <w:rFonts w:ascii="宋体"/>
                <w:sz w:val="18"/>
              </w:rPr>
              <w:t>115,871,716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51.73</w:t>
            </w: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224,000,000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100</w:t>
            </w:r>
          </w:p>
        </w:tc>
        <w:tc>
          <w:tcPr>
            <w:tcW w:w="52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 w:right="0"/>
              <w:jc w:val="center"/>
              <w:rPr>
                <w:rFonts w:ascii="宋体" w:hAnsi="宋体" w:cs="宋体" w:eastAsia="宋体" w:hint="default"/>
                <w:sz w:val="18"/>
                <w:szCs w:val="18"/>
              </w:rPr>
            </w:pPr>
            <w:r>
              <w:rPr>
                <w:rFonts w:ascii="宋体"/>
                <w:sz w:val="18"/>
              </w:rPr>
              <w:t>224,000,000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100</w:t>
            </w:r>
          </w:p>
        </w:tc>
      </w:tr>
    </w:tbl>
    <w:p>
      <w:pPr>
        <w:pStyle w:val="BodyText"/>
        <w:spacing w:line="241" w:lineRule="exact"/>
        <w:ind w:right="0"/>
        <w:jc w:val="left"/>
      </w:pPr>
      <w:r>
        <w:rPr>
          <w:spacing w:val="-4"/>
        </w:rPr>
        <w:t>[注]：1.</w:t>
      </w:r>
      <w:r>
        <w:rPr>
          <w:spacing w:val="-16"/>
        </w:rPr>
        <w:t> </w:t>
      </w:r>
      <w:r>
        <w:rPr>
          <w:spacing w:val="-2"/>
        </w:rPr>
        <w:t>2010年8月，公司办理了限售股份解除限售，详见公司于2010年8月10日披露的《限售股份上市流</w:t>
      </w:r>
    </w:p>
    <w:p>
      <w:pPr>
        <w:pStyle w:val="BodyText"/>
        <w:spacing w:line="357" w:lineRule="auto" w:before="133"/>
        <w:ind w:right="0"/>
        <w:jc w:val="left"/>
      </w:pPr>
      <w:r>
        <w:rPr/>
        <w:t>通提示性公告》（2010-37）。本次可上市流通股份的总数15,052.8万股，因限售股份持有人之一李仲初 </w:t>
      </w:r>
      <w:r>
        <w:rPr>
          <w:spacing w:val="-1"/>
        </w:rPr>
        <w:t>先生作为公司董事长，任职期间每年可转让的股份不超过其所持本公司股份总数的百分之二十五，故本次</w:t>
      </w:r>
      <w:r>
        <w:rPr>
          <w:spacing w:val="-81"/>
        </w:rPr>
        <w:t> </w:t>
      </w:r>
      <w:r>
        <w:rPr>
          <w:spacing w:val="-81"/>
        </w:rPr>
      </w:r>
      <w:r>
        <w:rPr/>
        <w:t>实际可上市流通数量为4,468.8万股。</w:t>
      </w:r>
    </w:p>
    <w:p>
      <w:pPr>
        <w:pStyle w:val="BodyText"/>
        <w:spacing w:line="357" w:lineRule="auto" w:before="31"/>
        <w:ind w:right="208" w:firstLine="420"/>
        <w:jc w:val="both"/>
      </w:pPr>
      <w:r>
        <w:rPr>
          <w:spacing w:val="-1"/>
        </w:rPr>
        <w:t>2.李殿坤先生于2010年11月15日不再担任公司董事，根据《深圳证券交易所中小板上市公司规范运作</w:t>
      </w:r>
      <w:r>
        <w:rPr/>
        <w:t> </w:t>
      </w:r>
      <w:r>
        <w:rPr>
          <w:spacing w:val="-1"/>
        </w:rPr>
        <w:t>指引》3.8.13，上市公司董事、监事和高级管理人员离任并委托公司申报个人信息后，中国结算深圳分公</w:t>
      </w:r>
      <w:r>
        <w:rPr>
          <w:spacing w:val="-84"/>
        </w:rPr>
        <w:t> </w:t>
      </w:r>
      <w:r>
        <w:rPr>
          <w:spacing w:val="-84"/>
        </w:rPr>
      </w:r>
      <w:r>
        <w:rPr>
          <w:spacing w:val="-1"/>
        </w:rPr>
        <w:t>司自其申报离任日起六个月内将其持有及新增的本公司股份全部锁定，因此李殿坤先生2010年12月31日持</w:t>
      </w:r>
      <w:r>
        <w:rPr>
          <w:spacing w:val="-81"/>
        </w:rPr>
        <w:t> </w:t>
      </w:r>
      <w:r>
        <w:rPr>
          <w:spacing w:val="-81"/>
        </w:rPr>
      </w:r>
      <w:r>
        <w:rPr/>
        <w:t>有的2,288,284股全部锁定。</w:t>
      </w:r>
    </w:p>
    <w:p>
      <w:pPr>
        <w:pStyle w:val="BodyText"/>
        <w:spacing w:line="240" w:lineRule="auto" w:before="30"/>
        <w:ind w:left="574" w:right="0"/>
        <w:jc w:val="left"/>
      </w:pPr>
      <w:r>
        <w:rPr/>
        <w:t>综合以上1、2，本年度增加的无限售条件股份数为：44,688,000-2,288,284+1,837,712=44,237,428。</w:t>
      </w:r>
    </w:p>
    <w:p>
      <w:pPr>
        <w:spacing w:line="240" w:lineRule="auto" w:before="0"/>
        <w:rPr>
          <w:rFonts w:ascii="宋体" w:hAnsi="宋体" w:cs="宋体" w:eastAsia="宋体" w:hint="default"/>
          <w:sz w:val="20"/>
          <w:szCs w:val="20"/>
        </w:rPr>
      </w:pPr>
    </w:p>
    <w:p>
      <w:pPr>
        <w:pStyle w:val="Heading3"/>
        <w:spacing w:line="240" w:lineRule="auto" w:before="153"/>
        <w:ind w:left="573" w:right="0"/>
        <w:jc w:val="left"/>
        <w:rPr>
          <w:b w:val="0"/>
          <w:bCs w:val="0"/>
        </w:rPr>
      </w:pPr>
      <w:r>
        <w:rPr/>
        <w:t>（二）限售股份变动情况表（单位：股）</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188" w:type="dxa"/>
        <w:tblLayout w:type="fixed"/>
        <w:tblCellMar>
          <w:top w:w="0" w:type="dxa"/>
          <w:left w:w="0" w:type="dxa"/>
          <w:bottom w:w="0" w:type="dxa"/>
          <w:right w:w="0" w:type="dxa"/>
        </w:tblCellMar>
        <w:tblLook w:val="01E0"/>
      </w:tblPr>
      <w:tblGrid>
        <w:gridCol w:w="1135"/>
        <w:gridCol w:w="1265"/>
        <w:gridCol w:w="1543"/>
        <w:gridCol w:w="1577"/>
        <w:gridCol w:w="1231"/>
        <w:gridCol w:w="1289"/>
        <w:gridCol w:w="1519"/>
      </w:tblGrid>
      <w:tr>
        <w:trPr>
          <w:trHeight w:val="340"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5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6" w:right="0"/>
              <w:jc w:val="lef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62" w:right="0"/>
              <w:jc w:val="lef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70"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7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1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851" w:footer="982" w:top="1200" w:bottom="1180" w:left="980" w:right="920"/>
        </w:sectPr>
      </w:pPr>
    </w:p>
    <w:p>
      <w:pPr>
        <w:spacing w:line="240" w:lineRule="auto" w:before="13"/>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135"/>
        <w:gridCol w:w="1265"/>
        <w:gridCol w:w="1543"/>
        <w:gridCol w:w="1577"/>
        <w:gridCol w:w="1231"/>
        <w:gridCol w:w="1289"/>
        <w:gridCol w:w="1519"/>
      </w:tblGrid>
      <w:tr>
        <w:trPr>
          <w:trHeight w:val="580" w:hRule="exact"/>
        </w:trPr>
        <w:tc>
          <w:tcPr>
            <w:tcW w:w="113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2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141,120,000</w:t>
            </w:r>
          </w:p>
        </w:tc>
        <w:tc>
          <w:tcPr>
            <w:tcW w:w="15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35,280,000</w:t>
            </w:r>
          </w:p>
        </w:tc>
        <w:tc>
          <w:tcPr>
            <w:tcW w:w="15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0</w:t>
            </w:r>
          </w:p>
        </w:tc>
        <w:tc>
          <w:tcPr>
            <w:tcW w:w="12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105,840,000</w:t>
            </w:r>
          </w:p>
        </w:tc>
        <w:tc>
          <w:tcPr>
            <w:tcW w:w="12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8"/>
              <w:ind w:left="327" w:right="32" w:hanging="293"/>
              <w:jc w:val="left"/>
              <w:rPr>
                <w:rFonts w:ascii="宋体" w:hAnsi="宋体" w:cs="宋体" w:eastAsia="宋体" w:hint="default"/>
                <w:sz w:val="18"/>
                <w:szCs w:val="18"/>
              </w:rPr>
            </w:pPr>
            <w:r>
              <w:rPr>
                <w:rFonts w:ascii="宋体" w:hAnsi="宋体" w:cs="宋体" w:eastAsia="宋体" w:hint="default"/>
                <w:sz w:val="18"/>
                <w:szCs w:val="18"/>
              </w:rPr>
              <w:t>可减持上年末所持 股份的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40"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焦梅荣</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9,408,000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9,408,000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74"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李殿坤</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1,837,712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宋体" w:hAnsi="宋体" w:cs="宋体" w:eastAsia="宋体" w:hint="default"/>
                <w:sz w:val="18"/>
                <w:szCs w:val="18"/>
              </w:rPr>
            </w:pPr>
            <w:r>
              <w:rPr>
                <w:rFonts w:ascii="宋体"/>
                <w:sz w:val="18"/>
              </w:rPr>
              <w:t>450,572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2,288,284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3"/>
              <w:ind w:left="22" w:right="17"/>
              <w:jc w:val="left"/>
              <w:rPr>
                <w:rFonts w:ascii="宋体" w:hAnsi="宋体" w:cs="宋体" w:eastAsia="宋体" w:hint="default"/>
                <w:sz w:val="18"/>
                <w:szCs w:val="18"/>
              </w:rPr>
            </w:pPr>
            <w:r>
              <w:rPr>
                <w:rFonts w:ascii="宋体" w:hAnsi="宋体" w:cs="宋体" w:eastAsia="宋体" w:hint="default"/>
                <w:spacing w:val="2"/>
                <w:sz w:val="18"/>
                <w:szCs w:val="18"/>
              </w:rPr>
              <w:t>可减持上年末所持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40" w:hRule="exact"/>
        </w:trPr>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152,365,712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44,688,000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450,572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108,128,284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r>
    </w:tbl>
    <w:p>
      <w:pPr>
        <w:pStyle w:val="BodyText"/>
        <w:spacing w:line="257" w:lineRule="exact"/>
        <w:ind w:left="113" w:right="98" w:firstLine="420"/>
        <w:jc w:val="left"/>
      </w:pPr>
      <w:r>
        <w:rPr/>
        <w:t>[注]：1.李仲初先生因发行所持有的限售股份已于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日全部解除限售，但按照《公司法》</w:t>
      </w:r>
    </w:p>
    <w:p>
      <w:pPr>
        <w:pStyle w:val="BodyText"/>
        <w:spacing w:line="338" w:lineRule="auto" w:before="117"/>
        <w:ind w:left="113" w:right="123"/>
        <w:jc w:val="both"/>
      </w:pPr>
      <w:r>
        <w:rPr>
          <w:rFonts w:ascii="Times New Roman" w:hAnsi="Times New Roman" w:cs="Times New Roman" w:eastAsia="Times New Roman" w:hint="default"/>
        </w:rPr>
        <w:t>142</w:t>
      </w:r>
      <w:r>
        <w:rPr/>
        <w:t>条规定：公司董事、监事、高级管理人员在任职期间解除限售股份，每年转让的股份不得超过其所持 有本公司股份总数的</w:t>
      </w:r>
      <w:r>
        <w:rPr>
          <w:rFonts w:ascii="Times New Roman" w:hAnsi="Times New Roman" w:cs="Times New Roman" w:eastAsia="Times New Roman" w:hint="default"/>
        </w:rPr>
        <w:t>25%</w:t>
      </w:r>
      <w:r>
        <w:rPr/>
        <w:t>，李仲初作为公司董事长兼总裁，任职期间每年转让的股份不超过其所持有本公 司股份总数的</w:t>
      </w:r>
      <w:r>
        <w:rPr>
          <w:rFonts w:ascii="Times New Roman" w:hAnsi="Times New Roman" w:cs="Times New Roman" w:eastAsia="Times New Roman" w:hint="default"/>
        </w:rPr>
        <w:t>25%</w:t>
      </w:r>
      <w:r>
        <w:rPr/>
        <w:t>，因此解除限售后，因高管持股自动锁定105,840,000股。</w:t>
      </w:r>
    </w:p>
    <w:p>
      <w:pPr>
        <w:pStyle w:val="BodyText"/>
        <w:spacing w:line="357" w:lineRule="auto" w:before="23"/>
        <w:ind w:left="113" w:right="108" w:firstLine="420"/>
        <w:jc w:val="both"/>
      </w:pPr>
      <w:r>
        <w:rPr>
          <w:spacing w:val="-1"/>
        </w:rPr>
        <w:t>2.李殿坤先生于2010年11月15日不再担任公司董事，根据《深圳证券交易所中小板上市公司规范运作</w:t>
      </w:r>
      <w:r>
        <w:rPr/>
        <w:t> </w:t>
      </w:r>
      <w:r>
        <w:rPr>
          <w:spacing w:val="-1"/>
        </w:rPr>
        <w:t>指引》3.8.13，上市公司董事、监事和高级管理人员离任并委托公司申报个人信息后，中国结算深圳分公</w:t>
      </w:r>
      <w:r>
        <w:rPr>
          <w:spacing w:val="-84"/>
        </w:rPr>
        <w:t> </w:t>
      </w:r>
      <w:r>
        <w:rPr>
          <w:spacing w:val="-84"/>
        </w:rPr>
      </w:r>
      <w:r>
        <w:rPr>
          <w:spacing w:val="-1"/>
        </w:rPr>
        <w:t>司自其申报离任日起六个月内将其持有及新增的本公司股份全部锁定，因此李殿坤先生2010年12月31日持</w:t>
      </w:r>
      <w:r>
        <w:rPr>
          <w:spacing w:val="-81"/>
        </w:rPr>
        <w:t> </w:t>
      </w:r>
      <w:r>
        <w:rPr>
          <w:spacing w:val="-81"/>
        </w:rPr>
      </w:r>
      <w:r>
        <w:rPr/>
        <w:t>有的2,288,284股全部锁定。</w:t>
      </w:r>
    </w:p>
    <w:p>
      <w:pPr>
        <w:pStyle w:val="Heading3"/>
        <w:spacing w:line="240" w:lineRule="auto" w:before="150"/>
        <w:ind w:left="526" w:right="98"/>
        <w:jc w:val="left"/>
        <w:rPr>
          <w:b w:val="0"/>
          <w:bCs w:val="0"/>
        </w:rPr>
      </w:pPr>
      <w:r>
        <w:rPr/>
        <w:t>二、股票发行与上市情况</w:t>
      </w:r>
      <w:r>
        <w:rPr>
          <w:b w:val="0"/>
          <w:bCs w:val="0"/>
        </w:rPr>
      </w:r>
    </w:p>
    <w:p>
      <w:pPr>
        <w:spacing w:line="240" w:lineRule="auto" w:before="6"/>
        <w:rPr>
          <w:rFonts w:ascii="宋体" w:hAnsi="宋体" w:cs="宋体" w:eastAsia="宋体" w:hint="default"/>
          <w:b/>
          <w:bCs/>
          <w:sz w:val="19"/>
          <w:szCs w:val="19"/>
        </w:rPr>
      </w:pPr>
    </w:p>
    <w:p>
      <w:pPr>
        <w:pStyle w:val="BodyText"/>
        <w:spacing w:line="357" w:lineRule="auto"/>
        <w:ind w:left="113" w:right="98" w:firstLine="420"/>
        <w:jc w:val="left"/>
      </w:pPr>
      <w:r>
        <w:rPr/>
        <w:t>1、2007年7月，经中国证券监督管理委员会证监发字【2007】189号《关于核准北京中长石基信息技 术股份有限公司首次公开发行股票的通知》核准，本公司于2007年7月27日、30日，采用网下向询价对象 询价配售与网上资金申购定价发行相结合的方式，首次公开发行人民币普通股（A股）1，400万股；其中</w:t>
      </w:r>
      <w:r>
        <w:rPr>
          <w:spacing w:val="-1"/>
        </w:rPr>
        <w:t> 网下向询价对象询价配售280万股，网上向社会公众投资者按市值配售1,120万股。网下配售部分已于2007</w:t>
      </w:r>
      <w:r>
        <w:rPr>
          <w:spacing w:val="-77"/>
        </w:rPr>
        <w:t> </w:t>
      </w:r>
      <w:r>
        <w:rPr>
          <w:spacing w:val="-77"/>
        </w:rPr>
      </w:r>
      <w:r>
        <w:rPr/>
        <w:t>年7月27日在保荐机构(主承销商)国信证券有限责任公司主持下发行完毕，网上配售部分已于2007 年7</w:t>
      </w:r>
      <w:r>
        <w:rPr>
          <w:spacing w:val="-27"/>
        </w:rPr>
        <w:t> </w:t>
      </w:r>
      <w:r>
        <w:rPr/>
        <w:t>月</w:t>
      </w:r>
      <w:r>
        <w:rPr/>
        <w:t> 30</w:t>
      </w:r>
      <w:r>
        <w:rPr>
          <w:spacing w:val="-4"/>
        </w:rPr>
        <w:t> </w:t>
      </w:r>
      <w:r>
        <w:rPr/>
        <w:t>日成功发行。公司股本由4,200万股增加到5,600万股。</w:t>
      </w:r>
    </w:p>
    <w:p>
      <w:pPr>
        <w:pStyle w:val="BodyText"/>
        <w:spacing w:line="357" w:lineRule="auto" w:before="30"/>
        <w:ind w:left="113" w:right="176" w:firstLine="420"/>
        <w:jc w:val="left"/>
      </w:pPr>
      <w:r>
        <w:rPr/>
        <w:t>2、2007年7月，经深圳证券交易所深证上【2007】125号文批准，本公司公开发行的1,400万股人民 币普通股（A股）在深圳证券交易所挂牌交易。其中：网上定价发行的1,120万股股票于2007年8月13日上 市交易，股票简称“石基信息”，股票代码“002153</w:t>
      </w:r>
      <w:r>
        <w:rPr>
          <w:spacing w:val="-6"/>
        </w:rPr>
        <w:t> </w:t>
      </w:r>
      <w:r>
        <w:rPr/>
        <w:t>”，股票发行价21.50元/股。其余股票的上市可交</w:t>
      </w:r>
      <w:r>
        <w:rPr/>
        <w:t> 易时间按照有关法律法规、深交所上市规则及公司相关股东的承诺执行。</w:t>
      </w:r>
    </w:p>
    <w:p>
      <w:pPr>
        <w:pStyle w:val="BodyText"/>
        <w:spacing w:line="240" w:lineRule="auto" w:before="30"/>
        <w:ind w:left="533" w:right="98"/>
        <w:jc w:val="left"/>
      </w:pPr>
      <w:r>
        <w:rPr/>
        <w:t>3、公司2008年3月19日召开的2007年年度股东大会审议通过了公司2007年度分红派息方案，公司以</w:t>
      </w:r>
    </w:p>
    <w:p>
      <w:pPr>
        <w:pStyle w:val="BodyText"/>
        <w:spacing w:line="357" w:lineRule="auto" w:before="133"/>
        <w:ind w:left="113" w:right="110"/>
        <w:jc w:val="both"/>
      </w:pPr>
      <w:r>
        <w:rPr>
          <w:spacing w:val="-1"/>
        </w:rPr>
        <w:t>2008年3月27日为股权登记日，以截止2007年12月31日的总股本5,600万股为基数，向全体股东每以公积金</w:t>
      </w:r>
      <w:r>
        <w:rPr>
          <w:spacing w:val="-79"/>
        </w:rPr>
        <w:t> </w:t>
      </w:r>
      <w:r>
        <w:rPr>
          <w:spacing w:val="-79"/>
        </w:rPr>
      </w:r>
      <w:r>
        <w:rPr/>
        <w:t>每10股转增10股红股，转增完成后，公司总股本由5,600万股增至11,200万股。</w:t>
      </w:r>
    </w:p>
    <w:p>
      <w:pPr>
        <w:pStyle w:val="BodyText"/>
        <w:spacing w:line="240" w:lineRule="auto" w:before="30"/>
        <w:ind w:left="533" w:right="98"/>
        <w:jc w:val="left"/>
      </w:pPr>
      <w:r>
        <w:rPr/>
        <w:t>4、公司2009年4月16日召开的2008年年度股东大会审议通过了公司2008年度分红派息方案，公司以</w:t>
      </w:r>
    </w:p>
    <w:p>
      <w:pPr>
        <w:pStyle w:val="BodyText"/>
        <w:spacing w:line="355" w:lineRule="auto" w:before="134"/>
        <w:ind w:left="113" w:right="109"/>
        <w:jc w:val="both"/>
      </w:pPr>
      <w:r>
        <w:rPr>
          <w:spacing w:val="-1"/>
        </w:rPr>
        <w:t>2009年5月4日为股权登记日，以截止2008年12月31日的总股本11,200万股为基数，向全体股东每以公积金</w:t>
      </w:r>
      <w:r>
        <w:rPr>
          <w:spacing w:val="-77"/>
        </w:rPr>
        <w:t> </w:t>
      </w:r>
      <w:r>
        <w:rPr>
          <w:spacing w:val="-77"/>
        </w:rPr>
      </w:r>
      <w:r>
        <w:rPr/>
        <w:t>每10股转增10股红股，转增完成后，公司总股本由11,200万股增至22,400万股。</w:t>
      </w:r>
    </w:p>
    <w:p>
      <w:pPr>
        <w:pStyle w:val="BodyText"/>
        <w:spacing w:line="240" w:lineRule="auto" w:before="33"/>
        <w:ind w:left="533" w:right="98"/>
        <w:jc w:val="left"/>
      </w:pPr>
      <w:r>
        <w:rPr/>
        <w:t>5、本公司无内部职工股。</w:t>
      </w:r>
    </w:p>
    <w:p>
      <w:pPr>
        <w:spacing w:line="460" w:lineRule="auto" w:before="133"/>
        <w:ind w:left="526" w:right="2486" w:firstLine="7"/>
        <w:jc w:val="left"/>
        <w:rPr>
          <w:rFonts w:ascii="宋体" w:hAnsi="宋体" w:cs="宋体" w:eastAsia="宋体" w:hint="default"/>
          <w:sz w:val="21"/>
          <w:szCs w:val="21"/>
        </w:rPr>
      </w:pPr>
      <w:r>
        <w:rPr>
          <w:rFonts w:ascii="宋体" w:hAnsi="宋体" w:cs="宋体" w:eastAsia="宋体" w:hint="default"/>
          <w:sz w:val="21"/>
          <w:szCs w:val="21"/>
        </w:rPr>
        <w:t>6、本公司报告期末止的前三年除首次上市发行外无发行新股及衍生证券。 </w:t>
      </w:r>
      <w:r>
        <w:rPr>
          <w:rFonts w:ascii="宋体" w:hAnsi="宋体" w:cs="宋体" w:eastAsia="宋体" w:hint="default"/>
          <w:b/>
          <w:bCs/>
          <w:sz w:val="21"/>
          <w:szCs w:val="21"/>
        </w:rPr>
        <w:t>三、股东和实际控制人情况</w:t>
      </w:r>
      <w:r>
        <w:rPr>
          <w:rFonts w:ascii="宋体" w:hAnsi="宋体" w:cs="宋体" w:eastAsia="宋体" w:hint="default"/>
          <w:sz w:val="21"/>
          <w:szCs w:val="21"/>
        </w:rPr>
      </w:r>
    </w:p>
    <w:p>
      <w:pPr>
        <w:pStyle w:val="Heading3"/>
        <w:spacing w:line="240" w:lineRule="auto" w:before="61"/>
        <w:ind w:left="534" w:right="98"/>
        <w:jc w:val="left"/>
        <w:rPr>
          <w:b w:val="0"/>
          <w:bCs w:val="0"/>
        </w:rPr>
      </w:pPr>
      <w:r>
        <w:rPr/>
        <w:t>（一）报告期末股东数量和持股情况（单位：股）</w:t>
      </w:r>
      <w:r>
        <w:rPr>
          <w:b w:val="0"/>
          <w:bCs w:val="0"/>
        </w:rPr>
      </w:r>
    </w:p>
    <w:p>
      <w:pPr>
        <w:spacing w:after="0" w:line="240" w:lineRule="auto"/>
        <w:jc w:val="left"/>
        <w:sectPr>
          <w:pgSz w:w="11910" w:h="16840"/>
          <w:pgMar w:header="851" w:footer="982" w:top="1200" w:bottom="1180" w:left="1020" w:right="1020"/>
        </w:sectPr>
      </w:pPr>
    </w:p>
    <w:p>
      <w:pPr>
        <w:spacing w:line="240" w:lineRule="auto" w:before="13"/>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440"/>
        <w:gridCol w:w="3060"/>
        <w:gridCol w:w="1393"/>
        <w:gridCol w:w="587"/>
        <w:gridCol w:w="1056"/>
        <w:gridCol w:w="439"/>
        <w:gridCol w:w="785"/>
        <w:gridCol w:w="960"/>
      </w:tblGrid>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52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hAnsi="宋体" w:cs="宋体" w:eastAsia="宋体" w:hint="default"/>
                <w:sz w:val="18"/>
                <w:szCs w:val="18"/>
              </w:rPr>
              <w:t>3,947</w:t>
            </w:r>
            <w:r>
              <w:rPr>
                <w:rFonts w:ascii="宋体" w:hAnsi="宋体" w:cs="宋体" w:eastAsia="宋体" w:hint="default"/>
                <w:spacing w:val="-46"/>
                <w:sz w:val="18"/>
                <w:szCs w:val="18"/>
              </w:rPr>
              <w:t> </w:t>
            </w:r>
            <w:r>
              <w:rPr>
                <w:rFonts w:ascii="宋体" w:hAnsi="宋体" w:cs="宋体" w:eastAsia="宋体" w:hint="default"/>
                <w:sz w:val="18"/>
                <w:szCs w:val="18"/>
              </w:rPr>
              <w:t>人</w:t>
            </w:r>
          </w:p>
        </w:tc>
      </w:tr>
      <w:tr>
        <w:trPr>
          <w:trHeight w:val="340" w:hRule="exact"/>
        </w:trPr>
        <w:tc>
          <w:tcPr>
            <w:tcW w:w="972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572" w:hRule="exact"/>
        </w:trPr>
        <w:tc>
          <w:tcPr>
            <w:tcW w:w="4500" w:type="dxa"/>
            <w:gridSpan w:val="2"/>
            <w:tcBorders>
              <w:top w:val="single" w:sz="50" w:space="0" w:color="DCDCDC"/>
              <w:left w:val="single" w:sz="4" w:space="0" w:color="000000"/>
              <w:bottom w:val="single" w:sz="50" w:space="0" w:color="DCDCDC"/>
              <w:right w:val="single" w:sz="4" w:space="0" w:color="000000"/>
            </w:tcBorders>
          </w:tcPr>
          <w:p>
            <w:pPr>
              <w:pStyle w:val="TableParagraph"/>
              <w:tabs>
                <w:tab w:pos="1883" w:val="left" w:leader="none"/>
                <w:tab w:pos="4467" w:val="left" w:leader="none"/>
              </w:tabs>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CDCDC" w:color="auto" w:val="clear"/>
              </w:rPr>
              <w:t> </w:t>
              <w:tab/>
            </w:r>
            <w:r>
              <w:rPr>
                <w:rFonts w:ascii="宋体" w:hAnsi="宋体" w:cs="宋体" w:eastAsia="宋体" w:hint="default"/>
                <w:sz w:val="18"/>
                <w:szCs w:val="18"/>
                <w:shd w:fill="DCDCDC" w:color="auto" w:val="clear"/>
              </w:rPr>
              <w:t>股东名称</w:t>
              <w:tab/>
            </w:r>
            <w:r>
              <w:rPr>
                <w:rFonts w:ascii="宋体" w:hAnsi="宋体" w:cs="宋体" w:eastAsia="宋体" w:hint="default"/>
                <w:sz w:val="18"/>
                <w:szCs w:val="18"/>
              </w:rPr>
            </w:r>
          </w:p>
        </w:tc>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3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33" w:right="31" w:firstLine="7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16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156" w:right="66" w:hanging="90"/>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23" w:right="24"/>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340" w:hRule="exact"/>
        </w:trPr>
        <w:tc>
          <w:tcPr>
            <w:tcW w:w="4500" w:type="dxa"/>
            <w:gridSpan w:val="2"/>
            <w:tcBorders>
              <w:top w:val="single" w:sz="50" w:space="0" w:color="DCDCDC"/>
              <w:left w:val="single" w:sz="4" w:space="0" w:color="000000"/>
              <w:bottom w:val="single" w:sz="4" w:space="0" w:color="000000"/>
              <w:right w:val="single" w:sz="4" w:space="0" w:color="000000"/>
            </w:tcBorders>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63.00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141,120,000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0" w:right="0"/>
              <w:jc w:val="left"/>
              <w:rPr>
                <w:rFonts w:ascii="宋体" w:hAnsi="宋体" w:cs="宋体" w:eastAsia="宋体" w:hint="default"/>
                <w:sz w:val="18"/>
                <w:szCs w:val="18"/>
              </w:rPr>
            </w:pPr>
            <w:r>
              <w:rPr>
                <w:rFonts w:ascii="宋体"/>
                <w:sz w:val="18"/>
              </w:rPr>
              <w:t>105,840,000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13"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宋体" w:hAnsi="宋体" w:cs="宋体" w:eastAsia="宋体" w:hint="default"/>
                <w:sz w:val="18"/>
                <w:szCs w:val="18"/>
              </w:rPr>
            </w:pPr>
            <w:r>
              <w:rPr>
                <w:rFonts w:ascii="宋体"/>
                <w:sz w:val="18"/>
              </w:rPr>
              <w:t>4.64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10,400,000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z w:val="18"/>
              </w:rPr>
              <w:t>0</w:t>
            </w:r>
          </w:p>
        </w:tc>
      </w:tr>
      <w:tr>
        <w:trPr>
          <w:trHeight w:val="338"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9,348,000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13"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sz w:val="18"/>
              </w:rPr>
              <w:t>3.86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sz w:val="18"/>
              </w:rPr>
              <w:t>8,651,015</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中国工商银行－富国天惠精选成长混合型证券投资基金</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（ＬＯＦ</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2.50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z w:val="18"/>
              </w:rPr>
              <w:t>5,600,000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宋体" w:hAnsi="宋体" w:cs="宋体" w:eastAsia="宋体" w:hint="default"/>
                <w:sz w:val="18"/>
                <w:szCs w:val="18"/>
              </w:rPr>
            </w:pPr>
            <w:r>
              <w:rPr>
                <w:rFonts w:ascii="宋体"/>
                <w:sz w:val="18"/>
              </w:rPr>
              <w:t>1.69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宋体" w:hAnsi="宋体" w:cs="宋体" w:eastAsia="宋体" w:hint="default"/>
                <w:sz w:val="18"/>
                <w:szCs w:val="18"/>
              </w:rPr>
            </w:pPr>
            <w:r>
              <w:rPr>
                <w:rFonts w:ascii="宋体"/>
                <w:sz w:val="18"/>
              </w:rPr>
              <w:t>3,781,965</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18"/>
                <w:szCs w:val="18"/>
              </w:rPr>
            </w:pPr>
            <w:r>
              <w:rPr>
                <w:rFonts w:ascii="Times New Roman"/>
                <w:sz w:val="18"/>
              </w:rPr>
              <w:t>0</w:t>
            </w:r>
          </w:p>
        </w:tc>
      </w:tr>
      <w:tr>
        <w:trPr>
          <w:trHeight w:val="313"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sz w:val="18"/>
              </w:rPr>
              <w:t>1.12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18"/>
                <w:szCs w:val="18"/>
              </w:rPr>
            </w:pPr>
            <w:r>
              <w:rPr>
                <w:rFonts w:ascii="宋体"/>
                <w:sz w:val="18"/>
              </w:rPr>
              <w:t>2,518,200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1.07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2,400,000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2,326,130</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2,288,284</w:t>
            </w:r>
          </w:p>
        </w:tc>
        <w:tc>
          <w:tcPr>
            <w:tcW w:w="1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0" w:right="0"/>
              <w:jc w:val="left"/>
              <w:rPr>
                <w:rFonts w:ascii="宋体" w:hAnsi="宋体" w:cs="宋体" w:eastAsia="宋体" w:hint="default"/>
                <w:sz w:val="18"/>
                <w:szCs w:val="18"/>
              </w:rPr>
            </w:pPr>
            <w:r>
              <w:rPr>
                <w:rFonts w:ascii="宋体"/>
                <w:sz w:val="18"/>
              </w:rPr>
              <w:t>2,288,284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972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99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8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38"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48" w:right="0"/>
              <w:jc w:val="left"/>
              <w:rPr>
                <w:rFonts w:ascii="宋体" w:hAnsi="宋体" w:cs="宋体" w:eastAsia="宋体" w:hint="default"/>
                <w:sz w:val="18"/>
                <w:szCs w:val="18"/>
              </w:rPr>
            </w:pPr>
            <w:r>
              <w:rPr>
                <w:rFonts w:ascii="宋体"/>
                <w:sz w:val="18"/>
              </w:rPr>
              <w:t>35,280,000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48" w:right="0"/>
              <w:jc w:val="left"/>
              <w:rPr>
                <w:rFonts w:ascii="宋体" w:hAnsi="宋体" w:cs="宋体" w:eastAsia="宋体" w:hint="default"/>
                <w:sz w:val="18"/>
                <w:szCs w:val="18"/>
              </w:rPr>
            </w:pPr>
            <w:r>
              <w:rPr>
                <w:rFonts w:ascii="宋体"/>
                <w:sz w:val="18"/>
              </w:rPr>
              <w:t>10,400,000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38" w:right="0"/>
              <w:jc w:val="left"/>
              <w:rPr>
                <w:rFonts w:ascii="宋体" w:hAnsi="宋体" w:cs="宋体" w:eastAsia="宋体" w:hint="default"/>
                <w:sz w:val="18"/>
                <w:szCs w:val="18"/>
              </w:rPr>
            </w:pPr>
            <w:r>
              <w:rPr>
                <w:rFonts w:ascii="宋体"/>
                <w:sz w:val="18"/>
              </w:rPr>
              <w:t>9,348,000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38" w:right="0"/>
              <w:jc w:val="left"/>
              <w:rPr>
                <w:rFonts w:ascii="宋体" w:hAnsi="宋体" w:cs="宋体" w:eastAsia="宋体" w:hint="default"/>
                <w:sz w:val="18"/>
                <w:szCs w:val="18"/>
              </w:rPr>
            </w:pPr>
            <w:r>
              <w:rPr>
                <w:rFonts w:ascii="宋体"/>
                <w:sz w:val="18"/>
              </w:rPr>
              <w:t>8,651,015</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中国工商银行－富国天惠精选成长混合型证券投资基金（ＬＯＦ</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5,600,000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中国工商银行－诺安价值增长股票证券投资基金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3,781,965</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2,518,200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2,400,000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38"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中国工商银行－诺安股票证券投资基金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2,326,130</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中国工商银行－诺安灵活配置混合型证券投资基金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38" w:right="0"/>
              <w:jc w:val="left"/>
              <w:rPr>
                <w:rFonts w:ascii="宋体" w:hAnsi="宋体" w:cs="宋体" w:eastAsia="宋体" w:hint="default"/>
                <w:sz w:val="18"/>
                <w:szCs w:val="18"/>
              </w:rPr>
            </w:pPr>
            <w:r>
              <w:rPr>
                <w:rFonts w:ascii="宋体"/>
                <w:sz w:val="18"/>
              </w:rPr>
              <w:t>1,678,124</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r>
      <w:tr>
        <w:trPr>
          <w:trHeight w:val="1088"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61"/>
              <w:ind w:left="84" w:right="84"/>
              <w:jc w:val="center"/>
              <w:rPr>
                <w:rFonts w:ascii="宋体" w:hAnsi="宋体" w:cs="宋体" w:eastAsia="宋体" w:hint="default"/>
                <w:sz w:val="18"/>
                <w:szCs w:val="18"/>
              </w:rPr>
            </w:pPr>
            <w:r>
              <w:rPr>
                <w:rFonts w:ascii="宋体" w:hAnsi="宋体" w:cs="宋体" w:eastAsia="宋体" w:hint="default"/>
                <w:sz w:val="18"/>
                <w:szCs w:val="18"/>
              </w:rPr>
              <w:t>上述股东关联关 系或一致行动的 说明</w:t>
            </w:r>
          </w:p>
        </w:tc>
        <w:tc>
          <w:tcPr>
            <w:tcW w:w="8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43"/>
              <w:ind w:left="22" w:right="23" w:firstLine="360"/>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63%</w:t>
            </w:r>
            <w:r>
              <w:rPr>
                <w:rFonts w:ascii="宋体" w:hAnsi="宋体" w:cs="宋体" w:eastAsia="宋体" w:hint="default"/>
                <w:spacing w:val="-3"/>
                <w:sz w:val="18"/>
                <w:szCs w:val="18"/>
              </w:rPr>
              <w:t>的股份，焦梅荣持有本公</w:t>
            </w:r>
            <w:r>
              <w:rPr>
                <w:rFonts w:ascii="宋体" w:hAnsi="宋体" w:cs="宋体" w:eastAsia="宋体" w:hint="default"/>
                <w:sz w:val="18"/>
                <w:szCs w:val="18"/>
              </w:rPr>
              <w:t>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w:t>
            </w:r>
            <w:r>
              <w:rPr>
                <w:rFonts w:ascii="宋体" w:hAnsi="宋体" w:cs="宋体" w:eastAsia="宋体" w:hint="default"/>
                <w:sz w:val="18"/>
                <w:szCs w:val="18"/>
              </w:rPr>
              <w:t>的股份。与有限售条件的其他股东之间不存在关联关系，也不属于一致行动人。</w:t>
            </w:r>
          </w:p>
          <w:p>
            <w:pPr>
              <w:pStyle w:val="TableParagraph"/>
              <w:spacing w:line="232" w:lineRule="exact" w:before="50"/>
              <w:ind w:left="22" w:right="23" w:firstLine="360"/>
              <w:jc w:val="left"/>
              <w:rPr>
                <w:rFonts w:ascii="宋体" w:hAnsi="宋体" w:cs="宋体" w:eastAsia="宋体" w:hint="default"/>
                <w:sz w:val="18"/>
                <w:szCs w:val="18"/>
              </w:rPr>
            </w:pPr>
            <w:r>
              <w:rPr>
                <w:rFonts w:ascii="宋体" w:hAnsi="宋体" w:cs="宋体" w:eastAsia="宋体" w:hint="default"/>
                <w:spacing w:val="-2"/>
                <w:sz w:val="18"/>
                <w:szCs w:val="18"/>
              </w:rPr>
              <w:t>未知其他股东相互之间是否存在关联关系，也未知是否属于《上市公司信息披露管理办法》中规定的</w:t>
            </w:r>
            <w:r>
              <w:rPr>
                <w:rFonts w:ascii="宋体" w:hAnsi="宋体" w:cs="宋体" w:eastAsia="宋体" w:hint="default"/>
                <w:sz w:val="18"/>
                <w:szCs w:val="18"/>
              </w:rPr>
              <w:t> 一致行动人。</w:t>
            </w:r>
          </w:p>
        </w:tc>
      </w:tr>
    </w:tbl>
    <w:p>
      <w:pPr>
        <w:spacing w:line="240" w:lineRule="auto" w:before="12"/>
        <w:rPr>
          <w:rFonts w:ascii="宋体" w:hAnsi="宋体" w:cs="宋体" w:eastAsia="宋体" w:hint="default"/>
          <w:b/>
          <w:bCs/>
          <w:sz w:val="25"/>
          <w:szCs w:val="25"/>
        </w:rPr>
      </w:pPr>
    </w:p>
    <w:p>
      <w:pPr>
        <w:spacing w:line="357" w:lineRule="auto" w:before="35"/>
        <w:ind w:left="574" w:right="5804" w:firstLine="2"/>
        <w:jc w:val="left"/>
        <w:rPr>
          <w:rFonts w:ascii="宋体" w:hAnsi="宋体" w:cs="宋体" w:eastAsia="宋体" w:hint="default"/>
          <w:sz w:val="21"/>
          <w:szCs w:val="21"/>
        </w:rPr>
      </w:pPr>
      <w:r>
        <w:rPr>
          <w:rFonts w:ascii="宋体" w:hAnsi="宋体" w:cs="宋体" w:eastAsia="宋体" w:hint="default"/>
          <w:b/>
          <w:bCs/>
          <w:sz w:val="21"/>
          <w:szCs w:val="21"/>
        </w:rPr>
        <w:t>（二）公司控股股东及实际控制人情况</w:t>
      </w:r>
      <w:r>
        <w:rPr>
          <w:rFonts w:ascii="宋体" w:hAnsi="宋体" w:cs="宋体" w:eastAsia="宋体" w:hint="default"/>
          <w:b/>
          <w:bCs/>
          <w:spacing w:val="1"/>
          <w:w w:val="99"/>
          <w:sz w:val="21"/>
          <w:szCs w:val="21"/>
        </w:rPr>
        <w:t> </w:t>
      </w:r>
      <w:r>
        <w:rPr>
          <w:rFonts w:ascii="宋体" w:hAnsi="宋体" w:cs="宋体" w:eastAsia="宋体" w:hint="default"/>
          <w:sz w:val="21"/>
          <w:szCs w:val="21"/>
        </w:rPr>
        <w:t>1、控股股东与实际控制人情况介绍</w:t>
      </w:r>
    </w:p>
    <w:p>
      <w:pPr>
        <w:pStyle w:val="BodyText"/>
        <w:spacing w:line="357" w:lineRule="auto" w:before="30"/>
        <w:ind w:left="574" w:right="0"/>
        <w:jc w:val="left"/>
      </w:pPr>
      <w:r>
        <w:rPr>
          <w:spacing w:val="-4"/>
        </w:rPr>
        <w:t>本公司控股股东和实际控制人是自然人李仲初。报告期内，本公司控股股东和实际控制人未发生变化。</w:t>
      </w:r>
      <w:r>
        <w:rPr>
          <w:spacing w:val="-77"/>
        </w:rPr>
        <w:t> </w:t>
      </w:r>
      <w:r>
        <w:rPr>
          <w:spacing w:val="-77"/>
        </w:rPr>
      </w:r>
      <w:r>
        <w:rPr>
          <w:spacing w:val="-4"/>
        </w:rPr>
        <w:t>李仲初先生是本公司创始人及控股股东，中国国籍，身份证号码为</w:t>
      </w:r>
      <w:r>
        <w:rPr>
          <w:spacing w:val="-13"/>
        </w:rPr>
        <w:t> </w:t>
      </w:r>
      <w:r>
        <w:rPr>
          <w:spacing w:val="-3"/>
        </w:rPr>
        <w:t>110108196308263712，住址为北京</w:t>
      </w:r>
      <w:r>
        <w:rPr/>
      </w:r>
    </w:p>
    <w:p>
      <w:pPr>
        <w:pStyle w:val="BodyText"/>
        <w:spacing w:line="240" w:lineRule="auto" w:before="30"/>
        <w:ind w:right="0"/>
        <w:jc w:val="left"/>
      </w:pPr>
      <w:r>
        <w:rPr/>
        <w:t>市海淀区复兴路</w:t>
      </w:r>
      <w:r>
        <w:rPr>
          <w:spacing w:val="-56"/>
        </w:rPr>
        <w:t> </w:t>
      </w:r>
      <w:r>
        <w:rPr/>
        <w:t>79</w:t>
      </w:r>
      <w:r>
        <w:rPr>
          <w:spacing w:val="-56"/>
        </w:rPr>
        <w:t> </w:t>
      </w:r>
      <w:r>
        <w:rPr/>
        <w:t>号</w:t>
      </w:r>
      <w:r>
        <w:rPr>
          <w:spacing w:val="-56"/>
        </w:rPr>
        <w:t> </w:t>
      </w:r>
      <w:r>
        <w:rPr/>
        <w:t>608</w:t>
      </w:r>
      <w:r>
        <w:rPr>
          <w:spacing w:val="-56"/>
        </w:rPr>
        <w:t> </w:t>
      </w:r>
      <w:r>
        <w:rPr/>
        <w:t>楼</w:t>
      </w:r>
      <w:r>
        <w:rPr>
          <w:spacing w:val="-57"/>
        </w:rPr>
        <w:t> </w:t>
      </w:r>
      <w:r>
        <w:rPr/>
        <w:t>2</w:t>
      </w:r>
      <w:r>
        <w:rPr>
          <w:spacing w:val="-56"/>
        </w:rPr>
        <w:t> </w:t>
      </w:r>
      <w:r>
        <w:rPr/>
        <w:t>门</w:t>
      </w:r>
      <w:r>
        <w:rPr>
          <w:spacing w:val="-57"/>
        </w:rPr>
        <w:t> </w:t>
      </w:r>
      <w:r>
        <w:rPr/>
        <w:t>3</w:t>
      </w:r>
      <w:r>
        <w:rPr>
          <w:spacing w:val="-56"/>
        </w:rPr>
        <w:t> </w:t>
      </w:r>
      <w:r>
        <w:rPr/>
        <w:t>层</w:t>
      </w:r>
      <w:r>
        <w:rPr>
          <w:spacing w:val="-56"/>
        </w:rPr>
        <w:t> </w:t>
      </w:r>
      <w:r>
        <w:rPr/>
        <w:t>4</w:t>
      </w:r>
      <w:r>
        <w:rPr>
          <w:spacing w:val="-56"/>
        </w:rPr>
        <w:t> </w:t>
      </w:r>
      <w:r>
        <w:rPr/>
        <w:t>号，无境外永久居留权，持有本公司</w:t>
      </w:r>
      <w:r>
        <w:rPr>
          <w:spacing w:val="-56"/>
        </w:rPr>
        <w:t> </w:t>
      </w:r>
      <w:r>
        <w:rPr/>
        <w:t>63%的股权。</w:t>
      </w:r>
    </w:p>
    <w:p>
      <w:pPr>
        <w:pStyle w:val="BodyText"/>
        <w:spacing w:line="350" w:lineRule="auto" w:before="134"/>
        <w:ind w:left="153" w:right="213" w:firstLine="420"/>
        <w:jc w:val="both"/>
      </w:pPr>
      <w:r>
        <w:rPr/>
        <w:t>李仲初先生</w:t>
      </w:r>
      <w:r>
        <w:rPr>
          <w:spacing w:val="-59"/>
        </w:rPr>
        <w:t> </w:t>
      </w:r>
      <w:r>
        <w:rPr/>
        <w:t>1984</w:t>
      </w:r>
      <w:r>
        <w:rPr>
          <w:spacing w:val="-59"/>
        </w:rPr>
        <w:t> </w:t>
      </w:r>
      <w:r>
        <w:rPr/>
        <w:t>年毕业于武汉大学空间物理系，获得理学学士学位，</w:t>
      </w:r>
      <w:r>
        <w:rPr>
          <w:rFonts w:ascii="Times New Roman" w:hAnsi="Times New Roman" w:cs="Times New Roman" w:eastAsia="Times New Roman" w:hint="default"/>
        </w:rPr>
        <w:t>1987</w:t>
      </w:r>
      <w:r>
        <w:rPr>
          <w:rFonts w:ascii="Times New Roman" w:hAnsi="Times New Roman" w:cs="Times New Roman" w:eastAsia="Times New Roman" w:hint="default"/>
          <w:spacing w:val="-6"/>
        </w:rPr>
        <w:t> </w:t>
      </w:r>
      <w:r>
        <w:rPr/>
        <w:t>年获得原国家航天部第二 </w:t>
      </w:r>
      <w:r>
        <w:rPr>
          <w:spacing w:val="-2"/>
        </w:rPr>
        <w:t>研究院光电技术专业工学硕士学位。曾先后任职于国家航天部某研究所、国家某重点实验室，从事理论建</w:t>
      </w:r>
      <w:r>
        <w:rPr>
          <w:spacing w:val="-62"/>
        </w:rPr>
        <w:t> </w:t>
      </w:r>
      <w:r>
        <w:rPr>
          <w:spacing w:val="-62"/>
        </w:rPr>
      </w:r>
      <w:r>
        <w:rPr>
          <w:spacing w:val="-4"/>
        </w:rPr>
        <w:t>模研究，是当时国内红外制导和隐身技术的主要理论研究者之一。1998</w:t>
      </w:r>
      <w:r>
        <w:rPr>
          <w:spacing w:val="-27"/>
        </w:rPr>
        <w:t> </w:t>
      </w:r>
      <w:r>
        <w:rPr/>
        <w:t>年李仲初先生创办北京中长石基网</w:t>
      </w:r>
      <w:r>
        <w:rPr>
          <w:spacing w:val="-99"/>
        </w:rPr>
        <w:t> </w:t>
      </w:r>
      <w:r>
        <w:rPr>
          <w:spacing w:val="-99"/>
        </w:rPr>
      </w:r>
      <w:r>
        <w:rPr/>
        <w:t>络系统工程技术有限公司，专门从事酒店信息管理系统的研究与开发，现任本公司董事长兼总裁。</w:t>
      </w:r>
    </w:p>
    <w:p>
      <w:pPr>
        <w:spacing w:after="0" w:line="350" w:lineRule="auto"/>
        <w:jc w:val="both"/>
        <w:sectPr>
          <w:pgSz w:w="11910" w:h="16840"/>
          <w:pgMar w:header="851" w:footer="982" w:top="1200" w:bottom="1180" w:left="980" w:right="940"/>
        </w:sectPr>
      </w:pPr>
    </w:p>
    <w:p>
      <w:pPr>
        <w:pStyle w:val="BodyText"/>
        <w:spacing w:line="240" w:lineRule="auto" w:before="32"/>
        <w:ind w:left="574" w:right="3476"/>
        <w:jc w:val="left"/>
      </w:pPr>
      <w:r>
        <w:rPr/>
        <w:pict>
          <v:shape style="position:absolute;margin-left:191.699997pt;margin-top:37.923946pt;width:59.6pt;height:23.4pt;mso-position-horizontal-relative:page;mso-position-vertical-relative:paragraph;z-index:-710392" type="#_x0000_t202" filled="false" stroked="false">
            <v:textbox inset="0,0,0,0">
              <w:txbxContent>
                <w:p>
                  <w:pPr>
                    <w:pStyle w:val="BodyText"/>
                    <w:spacing w:line="240" w:lineRule="auto" w:before="41"/>
                    <w:ind w:left="152" w:right="0"/>
                    <w:jc w:val="left"/>
                  </w:pPr>
                  <w:r>
                    <w:rPr/>
                    <w:t>李 仲 初</w:t>
                  </w:r>
                </w:p>
              </w:txbxContent>
            </v:textbox>
            <w10:wrap type="none"/>
          </v:shape>
        </w:pict>
      </w:r>
      <w:r>
        <w:rPr/>
        <w:pict>
          <v:shape style="position:absolute;margin-left:264.359985pt;margin-top:37.803947pt;width:62.35pt;height:23.4pt;mso-position-horizontal-relative:page;mso-position-vertical-relative:paragraph;z-index:-710344" type="#_x0000_t202" filled="false" stroked="false">
            <v:textbox inset="0,0,0,0">
              <w:txbxContent>
                <w:p>
                  <w:pPr>
                    <w:pStyle w:val="BodyText"/>
                    <w:spacing w:line="240" w:lineRule="auto" w:before="41"/>
                    <w:ind w:left="151" w:right="0"/>
                    <w:jc w:val="left"/>
                  </w:pPr>
                  <w:r>
                    <w:rPr/>
                    <w:t>焦 梅 荣</w:t>
                  </w:r>
                </w:p>
              </w:txbxContent>
            </v:textbox>
            <w10:wrap type="none"/>
          </v:shape>
        </w:pict>
      </w:r>
      <w:r>
        <w:rPr/>
        <w:pict>
          <v:shape style="position:absolute;margin-left:191.699997pt;margin-top:37.923946pt;width:59.6pt;height:23.4pt;mso-position-horizontal-relative:page;mso-position-vertical-relative:paragraph;z-index:-710272" type="#_x0000_t202" filled="false" stroked="false">
            <v:textbox inset="0,0,0,0">
              <w:txbxContent>
                <w:p>
                  <w:pPr>
                    <w:pStyle w:val="BodyText"/>
                    <w:spacing w:line="240" w:lineRule="auto" w:before="45"/>
                    <w:ind w:left="152" w:right="0"/>
                    <w:jc w:val="left"/>
                  </w:pPr>
                  <w:r>
                    <w:rPr/>
                    <w:t>李 仲 初</w:t>
                  </w:r>
                </w:p>
              </w:txbxContent>
            </v:textbox>
            <w10:wrap type="none"/>
          </v:shape>
        </w:pict>
      </w:r>
      <w:r>
        <w:rPr/>
        <w:pict>
          <v:shape style="position:absolute;margin-left:264.359985pt;margin-top:37.803947pt;width:62.35pt;height:23.4pt;mso-position-horizontal-relative:page;mso-position-vertical-relative:paragraph;z-index:-710224" type="#_x0000_t202" filled="false" stroked="false">
            <v:textbox inset="0,0,0,0">
              <w:txbxContent>
                <w:p>
                  <w:pPr>
                    <w:pStyle w:val="BodyText"/>
                    <w:spacing w:line="240" w:lineRule="auto" w:before="44"/>
                    <w:ind w:left="151" w:right="0"/>
                    <w:jc w:val="left"/>
                  </w:pPr>
                  <w:r>
                    <w:rPr/>
                    <w:t>焦 梅 荣</w:t>
                  </w:r>
                </w:p>
              </w:txbxContent>
            </v:textbox>
            <w10:wrap type="none"/>
          </v:shape>
        </w:pict>
      </w:r>
      <w:r>
        <w:rPr/>
        <w:pict>
          <v:group style="position:absolute;margin-left:55.200001pt;margin-top:2.943948pt;width:484.95pt;height:.1pt;mso-position-horizontal-relative:page;mso-position-vertical-relative:paragraph;z-index:-710176" coordorigin="1104,59" coordsize="9699,2">
            <v:shape style="position:absolute;left:1104;top:59;width:9699;height:2" coordorigin="1104,59" coordsize="9699,0" path="m1104,59l10802,59e" filled="false" stroked="true" strokeweight=".72pt" strokecolor="#000000">
              <v:path arrowok="t"/>
            </v:shape>
            <w10:wrap type="none"/>
          </v:group>
        </w:pict>
      </w:r>
      <w:r>
        <w:rPr/>
        <w:pict>
          <v:group style="position:absolute;margin-left:191.699997pt;margin-top:37.863949pt;width:59.6pt;height:57.75pt;mso-position-horizontal-relative:page;mso-position-vertical-relative:paragraph;z-index:-710104" coordorigin="3834,757" coordsize="1192,1155">
            <v:group style="position:absolute;left:4314;top:1277;width:120;height:632" coordorigin="4314,1277" coordsize="120,632">
              <v:shape style="position:absolute;left:4314;top:1277;width:120;height:632" coordorigin="4314,1277" coordsize="120,632" path="m4367,1788l4314,1788,4374,1908,4420,1816,4374,1816,4369,1814,4367,1808,4367,1788xe" filled="true" fillcolor="#000000" stroked="false">
                <v:path arrowok="t"/>
                <v:fill type="solid"/>
              </v:shape>
              <v:shape style="position:absolute;left:4314;top:1277;width:120;height:632" coordorigin="4314,1277" coordsize="120,632" path="m4374,1277l4369,1279,4367,1284,4367,1808,4369,1814,4374,1816,4379,1814,4381,1808,4381,1284,4379,1279,4374,1277xe" filled="true" fillcolor="#000000" stroked="false">
                <v:path arrowok="t"/>
                <v:fill type="solid"/>
              </v:shape>
              <v:shape style="position:absolute;left:4314;top:1277;width:120;height:632" coordorigin="4314,1277" coordsize="120,632" path="m4434,1788l4381,1788,4381,1808,4379,1814,4374,1816,4420,1816,4434,1788xe" filled="true" fillcolor="#000000" stroked="false">
                <v:path arrowok="t"/>
                <v:fill type="solid"/>
              </v:shape>
            </v:group>
            <v:group style="position:absolute;left:4314;top:1280;width:120;height:632" coordorigin="4314,1280" coordsize="120,632">
              <v:shape style="position:absolute;left:4314;top:1280;width:120;height:632" coordorigin="4314,1280" coordsize="120,632" path="m4367,1792l4314,1792,4374,1912,4420,1819,4374,1819,4369,1817,4367,1812,4367,1792xe" filled="true" fillcolor="#000000" stroked="false">
                <v:path arrowok="t"/>
                <v:fill type="solid"/>
              </v:shape>
              <v:shape style="position:absolute;left:4314;top:1280;width:120;height:632" coordorigin="4314,1280" coordsize="120,632" path="m4374,1280l4369,1283,4367,1288,4367,1812,4369,1817,4374,1819,4379,1817,4381,1812,4381,1288,4379,1283,4374,1280xe" filled="true" fillcolor="#000000" stroked="false">
                <v:path arrowok="t"/>
                <v:fill type="solid"/>
              </v:shape>
              <v:shape style="position:absolute;left:4314;top:1280;width:120;height:632" coordorigin="4314,1280" coordsize="120,632" path="m4434,1792l4381,1792,4381,1812,4379,1817,4374,1819,4420,1819,4434,1792xe" filled="true" fillcolor="#000000" stroked="false">
                <v:path arrowok="t"/>
                <v:fill type="solid"/>
              </v:shape>
            </v:group>
            <v:group style="position:absolute;left:4450;top:1420;width:405;height:312" coordorigin="4450,1420" coordsize="405,312">
              <v:shape style="position:absolute;left:4450;top:1420;width:405;height:312" coordorigin="4450,1420" coordsize="405,312" path="m4450,1732l4854,1732,4854,1420,4450,1420,4450,1732xe" filled="true" fillcolor="#ffffff" stroked="false">
                <v:path arrowok="t"/>
                <v:fill type="solid"/>
              </v:shape>
            </v:group>
            <v:group style="position:absolute;left:3834;top:758;width:2;height:468" coordorigin="3834,758" coordsize="2,468">
              <v:shape style="position:absolute;left:3834;top:758;width:2;height:468" coordorigin="3834,758" coordsize="0,468" path="m3834,1226l3834,758,3834,1226xe" filled="true" fillcolor="#ffffff" stroked="false">
                <v:path arrowok="t"/>
                <v:fill type="solid"/>
              </v:shape>
            </v:group>
            <v:group style="position:absolute;left:3834;top:758;width:1192;height:468" coordorigin="3834,758" coordsize="1192,468">
              <v:shape style="position:absolute;left:3834;top:758;width:1192;height:468" coordorigin="3834,758" coordsize="1192,468" path="m3834,1226l5026,1226,5026,758,3834,758,3834,1226xe" filled="true" fillcolor="#ffffff" stroked="false">
                <v:path arrowok="t"/>
                <v:fill type="solid"/>
              </v:shape>
            </v:group>
            <v:group style="position:absolute;left:4314;top:1280;width:120;height:632" coordorigin="4314,1280" coordsize="120,632">
              <v:shape style="position:absolute;left:4314;top:1280;width:120;height:632" coordorigin="4314,1280" coordsize="120,632" path="m4367,1792l4314,1792,4374,1912,4420,1819,4374,1819,4369,1817,4367,1812,4367,1792xe" filled="true" fillcolor="#000000" stroked="false">
                <v:path arrowok="t"/>
                <v:fill type="solid"/>
              </v:shape>
              <v:shape style="position:absolute;left:4314;top:1280;width:120;height:632" coordorigin="4314,1280" coordsize="120,632" path="m4374,1280l4369,1283,4367,1288,4367,1812,4369,1817,4374,1819,4379,1817,4381,1812,4381,1288,4379,1283,4374,1280xe" filled="true" fillcolor="#000000" stroked="false">
                <v:path arrowok="t"/>
                <v:fill type="solid"/>
              </v:shape>
              <v:shape style="position:absolute;left:4314;top:1280;width:120;height:632" coordorigin="4314,1280" coordsize="120,632" path="m4434,1792l4381,1792,4381,1812,4379,1817,4374,1819,4420,1819,4434,1792xe" filled="true" fillcolor="#000000" stroked="false">
                <v:path arrowok="t"/>
                <v:fill type="solid"/>
              </v:shape>
              <v:shape style="position:absolute;left:4448;top:1450;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63%</w:t>
                      </w:r>
                      <w:r>
                        <w:rPr>
                          <w:rFonts w:ascii="宋体"/>
                          <w:sz w:val="21"/>
                        </w:rPr>
                      </w:r>
                    </w:p>
                  </w:txbxContent>
                </v:textbox>
                <w10:wrap type="none"/>
              </v:shape>
              <v:shape style="position:absolute;left:3834;top:757;width:1191;height:468" type="#_x0000_t202" filled="false" stroked="true" strokeweight=".75pt" strokecolor="#000000">
                <v:textbox inset="0,0,0,0">
                  <w:txbxContent>
                    <w:p>
                      <w:pPr>
                        <w:spacing w:before="39"/>
                        <w:ind w:left="144" w:right="0" w:firstLine="0"/>
                        <w:jc w:val="left"/>
                        <w:rPr>
                          <w:rFonts w:ascii="宋体" w:hAnsi="宋体" w:cs="宋体" w:eastAsia="宋体" w:hint="default"/>
                          <w:sz w:val="21"/>
                          <w:szCs w:val="21"/>
                        </w:rPr>
                      </w:pPr>
                      <w:r>
                        <w:rPr>
                          <w:rFonts w:ascii="宋体" w:hAnsi="宋体" w:cs="宋体" w:eastAsia="宋体" w:hint="default"/>
                          <w:sz w:val="21"/>
                          <w:szCs w:val="21"/>
                        </w:rPr>
                        <w:t>李 仲 初</w:t>
                      </w:r>
                    </w:p>
                  </w:txbxContent>
                </v:textbox>
                <w10:wrap type="none"/>
              </v:shape>
            </v:group>
            <w10:wrap type="none"/>
          </v:group>
        </w:pict>
      </w:r>
      <w:r>
        <w:rPr/>
        <w:t>2、公司与实际控制人的产权和控制关系如图：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1701" w:lineRule="exact"/>
        <w:ind w:left="2314"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85.65pt;height:85.05pt;mso-position-horizontal-relative:char;mso-position-vertical-relative:line" coordorigin="0,0" coordsize="3713,1701">
            <v:group style="position:absolute;left:2473;top:491;width:120;height:688" coordorigin="2473,491" coordsize="120,688">
              <v:shape style="position:absolute;left:2473;top:491;width:120;height:688" coordorigin="2473,491" coordsize="120,688" path="m2526,1059l2473,1059,2533,1179,2579,1087,2533,1087,2527,1084,2526,1079,2526,1059xe" filled="true" fillcolor="#000000" stroked="false">
                <v:path arrowok="t"/>
                <v:fill type="solid"/>
              </v:shape>
              <v:shape style="position:absolute;left:2473;top:491;width:120;height:688" coordorigin="2473,491" coordsize="120,688" path="m2533,491l2527,494,2526,500,2526,1079,2527,1084,2533,1087,2538,1084,2540,1079,2540,500,2538,494,2533,491xe" filled="true" fillcolor="#000000" stroked="false">
                <v:path arrowok="t"/>
                <v:fill type="solid"/>
              </v:shape>
              <v:shape style="position:absolute;left:2473;top:491;width:120;height:688" coordorigin="2473,491" coordsize="120,688" path="m2593,1059l2540,1059,2540,1079,2538,1084,2533,1087,2579,1087,2593,1059xe" filled="true" fillcolor="#000000" stroked="false">
                <v:path arrowok="t"/>
                <v:fill type="solid"/>
              </v:shape>
            </v:group>
            <v:group style="position:absolute;left:2473;top:495;width:120;height:688" coordorigin="2473,495" coordsize="120,688">
              <v:shape style="position:absolute;left:2473;top:495;width:120;height:688" coordorigin="2473,495" coordsize="120,688" path="m2526,1063l2473,1063,2533,1183,2579,1090,2533,1090,2527,1088,2526,1082,2526,1063xe" filled="true" fillcolor="#000000" stroked="false">
                <v:path arrowok="t"/>
                <v:fill type="solid"/>
              </v:shape>
              <v:shape style="position:absolute;left:2473;top:495;width:120;height:688" coordorigin="2473,495" coordsize="120,688" path="m2533,495l2527,497,2526,502,2526,1082,2527,1088,2533,1090,2538,1088,2540,1082,2540,502,2538,497,2533,495xe" filled="true" fillcolor="#000000" stroked="false">
                <v:path arrowok="t"/>
                <v:fill type="solid"/>
              </v:shape>
              <v:shape style="position:absolute;left:2473;top:495;width:120;height:688" coordorigin="2473,495" coordsize="120,688" path="m2593,1063l2540,1063,2540,1082,2538,1088,2533,1090,2579,1090,2593,1063xe" filled="true" fillcolor="#000000" stroked="false">
                <v:path arrowok="t"/>
                <v:fill type="solid"/>
              </v:shape>
            </v:group>
            <v:group style="position:absolute;left:2596;top:632;width:2;height:309" coordorigin="2596,632" coordsize="2,309">
              <v:shape style="position:absolute;left:2596;top:632;width:2;height:309" coordorigin="2596,632" coordsize="0,309" path="m2596,940l2596,632,2596,940xe" filled="true" fillcolor="#ffffff" stroked="false">
                <v:path arrowok="t"/>
                <v:fill type="solid"/>
              </v:shape>
            </v:group>
            <v:group style="position:absolute;left:0;top:1233;width:2;height:468" coordorigin="0,1233" coordsize="2,468">
              <v:shape style="position:absolute;left:0;top:1233;width:2;height:468" coordorigin="0,1233" coordsize="0,468" path="m0,1701l0,1233,0,1701xe" filled="true" fillcolor="#ffffff" stroked="false">
                <v:path arrowok="t"/>
                <v:fill type="solid"/>
              </v:shape>
            </v:group>
            <v:group style="position:absolute;left:0;top:1233;width:3713;height:468" coordorigin="0,1233" coordsize="3713,468">
              <v:shape style="position:absolute;left:0;top:1233;width:3713;height:468" coordorigin="0,1233" coordsize="3713,468" path="m0,1701l3713,1701,3713,1233,0,1233,0,1701xe" filled="true" fillcolor="#ffffff" stroked="false">
                <v:path arrowok="t"/>
                <v:fill type="solid"/>
              </v:shape>
            </v:group>
            <v:group style="position:absolute;left:1993;top:2;width:2;height:468" coordorigin="1993,2" coordsize="2,468">
              <v:shape style="position:absolute;left:1993;top:2;width:2;height:468" coordorigin="1993,2" coordsize="0,468" path="m1993,470l1993,2,1993,470xe" filled="true" fillcolor="#ffffff" stroked="false">
                <v:path arrowok="t"/>
                <v:fill type="solid"/>
              </v:shape>
            </v:group>
            <v:group style="position:absolute;left:1993;top:2;width:1247;height:468" coordorigin="1993,2" coordsize="1247,468">
              <v:shape style="position:absolute;left:1993;top:2;width:1247;height:468" coordorigin="1993,2" coordsize="1247,468" path="m1993,470l3240,470,3240,2,1993,2,1993,470xe" filled="true" fillcolor="#ffffff" stroked="false">
                <v:path arrowok="t"/>
                <v:fill type="solid"/>
              </v:shape>
            </v:group>
            <v:group style="position:absolute;left:2473;top:495;width:120;height:688" coordorigin="2473,495" coordsize="120,688">
              <v:shape style="position:absolute;left:2473;top:495;width:120;height:688" coordorigin="2473,495" coordsize="120,688" path="m2526,1063l2473,1063,2533,1183,2579,1090,2533,1090,2527,1088,2526,1082,2526,1063xe" filled="true" fillcolor="#000000" stroked="false">
                <v:path arrowok="t"/>
                <v:fill type="solid"/>
              </v:shape>
              <v:shape style="position:absolute;left:2473;top:495;width:120;height:688" coordorigin="2473,495" coordsize="120,688" path="m2533,495l2527,497,2526,502,2526,1082,2527,1088,2533,1090,2538,1088,2540,1082,2540,502,2538,497,2533,495xe" filled="true" fillcolor="#000000" stroked="false">
                <v:path arrowok="t"/>
                <v:fill type="solid"/>
              </v:shape>
              <v:shape style="position:absolute;left:2473;top:495;width:120;height:688" coordorigin="2473,495" coordsize="120,688" path="m2593,1063l2540,1063,2540,1082,2538,1088,2533,1090,2579,1090,2593,1063xe" filled="true" fillcolor="#000000" stroked="false">
                <v:path arrowok="t"/>
                <v:fill type="solid"/>
              </v:shape>
            </v:group>
            <v:group style="position:absolute;left:2596;top:632;width:540;height:309" coordorigin="2596,632" coordsize="540,309">
              <v:shape style="position:absolute;left:2596;top:632;width:540;height:309" coordorigin="2596,632" coordsize="540,309" path="m2596,940l3136,940,3136,632,2596,632,2596,940xe" filled="true" fillcolor="#ffffff" stroked="false">
                <v:path arrowok="t"/>
                <v:fill type="solid"/>
              </v:shape>
              <v:shape style="position:absolute;left:2594;top:661;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4.17%</w:t>
                      </w:r>
                    </w:p>
                  </w:txbxContent>
                </v:textbox>
                <w10:wrap type="none"/>
              </v:shape>
              <v:shape style="position:absolute;left:1993;top:0;width:1247;height:468" type="#_x0000_t202" filled="false" stroked="true" strokeweight=".75pt" strokecolor="#000000">
                <v:textbox inset="0,0,0,0">
                  <w:txbxContent>
                    <w:p>
                      <w:pPr>
                        <w:spacing w:before="38"/>
                        <w:ind w:left="143" w:right="0" w:firstLine="0"/>
                        <w:jc w:val="left"/>
                        <w:rPr>
                          <w:rFonts w:ascii="宋体" w:hAnsi="宋体" w:cs="宋体" w:eastAsia="宋体" w:hint="default"/>
                          <w:sz w:val="21"/>
                          <w:szCs w:val="21"/>
                        </w:rPr>
                      </w:pPr>
                      <w:r>
                        <w:rPr>
                          <w:rFonts w:ascii="宋体" w:hAnsi="宋体" w:cs="宋体" w:eastAsia="宋体" w:hint="default"/>
                          <w:sz w:val="21"/>
                          <w:szCs w:val="21"/>
                        </w:rPr>
                        <w:t>焦 梅 荣</w:t>
                      </w:r>
                    </w:p>
                  </w:txbxContent>
                </v:textbox>
                <w10:wrap type="none"/>
              </v:shape>
              <v:shape style="position:absolute;left:0;top:1231;width:3713;height:468" type="#_x0000_t202" filled="false" stroked="true" strokeweight=".75pt" strokecolor="#000000">
                <v:textbox inset="0,0,0,0">
                  <w:txbxContent>
                    <w:p>
                      <w:pPr>
                        <w:spacing w:before="39"/>
                        <w:ind w:left="144" w:right="0" w:firstLine="0"/>
                        <w:jc w:val="left"/>
                        <w:rPr>
                          <w:rFonts w:ascii="宋体" w:hAnsi="宋体" w:cs="宋体" w:eastAsia="宋体" w:hint="default"/>
                          <w:sz w:val="21"/>
                          <w:szCs w:val="21"/>
                        </w:rPr>
                      </w:pPr>
                      <w:r>
                        <w:rPr>
                          <w:rFonts w:ascii="宋体" w:hAnsi="宋体" w:cs="宋体" w:eastAsia="宋体" w:hint="default"/>
                          <w:sz w:val="21"/>
                          <w:szCs w:val="21"/>
                        </w:rPr>
                        <w:t>北京中长石基信息技术股份有限公司</w:t>
                      </w:r>
                    </w:p>
                  </w:txbxContent>
                </v:textbox>
                <w10:wrap type="none"/>
              </v:shape>
            </v:group>
          </v:group>
        </w:pict>
      </w:r>
      <w:r>
        <w:rPr>
          <w:rFonts w:ascii="宋体" w:hAnsi="宋体" w:cs="宋体" w:eastAsia="宋体" w:hint="default"/>
          <w:position w:val="-33"/>
          <w:sz w:val="20"/>
          <w:szCs w:val="20"/>
        </w:rPr>
      </w:r>
    </w:p>
    <w:p>
      <w:pPr>
        <w:spacing w:line="240" w:lineRule="auto" w:before="12"/>
        <w:rPr>
          <w:rFonts w:ascii="宋体" w:hAnsi="宋体" w:cs="宋体" w:eastAsia="宋体" w:hint="default"/>
          <w:sz w:val="6"/>
          <w:szCs w:val="6"/>
        </w:rPr>
      </w:pPr>
    </w:p>
    <w:p>
      <w:pPr>
        <w:pStyle w:val="BodyText"/>
        <w:spacing w:line="240" w:lineRule="auto" w:before="35"/>
        <w:ind w:left="575" w:right="3476"/>
        <w:jc w:val="left"/>
      </w:pPr>
      <w:r>
        <w:rPr/>
        <w:pict>
          <v:shape style="position:absolute;margin-left:164.699997pt;margin-top:-27.91403pt;width:185.65pt;height:23.4pt;mso-position-horizontal-relative:page;mso-position-vertical-relative:paragraph;z-index:-710368" type="#_x0000_t202" filled="false" stroked="false">
            <v:textbox inset="0,0,0,0">
              <w:txbxContent>
                <w:p>
                  <w:pPr>
                    <w:pStyle w:val="BodyText"/>
                    <w:spacing w:line="240" w:lineRule="auto" w:before="42"/>
                    <w:ind w:left="152" w:right="0"/>
                    <w:jc w:val="left"/>
                  </w:pPr>
                  <w:r>
                    <w:rPr/>
                    <w:t>北京中长石基信息技术股份有限公司</w:t>
                  </w:r>
                </w:p>
              </w:txbxContent>
            </v:textbox>
            <w10:wrap type="none"/>
          </v:shape>
        </w:pict>
      </w:r>
      <w:r>
        <w:rPr/>
        <w:pict>
          <v:shape style="position:absolute;margin-left:294.420013pt;margin-top:-57.97403pt;width:27.1pt;height:15.45pt;mso-position-horizontal-relative:page;mso-position-vertical-relative:paragraph;z-index:-710320" type="#_x0000_t202" filled="false" stroked="false">
            <v:textbox inset="0,0,0,0">
              <w:txbxContent>
                <w:p>
                  <w:pPr>
                    <w:pStyle w:val="BodyText"/>
                    <w:spacing w:line="236" w:lineRule="exact"/>
                    <w:ind w:left="0" w:right="0"/>
                    <w:jc w:val="left"/>
                  </w:pPr>
                  <w:r>
                    <w:rPr/>
                    <w:t>4.2%</w:t>
                  </w:r>
                </w:p>
              </w:txbxContent>
            </v:textbox>
            <w10:wrap type="none"/>
          </v:shape>
        </w:pict>
      </w:r>
      <w:r>
        <w:rPr/>
        <w:pict>
          <v:shape style="position:absolute;margin-left:222.419998pt;margin-top:-56.294029pt;width:20.3pt;height:15.6pt;mso-position-horizontal-relative:page;mso-position-vertical-relative:paragraph;z-index:-710296" type="#_x0000_t202" filled="false" stroked="false">
            <v:textbox inset="0,0,0,0">
              <w:txbxContent>
                <w:p>
                  <w:pPr>
                    <w:pStyle w:val="BodyText"/>
                    <w:spacing w:line="241" w:lineRule="exact"/>
                    <w:ind w:left="0" w:right="0"/>
                    <w:jc w:val="left"/>
                  </w:pPr>
                  <w:r>
                    <w:rPr/>
                    <w:t>63%</w:t>
                  </w:r>
                </w:p>
              </w:txbxContent>
            </v:textbox>
            <w10:wrap type="none"/>
          </v:shape>
        </w:pict>
      </w:r>
      <w:r>
        <w:rPr/>
        <w:pict>
          <v:shape style="position:absolute;margin-left:164.699997pt;margin-top:-27.91403pt;width:185.65pt;height:23.4pt;mso-position-horizontal-relative:page;mso-position-vertical-relative:paragraph;z-index:-710248" type="#_x0000_t202" filled="false" stroked="false">
            <v:textbox inset="0,0,0,0">
              <w:txbxContent>
                <w:p>
                  <w:pPr>
                    <w:pStyle w:val="BodyText"/>
                    <w:spacing w:line="240" w:lineRule="auto" w:before="44"/>
                    <w:ind w:left="152" w:right="0"/>
                    <w:jc w:val="left"/>
                  </w:pPr>
                  <w:r>
                    <w:rPr/>
                    <w:t>北京中长石基信息技术股份有限公司</w:t>
                  </w:r>
                </w:p>
              </w:txbxContent>
            </v:textbox>
            <w10:wrap type="none"/>
          </v:shape>
        </w:pict>
      </w:r>
      <w:r>
        <w:rPr/>
        <w:pict>
          <v:shape style="position:absolute;margin-left:294.420013pt;margin-top:-57.97403pt;width:27.1pt;height:15.45pt;mso-position-horizontal-relative:page;mso-position-vertical-relative:paragraph;z-index:-710200" type="#_x0000_t202" filled="false" stroked="false">
            <v:textbox inset="0,0,0,0">
              <w:txbxContent>
                <w:p>
                  <w:pPr>
                    <w:pStyle w:val="BodyText"/>
                    <w:spacing w:line="241" w:lineRule="exact"/>
                    <w:ind w:left="0" w:right="0"/>
                    <w:jc w:val="left"/>
                  </w:pPr>
                  <w:r>
                    <w:rPr/>
                    <w:t>4.2%</w:t>
                  </w:r>
                </w:p>
              </w:txbxContent>
            </v:textbox>
            <w10:wrap type="none"/>
          </v:shape>
        </w:pict>
      </w:r>
      <w:r>
        <w:rPr/>
        <w:t>注：本公司股东焦梅荣为本公司控股股东李仲初之岳母。</w:t>
      </w:r>
    </w:p>
    <w:p>
      <w:pPr>
        <w:spacing w:line="357" w:lineRule="auto" w:before="133"/>
        <w:ind w:left="574" w:right="1909" w:firstLine="0"/>
        <w:jc w:val="left"/>
        <w:rPr>
          <w:rFonts w:ascii="宋体" w:hAnsi="宋体" w:cs="宋体" w:eastAsia="宋体" w:hint="default"/>
          <w:sz w:val="21"/>
          <w:szCs w:val="21"/>
        </w:rPr>
      </w:pPr>
      <w:r>
        <w:rPr>
          <w:rFonts w:ascii="宋体" w:hAnsi="宋体" w:cs="宋体" w:eastAsia="宋体" w:hint="default"/>
          <w:b/>
          <w:bCs/>
          <w:sz w:val="21"/>
          <w:szCs w:val="21"/>
        </w:rPr>
        <w:t>（三）其他持股在10%以上（含10%）的法人股股东情况介绍：</w:t>
      </w:r>
      <w:r>
        <w:rPr>
          <w:rFonts w:ascii="宋体" w:hAnsi="宋体" w:cs="宋体" w:eastAsia="宋体" w:hint="default"/>
          <w:b/>
          <w:bCs/>
          <w:w w:val="99"/>
          <w:sz w:val="21"/>
          <w:szCs w:val="21"/>
        </w:rPr>
        <w:t> </w:t>
      </w:r>
      <w:r>
        <w:rPr>
          <w:rFonts w:ascii="宋体" w:hAnsi="宋体" w:cs="宋体" w:eastAsia="宋体" w:hint="default"/>
          <w:sz w:val="21"/>
          <w:szCs w:val="21"/>
        </w:rPr>
        <w:t>报告期内，本公司无其他持股在</w:t>
      </w:r>
      <w:r>
        <w:rPr>
          <w:rFonts w:ascii="宋体" w:hAnsi="宋体" w:cs="宋体" w:eastAsia="宋体" w:hint="default"/>
          <w:spacing w:val="-68"/>
          <w:sz w:val="21"/>
          <w:szCs w:val="21"/>
        </w:rPr>
        <w:t> </w:t>
      </w:r>
      <w:r>
        <w:rPr>
          <w:rFonts w:ascii="宋体" w:hAnsi="宋体" w:cs="宋体" w:eastAsia="宋体" w:hint="default"/>
          <w:sz w:val="21"/>
          <w:szCs w:val="21"/>
        </w:rPr>
        <w:t>10%以上（含</w:t>
      </w:r>
      <w:r>
        <w:rPr>
          <w:rFonts w:ascii="宋体" w:hAnsi="宋体" w:cs="宋体" w:eastAsia="宋体" w:hint="default"/>
          <w:spacing w:val="-68"/>
          <w:sz w:val="21"/>
          <w:szCs w:val="21"/>
        </w:rPr>
        <w:t> </w:t>
      </w:r>
      <w:r>
        <w:rPr>
          <w:rFonts w:ascii="宋体" w:hAnsi="宋体" w:cs="宋体" w:eastAsia="宋体" w:hint="default"/>
          <w:sz w:val="21"/>
          <w:szCs w:val="21"/>
        </w:rPr>
        <w:t>10%）的法人股股东。</w:t>
      </w:r>
    </w:p>
    <w:p>
      <w:pPr>
        <w:spacing w:after="0" w:line="357" w:lineRule="auto"/>
        <w:jc w:val="left"/>
        <w:rPr>
          <w:rFonts w:ascii="宋体" w:hAnsi="宋体" w:cs="宋体" w:eastAsia="宋体" w:hint="default"/>
          <w:sz w:val="21"/>
          <w:szCs w:val="21"/>
        </w:rPr>
        <w:sectPr>
          <w:pgSz w:w="11910" w:h="16840"/>
          <w:pgMar w:header="851" w:footer="982" w:top="1200" w:bottom="1180" w:left="980" w:right="98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left="2092" w:right="172"/>
        <w:jc w:val="left"/>
        <w:rPr>
          <w:b w:val="0"/>
          <w:bCs w:val="0"/>
        </w:rPr>
      </w:pPr>
      <w:bookmarkStart w:name="_bookmark3" w:id="4"/>
      <w:bookmarkEnd w:id="4"/>
      <w:r>
        <w:rPr>
          <w:b w:val="0"/>
          <w:bCs w:val="0"/>
        </w:rPr>
      </w:r>
      <w:r>
        <w:rPr/>
        <w:t>第四节</w:t>
      </w:r>
      <w:r>
        <w:rPr>
          <w:spacing w:val="-10"/>
        </w:rPr>
        <w:t> </w:t>
      </w:r>
      <w:r>
        <w:rPr/>
        <w:t>董事、监事、高级管理人员和员工情况</w:t>
      </w:r>
      <w:r>
        <w:rPr>
          <w:b w:val="0"/>
          <w:bCs w:val="0"/>
        </w:rPr>
      </w:r>
    </w:p>
    <w:p>
      <w:pPr>
        <w:spacing w:line="240" w:lineRule="auto" w:before="12"/>
        <w:rPr>
          <w:rFonts w:ascii="宋体" w:hAnsi="宋体" w:cs="宋体" w:eastAsia="宋体" w:hint="default"/>
          <w:b/>
          <w:bCs/>
          <w:sz w:val="35"/>
          <w:szCs w:val="35"/>
        </w:rPr>
      </w:pPr>
    </w:p>
    <w:p>
      <w:pPr>
        <w:pStyle w:val="Heading3"/>
        <w:spacing w:line="240" w:lineRule="auto"/>
        <w:ind w:left="568" w:right="3476"/>
        <w:jc w:val="left"/>
        <w:rPr>
          <w:b w:val="0"/>
          <w:bCs w:val="0"/>
        </w:rPr>
      </w:pPr>
      <w:r>
        <w:rPr/>
        <w:t>一、公司董事、监事、高级管理人员情况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568" w:right="3476"/>
        <w:jc w:val="left"/>
        <w:rPr>
          <w:b w:val="0"/>
          <w:bCs w:val="0"/>
        </w:rPr>
      </w:pPr>
      <w:r>
        <w:rPr/>
        <w:t>（一）基本情况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224" w:type="dxa"/>
        <w:tblLayout w:type="fixed"/>
        <w:tblCellMar>
          <w:top w:w="0" w:type="dxa"/>
          <w:left w:w="0" w:type="dxa"/>
          <w:bottom w:w="0" w:type="dxa"/>
          <w:right w:w="0" w:type="dxa"/>
        </w:tblCellMar>
        <w:tblLook w:val="01E0"/>
      </w:tblPr>
      <w:tblGrid>
        <w:gridCol w:w="900"/>
        <w:gridCol w:w="1468"/>
        <w:gridCol w:w="460"/>
        <w:gridCol w:w="540"/>
        <w:gridCol w:w="1674"/>
        <w:gridCol w:w="1566"/>
        <w:gridCol w:w="1080"/>
        <w:gridCol w:w="1080"/>
        <w:gridCol w:w="720"/>
      </w:tblGrid>
      <w:tr>
        <w:trPr>
          <w:trHeight w:val="476"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变动原</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141,120,000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141,120,000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368" w:right="97" w:hanging="270"/>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郑大立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郭  洁</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pacing w:val="-4"/>
                <w:sz w:val="18"/>
                <w:szCs w:val="18"/>
              </w:rPr>
              <w:t>董事、董事会秘书</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35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郭田勇</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刘剑锋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阎丽明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罗志明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关东玉</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王敏敏</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郭  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张广杰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王淑杰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42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b/>
          <w:bCs/>
          <w:sz w:val="16"/>
          <w:szCs w:val="16"/>
        </w:rPr>
      </w:pPr>
    </w:p>
    <w:p>
      <w:pPr>
        <w:pStyle w:val="Heading3"/>
        <w:spacing w:line="240" w:lineRule="auto" w:before="35"/>
        <w:ind w:right="172"/>
        <w:jc w:val="left"/>
        <w:rPr>
          <w:b w:val="0"/>
          <w:bCs w:val="0"/>
        </w:rPr>
      </w:pPr>
      <w:r>
        <w:rPr/>
        <w:t>（二）董事、监事、高级管理人员报告期内被授予的股权激励情况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68" w:type="dxa"/>
        <w:tblLayout w:type="fixed"/>
        <w:tblCellMar>
          <w:top w:w="0" w:type="dxa"/>
          <w:left w:w="0" w:type="dxa"/>
          <w:bottom w:w="0" w:type="dxa"/>
          <w:right w:w="0" w:type="dxa"/>
        </w:tblCellMar>
        <w:tblLook w:val="01E0"/>
      </w:tblPr>
      <w:tblGrid>
        <w:gridCol w:w="780"/>
        <w:gridCol w:w="1121"/>
        <w:gridCol w:w="920"/>
        <w:gridCol w:w="974"/>
        <w:gridCol w:w="871"/>
        <w:gridCol w:w="871"/>
        <w:gridCol w:w="871"/>
        <w:gridCol w:w="871"/>
        <w:gridCol w:w="870"/>
        <w:gridCol w:w="730"/>
        <w:gridCol w:w="720"/>
      </w:tblGrid>
      <w:tr>
        <w:trPr>
          <w:trHeight w:val="1371"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9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34" w:right="35"/>
              <w:jc w:val="center"/>
              <w:rPr>
                <w:rFonts w:ascii="宋体" w:hAnsi="宋体" w:cs="宋体" w:eastAsia="宋体" w:hint="default"/>
                <w:sz w:val="21"/>
                <w:szCs w:val="21"/>
              </w:rPr>
            </w:pPr>
            <w:r>
              <w:rPr>
                <w:rFonts w:ascii="宋体" w:hAnsi="宋体" w:cs="宋体" w:eastAsia="宋体" w:hint="default"/>
                <w:sz w:val="21"/>
                <w:szCs w:val="21"/>
              </w:rPr>
              <w:t>期初持有 股票期权 数量</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62" w:right="60"/>
              <w:jc w:val="both"/>
              <w:rPr>
                <w:rFonts w:ascii="宋体" w:hAnsi="宋体" w:cs="宋体" w:eastAsia="宋体" w:hint="default"/>
                <w:sz w:val="21"/>
                <w:szCs w:val="21"/>
              </w:rPr>
            </w:pPr>
            <w:r>
              <w:rPr>
                <w:rFonts w:ascii="宋体" w:hAnsi="宋体" w:cs="宋体" w:eastAsia="宋体" w:hint="default"/>
                <w:sz w:val="21"/>
                <w:szCs w:val="21"/>
              </w:rPr>
              <w:t>报告期新 授予股票 期权数量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15" w:right="114"/>
              <w:jc w:val="both"/>
              <w:rPr>
                <w:rFonts w:ascii="宋体" w:hAnsi="宋体" w:cs="宋体" w:eastAsia="宋体" w:hint="default"/>
                <w:sz w:val="21"/>
                <w:szCs w:val="21"/>
              </w:rPr>
            </w:pPr>
            <w:r>
              <w:rPr>
                <w:rFonts w:ascii="宋体" w:hAnsi="宋体" w:cs="宋体" w:eastAsia="宋体" w:hint="default"/>
                <w:sz w:val="21"/>
                <w:szCs w:val="21"/>
              </w:rPr>
              <w:t>报告期 股票期 权行权 数量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15" w:right="114"/>
              <w:jc w:val="both"/>
              <w:rPr>
                <w:rFonts w:ascii="宋体" w:hAnsi="宋体" w:cs="宋体" w:eastAsia="宋体" w:hint="default"/>
                <w:sz w:val="21"/>
                <w:szCs w:val="21"/>
              </w:rPr>
            </w:pPr>
            <w:r>
              <w:rPr>
                <w:rFonts w:ascii="宋体" w:hAnsi="宋体" w:cs="宋体" w:eastAsia="宋体" w:hint="default"/>
                <w:sz w:val="21"/>
                <w:szCs w:val="21"/>
              </w:rPr>
              <w:t>股票期 权行权 价格</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15" w:right="114"/>
              <w:jc w:val="center"/>
              <w:rPr>
                <w:rFonts w:ascii="宋体" w:hAnsi="宋体" w:cs="宋体" w:eastAsia="宋体" w:hint="default"/>
                <w:sz w:val="21"/>
                <w:szCs w:val="21"/>
              </w:rPr>
            </w:pPr>
            <w:r>
              <w:rPr>
                <w:rFonts w:ascii="宋体" w:hAnsi="宋体" w:cs="宋体" w:eastAsia="宋体" w:hint="default"/>
                <w:sz w:val="21"/>
                <w:szCs w:val="21"/>
              </w:rPr>
              <w:t>期末持 有股票 期权数 量</w:t>
            </w:r>
          </w:p>
        </w:tc>
        <w:tc>
          <w:tcPr>
            <w:tcW w:w="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115" w:right="114"/>
              <w:jc w:val="both"/>
              <w:rPr>
                <w:rFonts w:ascii="宋体" w:hAnsi="宋体" w:cs="宋体" w:eastAsia="宋体" w:hint="default"/>
                <w:sz w:val="21"/>
                <w:szCs w:val="21"/>
              </w:rPr>
            </w:pPr>
            <w:r>
              <w:rPr>
                <w:rFonts w:ascii="宋体" w:hAnsi="宋体" w:cs="宋体" w:eastAsia="宋体" w:hint="default"/>
                <w:sz w:val="21"/>
                <w:szCs w:val="21"/>
              </w:rPr>
              <w:t>期初持 有限制 性股票 数量</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1"/>
              <w:ind w:left="115" w:right="113"/>
              <w:jc w:val="center"/>
              <w:rPr>
                <w:rFonts w:ascii="宋体" w:hAnsi="宋体" w:cs="宋体" w:eastAsia="宋体" w:hint="default"/>
                <w:sz w:val="21"/>
                <w:szCs w:val="21"/>
              </w:rPr>
            </w:pPr>
            <w:r>
              <w:rPr>
                <w:rFonts w:ascii="宋体" w:hAnsi="宋体" w:cs="宋体" w:eastAsia="宋体" w:hint="default"/>
                <w:sz w:val="21"/>
                <w:szCs w:val="21"/>
              </w:rPr>
              <w:t>新授予 限制性 股票数 量</w:t>
            </w:r>
          </w:p>
        </w:tc>
        <w:tc>
          <w:tcPr>
            <w:tcW w:w="7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45" w:right="42"/>
              <w:jc w:val="center"/>
              <w:rPr>
                <w:rFonts w:ascii="宋体" w:hAnsi="宋体" w:cs="宋体" w:eastAsia="宋体" w:hint="default"/>
                <w:sz w:val="21"/>
                <w:szCs w:val="21"/>
              </w:rPr>
            </w:pPr>
            <w:r>
              <w:rPr>
                <w:rFonts w:ascii="宋体" w:hAnsi="宋体" w:cs="宋体" w:eastAsia="宋体" w:hint="default"/>
                <w:sz w:val="21"/>
                <w:szCs w:val="21"/>
              </w:rPr>
              <w:t>限制性 股票的 授予价 格</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8"/>
              <w:ind w:left="39" w:right="38"/>
              <w:jc w:val="both"/>
              <w:rPr>
                <w:rFonts w:ascii="宋体" w:hAnsi="宋体" w:cs="宋体" w:eastAsia="宋体" w:hint="default"/>
                <w:sz w:val="21"/>
                <w:szCs w:val="21"/>
              </w:rPr>
            </w:pPr>
            <w:r>
              <w:rPr>
                <w:rFonts w:ascii="宋体" w:hAnsi="宋体" w:cs="宋体" w:eastAsia="宋体" w:hint="default"/>
                <w:sz w:val="21"/>
                <w:szCs w:val="21"/>
              </w:rPr>
              <w:t>期末持 有限制 性股票 数量</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hAnsi="宋体" w:cs="宋体" w:eastAsia="宋体" w:hint="default"/>
                <w:sz w:val="21"/>
                <w:szCs w:val="21"/>
              </w:rPr>
              <w:t>罗志明</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44.70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sz w:val="21"/>
              </w:rPr>
              <w:t>140,000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2"/>
              <w:jc w:val="center"/>
              <w:rPr>
                <w:rFonts w:ascii="宋体" w:hAnsi="宋体" w:cs="宋体" w:eastAsia="宋体" w:hint="default"/>
                <w:sz w:val="21"/>
                <w:szCs w:val="21"/>
              </w:rPr>
            </w:pPr>
            <w:r>
              <w:rPr>
                <w:rFonts w:ascii="宋体" w:hAnsi="宋体" w:cs="宋体" w:eastAsia="宋体" w:hint="default"/>
                <w:sz w:val="21"/>
                <w:szCs w:val="21"/>
              </w:rPr>
              <w:t>王敏敏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60,000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44.70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center"/>
              <w:rPr>
                <w:rFonts w:ascii="宋体" w:hAnsi="宋体" w:cs="宋体" w:eastAsia="宋体" w:hint="default"/>
                <w:sz w:val="21"/>
                <w:szCs w:val="21"/>
              </w:rPr>
            </w:pPr>
            <w:r>
              <w:rPr>
                <w:rFonts w:ascii="宋体"/>
                <w:sz w:val="21"/>
              </w:rPr>
              <w:t>60,000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r>
      <w:tr>
        <w:trPr>
          <w:trHeight w:val="28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91"/>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44.70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center"/>
              <w:rPr>
                <w:rFonts w:ascii="宋体" w:hAnsi="宋体" w:cs="宋体" w:eastAsia="宋体" w:hint="default"/>
                <w:sz w:val="21"/>
                <w:szCs w:val="21"/>
              </w:rPr>
            </w:pPr>
            <w:r>
              <w:rPr>
                <w:rFonts w:ascii="宋体"/>
                <w:sz w:val="21"/>
              </w:rPr>
              <w:t>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w:t>
            </w:r>
          </w:p>
        </w:tc>
      </w:tr>
      <w:tr>
        <w:trPr>
          <w:trHeight w:val="28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240,000</w:t>
            </w:r>
            <w:r>
              <w:rPr>
                <w:rFonts w:ascii="宋体"/>
                <w:sz w:val="21"/>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 w:right="0"/>
              <w:jc w:val="center"/>
              <w:rPr>
                <w:rFonts w:ascii="宋体" w:hAnsi="宋体" w:cs="宋体" w:eastAsia="宋体" w:hint="default"/>
                <w:sz w:val="21"/>
                <w:szCs w:val="21"/>
              </w:rPr>
            </w:pPr>
            <w:r>
              <w:rPr>
                <w:rFonts w:ascii="宋体"/>
                <w:sz w:val="21"/>
              </w:rPr>
              <w:t>240,000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r>
    </w:tbl>
    <w:p>
      <w:pPr>
        <w:spacing w:line="240" w:lineRule="auto" w:before="1"/>
        <w:rPr>
          <w:rFonts w:ascii="宋体" w:hAnsi="宋体" w:cs="宋体" w:eastAsia="宋体" w:hint="default"/>
          <w:b/>
          <w:bCs/>
          <w:sz w:val="16"/>
          <w:szCs w:val="16"/>
        </w:rPr>
      </w:pPr>
    </w:p>
    <w:p>
      <w:pPr>
        <w:pStyle w:val="Heading3"/>
        <w:spacing w:line="240" w:lineRule="auto" w:before="35"/>
        <w:ind w:right="172"/>
        <w:jc w:val="left"/>
        <w:rPr>
          <w:b w:val="0"/>
          <w:bCs w:val="0"/>
        </w:rPr>
      </w:pPr>
      <w:r>
        <w:rPr/>
        <w:t>（三）现任董事、监事、高级管理人员最近五年的主要工作经历</w:t>
      </w:r>
      <w:r>
        <w:rPr>
          <w:b w:val="0"/>
          <w:bCs w:val="0"/>
        </w:rPr>
      </w:r>
    </w:p>
    <w:p>
      <w:pPr>
        <w:spacing w:line="240" w:lineRule="auto" w:before="2"/>
        <w:rPr>
          <w:rFonts w:ascii="宋体" w:hAnsi="宋体" w:cs="宋体" w:eastAsia="宋体" w:hint="default"/>
          <w:b/>
          <w:bCs/>
          <w:sz w:val="21"/>
          <w:szCs w:val="21"/>
        </w:rPr>
      </w:pPr>
    </w:p>
    <w:p>
      <w:pPr>
        <w:pStyle w:val="BodyText"/>
        <w:spacing w:line="343" w:lineRule="auto"/>
        <w:ind w:left="153" w:right="150" w:firstLine="420"/>
        <w:jc w:val="both"/>
      </w:pPr>
      <w:r>
        <w:rPr/>
        <w:t>李仲初：出生于 </w:t>
      </w:r>
      <w:r>
        <w:rPr>
          <w:rFonts w:ascii="Times New Roman" w:hAnsi="Times New Roman" w:cs="Times New Roman" w:eastAsia="Times New Roman" w:hint="default"/>
        </w:rPr>
        <w:t>1963 </w:t>
      </w:r>
      <w:r>
        <w:rPr/>
        <w:t>年，中国公民，工学硕士，工程师，本公司创始人及控股股东，</w:t>
      </w:r>
      <w:r>
        <w:rPr>
          <w:rFonts w:ascii="Times New Roman" w:hAnsi="Times New Roman" w:cs="Times New Roman" w:eastAsia="Times New Roman" w:hint="default"/>
        </w:rPr>
        <w:t>1984</w:t>
      </w:r>
      <w:r>
        <w:rPr>
          <w:rFonts w:ascii="Times New Roman" w:hAnsi="Times New Roman" w:cs="Times New Roman" w:eastAsia="Times New Roman" w:hint="default"/>
          <w:spacing w:val="-29"/>
        </w:rPr>
        <w:t> </w:t>
      </w:r>
      <w:r>
        <w:rPr/>
        <w:t>年毕业于 </w:t>
      </w:r>
      <w:r>
        <w:rPr>
          <w:spacing w:val="-4"/>
        </w:rPr>
        <w:t>武汉大学空间物理系，获得理学学士学位，</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11"/>
        </w:rPr>
        <w:t> </w:t>
      </w:r>
      <w:r>
        <w:rPr/>
        <w:t>年获得原国家航天部第二研究院光电技术专业工学硕士学</w:t>
      </w:r>
      <w:r>
        <w:rPr>
          <w:spacing w:val="-103"/>
        </w:rPr>
        <w:t> </w:t>
      </w:r>
      <w:r>
        <w:rPr>
          <w:spacing w:val="-1"/>
        </w:rPr>
        <w:t>位。曾先后任职于国家航天部某研究所、国家某重点实验室。现任本公司董事长兼总裁、北京石基软件公</w:t>
      </w:r>
      <w:r>
        <w:rPr>
          <w:spacing w:val="-86"/>
        </w:rPr>
        <w:t> </w:t>
      </w:r>
      <w:r>
        <w:rPr>
          <w:spacing w:val="-86"/>
        </w:rPr>
      </w:r>
      <w:r>
        <w:rPr/>
        <w:t>司董事长、上海石基信息技术有限公司董事长。</w:t>
      </w:r>
    </w:p>
    <w:p>
      <w:pPr>
        <w:pStyle w:val="BodyText"/>
        <w:spacing w:line="240" w:lineRule="auto" w:before="43"/>
        <w:ind w:left="573" w:right="0"/>
        <w:jc w:val="left"/>
      </w:pPr>
      <w:r>
        <w:rPr/>
        <w:t>赖德源：出生于</w:t>
      </w:r>
      <w:r>
        <w:rPr>
          <w:rFonts w:ascii="Times New Roman" w:hAnsi="Times New Roman" w:cs="Times New Roman" w:eastAsia="Times New Roman" w:hint="default"/>
        </w:rPr>
        <w:t>1963</w:t>
      </w:r>
      <w:r>
        <w:rPr/>
        <w:t>年，中华人民共和国香港特别行政区居民，本科学历，毕业于香港理工学院电子</w:t>
      </w:r>
    </w:p>
    <w:p>
      <w:pPr>
        <w:pStyle w:val="BodyText"/>
        <w:spacing w:line="410" w:lineRule="atLeast"/>
        <w:ind w:left="153" w:right="146"/>
        <w:jc w:val="left"/>
      </w:pPr>
      <w:r>
        <w:rPr/>
        <w:t>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月先后担任 富达自动化管理系统（上海）有限公司（该公司为</w:t>
      </w:r>
      <w:r>
        <w:rPr>
          <w:rFonts w:ascii="Times New Roman" w:hAnsi="Times New Roman" w:cs="Times New Roman" w:eastAsia="Times New Roman" w:hint="default"/>
        </w:rPr>
        <w:t>MICROS</w:t>
      </w:r>
      <w:r>
        <w:rPr/>
        <w:t>在中国设立的全资子公司）董事总经理、香港</w:t>
      </w:r>
    </w:p>
    <w:p>
      <w:pPr>
        <w:spacing w:after="0" w:line="410" w:lineRule="atLeast"/>
        <w:jc w:val="left"/>
        <w:sectPr>
          <w:pgSz w:w="11910" w:h="16840"/>
          <w:pgMar w:header="851" w:footer="982" w:top="1200" w:bottom="1180" w:left="980" w:right="980"/>
        </w:sectPr>
      </w:pPr>
    </w:p>
    <w:p>
      <w:pPr>
        <w:pStyle w:val="BodyText"/>
        <w:spacing w:line="336" w:lineRule="auto" w:before="32"/>
        <w:ind w:right="260"/>
        <w:jc w:val="both"/>
      </w:pPr>
      <w:r>
        <w:rPr/>
        <w:pict>
          <v:group style="position:absolute;margin-left:55.200001pt;margin-top:2.943948pt;width:484.95pt;height:.1pt;mso-position-horizontal-relative:page;mso-position-vertical-relative:paragraph;z-index:-710056" coordorigin="1104,59" coordsize="9699,2">
            <v:shape style="position:absolute;left:1104;top:59;width:9699;height:2" coordorigin="1104,59" coordsize="9699,0" path="m1104,59l10802,59e" filled="false" stroked="true" strokeweight=".72pt" strokecolor="#000000">
              <v:path arrowok="t"/>
            </v:shape>
            <w10:wrap type="none"/>
          </v:group>
        </w:pict>
      </w:r>
      <w:r>
        <w:rPr>
          <w:rFonts w:ascii="Times New Roman" w:hAnsi="Times New Roman" w:cs="Times New Roman" w:eastAsia="Times New Roman" w:hint="default"/>
          <w:spacing w:val="-1"/>
        </w:rPr>
        <w:t>MOVIELINK</w:t>
      </w:r>
      <w:r>
        <w:rPr>
          <w:spacing w:val="-1"/>
        </w:rPr>
        <w:t>公司总经理。现任本公司董事、副总裁、财务总监，杭州西软科技有限公司董事、Infrasys</w:t>
      </w:r>
      <w:r>
        <w:rPr>
          <w:spacing w:val="-103"/>
        </w:rPr>
        <w:t> </w:t>
      </w:r>
      <w:r>
        <w:rPr/>
        <w:t>International</w:t>
      </w:r>
      <w:r>
        <w:rPr>
          <w:spacing w:val="-2"/>
        </w:rPr>
        <w:t> </w:t>
      </w:r>
      <w:r>
        <w:rPr/>
        <w:t>Ltd（香港现化）董事。</w:t>
      </w:r>
    </w:p>
    <w:p>
      <w:pPr>
        <w:pStyle w:val="BodyText"/>
        <w:spacing w:line="357" w:lineRule="auto" w:before="50"/>
        <w:ind w:right="209" w:firstLine="420"/>
        <w:jc w:val="both"/>
      </w:pPr>
      <w:r>
        <w:rPr>
          <w:spacing w:val="-3"/>
        </w:rPr>
        <w:t>郑大立：1971</w:t>
      </w:r>
      <w:r>
        <w:rPr>
          <w:spacing w:val="-41"/>
        </w:rPr>
        <w:t> </w:t>
      </w:r>
      <w:r>
        <w:rPr>
          <w:spacing w:val="-3"/>
        </w:rPr>
        <w:t>年出生，中国公民，研究生学历。曾经任职于申银万国证券股份有限公司、上海格雷特</w:t>
      </w:r>
      <w:r>
        <w:rPr>
          <w:spacing w:val="-1"/>
        </w:rPr>
        <w:t> 投资管理有限公司。现任上海爱婴室商务服务有限公司董事，秦皇岛天业通联重工股份有限公司董事、董</w:t>
      </w:r>
      <w:r>
        <w:rPr>
          <w:spacing w:val="-83"/>
        </w:rPr>
        <w:t> </w:t>
      </w:r>
      <w:r>
        <w:rPr>
          <w:spacing w:val="-83"/>
        </w:rPr>
      </w:r>
      <w:r>
        <w:rPr/>
        <w:t>事会秘书，本公司董事。</w:t>
      </w:r>
    </w:p>
    <w:p>
      <w:pPr>
        <w:pStyle w:val="BodyText"/>
        <w:spacing w:line="357" w:lineRule="auto" w:before="30"/>
        <w:ind w:right="188" w:firstLine="420"/>
        <w:jc w:val="both"/>
      </w:pPr>
      <w:r>
        <w:rPr>
          <w:spacing w:val="-3"/>
        </w:rPr>
        <w:t>郭洁：1975</w:t>
      </w:r>
      <w:r>
        <w:rPr>
          <w:spacing w:val="-42"/>
        </w:rPr>
        <w:t> </w:t>
      </w:r>
      <w:r>
        <w:rPr>
          <w:spacing w:val="-3"/>
        </w:rPr>
        <w:t>年出生，毕业于东北财经大学，法学学士，中国注册会计师，中国注册资产评估师，高级</w:t>
      </w:r>
      <w:r>
        <w:rPr>
          <w:spacing w:val="-1"/>
        </w:rPr>
        <w:t> 会计师。历任大连中连资产评估事务所有限公司总经理，北京中兆国际会计师事务所有限公司总经理，民</w:t>
      </w:r>
      <w:r>
        <w:rPr>
          <w:spacing w:val="-83"/>
        </w:rPr>
        <w:t> </w:t>
      </w:r>
      <w:r>
        <w:rPr>
          <w:spacing w:val="-83"/>
        </w:rPr>
      </w:r>
      <w:r>
        <w:rPr/>
        <w:t>政部紧急救援促进中心理事会秘书、办公室副主任，本公司董事会秘书，现任本公司董事兼董事会秘书。</w:t>
      </w:r>
    </w:p>
    <w:p>
      <w:pPr>
        <w:pStyle w:val="BodyText"/>
        <w:spacing w:line="357" w:lineRule="auto" w:before="30"/>
        <w:ind w:right="170" w:firstLine="420"/>
        <w:jc w:val="left"/>
      </w:pPr>
      <w:r>
        <w:rPr/>
        <w:t>郭田勇：1968年出生，中国人民银行研究生部经济学博士，享受国务院特殊津贴。1990年-1993年任</w:t>
      </w:r>
      <w:r>
        <w:rPr>
          <w:spacing w:val="-1"/>
        </w:rPr>
        <w:t> 职于中国人民银行烟台分行从事金融实务工作。现任中央财经大学金融学院教授、中央财经大学中国银行</w:t>
      </w:r>
      <w:r>
        <w:rPr>
          <w:spacing w:val="-81"/>
        </w:rPr>
        <w:t> </w:t>
      </w:r>
      <w:r>
        <w:rPr>
          <w:spacing w:val="-81"/>
        </w:rPr>
      </w:r>
      <w:r>
        <w:rPr/>
        <w:t>业研究中心主任兼证券期货研究所副所长，兼任中国国际金融学会理事、民建中央财政金融委员会委员、 </w:t>
      </w:r>
      <w:r>
        <w:rPr>
          <w:spacing w:val="-1"/>
        </w:rPr>
        <w:t>民建北京市金融委员会副主任。主持和参与各类课题研究20多项，发表和出版各类著作20多部。2001年获</w:t>
      </w:r>
      <w:r>
        <w:rPr>
          <w:spacing w:val="-83"/>
        </w:rPr>
        <w:t> </w:t>
      </w:r>
      <w:r>
        <w:rPr>
          <w:spacing w:val="-83"/>
        </w:rPr>
      </w:r>
      <w:r>
        <w:rPr>
          <w:spacing w:val="-1"/>
        </w:rPr>
        <w:t>中国金融学会全国优秀论文奖，2004年获霍英东教育基金会全国优秀青年教师基金奖，2007年入选国家级</w:t>
      </w:r>
      <w:r>
        <w:rPr>
          <w:spacing w:val="-81"/>
        </w:rPr>
        <w:t> </w:t>
      </w:r>
      <w:r>
        <w:rPr>
          <w:spacing w:val="-81"/>
        </w:rPr>
      </w:r>
      <w:r>
        <w:rPr>
          <w:spacing w:val="-1"/>
        </w:rPr>
        <w:t>"新世纪优秀人才支持计划"，2009年获得“中国金融专家远见奖”。现任方大炭素新材料科技股份有限公</w:t>
      </w:r>
      <w:r>
        <w:rPr>
          <w:spacing w:val="-87"/>
        </w:rPr>
        <w:t> </w:t>
      </w:r>
      <w:r>
        <w:rPr>
          <w:spacing w:val="-87"/>
        </w:rPr>
      </w:r>
      <w:r>
        <w:rPr/>
        <w:t>司独立董事，本公司独立董事。</w:t>
      </w:r>
    </w:p>
    <w:p>
      <w:pPr>
        <w:pStyle w:val="BodyText"/>
        <w:spacing w:line="357" w:lineRule="auto" w:before="30"/>
        <w:ind w:right="101" w:firstLine="420"/>
        <w:jc w:val="left"/>
      </w:pPr>
      <w:r>
        <w:rPr>
          <w:spacing w:val="-3"/>
        </w:rPr>
        <w:t>刘剑锋：1969年出生，中国国籍，无永久境外居留权。毕业于澳大利亚新南威尔士大学，获商学硕士，</w:t>
      </w:r>
      <w:r>
        <w:rPr/>
        <w:t> 高级会计师。曾任北京水泵厂财务处副处长、中软总公司北京富士通系统工程有限公司中方财务总监、北 电网络通讯工程有限公司财务总监、沈阳北电通信有限公司财务总监和北电网络（中国）有限公司高级财 务分析师。现任上海科蕙价值投资管理有限公司董事总经理、本公司独立董事。</w:t>
      </w:r>
    </w:p>
    <w:p>
      <w:pPr>
        <w:pStyle w:val="BodyText"/>
        <w:spacing w:line="357" w:lineRule="auto" w:before="30"/>
        <w:ind w:right="101" w:firstLine="420"/>
        <w:jc w:val="left"/>
      </w:pPr>
      <w:r>
        <w:rPr>
          <w:spacing w:val="-3"/>
        </w:rPr>
        <w:t>阎丽明：1963年出生，中国公民，毕业于中国人民大学，会计学学士。具有注册会计师、注册税务师、</w:t>
      </w:r>
      <w:r>
        <w:rPr/>
        <w:t> 注册评估师、国际内部审计师和证券从业资格。曾任中国船舶总公司汾西机器厂成本核算科长、深圳奥克 兰机械有限公司财务总监、山西晋元会计师事务所合伙人、山西天元会计师事务所合伙人。现任中联会计 师事务所副主任会计师、本公司独立董事。</w:t>
      </w:r>
    </w:p>
    <w:p>
      <w:pPr>
        <w:pStyle w:val="BodyText"/>
        <w:spacing w:line="240" w:lineRule="auto" w:before="31"/>
        <w:ind w:left="574" w:right="0"/>
        <w:jc w:val="left"/>
      </w:pPr>
      <w:r>
        <w:rPr/>
        <w:t>罗志明：出生于 </w:t>
      </w:r>
      <w:r>
        <w:rPr>
          <w:rFonts w:ascii="Times New Roman" w:hAnsi="Times New Roman" w:cs="Times New Roman" w:eastAsia="Times New Roman" w:hint="default"/>
        </w:rPr>
        <w:t>1964</w:t>
      </w:r>
      <w:r>
        <w:rPr>
          <w:rFonts w:ascii="Times New Roman" w:hAnsi="Times New Roman" w:cs="Times New Roman" w:eastAsia="Times New Roman" w:hint="default"/>
          <w:spacing w:val="27"/>
        </w:rPr>
        <w:t> </w:t>
      </w:r>
      <w:r>
        <w:rPr/>
        <w:t>年，学士学位，毕业于北京航空航天大学计算机软件专业。先后任职于北京市</w:t>
      </w:r>
    </w:p>
    <w:p>
      <w:pPr>
        <w:pStyle w:val="BodyText"/>
        <w:spacing w:line="240" w:lineRule="auto" w:before="117"/>
        <w:ind w:left="153" w:right="0"/>
        <w:jc w:val="both"/>
      </w:pPr>
      <w:r>
        <w:rPr/>
        <w:t>计算机中心和北京王府饭店电脑部。</w:t>
      </w:r>
      <w:r>
        <w:rPr>
          <w:rFonts w:ascii="Times New Roman" w:hAnsi="Times New Roman" w:cs="Times New Roman" w:eastAsia="Times New Roman" w:hint="default"/>
        </w:rPr>
        <w:t>1992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w:t>
      </w:r>
      <w:r>
        <w:rPr>
          <w:spacing w:val="-57"/>
        </w:rPr>
        <w:t> </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月担任酒店业资讯系统（</w:t>
      </w:r>
      <w:r>
        <w:rPr>
          <w:rFonts w:ascii="Times New Roman" w:hAnsi="Times New Roman" w:cs="Times New Roman" w:eastAsia="Times New Roman" w:hint="default"/>
          <w:spacing w:val="-4"/>
        </w:rPr>
        <w:t>HIS</w:t>
      </w:r>
      <w:r>
        <w:rPr>
          <w:spacing w:val="-4"/>
        </w:rPr>
        <w:t>）北京办事处经</w:t>
      </w:r>
    </w:p>
    <w:p>
      <w:pPr>
        <w:pStyle w:val="BodyText"/>
        <w:spacing w:line="348" w:lineRule="auto" w:before="118"/>
        <w:ind w:right="209"/>
        <w:jc w:val="both"/>
      </w:pPr>
      <w:r>
        <w:rPr/>
        <w:t>理，</w:t>
      </w:r>
      <w:r>
        <w:rPr>
          <w:rFonts w:ascii="Times New Roman" w:hAnsi="Times New Roman" w:cs="Times New Roman" w:eastAsia="Times New Roman" w:hint="default"/>
        </w:rPr>
        <w:t>1997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月至</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月担任</w:t>
      </w:r>
      <w:r>
        <w:rPr>
          <w:spacing w:val="-57"/>
        </w:rPr>
        <w:t> </w:t>
      </w:r>
      <w:r>
        <w:rPr>
          <w:rFonts w:ascii="Times New Roman" w:hAnsi="Times New Roman" w:cs="Times New Roman" w:eastAsia="Times New Roman" w:hint="default"/>
        </w:rPr>
        <w:t>MICROS-FIDELIO(</w:t>
      </w:r>
      <w:r>
        <w:rPr/>
        <w:t>中国</w:t>
      </w:r>
      <w:r>
        <w:rPr>
          <w:rFonts w:ascii="Times New Roman" w:hAnsi="Times New Roman" w:cs="Times New Roman" w:eastAsia="Times New Roman" w:hint="default"/>
        </w:rPr>
        <w:t>)</w:t>
      </w:r>
      <w:r>
        <w:rPr/>
        <w:t>有限公司市场销售总监，</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月至今担 </w:t>
      </w:r>
      <w:r>
        <w:rPr>
          <w:spacing w:val="-1"/>
        </w:rPr>
        <w:t>任本公司负责市场销售的副总裁，杭州西软科技有限公司董事。现任本公司副总裁、本公司控股子公司杭</w:t>
      </w:r>
      <w:r>
        <w:rPr>
          <w:spacing w:val="-83"/>
        </w:rPr>
        <w:t> </w:t>
      </w:r>
      <w:r>
        <w:rPr>
          <w:spacing w:val="-83"/>
        </w:rPr>
      </w:r>
      <w:r>
        <w:rPr/>
        <w:t>州西软科技有限公司董事。</w:t>
      </w:r>
    </w:p>
    <w:p>
      <w:pPr>
        <w:pStyle w:val="BodyText"/>
        <w:spacing w:line="357" w:lineRule="auto" w:before="38"/>
        <w:ind w:right="208" w:firstLine="420"/>
        <w:jc w:val="both"/>
      </w:pPr>
      <w:r>
        <w:rPr/>
        <w:t>关东玉：出生于 1963</w:t>
      </w:r>
      <w:r>
        <w:rPr>
          <w:spacing w:val="-24"/>
        </w:rPr>
        <w:t> </w:t>
      </w:r>
      <w:r>
        <w:rPr/>
        <w:t>年，中华人民共和国公民，毕业于国防科技大学电子技术系，学士学位。1984</w:t>
      </w:r>
      <w:r>
        <w:rPr/>
        <w:t> 年-1988</w:t>
      </w:r>
      <w:r>
        <w:rPr>
          <w:spacing w:val="-34"/>
        </w:rPr>
        <w:t> </w:t>
      </w:r>
      <w:r>
        <w:rPr/>
        <w:t>年任职于空军科研部某研究所，1988</w:t>
      </w:r>
      <w:r>
        <w:rPr>
          <w:spacing w:val="-34"/>
        </w:rPr>
        <w:t> </w:t>
      </w:r>
      <w:r>
        <w:rPr/>
        <w:t>年至</w:t>
      </w:r>
      <w:r>
        <w:rPr>
          <w:spacing w:val="-34"/>
        </w:rPr>
        <w:t> </w:t>
      </w:r>
      <w:r>
        <w:rPr/>
        <w:t>1997</w:t>
      </w:r>
      <w:r>
        <w:rPr>
          <w:spacing w:val="-34"/>
        </w:rPr>
        <w:t> </w:t>
      </w:r>
      <w:r>
        <w:rPr/>
        <w:t>年期间先后任北京丽都假日酒店电脑部工程师、</w:t>
      </w:r>
      <w:r>
        <w:rPr/>
        <w:t> 香港锦标公司工程师及中国区经理、香港鑫宇公司中国区经理。1997</w:t>
      </w:r>
      <w:r>
        <w:rPr>
          <w:spacing w:val="-45"/>
        </w:rPr>
        <w:t> </w:t>
      </w:r>
      <w:r>
        <w:rPr/>
        <w:t>年至</w:t>
      </w:r>
      <w:r>
        <w:rPr>
          <w:spacing w:val="-44"/>
        </w:rPr>
        <w:t> </w:t>
      </w:r>
      <w:r>
        <w:rPr/>
        <w:t>2008</w:t>
      </w:r>
      <w:r>
        <w:rPr>
          <w:spacing w:val="-43"/>
        </w:rPr>
        <w:t> </w:t>
      </w:r>
      <w:r>
        <w:rPr/>
        <w:t>年任香港现化电脑系统有</w:t>
      </w:r>
      <w:r>
        <w:rPr/>
        <w:t> </w:t>
      </w:r>
      <w:r>
        <w:rPr>
          <w:spacing w:val="-6"/>
        </w:rPr>
        <w:t>限公司中国区副总经理、香港现化电脑系统有限公司北京代表处首席代表，2008</w:t>
      </w:r>
      <w:r>
        <w:rPr>
          <w:spacing w:val="-19"/>
        </w:rPr>
        <w:t> </w:t>
      </w:r>
      <w:r>
        <w:rPr>
          <w:spacing w:val="-9"/>
        </w:rPr>
        <w:t>年至今任现化电脑系统（北</w:t>
      </w:r>
      <w:r>
        <w:rPr>
          <w:spacing w:val="-97"/>
        </w:rPr>
        <w:t> </w:t>
      </w:r>
      <w:r>
        <w:rPr>
          <w:spacing w:val="-97"/>
        </w:rPr>
      </w:r>
      <w:r>
        <w:rPr/>
        <w:t>京）有限公司副总裁，现任本公司副总裁、现化电脑系统（北京）有限公司副总裁。</w:t>
      </w:r>
    </w:p>
    <w:p>
      <w:pPr>
        <w:pStyle w:val="BodyText"/>
        <w:spacing w:line="357" w:lineRule="auto" w:before="30"/>
        <w:ind w:right="208" w:firstLine="420"/>
        <w:jc w:val="left"/>
      </w:pPr>
      <w:r>
        <w:rPr/>
        <w:t>王敏敏：</w:t>
      </w:r>
      <w:r>
        <w:rPr>
          <w:spacing w:val="-43"/>
        </w:rPr>
        <w:t> </w:t>
      </w:r>
      <w:r>
        <w:rPr/>
        <w:t>1962</w:t>
      </w:r>
      <w:r>
        <w:rPr>
          <w:spacing w:val="-48"/>
        </w:rPr>
        <w:t> </w:t>
      </w:r>
      <w:r>
        <w:rPr>
          <w:spacing w:val="-6"/>
        </w:rPr>
        <w:t>年出生，中华人民共和国公民，1983</w:t>
      </w:r>
      <w:r>
        <w:rPr>
          <w:spacing w:val="-48"/>
        </w:rPr>
        <w:t> </w:t>
      </w:r>
      <w:r>
        <w:rPr>
          <w:spacing w:val="-4"/>
        </w:rPr>
        <w:t>年毕业于东北大学计算机科学系，学士学位。1983</w:t>
      </w:r>
      <w:r>
        <w:rPr/>
        <w:t> 年-1997</w:t>
      </w:r>
      <w:r>
        <w:rPr>
          <w:spacing w:val="-40"/>
        </w:rPr>
        <w:t> </w:t>
      </w:r>
      <w:r>
        <w:rPr/>
        <w:t>年任职于浙江省计算技术研究所，1998</w:t>
      </w:r>
      <w:r>
        <w:rPr>
          <w:spacing w:val="-41"/>
        </w:rPr>
        <w:t> </w:t>
      </w:r>
      <w:r>
        <w:rPr/>
        <w:t>年至</w:t>
      </w:r>
      <w:r>
        <w:rPr>
          <w:spacing w:val="-40"/>
        </w:rPr>
        <w:t> </w:t>
      </w:r>
      <w:r>
        <w:rPr/>
        <w:t>2011</w:t>
      </w:r>
      <w:r>
        <w:rPr>
          <w:spacing w:val="-41"/>
        </w:rPr>
        <w:t> </w:t>
      </w:r>
      <w:r>
        <w:rPr/>
        <w:t>年</w:t>
      </w:r>
      <w:r>
        <w:rPr>
          <w:spacing w:val="-40"/>
        </w:rPr>
        <w:t> </w:t>
      </w:r>
      <w:r>
        <w:rPr/>
        <w:t>1</w:t>
      </w:r>
      <w:r>
        <w:rPr>
          <w:spacing w:val="-40"/>
        </w:rPr>
        <w:t> </w:t>
      </w:r>
      <w:r>
        <w:rPr/>
        <w:t>月先后任杭州西软科技有限公司常务副总</w:t>
      </w:r>
    </w:p>
    <w:p>
      <w:pPr>
        <w:spacing w:after="0" w:line="357" w:lineRule="auto"/>
        <w:jc w:val="left"/>
        <w:sectPr>
          <w:footerReference w:type="default" r:id="rId12"/>
          <w:pgSz w:w="11910" w:h="16840"/>
          <w:pgMar w:footer="982" w:header="851" w:top="1200" w:bottom="1180" w:left="980" w:right="920"/>
          <w:pgNumType w:start="13"/>
        </w:sectPr>
      </w:pPr>
    </w:p>
    <w:p>
      <w:pPr>
        <w:pStyle w:val="BodyText"/>
        <w:spacing w:line="240" w:lineRule="auto" w:before="32"/>
        <w:ind w:right="0"/>
        <w:jc w:val="left"/>
      </w:pPr>
      <w:r>
        <w:rPr/>
        <w:pict>
          <v:group style="position:absolute;margin-left:55.200001pt;margin-top:2.943948pt;width:484.95pt;height:.1pt;mso-position-horizontal-relative:page;mso-position-vertical-relative:paragraph;z-index:-710032" coordorigin="1104,59" coordsize="9699,2">
            <v:shape style="position:absolute;left:1104;top:59;width:9699;height:2" coordorigin="1104,59" coordsize="9699,0" path="m1104,59l10802,59e" filled="false" stroked="true" strokeweight=".72pt" strokecolor="#000000">
              <v:path arrowok="t"/>
            </v:shape>
            <w10:wrap type="none"/>
          </v:group>
        </w:pict>
      </w:r>
      <w:r>
        <w:rPr/>
        <w:t>经理、总经理。现任本公司副总裁、杭州西软科技有限公司总经理</w:t>
      </w:r>
    </w:p>
    <w:p>
      <w:pPr>
        <w:pStyle w:val="BodyText"/>
        <w:spacing w:line="338" w:lineRule="auto" w:before="133"/>
        <w:ind w:right="230" w:firstLine="420"/>
        <w:jc w:val="both"/>
      </w:pPr>
      <w:r>
        <w:rPr/>
        <w:t>郭 明：出生于 </w:t>
      </w:r>
      <w:r>
        <w:rPr>
          <w:rFonts w:ascii="Times New Roman" w:hAnsi="Times New Roman" w:cs="Times New Roman" w:eastAsia="Times New Roman" w:hint="default"/>
        </w:rPr>
        <w:t>1956 </w:t>
      </w:r>
      <w:r>
        <w:rPr/>
        <w:t>年，经济师，大专学历，毕业于长春职工大学。</w:t>
      </w:r>
      <w:r>
        <w:rPr>
          <w:rFonts w:ascii="Times New Roman" w:hAnsi="Times New Roman" w:cs="Times New Roman" w:eastAsia="Times New Roman" w:hint="default"/>
        </w:rPr>
        <w:t>1977</w:t>
      </w:r>
      <w:r>
        <w:rPr>
          <w:rFonts w:ascii="Times New Roman" w:hAnsi="Times New Roman" w:cs="Times New Roman" w:eastAsia="Times New Roman" w:hint="default"/>
          <w:spacing w:val="2"/>
        </w:rPr>
        <w:t> </w:t>
      </w:r>
      <w:r>
        <w:rPr/>
        <w:t>年起先后任职于长春市电 车公司、长春市公共交通总公司、长春市煤气公司东郊煤气厂。自 </w:t>
      </w:r>
      <w:r>
        <w:rPr>
          <w:rFonts w:ascii="Times New Roman" w:hAnsi="Times New Roman" w:cs="Times New Roman" w:eastAsia="Times New Roman" w:hint="default"/>
        </w:rPr>
        <w:t>1993</w:t>
      </w:r>
      <w:r>
        <w:rPr>
          <w:rFonts w:ascii="Times New Roman" w:hAnsi="Times New Roman" w:cs="Times New Roman" w:eastAsia="Times New Roman" w:hint="default"/>
          <w:spacing w:val="7"/>
        </w:rPr>
        <w:t> </w:t>
      </w:r>
      <w:r>
        <w:rPr/>
        <w:t>年起先后参与长春振兴实业股份</w:t>
      </w:r>
    </w:p>
    <w:p>
      <w:pPr>
        <w:pStyle w:val="BodyText"/>
        <w:spacing w:line="240" w:lineRule="auto" w:before="22"/>
        <w:ind w:left="153" w:right="0"/>
        <w:jc w:val="left"/>
        <w:rPr>
          <w:rFonts w:ascii="Times New Roman" w:hAnsi="Times New Roman" w:cs="Times New Roman" w:eastAsia="Times New Roman" w:hint="default"/>
        </w:rPr>
      </w:pPr>
      <w:r>
        <w:rPr>
          <w:spacing w:val="-3"/>
        </w:rPr>
        <w:t>有限公司、长春康达医疗器械股份有限公司的股份制改造及上市工作，曾任董事会秘书、总经济师；</w:t>
      </w:r>
      <w:r>
        <w:rPr>
          <w:spacing w:val="-20"/>
        </w:rPr>
        <w:t> </w:t>
      </w:r>
      <w:r>
        <w:rPr>
          <w:rFonts w:ascii="Times New Roman" w:hAnsi="Times New Roman" w:cs="Times New Roman" w:eastAsia="Times New Roman" w:hint="default"/>
        </w:rPr>
        <w:t>1999</w:t>
      </w:r>
    </w:p>
    <w:p>
      <w:pPr>
        <w:pStyle w:val="BodyText"/>
        <w:spacing w:line="336" w:lineRule="auto" w:before="118"/>
        <w:ind w:left="153" w:right="229"/>
        <w:jc w:val="left"/>
      </w:pPr>
      <w:r>
        <w:rPr>
          <w:spacing w:val="-3"/>
        </w:rPr>
        <w:t>年起任长春燃气股份有限公司董事、证券投资部经理，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月历任本公司董事、副总</w:t>
      </w:r>
      <w:r>
        <w:rPr/>
        <w:t> 经理、董事会秘书，现任本公司监事会主席。</w:t>
      </w:r>
    </w:p>
    <w:p>
      <w:pPr>
        <w:pStyle w:val="BodyText"/>
        <w:spacing w:line="240" w:lineRule="auto" w:before="50"/>
        <w:ind w:left="573" w:right="0"/>
        <w:jc w:val="left"/>
      </w:pPr>
      <w:r>
        <w:rPr/>
        <w:t>张广杰：出生于</w:t>
      </w:r>
      <w:r>
        <w:rPr>
          <w:spacing w:val="-67"/>
        </w:rPr>
        <w:t> </w:t>
      </w:r>
      <w:r>
        <w:rPr>
          <w:rFonts w:ascii="Times New Roman" w:hAnsi="Times New Roman" w:cs="Times New Roman" w:eastAsia="Times New Roman" w:hint="default"/>
        </w:rPr>
        <w:t>1960</w:t>
      </w:r>
      <w:r>
        <w:rPr>
          <w:rFonts w:ascii="Times New Roman" w:hAnsi="Times New Roman" w:cs="Times New Roman" w:eastAsia="Times New Roman" w:hint="default"/>
          <w:spacing w:val="-15"/>
        </w:rPr>
        <w:t> </w:t>
      </w:r>
      <w:r>
        <w:rPr/>
        <w:t>年，毕业于首都师范大学数学系，先后就职于航天工业部第二研究院二零七所、</w:t>
      </w:r>
    </w:p>
    <w:p>
      <w:pPr>
        <w:pStyle w:val="BodyText"/>
        <w:spacing w:line="336" w:lineRule="auto" w:before="117"/>
        <w:ind w:left="153" w:right="197"/>
        <w:jc w:val="left"/>
      </w:pPr>
      <w:r>
        <w:rPr/>
        <w:t>北京香格里拉大饭店，任助理工程师、电脑部经理。自 </w:t>
      </w:r>
      <w:r>
        <w:rPr>
          <w:rFonts w:ascii="Times New Roman" w:hAnsi="Times New Roman" w:cs="Times New Roman" w:eastAsia="Times New Roman" w:hint="default"/>
        </w:rPr>
        <w:t>2001</w:t>
      </w:r>
      <w:r>
        <w:rPr>
          <w:rFonts w:ascii="Times New Roman" w:hAnsi="Times New Roman" w:cs="Times New Roman" w:eastAsia="Times New Roman" w:hint="default"/>
          <w:spacing w:val="26"/>
        </w:rPr>
        <w:t> </w:t>
      </w:r>
      <w:r>
        <w:rPr/>
        <w:t>年起在北京中长石基信息技术股份有限公司 就职，现任本公司监事。</w:t>
      </w:r>
    </w:p>
    <w:p>
      <w:pPr>
        <w:pStyle w:val="BodyText"/>
        <w:spacing w:line="338" w:lineRule="auto" w:before="50"/>
        <w:ind w:left="153" w:right="210" w:firstLine="420"/>
        <w:jc w:val="both"/>
      </w:pPr>
      <w:r>
        <w:rPr/>
        <w:t>王淑杰：出生于 </w:t>
      </w:r>
      <w:r>
        <w:rPr>
          <w:rFonts w:ascii="Times New Roman" w:hAnsi="Times New Roman" w:cs="Times New Roman" w:eastAsia="Times New Roman" w:hint="default"/>
        </w:rPr>
        <w:t>1968 </w:t>
      </w:r>
      <w:r>
        <w:rPr/>
        <w:t>年，硕士学位，</w:t>
      </w:r>
      <w:r>
        <w:rPr>
          <w:rFonts w:ascii="Times New Roman" w:hAnsi="Times New Roman" w:cs="Times New Roman" w:eastAsia="Times New Roman" w:hint="default"/>
        </w:rPr>
        <w:t>1991</w:t>
      </w:r>
      <w:r>
        <w:rPr>
          <w:rFonts w:ascii="Times New Roman" w:hAnsi="Times New Roman" w:cs="Times New Roman" w:eastAsia="Times New Roman" w:hint="default"/>
          <w:spacing w:val="-29"/>
        </w:rPr>
        <w:t> </w:t>
      </w:r>
      <w:r>
        <w:rPr/>
        <w:t>年毕业于北京航空航天大学机械制造专业，获工学学士学 位。</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年至</w:t>
      </w:r>
      <w:r>
        <w:rPr>
          <w:spacing w:val="-41"/>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2"/>
        </w:rPr>
        <w:t> </w:t>
      </w:r>
      <w:r>
        <w:rPr/>
        <w:t>年在中国航天工业总公司第二研究院从事机械设计工作，</w:t>
      </w:r>
      <w:r>
        <w:rPr>
          <w:rFonts w:ascii="Times New Roman" w:hAnsi="Times New Roman" w:cs="Times New Roman" w:eastAsia="Times New Roman" w:hint="default"/>
        </w:rPr>
        <w:t>1994</w:t>
      </w:r>
      <w:r>
        <w:rPr>
          <w:rFonts w:ascii="Times New Roman" w:hAnsi="Times New Roman" w:cs="Times New Roman" w:eastAsia="Times New Roman" w:hint="default"/>
          <w:spacing w:val="11"/>
        </w:rPr>
        <w:t> </w:t>
      </w:r>
      <w:r>
        <w:rPr/>
        <w:t>年至</w:t>
      </w:r>
      <w:r>
        <w:rPr>
          <w:spacing w:val="-42"/>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2"/>
        </w:rPr>
        <w:t> </w:t>
      </w:r>
      <w:r>
        <w:rPr/>
        <w:t>年工作于北 </w:t>
      </w:r>
      <w:r>
        <w:rPr>
          <w:spacing w:val="-4"/>
        </w:rPr>
        <w:t>京商品交易所，</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8"/>
        </w:rPr>
        <w:t> </w:t>
      </w:r>
      <w:r>
        <w:rPr/>
        <w:t>年至</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年在首都经济贸易大学经济系研究生班学习并毕业，自</w:t>
      </w:r>
      <w:r>
        <w:rPr>
          <w:spacing w:val="-6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8"/>
        </w:rPr>
        <w:t> </w:t>
      </w:r>
      <w:r>
        <w:rPr/>
        <w:t>年起就职于本 公司，从事客户服务工作，本公司职工监事。</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（四）现任董事、监事和高级管理人员年度报酬情况</w:t>
      </w:r>
      <w:r>
        <w:rPr>
          <w:b w:val="0"/>
          <w:bCs w:val="0"/>
        </w:rPr>
      </w:r>
    </w:p>
    <w:p>
      <w:pPr>
        <w:spacing w:line="240" w:lineRule="auto" w:before="2"/>
        <w:rPr>
          <w:rFonts w:ascii="宋体" w:hAnsi="宋体" w:cs="宋体" w:eastAsia="宋体" w:hint="default"/>
          <w:b/>
          <w:bCs/>
          <w:sz w:val="21"/>
          <w:szCs w:val="21"/>
        </w:rPr>
      </w:pPr>
    </w:p>
    <w:p>
      <w:pPr>
        <w:pStyle w:val="BodyText"/>
        <w:spacing w:line="350" w:lineRule="auto"/>
        <w:ind w:left="153" w:right="209" w:firstLine="420"/>
        <w:jc w:val="both"/>
      </w:pPr>
      <w:r>
        <w:rPr>
          <w:rFonts w:ascii="Times New Roman" w:hAnsi="Times New Roman" w:cs="Times New Roman" w:eastAsia="Times New Roman" w:hint="default"/>
        </w:rPr>
        <w:t>1</w:t>
      </w:r>
      <w:r>
        <w:rPr/>
        <w:t>、报酬的决策程序和报酬确定依据：本公司董事、监事和高级管理人员的报酬根据公司薪酬制度有</w:t>
      </w:r>
      <w:r>
        <w:rPr>
          <w:spacing w:val="2"/>
        </w:rPr>
        <w:t> </w:t>
      </w:r>
      <w:r>
        <w:rPr>
          <w:spacing w:val="-1"/>
        </w:rPr>
        <w:t>关规定按月发放（独立董事按年发放）。目前本公司已经设立董事会薪酬委员会，负责公司董事、监事和</w:t>
      </w:r>
      <w:r>
        <w:rPr>
          <w:spacing w:val="-94"/>
        </w:rPr>
        <w:t> </w:t>
      </w:r>
      <w:r>
        <w:rPr>
          <w:spacing w:val="-94"/>
        </w:rPr>
      </w:r>
      <w:r>
        <w:rPr>
          <w:spacing w:val="-1"/>
        </w:rPr>
        <w:t>高级管理人员的薪酬考核工作。独立董事津贴标准由本公司股东大会决议通过，独立董事参加会议发生的</w:t>
      </w:r>
      <w:r>
        <w:rPr>
          <w:spacing w:val="-81"/>
        </w:rPr>
        <w:t> </w:t>
      </w:r>
      <w:r>
        <w:rPr>
          <w:spacing w:val="-81"/>
        </w:rPr>
      </w:r>
      <w:r>
        <w:rPr/>
        <w:t>差旅费，办公费等履职费用由本公司承担。</w:t>
      </w:r>
    </w:p>
    <w:p>
      <w:pPr>
        <w:pStyle w:val="BodyText"/>
        <w:spacing w:line="240" w:lineRule="auto" w:before="38"/>
        <w:ind w:left="588" w:right="0"/>
        <w:jc w:val="left"/>
      </w:pPr>
      <w:r>
        <w:rPr>
          <w:rFonts w:ascii="Times New Roman" w:hAnsi="Times New Roman" w:cs="Times New Roman" w:eastAsia="Times New Roman" w:hint="default"/>
        </w:rPr>
        <w:t>2</w:t>
      </w:r>
      <w:r>
        <w:rPr/>
        <w:t>、报告期内，董事、监事和高级管理人员从公司领取薪酬或津贴情况。</w:t>
      </w:r>
    </w:p>
    <w:p>
      <w:pPr>
        <w:spacing w:line="240" w:lineRule="auto" w:before="7"/>
        <w:rPr>
          <w:rFonts w:ascii="宋体" w:hAnsi="宋体" w:cs="宋体" w:eastAsia="宋体" w:hint="default"/>
          <w:sz w:val="11"/>
          <w:szCs w:val="11"/>
        </w:rPr>
      </w:pPr>
    </w:p>
    <w:tbl>
      <w:tblPr>
        <w:tblW w:w="0" w:type="auto"/>
        <w:jc w:val="left"/>
        <w:tblInd w:w="234" w:type="dxa"/>
        <w:tblLayout w:type="fixed"/>
        <w:tblCellMar>
          <w:top w:w="0" w:type="dxa"/>
          <w:left w:w="0" w:type="dxa"/>
          <w:bottom w:w="0" w:type="dxa"/>
          <w:right w:w="0" w:type="dxa"/>
        </w:tblCellMar>
        <w:tblLook w:val="01E0"/>
      </w:tblPr>
      <w:tblGrid>
        <w:gridCol w:w="1642"/>
        <w:gridCol w:w="2786"/>
        <w:gridCol w:w="2280"/>
        <w:gridCol w:w="2760"/>
      </w:tblGrid>
      <w:tr>
        <w:trPr>
          <w:trHeight w:val="6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7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2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5"/>
              <w:ind w:left="295" w:right="0"/>
              <w:jc w:val="left"/>
              <w:rPr>
                <w:rFonts w:ascii="宋体" w:hAnsi="宋体" w:cs="宋体" w:eastAsia="宋体" w:hint="default"/>
                <w:sz w:val="21"/>
                <w:szCs w:val="21"/>
              </w:rPr>
            </w:pPr>
            <w:r>
              <w:rPr>
                <w:rFonts w:ascii="宋体" w:hAnsi="宋体" w:cs="宋体" w:eastAsia="宋体" w:hint="default"/>
                <w:sz w:val="21"/>
                <w:szCs w:val="21"/>
              </w:rPr>
              <w:t>年度薪酬（万元）</w:t>
            </w:r>
          </w:p>
        </w:tc>
        <w:tc>
          <w:tcPr>
            <w:tcW w:w="27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1" w:lineRule="auto"/>
              <w:ind w:left="429" w:right="113" w:hanging="315"/>
              <w:jc w:val="left"/>
              <w:rPr>
                <w:rFonts w:ascii="宋体" w:hAnsi="宋体" w:cs="宋体" w:eastAsia="宋体" w:hint="default"/>
                <w:sz w:val="21"/>
                <w:szCs w:val="21"/>
              </w:rPr>
            </w:pPr>
            <w:r>
              <w:rPr>
                <w:rFonts w:ascii="宋体" w:hAnsi="宋体" w:cs="宋体" w:eastAsia="宋体" w:hint="default"/>
                <w:sz w:val="21"/>
                <w:szCs w:val="21"/>
              </w:rPr>
              <w:t>是否在股东单位或其他关联 单位领取薪酬、津贴</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10.06</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董事、副总裁、财务总监</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52.00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郑大立</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0.00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董事、董事会秘书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29.75</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郭田勇</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0.00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刘剑锋</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0.00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阎丽明</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0.00</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罗志明</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45.41</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关东玉</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44.78</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王敏敏</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18.22</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20.02</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张广杰</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1"/>
                <w:szCs w:val="21"/>
              </w:rPr>
            </w:pPr>
            <w:r>
              <w:rPr>
                <w:rFonts w:ascii="宋体"/>
                <w:spacing w:val="-1"/>
                <w:sz w:val="21"/>
              </w:rPr>
              <w:t>7.87</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王淑杰</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14.63</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1"/>
                <w:szCs w:val="21"/>
              </w:rPr>
            </w:pPr>
            <w:r>
              <w:rPr>
                <w:rFonts w:ascii="宋体"/>
                <w:spacing w:val="-1"/>
                <w:sz w:val="21"/>
              </w:rPr>
              <w:t>242.74</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w:t>
            </w:r>
          </w:p>
        </w:tc>
      </w:tr>
    </w:tbl>
    <w:p>
      <w:pPr>
        <w:pStyle w:val="BodyText"/>
        <w:spacing w:line="257" w:lineRule="exact"/>
        <w:ind w:left="565" w:right="0"/>
        <w:jc w:val="left"/>
      </w:pPr>
      <w:r>
        <w:rPr>
          <w:spacing w:val="-6"/>
        </w:rPr>
        <w:t>注：公司于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spacing w:val="-3"/>
        </w:rPr>
        <w:t>月完成了董事会换届选举的事项，新任独立董事郭田勇先生、刘剑锋先生、阎</w:t>
      </w:r>
    </w:p>
    <w:p>
      <w:pPr>
        <w:pStyle w:val="BodyText"/>
        <w:spacing w:line="240" w:lineRule="auto" w:before="118"/>
        <w:ind w:left="153" w:right="0"/>
        <w:jc w:val="left"/>
      </w:pPr>
      <w:r>
        <w:rPr/>
        <w:t>丽明女士从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年开始从公司领取独立董事津贴。</w:t>
      </w:r>
    </w:p>
    <w:p>
      <w:pPr>
        <w:spacing w:after="0" w:line="240" w:lineRule="auto"/>
        <w:jc w:val="left"/>
        <w:sectPr>
          <w:pgSz w:w="11910" w:h="16840"/>
          <w:pgMar w:header="851" w:footer="982" w:top="1200" w:bottom="1180" w:left="980" w:right="920"/>
        </w:sectPr>
      </w:pPr>
    </w:p>
    <w:p>
      <w:pPr>
        <w:pStyle w:val="Heading3"/>
        <w:spacing w:line="240" w:lineRule="auto" w:before="33"/>
        <w:ind w:left="626" w:right="101"/>
        <w:jc w:val="left"/>
        <w:rPr>
          <w:b w:val="0"/>
          <w:bCs w:val="0"/>
        </w:rPr>
      </w:pPr>
      <w:r>
        <w:rPr/>
        <w:pict>
          <v:group style="position:absolute;margin-left:55.200001pt;margin-top:2.93395pt;width:484.95pt;height:.1pt;mso-position-horizontal-relative:page;mso-position-vertical-relative:paragraph;z-index:-710008" coordorigin="1104,59" coordsize="9699,2">
            <v:shape style="position:absolute;left:1104;top:59;width:9699;height:2" coordorigin="1104,59" coordsize="9699,0" path="m1104,59l10802,59e" filled="false" stroked="true" strokeweight=".72pt" strokecolor="#000000">
              <v:path arrowok="t"/>
            </v:shape>
            <w10:wrap type="none"/>
          </v:group>
        </w:pict>
      </w:r>
      <w:r>
        <w:rPr/>
        <w:t>（五）公司董事、监事和高级人员变动情况</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214" w:right="101" w:firstLine="411"/>
        <w:jc w:val="left"/>
      </w:pPr>
      <w:r>
        <w:rPr>
          <w:spacing w:val="-10"/>
        </w:rPr>
        <w:t>1、2010</w:t>
      </w:r>
      <w:r>
        <w:rPr>
          <w:spacing w:val="-51"/>
        </w:rPr>
        <w:t> </w:t>
      </w:r>
      <w:r>
        <w:rPr/>
        <w:t>年</w:t>
      </w:r>
      <w:r>
        <w:rPr>
          <w:spacing w:val="-53"/>
        </w:rPr>
        <w:t> </w:t>
      </w:r>
      <w:r>
        <w:rPr>
          <w:spacing w:val="-1"/>
        </w:rPr>
        <w:t>11</w:t>
      </w:r>
      <w:r>
        <w:rPr>
          <w:spacing w:val="-51"/>
        </w:rPr>
        <w:t> </w:t>
      </w:r>
      <w:r>
        <w:rPr/>
        <w:t>月</w:t>
      </w:r>
      <w:r>
        <w:rPr>
          <w:spacing w:val="-53"/>
        </w:rPr>
        <w:t> </w:t>
      </w:r>
      <w:r>
        <w:rPr/>
        <w:t>15</w:t>
      </w:r>
      <w:r>
        <w:rPr>
          <w:spacing w:val="-51"/>
        </w:rPr>
        <w:t> </w:t>
      </w:r>
      <w:r>
        <w:rPr>
          <w:spacing w:val="-15"/>
        </w:rPr>
        <w:t>日，公司</w:t>
      </w:r>
      <w:r>
        <w:rPr>
          <w:spacing w:val="-52"/>
        </w:rPr>
        <w:t> </w:t>
      </w:r>
      <w:r>
        <w:rPr>
          <w:spacing w:val="-1"/>
        </w:rPr>
        <w:t>2010</w:t>
      </w:r>
      <w:r>
        <w:rPr>
          <w:spacing w:val="-51"/>
        </w:rPr>
        <w:t> </w:t>
      </w:r>
      <w:r>
        <w:rPr>
          <w:spacing w:val="-6"/>
        </w:rPr>
        <w:t>年第二次临时股东大会审议通过了《关于董事会换届选举的议案》，</w:t>
      </w:r>
      <w:r>
        <w:rPr/>
        <w:t> 聘任李仲初先生、郑大立先生、赖德源先生、郭洁女士、郭田勇先生、刘剑锋先生、阎丽明女士担任第 四届董事会董事，其中郭田勇先生、刘剑锋先生、阎丽明女士为独立董事，第四届董事会第一次会议选 举李仲初先生为第四届董事会董事长。</w:t>
      </w:r>
    </w:p>
    <w:p>
      <w:pPr>
        <w:pStyle w:val="BodyText"/>
        <w:spacing w:line="357" w:lineRule="auto" w:before="30"/>
        <w:ind w:left="214" w:right="101" w:firstLine="411"/>
        <w:jc w:val="left"/>
      </w:pPr>
      <w:r>
        <w:rPr>
          <w:spacing w:val="-10"/>
        </w:rPr>
        <w:t>2、2010</w:t>
      </w:r>
      <w:r>
        <w:rPr>
          <w:spacing w:val="-51"/>
        </w:rPr>
        <w:t> </w:t>
      </w:r>
      <w:r>
        <w:rPr/>
        <w:t>年</w:t>
      </w:r>
      <w:r>
        <w:rPr>
          <w:spacing w:val="-53"/>
        </w:rPr>
        <w:t> </w:t>
      </w:r>
      <w:r>
        <w:rPr>
          <w:spacing w:val="-1"/>
        </w:rPr>
        <w:t>11</w:t>
      </w:r>
      <w:r>
        <w:rPr>
          <w:spacing w:val="-51"/>
        </w:rPr>
        <w:t> </w:t>
      </w:r>
      <w:r>
        <w:rPr/>
        <w:t>月</w:t>
      </w:r>
      <w:r>
        <w:rPr>
          <w:spacing w:val="-53"/>
        </w:rPr>
        <w:t> </w:t>
      </w:r>
      <w:r>
        <w:rPr/>
        <w:t>15</w:t>
      </w:r>
      <w:r>
        <w:rPr>
          <w:spacing w:val="-51"/>
        </w:rPr>
        <w:t> </w:t>
      </w:r>
      <w:r>
        <w:rPr>
          <w:spacing w:val="-15"/>
        </w:rPr>
        <w:t>日，公司</w:t>
      </w:r>
      <w:r>
        <w:rPr>
          <w:spacing w:val="-52"/>
        </w:rPr>
        <w:t> </w:t>
      </w:r>
      <w:r>
        <w:rPr>
          <w:spacing w:val="-1"/>
        </w:rPr>
        <w:t>2010</w:t>
      </w:r>
      <w:r>
        <w:rPr>
          <w:spacing w:val="-51"/>
        </w:rPr>
        <w:t> </w:t>
      </w:r>
      <w:r>
        <w:rPr>
          <w:spacing w:val="-6"/>
        </w:rPr>
        <w:t>年第二次临时股东大会审议通过了《关于监事会换届选举的议案》，</w:t>
      </w:r>
      <w:r>
        <w:rPr/>
        <w:t> 聘任郭明先生、张广杰先生、王淑杰女士担任公司第四届监事会监事，第四届监事会第一次会议选举郭 明先生为公司监事会主席。</w:t>
      </w:r>
    </w:p>
    <w:p>
      <w:pPr>
        <w:pStyle w:val="BodyText"/>
        <w:spacing w:line="357" w:lineRule="auto" w:before="31"/>
        <w:ind w:left="214" w:right="326" w:firstLine="411"/>
        <w:jc w:val="both"/>
      </w:pPr>
      <w:r>
        <w:rPr>
          <w:spacing w:val="-4"/>
        </w:rPr>
        <w:t>3、2010</w:t>
      </w:r>
      <w:r>
        <w:rPr>
          <w:spacing w:val="-60"/>
        </w:rPr>
        <w:t> </w:t>
      </w:r>
      <w:r>
        <w:rPr/>
        <w:t>年</w:t>
      </w:r>
      <w:r>
        <w:rPr>
          <w:spacing w:val="-61"/>
        </w:rPr>
        <w:t> </w:t>
      </w:r>
      <w:r>
        <w:rPr/>
        <w:t>11</w:t>
      </w:r>
      <w:r>
        <w:rPr>
          <w:spacing w:val="-60"/>
        </w:rPr>
        <w:t> </w:t>
      </w:r>
      <w:r>
        <w:rPr/>
        <w:t>月</w:t>
      </w:r>
      <w:r>
        <w:rPr>
          <w:spacing w:val="-61"/>
        </w:rPr>
        <w:t> </w:t>
      </w:r>
      <w:r>
        <w:rPr/>
        <w:t>15</w:t>
      </w:r>
      <w:r>
        <w:rPr>
          <w:spacing w:val="-60"/>
        </w:rPr>
        <w:t> </w:t>
      </w:r>
      <w:r>
        <w:rPr/>
        <w:t>日，经公司第四届董事会第一次会议审议通过了公司《关于聘任高级管理人员的</w:t>
      </w:r>
      <w:r>
        <w:rPr/>
        <w:t> </w:t>
      </w:r>
      <w:r>
        <w:rPr>
          <w:spacing w:val="-3"/>
        </w:rPr>
        <w:t>议案》，聘任赖德源先生担任公司副总裁兼财务总监，聘任罗志明先生、关东玉先生担任公司副总裁，聘</w:t>
      </w:r>
      <w:r>
        <w:rPr>
          <w:spacing w:val="-88"/>
        </w:rPr>
        <w:t> </w:t>
      </w:r>
      <w:r>
        <w:rPr>
          <w:spacing w:val="-88"/>
        </w:rPr>
      </w:r>
      <w:r>
        <w:rPr/>
        <w:t>任郭洁女士担任公司董事会秘书。</w:t>
      </w:r>
    </w:p>
    <w:p>
      <w:pPr>
        <w:pStyle w:val="BodyText"/>
        <w:spacing w:line="355" w:lineRule="auto" w:before="30"/>
        <w:ind w:left="214" w:right="101" w:firstLine="411"/>
        <w:jc w:val="left"/>
      </w:pPr>
      <w:r>
        <w:rPr>
          <w:spacing w:val="-4"/>
        </w:rPr>
        <w:t>4、2011</w:t>
      </w:r>
      <w:r>
        <w:rPr>
          <w:spacing w:val="-57"/>
        </w:rPr>
        <w:t> </w:t>
      </w:r>
      <w:r>
        <w:rPr/>
        <w:t>年</w:t>
      </w:r>
      <w:r>
        <w:rPr>
          <w:spacing w:val="-59"/>
        </w:rPr>
        <w:t> </w:t>
      </w:r>
      <w:r>
        <w:rPr/>
        <w:t>1</w:t>
      </w:r>
      <w:r>
        <w:rPr>
          <w:spacing w:val="-58"/>
        </w:rPr>
        <w:t> </w:t>
      </w:r>
      <w:r>
        <w:rPr/>
        <w:t>月</w:t>
      </w:r>
      <w:r>
        <w:rPr>
          <w:spacing w:val="-58"/>
        </w:rPr>
        <w:t> </w:t>
      </w:r>
      <w:r>
        <w:rPr/>
        <w:t>24</w:t>
      </w:r>
      <w:r>
        <w:rPr>
          <w:spacing w:val="-57"/>
        </w:rPr>
        <w:t> </w:t>
      </w:r>
      <w:r>
        <w:rPr>
          <w:spacing w:val="-4"/>
        </w:rPr>
        <w:t>日，经第四届董事会</w:t>
      </w:r>
      <w:r>
        <w:rPr>
          <w:spacing w:val="-58"/>
        </w:rPr>
        <w:t> </w:t>
      </w:r>
      <w:r>
        <w:rPr/>
        <w:t>2011</w:t>
      </w:r>
      <w:r>
        <w:rPr>
          <w:spacing w:val="-57"/>
        </w:rPr>
        <w:t> </w:t>
      </w:r>
      <w:r>
        <w:rPr/>
        <w:t>年第一次临时会议审议通过，公司董事会聘任王敏敏女</w:t>
      </w:r>
      <w:r>
        <w:rPr/>
        <w:t> 士担任公司副总裁，任期至本届董事会任期届满。</w:t>
      </w:r>
    </w:p>
    <w:p>
      <w:pPr>
        <w:spacing w:line="240" w:lineRule="auto" w:before="0"/>
        <w:rPr>
          <w:rFonts w:ascii="宋体" w:hAnsi="宋体" w:cs="宋体" w:eastAsia="宋体" w:hint="default"/>
          <w:sz w:val="24"/>
          <w:szCs w:val="24"/>
        </w:rPr>
      </w:pPr>
    </w:p>
    <w:p>
      <w:pPr>
        <w:pStyle w:val="Heading3"/>
        <w:spacing w:line="240" w:lineRule="auto"/>
        <w:ind w:left="627" w:right="101"/>
        <w:jc w:val="left"/>
        <w:rPr>
          <w:b w:val="0"/>
          <w:bCs w:val="0"/>
        </w:rPr>
      </w:pPr>
      <w:r>
        <w:rPr/>
        <w:t>二、公司员工情况</w:t>
      </w:r>
      <w:r>
        <w:rPr>
          <w:b w:val="0"/>
          <w:bCs w:val="0"/>
        </w:rPr>
      </w:r>
    </w:p>
    <w:p>
      <w:pPr>
        <w:spacing w:line="240" w:lineRule="auto" w:before="0"/>
        <w:rPr>
          <w:rFonts w:ascii="宋体" w:hAnsi="宋体" w:cs="宋体" w:eastAsia="宋体" w:hint="default"/>
          <w:b/>
          <w:bCs/>
          <w:sz w:val="20"/>
          <w:szCs w:val="20"/>
        </w:rPr>
      </w:pPr>
    </w:p>
    <w:p>
      <w:pPr>
        <w:spacing w:line="600" w:lineRule="auto" w:before="151"/>
        <w:ind w:left="645" w:right="416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日，本公司在职人员为</w:t>
      </w:r>
      <w:r>
        <w:rPr>
          <w:rFonts w:ascii="宋体" w:hAnsi="宋体" w:cs="宋体" w:eastAsia="宋体" w:hint="default"/>
          <w:spacing w:val="-55"/>
          <w:sz w:val="21"/>
          <w:szCs w:val="21"/>
        </w:rPr>
        <w:t> </w:t>
      </w:r>
      <w:r>
        <w:rPr>
          <w:rFonts w:ascii="宋体" w:hAnsi="宋体" w:cs="宋体" w:eastAsia="宋体" w:hint="default"/>
          <w:sz w:val="21"/>
          <w:szCs w:val="21"/>
        </w:rPr>
        <w:t>763</w:t>
      </w:r>
      <w:r>
        <w:rPr>
          <w:rFonts w:ascii="宋体" w:hAnsi="宋体" w:cs="宋体" w:eastAsia="宋体" w:hint="default"/>
          <w:spacing w:val="-55"/>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r>
        <w:rPr>
          <w:rFonts w:ascii="宋体" w:hAnsi="宋体" w:cs="宋体" w:eastAsia="宋体" w:hint="default"/>
          <w:b/>
          <w:bCs/>
          <w:sz w:val="21"/>
          <w:szCs w:val="21"/>
        </w:rPr>
        <w:t>1、按员工专业结构划分</w:t>
      </w:r>
      <w:r>
        <w:rPr>
          <w:rFonts w:ascii="宋体" w:hAnsi="宋体" w:cs="宋体" w:eastAsia="宋体"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3454"/>
        <w:gridCol w:w="3250"/>
        <w:gridCol w:w="3151"/>
      </w:tblGrid>
      <w:tr>
        <w:trPr>
          <w:trHeight w:val="359" w:hRule="exact"/>
        </w:trPr>
        <w:tc>
          <w:tcPr>
            <w:tcW w:w="345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tabs>
                <w:tab w:pos="426" w:val="left" w:leader="none"/>
              </w:tabs>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专</w:t>
              <w:tab/>
              <w:t>业</w:t>
            </w:r>
          </w:p>
        </w:tc>
        <w:tc>
          <w:tcPr>
            <w:tcW w:w="32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51"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1"/>
              <w:jc w:val="center"/>
              <w:rPr>
                <w:rFonts w:ascii="宋体" w:hAnsi="宋体" w:cs="宋体" w:eastAsia="宋体" w:hint="default"/>
                <w:sz w:val="21"/>
                <w:szCs w:val="21"/>
              </w:rPr>
            </w:pPr>
            <w:r>
              <w:rPr>
                <w:rFonts w:ascii="宋体"/>
                <w:sz w:val="21"/>
              </w:rPr>
              <w:t>569</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74.57%</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84</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11.01%</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28</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sz w:val="21"/>
              </w:rPr>
              <w:t>3.67%</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82</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10.75%</w:t>
            </w:r>
          </w:p>
        </w:tc>
      </w:tr>
      <w:tr>
        <w:trPr>
          <w:trHeight w:val="293"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763</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sz w:val="21"/>
              </w:rPr>
              <w:t>100.00%</w:t>
            </w:r>
          </w:p>
        </w:tc>
      </w:tr>
    </w:tbl>
    <w:p>
      <w:pPr>
        <w:spacing w:line="240" w:lineRule="auto" w:before="13"/>
        <w:rPr>
          <w:rFonts w:ascii="宋体" w:hAnsi="宋体" w:cs="宋体" w:eastAsia="宋体" w:hint="default"/>
          <w:b/>
          <w:bCs/>
          <w:sz w:val="15"/>
          <w:szCs w:val="15"/>
        </w:rPr>
      </w:pPr>
    </w:p>
    <w:p>
      <w:pPr>
        <w:pStyle w:val="Heading3"/>
        <w:spacing w:line="240" w:lineRule="auto" w:before="35"/>
        <w:ind w:left="650" w:right="101"/>
        <w:jc w:val="left"/>
        <w:rPr>
          <w:b w:val="0"/>
          <w:bCs w:val="0"/>
        </w:rPr>
      </w:pPr>
      <w:r>
        <w:rPr/>
        <w:t>2、按员工受教育程度划分</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3532"/>
        <w:gridCol w:w="3209"/>
        <w:gridCol w:w="3114"/>
      </w:tblGrid>
      <w:tr>
        <w:trPr>
          <w:trHeight w:val="359" w:hRule="exact"/>
        </w:trPr>
        <w:tc>
          <w:tcPr>
            <w:tcW w:w="3532"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tabs>
                <w:tab w:pos="427" w:val="left" w:leader="none"/>
              </w:tabs>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学</w:t>
              <w:tab/>
              <w:t>历</w:t>
            </w:r>
          </w:p>
        </w:tc>
        <w:tc>
          <w:tcPr>
            <w:tcW w:w="32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14"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74" w:lineRule="exact"/>
              <w:ind w:left="642"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405</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53.08%</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304</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39.84%</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54</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7.08%</w:t>
            </w:r>
          </w:p>
        </w:tc>
      </w:tr>
      <w:tr>
        <w:trPr>
          <w:trHeight w:val="361"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总计</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763</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b/>
          <w:bCs/>
          <w:sz w:val="16"/>
          <w:szCs w:val="16"/>
        </w:rPr>
      </w:pPr>
    </w:p>
    <w:p>
      <w:pPr>
        <w:pStyle w:val="Heading3"/>
        <w:spacing w:line="240" w:lineRule="auto" w:before="35"/>
        <w:ind w:left="650" w:right="101"/>
        <w:jc w:val="left"/>
        <w:rPr>
          <w:b w:val="0"/>
          <w:bCs w:val="0"/>
        </w:rPr>
      </w:pPr>
      <w:r>
        <w:rPr/>
        <w:t>3、截至</w:t>
      </w:r>
      <w:r>
        <w:rPr>
          <w:spacing w:val="-57"/>
        </w:rPr>
        <w:t> </w:t>
      </w:r>
      <w:r>
        <w:rPr/>
        <w:t>2010</w:t>
      </w:r>
      <w:r>
        <w:rPr>
          <w:spacing w:val="-56"/>
        </w:rPr>
        <w:t> </w:t>
      </w:r>
      <w:r>
        <w:rPr/>
        <w:t>年</w:t>
      </w:r>
      <w:r>
        <w:rPr>
          <w:spacing w:val="-57"/>
        </w:rPr>
        <w:t> </w:t>
      </w:r>
      <w:r>
        <w:rPr/>
        <w:t>12</w:t>
      </w:r>
      <w:r>
        <w:rPr>
          <w:spacing w:val="-7"/>
        </w:rPr>
        <w:t> </w:t>
      </w:r>
      <w:r>
        <w:rPr/>
        <w:t>月</w:t>
      </w:r>
      <w:r>
        <w:rPr>
          <w:spacing w:val="-56"/>
        </w:rPr>
        <w:t> </w:t>
      </w:r>
      <w:r>
        <w:rPr/>
        <w:t>31</w:t>
      </w:r>
      <w:r>
        <w:rPr>
          <w:spacing w:val="-7"/>
        </w:rPr>
        <w:t> </w:t>
      </w:r>
      <w:r>
        <w:rPr/>
        <w:t>日，本公司没有需承担费用的离退休职工。</w:t>
      </w:r>
      <w:r>
        <w:rPr>
          <w:b w:val="0"/>
          <w:bCs w:val="0"/>
        </w:rPr>
      </w:r>
    </w:p>
    <w:p>
      <w:pPr>
        <w:spacing w:after="0" w:line="240" w:lineRule="auto"/>
        <w:jc w:val="left"/>
        <w:sectPr>
          <w:pgSz w:w="11910" w:h="16840"/>
          <w:pgMar w:header="851" w:footer="982" w:top="1200" w:bottom="1180" w:left="920" w:right="900"/>
        </w:sectPr>
      </w:pPr>
    </w:p>
    <w:p>
      <w:pPr>
        <w:pStyle w:val="Heading1"/>
        <w:spacing w:line="240" w:lineRule="auto" w:before="21"/>
        <w:ind w:right="1417"/>
        <w:jc w:val="center"/>
        <w:rPr>
          <w:b w:val="0"/>
          <w:bCs w:val="0"/>
        </w:rPr>
      </w:pPr>
      <w:r>
        <w:rPr/>
        <w:pict>
          <v:group style="position:absolute;margin-left:55.200001pt;margin-top:2.94186pt;width:484.95pt;height:.1pt;mso-position-horizontal-relative:page;mso-position-vertical-relative:paragraph;z-index:-709984"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4" w:id="5"/>
      <w:bookmarkEnd w:id="5"/>
      <w:r>
        <w:rPr>
          <w:b w:val="0"/>
          <w:bCs w:val="0"/>
        </w:rPr>
      </w:r>
      <w:r>
        <w:rPr/>
        <w:t>第五节</w:t>
      </w:r>
      <w:r>
        <w:rPr>
          <w:spacing w:val="-5"/>
        </w:rPr>
        <w:t> </w:t>
      </w:r>
      <w:r>
        <w:rPr/>
        <w:t>公司治理结构</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0"/>
        <w:ind w:left="574" w:right="3476"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公司治理情况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52"/>
        <w:ind w:right="149" w:firstLine="420"/>
        <w:jc w:val="both"/>
      </w:pPr>
      <w:r>
        <w:rPr>
          <w:spacing w:val="-14"/>
        </w:rPr>
        <w:t>报告期内，公司严格按照《公司法》、《证券法》、《上市公司治理准则》、《深圳证券交易所股票上市规</w:t>
      </w:r>
      <w:r>
        <w:rPr/>
        <w:t> </w:t>
      </w:r>
      <w:r>
        <w:rPr>
          <w:spacing w:val="-6"/>
        </w:rPr>
        <w:t>则》、《深圳证券交易所中小企业板块上市公司特别规定》、《企业内部控制规范》等法律法规的要求，不</w:t>
      </w:r>
      <w:r>
        <w:rPr>
          <w:spacing w:val="-71"/>
        </w:rPr>
        <w:t> </w:t>
      </w:r>
      <w:r>
        <w:rPr>
          <w:spacing w:val="-71"/>
        </w:rPr>
      </w:r>
      <w:r>
        <w:rPr/>
        <w:t>断完善公司法人治理结构。</w:t>
      </w:r>
    </w:p>
    <w:p>
      <w:pPr>
        <w:pStyle w:val="BodyText"/>
        <w:spacing w:line="357" w:lineRule="auto" w:before="30"/>
        <w:ind w:right="147" w:firstLine="420"/>
        <w:jc w:val="both"/>
      </w:pPr>
      <w:r>
        <w:rPr>
          <w:spacing w:val="-1"/>
        </w:rPr>
        <w:t>报告期内，公司完善了已有内控制度的执行环节，制定了《内幕知情人管理制度》、《年报信息披露</w:t>
      </w:r>
      <w:r>
        <w:rPr/>
        <w:t> </w:t>
      </w:r>
      <w:r>
        <w:rPr>
          <w:spacing w:val="-5"/>
        </w:rPr>
        <w:t>重大差错责任追究制度》，并且细化了开发支出资本化的内部执行流程，进一步完善了内部控制体系。2010</w:t>
      </w:r>
      <w:r>
        <w:rPr>
          <w:spacing w:val="-93"/>
        </w:rPr>
        <w:t> </w:t>
      </w:r>
      <w:r>
        <w:rPr>
          <w:spacing w:val="-93"/>
        </w:rPr>
      </w:r>
      <w:r>
        <w:rPr/>
        <w:t>年</w:t>
      </w:r>
      <w:r>
        <w:rPr>
          <w:spacing w:val="-58"/>
        </w:rPr>
        <w:t> </w:t>
      </w:r>
      <w:r>
        <w:rPr/>
        <w:t>8</w:t>
      </w:r>
      <w:r>
        <w:rPr>
          <w:spacing w:val="-57"/>
        </w:rPr>
        <w:t> </w:t>
      </w:r>
      <w:r>
        <w:rPr/>
        <w:t>月</w:t>
      </w:r>
      <w:r>
        <w:rPr>
          <w:spacing w:val="-59"/>
        </w:rPr>
        <w:t> </w:t>
      </w:r>
      <w:r>
        <w:rPr/>
        <w:t>11</w:t>
      </w:r>
      <w:r>
        <w:rPr>
          <w:spacing w:val="-57"/>
        </w:rPr>
        <w:t> </w:t>
      </w:r>
      <w:r>
        <w:rPr/>
        <w:t>日至</w:t>
      </w:r>
      <w:r>
        <w:rPr>
          <w:spacing w:val="-58"/>
        </w:rPr>
        <w:t> </w:t>
      </w:r>
      <w:r>
        <w:rPr/>
        <w:t>13</w:t>
      </w:r>
      <w:r>
        <w:rPr>
          <w:spacing w:val="-57"/>
        </w:rPr>
        <w:t> </w:t>
      </w:r>
      <w:r>
        <w:rPr/>
        <w:t>日，公司部分高级管理人员、内审部人员参加了北京证监局举办的企业内部控制配套指</w:t>
      </w:r>
      <w:r>
        <w:rPr/>
        <w:t> </w:t>
      </w:r>
      <w:r>
        <w:rPr>
          <w:spacing w:val="-1"/>
        </w:rPr>
        <w:t>引培训班并认真学习了相关文件，为公司今后实施《企业内部控制配套指引》进行了相关准备工作。截至</w:t>
      </w:r>
      <w:r>
        <w:rPr>
          <w:spacing w:val="-86"/>
        </w:rPr>
        <w:t> </w:t>
      </w:r>
      <w:r>
        <w:rPr>
          <w:spacing w:val="-86"/>
        </w:rPr>
      </w:r>
      <w:r>
        <w:rPr/>
        <w:t>报告期末，本公司治理实际情况基本符合中国证监会发布的有关上市公司治理的规范性文件的要求。</w:t>
      </w:r>
    </w:p>
    <w:p>
      <w:pPr>
        <w:spacing w:line="357" w:lineRule="auto" w:before="3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本公司严格按照《公司法》、《上市公司股东大会规则》、《公司章程》和《股东大会议事规则》等</w:t>
      </w:r>
    </w:p>
    <w:p>
      <w:pPr>
        <w:pStyle w:val="BodyText"/>
        <w:spacing w:line="357" w:lineRule="auto" w:before="30"/>
        <w:ind w:right="128"/>
        <w:jc w:val="both"/>
      </w:pPr>
      <w:r>
        <w:rPr/>
        <w:t>法律、法规及制度的要求，召集、召开股东大会，并在股东大会召开期间，安排股东与管理层交流时间， 能够确保所有股东享有平等地位，充分行使自己的权利。</w:t>
      </w:r>
    </w:p>
    <w:p>
      <w:pPr>
        <w:spacing w:line="357" w:lineRule="auto" w:before="29"/>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（二）关于控股股东与上市公司的关系：</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公司拥有独立的业务和经营自主能力，在业务、人员、资产、机构、财务上独立于控股股东，公司董</w:t>
      </w:r>
    </w:p>
    <w:p>
      <w:pPr>
        <w:pStyle w:val="BodyText"/>
        <w:spacing w:line="355" w:lineRule="auto" w:before="30"/>
        <w:ind w:right="149"/>
        <w:jc w:val="both"/>
      </w:pPr>
      <w:r>
        <w:rPr>
          <w:spacing w:val="-1"/>
        </w:rPr>
        <w:t>事会、监事会和内部机构独立运作。本公司控股股东依法行使其权利并承担相应义务，没有超越股东大会</w:t>
      </w:r>
      <w:r>
        <w:rPr>
          <w:spacing w:val="-83"/>
        </w:rPr>
        <w:t> </w:t>
      </w:r>
      <w:r>
        <w:rPr>
          <w:spacing w:val="-83"/>
        </w:rPr>
      </w:r>
      <w:r>
        <w:rPr/>
        <w:t>授权范围行使职权，直接或间接干预本公司的决策和生产经营活动。</w:t>
      </w:r>
    </w:p>
    <w:p>
      <w:pPr>
        <w:spacing w:line="355" w:lineRule="auto" w:before="33"/>
        <w:ind w:left="589" w:right="139" w:hanging="14"/>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w w:val="99"/>
          <w:sz w:val="21"/>
          <w:szCs w:val="21"/>
        </w:rPr>
        <w:t> </w:t>
      </w:r>
      <w:r>
        <w:rPr>
          <w:rFonts w:ascii="宋体" w:hAnsi="宋体" w:cs="宋体" w:eastAsia="宋体" w:hint="default"/>
          <w:spacing w:val="-1"/>
          <w:sz w:val="21"/>
          <w:szCs w:val="21"/>
        </w:rPr>
        <w:t>公司董事会严格按照《公司法》和《公司章程》和《董事会议事规则》等法律法规开展工作，董事选</w:t>
      </w:r>
    </w:p>
    <w:p>
      <w:pPr>
        <w:pStyle w:val="BodyText"/>
        <w:spacing w:line="357" w:lineRule="auto" w:before="33"/>
        <w:ind w:right="128"/>
        <w:jc w:val="both"/>
      </w:pPr>
      <w:r>
        <w:rPr/>
        <w:t>聘程序符合相关法律法规的要求，公司目前董事会成员</w:t>
      </w:r>
      <w:r>
        <w:rPr>
          <w:spacing w:val="-59"/>
        </w:rPr>
        <w:t> </w:t>
      </w:r>
      <w:r>
        <w:rPr/>
        <w:t>7</w:t>
      </w:r>
      <w:r>
        <w:rPr>
          <w:spacing w:val="-59"/>
        </w:rPr>
        <w:t> </w:t>
      </w:r>
      <w:r>
        <w:rPr/>
        <w:t>人，其中独立董事</w:t>
      </w:r>
      <w:r>
        <w:rPr>
          <w:spacing w:val="-59"/>
        </w:rPr>
        <w:t> </w:t>
      </w:r>
      <w:r>
        <w:rPr/>
        <w:t>3</w:t>
      </w:r>
      <w:r>
        <w:rPr>
          <w:spacing w:val="-58"/>
        </w:rPr>
        <w:t> </w:t>
      </w:r>
      <w:r>
        <w:rPr/>
        <w:t>人，董事会的人数及人员构</w:t>
      </w:r>
      <w:r>
        <w:rPr/>
        <w:t> </w:t>
      </w:r>
      <w:r>
        <w:rPr>
          <w:spacing w:val="-1"/>
        </w:rPr>
        <w:t>成符合要求。全体董事认真出席公司董事会、股东大会会议并审议相关议案，积极参加有关培训，熟悉有</w:t>
      </w:r>
      <w:r>
        <w:rPr>
          <w:spacing w:val="-86"/>
        </w:rPr>
        <w:t> </w:t>
      </w:r>
      <w:r>
        <w:rPr>
          <w:spacing w:val="-86"/>
        </w:rPr>
      </w:r>
      <w:r>
        <w:rPr>
          <w:spacing w:val="-1"/>
        </w:rPr>
        <w:t>关法律、法规，并按照相关规定依法履行董事职责。独立董事按照《公司章程》等法律、法规独立履行职</w:t>
      </w:r>
      <w:r>
        <w:rPr>
          <w:spacing w:val="-83"/>
        </w:rPr>
        <w:t> </w:t>
      </w:r>
      <w:r>
        <w:rPr>
          <w:spacing w:val="-83"/>
        </w:rPr>
      </w:r>
      <w:r>
        <w:rPr>
          <w:spacing w:val="-1"/>
        </w:rPr>
        <w:t>责，对本公司重大投资、高级管理人员的任免、股权激励计划等事项发表自己的独立意见，保证了公司的</w:t>
      </w:r>
      <w:r>
        <w:rPr>
          <w:spacing w:val="-86"/>
        </w:rPr>
        <w:t> </w:t>
      </w:r>
      <w:r>
        <w:rPr>
          <w:spacing w:val="-86"/>
        </w:rPr>
      </w:r>
      <w:r>
        <w:rPr>
          <w:spacing w:val="-1"/>
        </w:rPr>
        <w:t>规范运作。董事会下设提名、薪酬与审计三个专业委员会，各专业委员会根据相应的工作细则通过召开会</w:t>
      </w:r>
      <w:r>
        <w:rPr>
          <w:spacing w:val="-83"/>
        </w:rPr>
        <w:t> </w:t>
      </w:r>
      <w:r>
        <w:rPr>
          <w:spacing w:val="-83"/>
        </w:rPr>
      </w:r>
      <w:r>
        <w:rPr/>
        <w:t>议、实地考察、面谈等方式履行职责，对公司高管聘任、股权激励计划等事项提出意见并作出相关决议。</w:t>
      </w:r>
    </w:p>
    <w:p>
      <w:pPr>
        <w:spacing w:line="357" w:lineRule="auto" w:before="30"/>
        <w:ind w:left="589" w:right="0" w:firstLine="0"/>
        <w:jc w:val="left"/>
        <w:rPr>
          <w:rFonts w:ascii="宋体" w:hAnsi="宋体" w:cs="宋体" w:eastAsia="宋体" w:hint="default"/>
          <w:sz w:val="21"/>
          <w:szCs w:val="21"/>
        </w:rPr>
      </w:pPr>
      <w:r>
        <w:rPr>
          <w:rFonts w:ascii="宋体" w:hAnsi="宋体" w:cs="宋体" w:eastAsia="宋体" w:hint="default"/>
          <w:b/>
          <w:bCs/>
          <w:sz w:val="21"/>
          <w:szCs w:val="21"/>
        </w:rPr>
        <w:t>（四）关于监事和监事会：</w:t>
      </w:r>
      <w:r>
        <w:rPr>
          <w:rFonts w:ascii="宋体" w:hAnsi="宋体" w:cs="宋体" w:eastAsia="宋体" w:hint="default"/>
          <w:b/>
          <w:bCs/>
          <w:w w:val="99"/>
          <w:sz w:val="21"/>
          <w:szCs w:val="21"/>
        </w:rPr>
        <w:t> </w:t>
      </w:r>
      <w:r>
        <w:rPr>
          <w:rFonts w:ascii="宋体" w:hAnsi="宋体" w:cs="宋体" w:eastAsia="宋体" w:hint="default"/>
          <w:spacing w:val="-6"/>
          <w:sz w:val="21"/>
          <w:szCs w:val="21"/>
        </w:rPr>
        <w:t>本公司监事会严格按照《公司法》、《公司章程》和《监事会议事规则》的有关规定开展工作，监事的</w:t>
      </w:r>
    </w:p>
    <w:p>
      <w:pPr>
        <w:pStyle w:val="BodyText"/>
        <w:spacing w:line="357" w:lineRule="auto" w:before="30"/>
        <w:ind w:right="149"/>
        <w:jc w:val="both"/>
      </w:pPr>
      <w:r>
        <w:rPr>
          <w:spacing w:val="-1"/>
        </w:rPr>
        <w:t>推荐、选举和产生程序符合相关法律、法规的要求，监事会的人数及构成符合要求。报告期内，公司监事</w:t>
      </w:r>
      <w:r>
        <w:rPr>
          <w:spacing w:val="-83"/>
        </w:rPr>
        <w:t> </w:t>
      </w:r>
      <w:r>
        <w:rPr>
          <w:spacing w:val="-83"/>
        </w:rPr>
      </w:r>
      <w:r>
        <w:rPr>
          <w:spacing w:val="-1"/>
        </w:rPr>
        <w:t>会认真履行职责，对公司重大事项、财务状况以及董事、总裁和其他高级管理人员行使职权的合规性进行</w:t>
      </w:r>
      <w:r>
        <w:rPr>
          <w:spacing w:val="-83"/>
        </w:rPr>
        <w:t> </w:t>
      </w:r>
      <w:r>
        <w:rPr>
          <w:spacing w:val="-83"/>
        </w:rPr>
      </w:r>
      <w:r>
        <w:rPr/>
        <w:t>监督，维护公司及股东的合法权益。</w:t>
      </w:r>
    </w:p>
    <w:p>
      <w:pPr>
        <w:spacing w:line="357" w:lineRule="auto" w:before="3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报告期内，公司严格按照《信息披露管理办法》、《重大信息及敏感信息内部管理制度》、《内幕信</w:t>
      </w:r>
    </w:p>
    <w:p>
      <w:pPr>
        <w:spacing w:after="0" w:line="357" w:lineRule="auto"/>
        <w:jc w:val="left"/>
        <w:rPr>
          <w:rFonts w:ascii="宋体" w:hAnsi="宋体" w:cs="宋体" w:eastAsia="宋体" w:hint="default"/>
          <w:sz w:val="21"/>
          <w:szCs w:val="21"/>
        </w:rPr>
        <w:sectPr>
          <w:pgSz w:w="11910" w:h="16840"/>
          <w:pgMar w:header="851" w:footer="982" w:top="1200" w:bottom="1180" w:left="980" w:right="980"/>
        </w:sectPr>
      </w:pPr>
    </w:p>
    <w:p>
      <w:pPr>
        <w:pStyle w:val="BodyText"/>
        <w:spacing w:line="357" w:lineRule="auto" w:before="32"/>
        <w:ind w:right="209"/>
        <w:jc w:val="both"/>
      </w:pPr>
      <w:r>
        <w:rPr/>
        <w:pict>
          <v:group style="position:absolute;margin-left:55.200001pt;margin-top:2.943948pt;width:484.95pt;height:.1pt;mso-position-horizontal-relative:page;mso-position-vertical-relative:paragraph;z-index:-709960"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息知情人管理制度》履行信息披露义务，及时报送公司重大事项及定期报告的内幕信息知情人，指定《证</w:t>
      </w:r>
      <w:r>
        <w:rPr>
          <w:spacing w:val="-86"/>
        </w:rPr>
        <w:t> </w:t>
      </w:r>
      <w:r>
        <w:rPr>
          <w:spacing w:val="-86"/>
        </w:rPr>
      </w:r>
      <w:r>
        <w:rPr>
          <w:spacing w:val="-5"/>
        </w:rPr>
        <w:t>券时报》、《中国证券报》及巨潮资讯网作为本公司信息披露的报纸和网站，真实、准确、完整、及时的披</w:t>
      </w:r>
      <w:r>
        <w:rPr/>
        <w:t> </w:t>
      </w:r>
      <w:r>
        <w:rPr>
          <w:spacing w:val="-1"/>
        </w:rPr>
        <w:t>露有关信息，确保所有投资者公平获取公司信息。本公司指定董事会秘书负责信息披露工作，证券事务代</w:t>
      </w:r>
      <w:r>
        <w:rPr>
          <w:spacing w:val="-83"/>
        </w:rPr>
        <w:t> </w:t>
      </w:r>
      <w:r>
        <w:rPr>
          <w:spacing w:val="-83"/>
        </w:rPr>
      </w:r>
      <w:r>
        <w:rPr/>
        <w:t>表协助董事会秘书开展工作。</w:t>
      </w:r>
    </w:p>
    <w:p>
      <w:pPr>
        <w:pStyle w:val="BodyText"/>
        <w:spacing w:line="355" w:lineRule="auto" w:before="31"/>
        <w:ind w:left="589" w:right="199" w:hanging="14"/>
        <w:jc w:val="left"/>
      </w:pPr>
      <w:r>
        <w:rPr>
          <w:rFonts w:ascii="宋体" w:hAnsi="宋体" w:cs="宋体" w:eastAsia="宋体" w:hint="default"/>
          <w:b/>
          <w:bCs/>
        </w:rPr>
        <w:t>（六）关于相关利益者</w:t>
      </w:r>
      <w:r>
        <w:rPr>
          <w:rFonts w:ascii="宋体" w:hAnsi="宋体" w:cs="宋体" w:eastAsia="宋体" w:hint="default"/>
          <w:b/>
          <w:bCs/>
          <w:w w:val="99"/>
        </w:rPr>
        <w:t> </w:t>
      </w:r>
      <w:r>
        <w:rPr>
          <w:spacing w:val="-1"/>
        </w:rPr>
        <w:t>本公司能够充分尊重和维护相关利益者的合法权益，实现社会、股东、员工、客户等各方利益的协调</w:t>
      </w:r>
    </w:p>
    <w:p>
      <w:pPr>
        <w:pStyle w:val="BodyText"/>
        <w:spacing w:line="240" w:lineRule="auto" w:before="33"/>
        <w:ind w:right="0"/>
        <w:jc w:val="left"/>
      </w:pPr>
      <w:r>
        <w:rPr/>
        <w:t>平衡，共同推动公司持续、健康的发展。</w:t>
      </w:r>
    </w:p>
    <w:p>
      <w:pPr>
        <w:spacing w:line="355" w:lineRule="auto" w:before="133"/>
        <w:ind w:left="626" w:right="208" w:hanging="5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（七）绩效评价与激励约束机制</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报告期内，公司实施了股票期权激励计划，激励对象为公司董事、高管及核心技术（业务）人员等</w:t>
      </w:r>
      <w:r>
        <w:rPr>
          <w:rFonts w:ascii="Times New Roman" w:hAnsi="Times New Roman" w:cs="Times New Roman" w:eastAsia="Times New Roman" w:hint="default"/>
          <w:spacing w:val="-2"/>
          <w:sz w:val="21"/>
          <w:szCs w:val="21"/>
        </w:rPr>
        <w:t>80</w:t>
      </w:r>
      <w:r>
        <w:rPr>
          <w:rFonts w:ascii="Times New Roman" w:hAnsi="Times New Roman" w:cs="Times New Roman" w:eastAsia="Times New Roman" w:hint="default"/>
          <w:sz w:val="21"/>
          <w:szCs w:val="21"/>
        </w:rPr>
      </w:r>
    </w:p>
    <w:p>
      <w:pPr>
        <w:pStyle w:val="BodyText"/>
        <w:spacing w:line="357" w:lineRule="auto" w:before="7"/>
        <w:ind w:right="101"/>
        <w:jc w:val="left"/>
      </w:pPr>
      <w:r>
        <w:rPr/>
        <w:t>余名员工，截止本报告公布日，公司已经完成了股票期权授予和登记程序，并已进入行权阶段。公司将根 据《股票期权激励计划实施考核办法》对激励对象进行考核。本次股票期权激励计划的实施，有利于将经 </w:t>
      </w:r>
      <w:r>
        <w:rPr>
          <w:spacing w:val="-3"/>
        </w:rPr>
        <w:t>营管理者、员工的利益与股东财富的增值有机地结合起来，有利于建立、健全石基信息的激励与约束机制，</w:t>
      </w:r>
      <w:r>
        <w:rPr>
          <w:spacing w:val="-90"/>
        </w:rPr>
        <w:t> </w:t>
      </w:r>
      <w:r>
        <w:rPr>
          <w:spacing w:val="-90"/>
        </w:rPr>
      </w:r>
      <w:r>
        <w:rPr/>
        <w:t>完善石基信息的治理结构。</w:t>
      </w:r>
    </w:p>
    <w:p>
      <w:pPr>
        <w:pStyle w:val="BodyText"/>
        <w:spacing w:line="355" w:lineRule="auto" w:before="31"/>
        <w:ind w:right="210" w:firstLine="472"/>
        <w:jc w:val="both"/>
      </w:pPr>
      <w:r>
        <w:rPr>
          <w:spacing w:val="-2"/>
        </w:rPr>
        <w:t>报告期末，公司董事会薪酬委员会根据公司实际经营指标完成情况以及高级管理人员的工作业绩，对</w:t>
      </w:r>
      <w:r>
        <w:rPr/>
        <w:t> 高级管理人员进行年度绩效考核，并监督薪酬制度执行情况。</w:t>
      </w:r>
    </w:p>
    <w:p>
      <w:pPr>
        <w:spacing w:line="550" w:lineRule="atLeast" w:before="36"/>
        <w:ind w:left="589" w:right="155" w:hanging="23"/>
        <w:jc w:val="left"/>
        <w:rPr>
          <w:rFonts w:ascii="宋体" w:hAnsi="宋体" w:cs="宋体" w:eastAsia="宋体" w:hint="default"/>
          <w:sz w:val="21"/>
          <w:szCs w:val="21"/>
        </w:rPr>
      </w:pPr>
      <w:r>
        <w:rPr>
          <w:rFonts w:ascii="宋体" w:hAnsi="宋体" w:cs="宋体" w:eastAsia="宋体" w:hint="default"/>
          <w:b/>
          <w:bCs/>
          <w:sz w:val="21"/>
          <w:szCs w:val="21"/>
        </w:rPr>
        <w:t>二、董事长、独立董事及其它董事履行职责情况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报告期内，本公司全体董事严格按照有关法律、法规和《公司章程》的要求，认真勤勉地履行职责，</w:t>
      </w:r>
    </w:p>
    <w:p>
      <w:pPr>
        <w:pStyle w:val="BodyText"/>
        <w:spacing w:line="357" w:lineRule="auto" w:before="133"/>
        <w:ind w:right="0"/>
        <w:jc w:val="left"/>
      </w:pPr>
      <w:r>
        <w:rPr>
          <w:spacing w:val="-1"/>
        </w:rPr>
        <w:t>恪尽职守，廉洁自律，按时参加董事会和股东大会会议，认真各项议案进行审议，依据自己的专业知识和</w:t>
      </w:r>
      <w:r>
        <w:rPr>
          <w:spacing w:val="-86"/>
        </w:rPr>
        <w:t> </w:t>
      </w:r>
      <w:r>
        <w:rPr>
          <w:spacing w:val="-86"/>
        </w:rPr>
      </w:r>
      <w:r>
        <w:rPr/>
        <w:t>能力作出独立、客观、公正的判断，切实维护了本公司和中小股东的利益。</w:t>
      </w:r>
    </w:p>
    <w:p>
      <w:pPr>
        <w:pStyle w:val="BodyText"/>
        <w:spacing w:line="357" w:lineRule="auto" w:before="30"/>
        <w:ind w:right="208" w:firstLine="435"/>
        <w:jc w:val="both"/>
      </w:pPr>
      <w:r>
        <w:rPr>
          <w:spacing w:val="-1"/>
        </w:rPr>
        <w:t>本公司董事长严格按照法律法规和《公司章程》的要求，依法行使权利，履行职责：全力加强董事会</w:t>
      </w:r>
      <w:r>
        <w:rPr/>
        <w:t> </w:t>
      </w:r>
      <w:r>
        <w:rPr>
          <w:spacing w:val="-1"/>
        </w:rPr>
        <w:t>建设，积极推动公司治理工作和内部控制建设，督促执行股东大会和董事会的各项决议，确保董事会依法</w:t>
      </w:r>
      <w:r>
        <w:rPr>
          <w:spacing w:val="-83"/>
        </w:rPr>
        <w:t> </w:t>
      </w:r>
      <w:r>
        <w:rPr>
          <w:spacing w:val="-83"/>
        </w:rPr>
      </w:r>
      <w:r>
        <w:rPr>
          <w:spacing w:val="-1"/>
        </w:rPr>
        <w:t>正常运作；董事长领导董事会制定公司发展战略，指导管理层执行经营策略；报告期内，董事长充分保证</w:t>
      </w:r>
      <w:r>
        <w:rPr>
          <w:spacing w:val="-86"/>
        </w:rPr>
        <w:t> </w:t>
      </w:r>
      <w:r>
        <w:rPr>
          <w:spacing w:val="-86"/>
        </w:rPr>
      </w:r>
      <w:r>
        <w:rPr>
          <w:spacing w:val="-1"/>
        </w:rPr>
        <w:t>了独立董事和董事会秘书的知情权，及时将董事会工作运行情况通报所有董事，为其履行职责创造良好的</w:t>
      </w:r>
      <w:r>
        <w:rPr>
          <w:spacing w:val="-81"/>
        </w:rPr>
        <w:t> </w:t>
      </w:r>
      <w:r>
        <w:rPr>
          <w:spacing w:val="-81"/>
        </w:rPr>
      </w:r>
      <w:r>
        <w:rPr>
          <w:spacing w:val="-1"/>
        </w:rPr>
        <w:t>工作条件；同时，董事长积极参加监管机构组织的培训，并督促其他董事、高级管理人员积极参加相关培</w:t>
      </w:r>
      <w:r>
        <w:rPr>
          <w:spacing w:val="-86"/>
        </w:rPr>
        <w:t> </w:t>
      </w:r>
      <w:r>
        <w:rPr>
          <w:spacing w:val="-86"/>
        </w:rPr>
      </w:r>
      <w:r>
        <w:rPr/>
        <w:t>训，认真学习相关法律法规。</w:t>
      </w:r>
    </w:p>
    <w:p>
      <w:pPr>
        <w:pStyle w:val="BodyText"/>
        <w:spacing w:line="357" w:lineRule="auto" w:before="31"/>
        <w:ind w:right="208" w:firstLine="435"/>
        <w:jc w:val="both"/>
      </w:pPr>
      <w:r>
        <w:rPr>
          <w:spacing w:val="-6"/>
        </w:rPr>
        <w:t>公司独立董事能够严格按照《公司章程》、《独立董事工作制度》等的规定，本着对公司、投资者负责</w:t>
      </w:r>
      <w:r>
        <w:rPr/>
        <w:t> </w:t>
      </w:r>
      <w:r>
        <w:rPr>
          <w:spacing w:val="-1"/>
        </w:rPr>
        <w:t>的态度，勤勉尽责，积极出席股东大会、董事会以及董事会专业委员会的相关会议，深入公司进行现场调</w:t>
      </w:r>
      <w:r>
        <w:rPr>
          <w:spacing w:val="-86"/>
        </w:rPr>
        <w:t> </w:t>
      </w:r>
      <w:r>
        <w:rPr>
          <w:spacing w:val="-86"/>
        </w:rPr>
      </w:r>
      <w:r>
        <w:rPr>
          <w:spacing w:val="-1"/>
        </w:rPr>
        <w:t>查，了解经营管理状况和内控制度的建设情况，关注外部环境变化对公司造成的影响，为公司未来经营和</w:t>
      </w:r>
      <w:r>
        <w:rPr>
          <w:spacing w:val="-83"/>
        </w:rPr>
        <w:t> </w:t>
      </w:r>
      <w:r>
        <w:rPr>
          <w:spacing w:val="-83"/>
        </w:rPr>
      </w:r>
      <w:r>
        <w:rPr/>
        <w:t>发展提出合理化的意见和建议，对公司股票期权激励计划、聘任高管等相关事项发表了独立意见。</w:t>
      </w:r>
    </w:p>
    <w:p>
      <w:pPr>
        <w:pStyle w:val="BodyText"/>
        <w:spacing w:line="240" w:lineRule="auto" w:before="31"/>
        <w:ind w:left="574" w:right="0"/>
        <w:jc w:val="left"/>
      </w:pPr>
      <w:r>
        <w:rPr/>
        <w:t>报告期内董事出席董事会会议情况：</w:t>
      </w:r>
    </w:p>
    <w:p>
      <w:pPr>
        <w:spacing w:line="240" w:lineRule="auto" w:before="9"/>
        <w:rPr>
          <w:rFonts w:ascii="宋体" w:hAnsi="宋体" w:cs="宋体" w:eastAsia="宋体" w:hint="default"/>
          <w:sz w:val="12"/>
          <w:szCs w:val="12"/>
        </w:rPr>
      </w:pPr>
    </w:p>
    <w:tbl>
      <w:tblPr>
        <w:tblW w:w="0" w:type="auto"/>
        <w:jc w:val="left"/>
        <w:tblInd w:w="228" w:type="dxa"/>
        <w:tblLayout w:type="fixed"/>
        <w:tblCellMar>
          <w:top w:w="0" w:type="dxa"/>
          <w:left w:w="0" w:type="dxa"/>
          <w:bottom w:w="0" w:type="dxa"/>
          <w:right w:w="0" w:type="dxa"/>
        </w:tblCellMar>
        <w:tblLook w:val="01E0"/>
      </w:tblPr>
      <w:tblGrid>
        <w:gridCol w:w="1121"/>
        <w:gridCol w:w="2760"/>
        <w:gridCol w:w="840"/>
        <w:gridCol w:w="960"/>
        <w:gridCol w:w="960"/>
        <w:gridCol w:w="1039"/>
        <w:gridCol w:w="1800"/>
      </w:tblGrid>
      <w:tr>
        <w:trPr>
          <w:trHeight w:val="554" w:hRule="exact"/>
        </w:trPr>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2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自出席会议</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第三届、第四届董事会董事长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0"/>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李殿坤</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第三届董事会副董事长、董事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0"/>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郑大立</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第四届董事会董事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center"/>
        <w:rPr>
          <w:rFonts w:ascii="宋体" w:hAnsi="宋体" w:cs="宋体" w:eastAsia="宋体" w:hint="default"/>
          <w:sz w:val="21"/>
          <w:szCs w:val="21"/>
        </w:rPr>
        <w:sectPr>
          <w:pgSz w:w="11910" w:h="16840"/>
          <w:pgMar w:header="851" w:footer="982" w:top="1200" w:bottom="1180" w:left="980" w:right="920"/>
        </w:sectPr>
      </w:pPr>
    </w:p>
    <w:p>
      <w:pPr>
        <w:spacing w:line="240" w:lineRule="auto" w:before="13"/>
        <w:rPr>
          <w:rFonts w:ascii="宋体" w:hAnsi="宋体" w:cs="宋体" w:eastAsia="宋体" w:hint="default"/>
          <w:sz w:val="3"/>
          <w:szCs w:val="3"/>
        </w:rPr>
      </w:pPr>
    </w:p>
    <w:tbl>
      <w:tblPr>
        <w:tblW w:w="0" w:type="auto"/>
        <w:jc w:val="left"/>
        <w:tblInd w:w="188" w:type="dxa"/>
        <w:tblLayout w:type="fixed"/>
        <w:tblCellMar>
          <w:top w:w="0" w:type="dxa"/>
          <w:left w:w="0" w:type="dxa"/>
          <w:bottom w:w="0" w:type="dxa"/>
          <w:right w:w="0" w:type="dxa"/>
        </w:tblCellMar>
        <w:tblLook w:val="01E0"/>
      </w:tblPr>
      <w:tblGrid>
        <w:gridCol w:w="1121"/>
        <w:gridCol w:w="2760"/>
        <w:gridCol w:w="840"/>
        <w:gridCol w:w="960"/>
        <w:gridCol w:w="960"/>
        <w:gridCol w:w="1039"/>
        <w:gridCol w:w="1800"/>
      </w:tblGrid>
      <w:tr>
        <w:trPr>
          <w:trHeight w:val="289" w:hRule="exact"/>
        </w:trPr>
        <w:tc>
          <w:tcPr>
            <w:tcW w:w="1121"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2760"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第三届、第四届董事会董事</w:t>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w:t>
            </w:r>
          </w:p>
        </w:tc>
        <w:tc>
          <w:tcPr>
            <w:tcW w:w="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w:t>
            </w:r>
          </w:p>
        </w:tc>
        <w:tc>
          <w:tcPr>
            <w:tcW w:w="9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第四届董事会董事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第三届董事会董事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郭田勇</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第四届董事会独立董事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刘剑锋</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第四届董事会独立董事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阎丽明</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第四届董事会独立董事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邹小杰</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第三届董事会独立董事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第三届董事会独立董事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22"/>
              <w:jc w:val="right"/>
              <w:rPr>
                <w:rFonts w:ascii="Times New Roman" w:hAnsi="Times New Roman" w:cs="Times New Roman" w:eastAsia="Times New Roman" w:hint="default"/>
                <w:sz w:val="21"/>
                <w:szCs w:val="21"/>
              </w:rPr>
            </w:pPr>
            <w:r>
              <w:rPr>
                <w:rFonts w:ascii="Times New Roman"/>
                <w:sz w:val="21"/>
              </w:rPr>
              <w:t>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16"/>
          <w:szCs w:val="16"/>
        </w:rPr>
      </w:pPr>
    </w:p>
    <w:p>
      <w:pPr>
        <w:spacing w:line="482" w:lineRule="auto" w:before="35"/>
        <w:ind w:left="526" w:right="98" w:firstLine="7"/>
        <w:jc w:val="left"/>
        <w:rPr>
          <w:rFonts w:ascii="宋体" w:hAnsi="宋体" w:cs="宋体" w:eastAsia="宋体" w:hint="default"/>
          <w:sz w:val="21"/>
          <w:szCs w:val="21"/>
        </w:rPr>
      </w:pPr>
      <w:r>
        <w:rPr>
          <w:rFonts w:ascii="宋体" w:hAnsi="宋体" w:cs="宋体" w:eastAsia="宋体" w:hint="default"/>
          <w:sz w:val="21"/>
          <w:szCs w:val="21"/>
        </w:rPr>
        <w:t>报告期内，本公司独立董事未对公司董事会审议的各项议案及其相关事项提出异议。 </w:t>
      </w:r>
      <w:r>
        <w:rPr>
          <w:rFonts w:ascii="宋体" w:hAnsi="宋体" w:cs="宋体" w:eastAsia="宋体" w:hint="default"/>
          <w:b/>
          <w:bCs/>
          <w:sz w:val="21"/>
          <w:szCs w:val="21"/>
        </w:rPr>
        <w:t>三、公司与控股股东在业务、人员、资产、机构、财务等方面的独立情况</w:t>
      </w:r>
      <w:r>
        <w:rPr>
          <w:rFonts w:ascii="宋体" w:hAnsi="宋体" w:cs="宋体" w:eastAsia="宋体" w:hint="default"/>
          <w:sz w:val="21"/>
          <w:szCs w:val="21"/>
        </w:rPr>
      </w:r>
    </w:p>
    <w:p>
      <w:pPr>
        <w:pStyle w:val="BodyText"/>
        <w:spacing w:line="357" w:lineRule="auto" w:before="65"/>
        <w:ind w:left="114" w:right="205" w:firstLine="420"/>
        <w:jc w:val="both"/>
      </w:pPr>
      <w:r>
        <w:rPr/>
        <w:t>本公司在业务、人员、资产、机构、财务等方面做到与控股股东、实际控制人分开，具有完整的业</w:t>
      </w:r>
      <w:r>
        <w:rPr>
          <w:spacing w:val="2"/>
        </w:rPr>
        <w:t> </w:t>
      </w:r>
      <w:r>
        <w:rPr/>
        <w:t>务体系和面向市场独立经营的能力。</w:t>
      </w:r>
    </w:p>
    <w:p>
      <w:pPr>
        <w:pStyle w:val="BodyText"/>
        <w:spacing w:line="357" w:lineRule="auto" w:before="30"/>
        <w:ind w:left="534" w:right="98"/>
        <w:jc w:val="left"/>
      </w:pPr>
      <w:r>
        <w:rPr>
          <w:rFonts w:ascii="宋体" w:hAnsi="宋体" w:cs="宋体" w:eastAsia="宋体" w:hint="default"/>
          <w:b/>
          <w:bCs/>
        </w:rPr>
        <w:t>（一）</w:t>
      </w:r>
      <w:r>
        <w:rPr>
          <w:rFonts w:ascii="宋体" w:hAnsi="宋体" w:cs="宋体" w:eastAsia="宋体" w:hint="default"/>
          <w:b/>
          <w:bCs/>
          <w:spacing w:val="-19"/>
        </w:rPr>
        <w:t> </w:t>
      </w:r>
      <w:r>
        <w:rPr>
          <w:rFonts w:ascii="宋体" w:hAnsi="宋体" w:cs="宋体" w:eastAsia="宋体" w:hint="default"/>
          <w:b/>
          <w:bCs/>
        </w:rPr>
        <w:t>业务独立</w:t>
      </w:r>
      <w:r>
        <w:rPr>
          <w:rFonts w:ascii="宋体" w:hAnsi="宋体" w:cs="宋体" w:eastAsia="宋体" w:hint="default"/>
          <w:b/>
          <w:bCs/>
          <w:spacing w:val="1"/>
          <w:w w:val="99"/>
        </w:rPr>
        <w:t> </w:t>
      </w:r>
      <w:r>
        <w:rPr/>
        <w:t>本公司主要从事酒店行业信息管理系统软件的开发销售、系统集成、技术支持与服务业务，具有独</w:t>
      </w:r>
    </w:p>
    <w:p>
      <w:pPr>
        <w:pStyle w:val="BodyText"/>
        <w:spacing w:line="357" w:lineRule="auto" w:before="30"/>
        <w:ind w:left="114" w:right="205"/>
        <w:jc w:val="both"/>
      </w:pPr>
      <w:r>
        <w:rPr/>
        <w:t>立完整的业务体系，包括完整的开发、销售及售后服务体系</w:t>
      </w:r>
      <w:r>
        <w:rPr>
          <w:spacing w:val="-16"/>
        </w:rPr>
        <w:t> </w:t>
      </w:r>
      <w:r>
        <w:rPr/>
        <w:t>，是目前国内最主要的酒店信息管理系统全</w:t>
      </w:r>
      <w:r>
        <w:rPr/>
        <w:t> 面解决方案提供商之一。公司业务独立于控股股东，拥有独立完整的经营系统，独立开展业务，不依赖</w:t>
      </w:r>
      <w:r>
        <w:rPr>
          <w:spacing w:val="-28"/>
        </w:rPr>
        <w:t> </w:t>
      </w:r>
      <w:r>
        <w:rPr>
          <w:spacing w:val="-28"/>
        </w:rPr>
      </w:r>
      <w:r>
        <w:rPr/>
        <w:t>于股东或其他任何关联方。</w:t>
      </w:r>
    </w:p>
    <w:p>
      <w:pPr>
        <w:spacing w:line="357" w:lineRule="auto" w:before="30"/>
        <w:ind w:left="534" w:right="490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9"/>
          <w:sz w:val="21"/>
          <w:szCs w:val="21"/>
        </w:rPr>
        <w:t> </w:t>
      </w:r>
      <w:r>
        <w:rPr>
          <w:rFonts w:ascii="宋体" w:hAnsi="宋体" w:cs="宋体" w:eastAsia="宋体" w:hint="default"/>
          <w:b/>
          <w:bCs/>
          <w:sz w:val="21"/>
          <w:szCs w:val="21"/>
        </w:rPr>
        <w:t>人员独立</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本公司人员、劳动、人事及工资管理完全独立。</w:t>
      </w:r>
    </w:p>
    <w:p>
      <w:pPr>
        <w:pStyle w:val="BodyText"/>
        <w:spacing w:line="357" w:lineRule="auto" w:before="30"/>
        <w:ind w:left="113" w:right="109" w:firstLine="420"/>
        <w:jc w:val="both"/>
      </w:pPr>
      <w:r>
        <w:rPr>
          <w:spacing w:val="-10"/>
        </w:rPr>
        <w:t>本公司拥有独立、完整的人力资源管理体系，设立有人力资源部，根据《中华人民共和国劳动法》、《公</w:t>
      </w:r>
      <w:r>
        <w:rPr>
          <w:spacing w:val="1"/>
        </w:rPr>
        <w:t> </w:t>
      </w:r>
      <w:r>
        <w:rPr>
          <w:spacing w:val="-1"/>
        </w:rPr>
        <w:t>司法》及国家有关政策的规定，制定了独立的劳动人事管理制度，并实行全员劳动合同制，由本公司与员</w:t>
      </w:r>
      <w:r>
        <w:rPr>
          <w:spacing w:val="-86"/>
        </w:rPr>
        <w:t> </w:t>
      </w:r>
      <w:r>
        <w:rPr>
          <w:spacing w:val="-86"/>
        </w:rPr>
      </w:r>
      <w:r>
        <w:rPr>
          <w:spacing w:val="-1"/>
        </w:rPr>
        <w:t>工独立签订劳动合同，做到人员管理制度化和规范化；本公司在员工的社会保障、工薪报酬等方面实行独</w:t>
      </w:r>
      <w:r>
        <w:rPr>
          <w:spacing w:val="-83"/>
        </w:rPr>
        <w:t> </w:t>
      </w:r>
      <w:r>
        <w:rPr>
          <w:spacing w:val="-83"/>
        </w:rPr>
      </w:r>
      <w:r>
        <w:rPr/>
        <w:t>立管理。</w:t>
      </w:r>
    </w:p>
    <w:p>
      <w:pPr>
        <w:pStyle w:val="BodyText"/>
        <w:spacing w:line="357" w:lineRule="auto" w:before="30"/>
        <w:ind w:left="533" w:right="98"/>
        <w:jc w:val="left"/>
      </w:pPr>
      <w:r>
        <w:rPr>
          <w:rFonts w:ascii="宋体" w:hAnsi="宋体" w:cs="宋体" w:eastAsia="宋体" w:hint="default"/>
          <w:b/>
          <w:bCs/>
        </w:rPr>
        <w:t>（三）</w:t>
      </w:r>
      <w:r>
        <w:rPr>
          <w:rFonts w:ascii="宋体" w:hAnsi="宋体" w:cs="宋体" w:eastAsia="宋体" w:hint="default"/>
          <w:b/>
          <w:bCs/>
          <w:spacing w:val="-19"/>
        </w:rPr>
        <w:t> </w:t>
      </w:r>
      <w:r>
        <w:rPr>
          <w:rFonts w:ascii="宋体" w:hAnsi="宋体" w:cs="宋体" w:eastAsia="宋体" w:hint="default"/>
          <w:b/>
          <w:bCs/>
        </w:rPr>
        <w:t>资产独立</w:t>
      </w:r>
      <w:r>
        <w:rPr>
          <w:rFonts w:ascii="宋体" w:hAnsi="宋体" w:cs="宋体" w:eastAsia="宋体" w:hint="default"/>
          <w:b/>
          <w:bCs/>
          <w:spacing w:val="1"/>
          <w:w w:val="99"/>
        </w:rPr>
        <w:t> </w:t>
      </w:r>
      <w:r>
        <w:rPr>
          <w:spacing w:val="-1"/>
        </w:rPr>
        <w:t>本公司以整体变更的方式设立，设立时各发起人投入本公司的资产已经武汉众环会计师事务所有限责</w:t>
      </w:r>
    </w:p>
    <w:p>
      <w:pPr>
        <w:pStyle w:val="BodyText"/>
        <w:spacing w:line="355" w:lineRule="auto" w:before="30"/>
        <w:ind w:left="533" w:right="98" w:hanging="420"/>
        <w:jc w:val="left"/>
      </w:pPr>
      <w:r>
        <w:rPr/>
        <w:t>任公司出具的武众会内（2001）049</w:t>
      </w:r>
      <w:r>
        <w:rPr>
          <w:spacing w:val="-53"/>
        </w:rPr>
        <w:t> </w:t>
      </w:r>
      <w:r>
        <w:rPr/>
        <w:t>号《验资报告》验证。</w:t>
      </w:r>
      <w:r>
        <w:rPr/>
        <w:t> </w:t>
      </w:r>
      <w:r>
        <w:rPr>
          <w:spacing w:val="-1"/>
        </w:rPr>
        <w:t>本公司和控股股东产权关系明晰，资产完整并由本公司实际控制和使用，本公司拥有独立的经营系统</w:t>
      </w:r>
    </w:p>
    <w:p>
      <w:pPr>
        <w:pStyle w:val="BodyText"/>
        <w:spacing w:line="357" w:lineRule="auto" w:before="33"/>
        <w:ind w:left="113" w:right="109"/>
        <w:jc w:val="both"/>
      </w:pPr>
      <w:r>
        <w:rPr>
          <w:spacing w:val="-1"/>
        </w:rPr>
        <w:t>和配套设施以及专有技术、计算机著作权等资产，拥有独立的经营场所，对全部资产拥有完全的控制支配</w:t>
      </w:r>
      <w:r>
        <w:rPr>
          <w:spacing w:val="-83"/>
        </w:rPr>
        <w:t> </w:t>
      </w:r>
      <w:r>
        <w:rPr>
          <w:spacing w:val="-83"/>
        </w:rPr>
      </w:r>
      <w:r>
        <w:rPr>
          <w:spacing w:val="-1"/>
        </w:rPr>
        <w:t>权。本公司资产独立于控股股东和其他发起人，不存在其资产、资金被控股股东占用而损害公司利益的情</w:t>
      </w:r>
      <w:r>
        <w:rPr>
          <w:spacing w:val="-83"/>
        </w:rPr>
        <w:t> </w:t>
      </w:r>
      <w:r>
        <w:rPr>
          <w:spacing w:val="-83"/>
        </w:rPr>
      </w:r>
      <w:r>
        <w:rPr/>
        <w:t>况。</w:t>
      </w:r>
    </w:p>
    <w:p>
      <w:pPr>
        <w:pStyle w:val="BodyText"/>
        <w:spacing w:line="357" w:lineRule="auto" w:before="30"/>
        <w:ind w:left="533" w:right="203"/>
        <w:jc w:val="left"/>
      </w:pPr>
      <w:r>
        <w:rPr>
          <w:rFonts w:ascii="宋体" w:hAnsi="宋体" w:cs="宋体" w:eastAsia="宋体" w:hint="default"/>
          <w:b/>
          <w:bCs/>
        </w:rPr>
        <w:t>（四）</w:t>
      </w:r>
      <w:r>
        <w:rPr>
          <w:rFonts w:ascii="宋体" w:hAnsi="宋体" w:cs="宋体" w:eastAsia="宋体" w:hint="default"/>
          <w:b/>
          <w:bCs/>
          <w:spacing w:val="-19"/>
        </w:rPr>
        <w:t> </w:t>
      </w:r>
      <w:r>
        <w:rPr>
          <w:rFonts w:ascii="宋体" w:hAnsi="宋体" w:cs="宋体" w:eastAsia="宋体" w:hint="default"/>
          <w:b/>
          <w:bCs/>
        </w:rPr>
        <w:t>机构独立</w:t>
      </w:r>
      <w:r>
        <w:rPr>
          <w:rFonts w:ascii="宋体" w:hAnsi="宋体" w:cs="宋体" w:eastAsia="宋体" w:hint="default"/>
          <w:b/>
          <w:bCs/>
          <w:spacing w:val="1"/>
          <w:w w:val="99"/>
        </w:rPr>
        <w:t> </w:t>
      </w:r>
      <w:r>
        <w:rPr>
          <w:spacing w:val="-3"/>
        </w:rPr>
        <w:t>本公司根据《公司法》、《证券法》及《公司章程》的规定，建立健全了股东大会、董事会、监事会</w:t>
      </w:r>
      <w:r>
        <w:rPr/>
      </w:r>
    </w:p>
    <w:p>
      <w:pPr>
        <w:pStyle w:val="BodyText"/>
        <w:spacing w:line="357" w:lineRule="auto" w:before="30"/>
        <w:ind w:left="113" w:right="205"/>
        <w:jc w:val="both"/>
      </w:pPr>
      <w:r>
        <w:rPr/>
        <w:t>及管理层的运作体系，并制定了相应的议事规则和工作细则。本公司设立了健全的组织机构体系，拥有</w:t>
      </w:r>
      <w:r>
        <w:rPr>
          <w:spacing w:val="-28"/>
        </w:rPr>
        <w:t> </w:t>
      </w:r>
      <w:r>
        <w:rPr>
          <w:spacing w:val="-28"/>
        </w:rPr>
      </w:r>
      <w:r>
        <w:rPr/>
        <w:t>独立于控股股东的经营场所和经营机构，不存在与控股股东混合经营、合署办公的情形。本公司各业务</w:t>
      </w:r>
      <w:r>
        <w:rPr>
          <w:spacing w:val="-28"/>
        </w:rPr>
        <w:t> </w:t>
      </w:r>
      <w:r>
        <w:rPr>
          <w:spacing w:val="-28"/>
        </w:rPr>
      </w:r>
      <w:r>
        <w:rPr/>
        <w:t>部门及办事机构的设置方案不存在受控股股东及其他任何单位或个人干预的情形。</w:t>
      </w:r>
    </w:p>
    <w:p>
      <w:pPr>
        <w:pStyle w:val="Heading3"/>
        <w:spacing w:line="240" w:lineRule="auto" w:before="30"/>
        <w:ind w:left="533" w:right="98"/>
        <w:jc w:val="left"/>
        <w:rPr>
          <w:b w:val="0"/>
          <w:bCs w:val="0"/>
        </w:rPr>
      </w:pPr>
      <w:r>
        <w:rPr/>
        <w:t>（五）</w:t>
      </w:r>
      <w:r>
        <w:rPr>
          <w:spacing w:val="-19"/>
        </w:rPr>
        <w:t> </w:t>
      </w:r>
      <w:r>
        <w:rPr/>
        <w:t>财务独立</w:t>
      </w:r>
      <w:r>
        <w:rPr>
          <w:b w:val="0"/>
          <w:bCs w:val="0"/>
        </w:rPr>
      </w:r>
    </w:p>
    <w:p>
      <w:pPr>
        <w:spacing w:after="0" w:line="240" w:lineRule="auto"/>
        <w:jc w:val="left"/>
        <w:sectPr>
          <w:pgSz w:w="11910" w:h="16840"/>
          <w:pgMar w:header="851" w:footer="982" w:top="1200" w:bottom="1180" w:left="1020" w:right="1020"/>
        </w:sectPr>
      </w:pPr>
    </w:p>
    <w:p>
      <w:pPr>
        <w:pStyle w:val="BodyText"/>
        <w:spacing w:line="357" w:lineRule="auto" w:before="32"/>
        <w:ind w:right="202" w:firstLine="420"/>
        <w:jc w:val="both"/>
      </w:pPr>
      <w:r>
        <w:rPr/>
        <w:pict>
          <v:group style="position:absolute;margin-left:55.200001pt;margin-top:2.943948pt;width:484.95pt;height:.1pt;mso-position-horizontal-relative:page;mso-position-vertical-relative:paragraph;z-index:-709936" coordorigin="1104,59" coordsize="9699,2">
            <v:shape style="position:absolute;left:1104;top:59;width:9699;height:2" coordorigin="1104,59" coordsize="9699,0" path="m1104,59l10802,59e" filled="false" stroked="true" strokeweight=".72pt" strokecolor="#000000">
              <v:path arrowok="t"/>
            </v:shape>
            <w10:wrap type="none"/>
          </v:group>
        </w:pict>
      </w:r>
      <w:r>
        <w:rPr/>
        <w:t>本公司设有独立的财务部门，建立了独立的会计核算体系和财务管理制度，并实施严格的内部审计</w:t>
      </w:r>
      <w:r>
        <w:rPr>
          <w:spacing w:val="2"/>
        </w:rPr>
        <w:t> </w:t>
      </w:r>
      <w:r>
        <w:rPr/>
        <w:t>制度，不存在本公司股东或其他关联方干预本公司资金使用的情况；本公司拥有独立的银行账户，独立</w:t>
      </w:r>
      <w:r>
        <w:rPr>
          <w:spacing w:val="-28"/>
        </w:rPr>
        <w:t> </w:t>
      </w:r>
      <w:r>
        <w:rPr>
          <w:spacing w:val="-28"/>
        </w:rPr>
      </w:r>
      <w:r>
        <w:rPr>
          <w:spacing w:val="-1"/>
        </w:rPr>
        <w:t>进行纳税申报并履行纳税义务，本公司股东及其他关联方没有非正常占用本公司资金、资产和其他资源。</w:t>
      </w:r>
    </w:p>
    <w:p>
      <w:pPr>
        <w:spacing w:line="550" w:lineRule="atLeast" w:before="34"/>
        <w:ind w:left="574" w:right="210" w:hanging="8"/>
        <w:jc w:val="left"/>
        <w:rPr>
          <w:rFonts w:ascii="宋体" w:hAnsi="宋体" w:cs="宋体" w:eastAsia="宋体" w:hint="default"/>
          <w:sz w:val="21"/>
          <w:szCs w:val="21"/>
        </w:rPr>
      </w:pPr>
      <w:r>
        <w:rPr>
          <w:rFonts w:ascii="宋体" w:hAnsi="宋体" w:cs="宋体" w:eastAsia="宋体" w:hint="default"/>
          <w:b/>
          <w:bCs/>
          <w:sz w:val="21"/>
          <w:szCs w:val="21"/>
        </w:rPr>
        <w:t>四、公司内部控制制度的建立和健全情况</w:t>
      </w:r>
      <w:r>
        <w:rPr>
          <w:rFonts w:ascii="宋体" w:hAnsi="宋体" w:cs="宋体" w:eastAsia="宋体" w:hint="default"/>
          <w:b/>
          <w:bCs/>
          <w:spacing w:val="1"/>
          <w:w w:val="99"/>
          <w:sz w:val="21"/>
          <w:szCs w:val="21"/>
        </w:rPr>
        <w:t> </w:t>
      </w:r>
      <w:r>
        <w:rPr>
          <w:rFonts w:ascii="宋体" w:hAnsi="宋体" w:cs="宋体" w:eastAsia="宋体" w:hint="default"/>
          <w:spacing w:val="-10"/>
          <w:sz w:val="21"/>
          <w:szCs w:val="21"/>
        </w:rPr>
        <w:t>根据《公司法》、《证券法》、《企业内部控制基本规范》以及自身经营特点，公司已建立了一套较为完</w:t>
      </w:r>
    </w:p>
    <w:p>
      <w:pPr>
        <w:pStyle w:val="BodyText"/>
        <w:spacing w:line="357" w:lineRule="auto" w:before="133"/>
        <w:ind w:right="101"/>
        <w:jc w:val="left"/>
      </w:pPr>
      <w:r>
        <w:rPr/>
        <w:t>整的涵盖经营管理、财务管理、信息披露等内容的内部控制制度，这些制度构成了公司的内部控制制度体 </w:t>
      </w:r>
      <w:r>
        <w:rPr>
          <w:spacing w:val="-3"/>
        </w:rPr>
        <w:t>系，基本涵盖了公司所有运营环节，具有较强的指导性。报告期内，公司制定了《内幕知情人管理制度》、</w:t>
      </w:r>
    </w:p>
    <w:p>
      <w:pPr>
        <w:pStyle w:val="BodyText"/>
        <w:spacing w:line="357" w:lineRule="auto" w:before="30"/>
        <w:ind w:right="0"/>
        <w:jc w:val="left"/>
      </w:pPr>
      <w:r>
        <w:rPr>
          <w:spacing w:val="-1"/>
        </w:rPr>
        <w:t>《年报信息披露重大差错责任追究制度》，并且细化了开发支出资本化的内部执行流程，进一步完善了相</w:t>
      </w:r>
      <w:r>
        <w:rPr>
          <w:spacing w:val="-94"/>
        </w:rPr>
        <w:t> </w:t>
      </w:r>
      <w:r>
        <w:rPr>
          <w:spacing w:val="-94"/>
        </w:rPr>
      </w:r>
      <w:r>
        <w:rPr/>
        <w:t>关内部控制制度体系和各项内控制度的执行环节。</w:t>
      </w:r>
    </w:p>
    <w:p>
      <w:pPr>
        <w:spacing w:line="355" w:lineRule="auto" w:before="30"/>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（一）公司董事会对内部控制的自我评价</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公司董事会对公司内部控制进行了认真的自查和分析，认为：公司具有较为完善的法人治理结构，内</w:t>
      </w:r>
    </w:p>
    <w:p>
      <w:pPr>
        <w:pStyle w:val="BodyText"/>
        <w:spacing w:line="357" w:lineRule="auto" w:before="33"/>
        <w:ind w:right="101"/>
        <w:jc w:val="left"/>
      </w:pPr>
      <w:r>
        <w:rPr>
          <w:spacing w:val="-3"/>
        </w:rPr>
        <w:t>部控制体系较为健全，该体系已囊括公司经营及管理的各个层面和各环节，具有规范性、合法性和有效性，</w:t>
      </w:r>
      <w:r>
        <w:rPr>
          <w:spacing w:val="-90"/>
        </w:rPr>
        <w:t> </w:t>
      </w:r>
      <w:r>
        <w:rPr>
          <w:spacing w:val="-90"/>
        </w:rPr>
      </w:r>
      <w:r>
        <w:rPr/>
        <w:t>能够较好地预防、发现和纠正公司在经营、管理运作中出现的问题和风险，适应公司管理和发展的需要， 保证公司资产的安全和完整，保证会计信息的准确性、真实性和及时性，公司各项内部控制制度执行情况</w:t>
      </w:r>
      <w:r>
        <w:rPr/>
        <w:t> 良好，公司内部控制是有效的。</w:t>
      </w:r>
    </w:p>
    <w:p>
      <w:pPr>
        <w:pStyle w:val="BodyText"/>
        <w:spacing w:line="355" w:lineRule="auto" w:before="31"/>
        <w:ind w:left="153" w:right="189" w:firstLine="420"/>
        <w:jc w:val="both"/>
      </w:pPr>
      <w:r>
        <w:rPr>
          <w:spacing w:val="-5"/>
        </w:rPr>
        <w:t>《董事会关于2010年度内部控制自我评价报告》刊登于2011年3月9日的《证券时报》、《中国证券报》</w:t>
      </w:r>
      <w:r>
        <w:rPr/>
        <w:t> 及巨潮资讯网(www.cninfo.com.cn)。</w:t>
      </w:r>
    </w:p>
    <w:p>
      <w:pPr>
        <w:spacing w:line="357" w:lineRule="auto" w:before="32"/>
        <w:ind w:left="565" w:right="0" w:firstLine="1"/>
        <w:jc w:val="left"/>
        <w:rPr>
          <w:rFonts w:ascii="宋体" w:hAnsi="宋体" w:cs="宋体" w:eastAsia="宋体" w:hint="default"/>
          <w:sz w:val="21"/>
          <w:szCs w:val="21"/>
        </w:rPr>
      </w:pPr>
      <w:r>
        <w:rPr>
          <w:rFonts w:ascii="宋体" w:hAnsi="宋体" w:cs="宋体" w:eastAsia="宋体" w:hint="default"/>
          <w:b/>
          <w:bCs/>
          <w:sz w:val="21"/>
          <w:szCs w:val="21"/>
        </w:rPr>
        <w:t>（二）公司监事会对内部控制自我评价的审核意见</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2011年3月7日，公司召开了第四届监事会第二次会议，审议通过了《董事会关于2010年度内部控制自</w:t>
      </w:r>
    </w:p>
    <w:p>
      <w:pPr>
        <w:pStyle w:val="BodyText"/>
        <w:spacing w:line="357" w:lineRule="auto" w:before="30"/>
        <w:ind w:left="153" w:right="0"/>
        <w:jc w:val="left"/>
      </w:pPr>
      <w:r>
        <w:rPr>
          <w:spacing w:val="-3"/>
        </w:rPr>
        <w:t>我评价报告》，并发表如下审核意见：公司建立了较为完善的内部控制体系，并能得到有效执行；公司的</w:t>
      </w:r>
      <w:r>
        <w:rPr>
          <w:spacing w:val="-73"/>
        </w:rPr>
        <w:t> </w:t>
      </w:r>
      <w:r>
        <w:rPr>
          <w:spacing w:val="-73"/>
        </w:rPr>
      </w:r>
      <w:r>
        <w:rPr>
          <w:spacing w:val="-1"/>
        </w:rPr>
        <w:t>内部控制体系符合国家相关法律法规要求以及公司实际需要，对公司经营管理起到了较好的风险防范和控</w:t>
      </w:r>
      <w:r>
        <w:rPr>
          <w:spacing w:val="-81"/>
        </w:rPr>
        <w:t> </w:t>
      </w:r>
      <w:r>
        <w:rPr>
          <w:spacing w:val="-81"/>
        </w:rPr>
      </w:r>
      <w:r>
        <w:rPr>
          <w:spacing w:val="-1"/>
        </w:rPr>
        <w:t>制作用。董事会出具的《关于2010年度内部控制的自我评价报告》真实、客观地反映了公司内部控制制度</w:t>
      </w:r>
      <w:r>
        <w:rPr>
          <w:spacing w:val="-84"/>
        </w:rPr>
        <w:t> </w:t>
      </w:r>
      <w:r>
        <w:rPr>
          <w:spacing w:val="-84"/>
        </w:rPr>
      </w:r>
      <w:r>
        <w:rPr/>
        <w:t>的建设及运行情况。</w:t>
      </w:r>
    </w:p>
    <w:p>
      <w:pPr>
        <w:spacing w:line="355" w:lineRule="auto" w:before="30"/>
        <w:ind w:left="573" w:right="0" w:hanging="8"/>
        <w:jc w:val="left"/>
        <w:rPr>
          <w:rFonts w:ascii="宋体" w:hAnsi="宋体" w:cs="宋体" w:eastAsia="宋体" w:hint="default"/>
          <w:sz w:val="21"/>
          <w:szCs w:val="21"/>
        </w:rPr>
      </w:pPr>
      <w:r>
        <w:rPr>
          <w:rFonts w:ascii="宋体" w:hAnsi="宋体" w:cs="宋体" w:eastAsia="宋体" w:hint="default"/>
          <w:b/>
          <w:bCs/>
          <w:sz w:val="21"/>
          <w:szCs w:val="21"/>
        </w:rPr>
        <w:t>（三）公司独立董事对内部控制自我评价的独立意见</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我们根据《独立董事工作制度》、《中小板板上市公司内部审计工作指引》等法律法规，作为北京中长</w:t>
      </w:r>
    </w:p>
    <w:p>
      <w:pPr>
        <w:pStyle w:val="BodyText"/>
        <w:spacing w:line="357" w:lineRule="auto" w:before="33"/>
        <w:ind w:left="153" w:right="209"/>
        <w:jc w:val="both"/>
      </w:pPr>
      <w:r>
        <w:rPr>
          <w:spacing w:val="-1"/>
        </w:rPr>
        <w:t>石基信息技术股份有限公司的独立董事，现就《董事会关于2010年度内部控制自我评价报告》发表意见如</w:t>
      </w:r>
      <w:r>
        <w:rPr>
          <w:spacing w:val="-83"/>
        </w:rPr>
        <w:t> </w:t>
      </w:r>
      <w:r>
        <w:rPr>
          <w:spacing w:val="-83"/>
        </w:rPr>
      </w:r>
      <w:r>
        <w:rPr>
          <w:spacing w:val="-1"/>
        </w:rPr>
        <w:t>下：公司的内部控制制度符合我国有关法规和证券监管部门的要求，在所有重大方面保持了与企业业务及</w:t>
      </w:r>
      <w:r>
        <w:rPr>
          <w:spacing w:val="-81"/>
        </w:rPr>
        <w:t> </w:t>
      </w:r>
      <w:r>
        <w:rPr>
          <w:spacing w:val="-81"/>
        </w:rPr>
      </w:r>
      <w:r>
        <w:rPr>
          <w:spacing w:val="-1"/>
        </w:rPr>
        <w:t>管理相关的有效的内部控制。2010年度，公司内部控制在制度建设和实施环节进行了进一步的完善，并得</w:t>
      </w:r>
      <w:r>
        <w:rPr>
          <w:spacing w:val="-81"/>
        </w:rPr>
        <w:t> </w:t>
      </w:r>
      <w:r>
        <w:rPr>
          <w:spacing w:val="-81"/>
        </w:rPr>
      </w:r>
      <w:r>
        <w:rPr>
          <w:spacing w:val="-1"/>
        </w:rPr>
        <w:t>到了有效的实施，内部治理水平得到了一定程度的提升，董事会出具的《关于2010年度内部控制的自我评</w:t>
      </w:r>
      <w:r>
        <w:rPr>
          <w:spacing w:val="-83"/>
        </w:rPr>
        <w:t> </w:t>
      </w:r>
      <w:r>
        <w:rPr>
          <w:spacing w:val="-83"/>
        </w:rPr>
      </w:r>
      <w:r>
        <w:rPr/>
        <w:t>价报告》客观地反映了公司内部控制制度的建设和运行情况。</w:t>
      </w:r>
    </w:p>
    <w:p>
      <w:pPr>
        <w:spacing w:line="355" w:lineRule="auto" w:before="3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（四）会计师事务所的内部控制鉴证报告</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武汉众环会计师事务所有限责任公司（以下简称“众环会计师事务所”）对公司内部控制的有效性进</w:t>
      </w:r>
    </w:p>
    <w:p>
      <w:pPr>
        <w:pStyle w:val="BodyText"/>
        <w:spacing w:line="355" w:lineRule="auto" w:before="33"/>
        <w:ind w:left="153" w:right="0"/>
        <w:jc w:val="left"/>
      </w:pPr>
      <w:r>
        <w:rPr>
          <w:spacing w:val="-3"/>
        </w:rPr>
        <w:t>行了评价，出具了《内部控制鉴证报告》，认为：董事会作出的“根据《企业内部控制基本规范》以及其</w:t>
      </w:r>
      <w:r>
        <w:rPr>
          <w:spacing w:val="-74"/>
        </w:rPr>
        <w:t> </w:t>
      </w:r>
      <w:r>
        <w:rPr>
          <w:spacing w:val="-74"/>
        </w:rPr>
      </w:r>
      <w:r>
        <w:rPr>
          <w:spacing w:val="-1"/>
        </w:rPr>
        <w:t>他控制标准截至2010年12月31日止与财务报表相关的内部控制在所有重大方面是有效的”这一认定是公允</w:t>
      </w:r>
    </w:p>
    <w:p>
      <w:pPr>
        <w:spacing w:after="0" w:line="355" w:lineRule="auto"/>
        <w:jc w:val="left"/>
        <w:sectPr>
          <w:pgSz w:w="11910" w:h="16840"/>
          <w:pgMar w:header="851" w:footer="982" w:top="1200" w:bottom="1180" w:left="980" w:right="920"/>
        </w:sectPr>
      </w:pPr>
    </w:p>
    <w:p>
      <w:pPr>
        <w:pStyle w:val="BodyText"/>
        <w:spacing w:line="240" w:lineRule="auto" w:before="32"/>
        <w:ind w:right="3476"/>
        <w:jc w:val="left"/>
      </w:pPr>
      <w:r>
        <w:rPr/>
        <w:pict>
          <v:group style="position:absolute;margin-left:55.200001pt;margin-top:2.943948pt;width:484.95pt;height:.1pt;mso-position-horizontal-relative:page;mso-position-vertical-relative:paragraph;z-index:-709912" coordorigin="1104,59" coordsize="9699,2">
            <v:shape style="position:absolute;left:1104;top:59;width:9699;height:2" coordorigin="1104,59" coordsize="9699,0" path="m1104,59l10802,59e" filled="false" stroked="true" strokeweight=".72pt" strokecolor="#000000">
              <v:path arrowok="t"/>
            </v:shape>
            <w10:wrap type="none"/>
          </v:group>
        </w:pict>
      </w:r>
      <w:r>
        <w:rPr/>
        <w:t>的。</w:t>
      </w:r>
    </w:p>
    <w:p>
      <w:pPr>
        <w:pStyle w:val="BodyText"/>
        <w:spacing w:line="357" w:lineRule="auto" w:before="133"/>
        <w:ind w:right="0" w:firstLine="420"/>
        <w:jc w:val="left"/>
      </w:pPr>
      <w:r>
        <w:rPr>
          <w:spacing w:val="26"/>
        </w:rPr>
        <w:t>武汉众环会</w:t>
      </w:r>
      <w:r>
        <w:rPr>
          <w:spacing w:val="-72"/>
        </w:rPr>
        <w:t> </w:t>
      </w:r>
      <w:r>
        <w:rPr>
          <w:spacing w:val="26"/>
        </w:rPr>
        <w:t>计师事务所</w:t>
      </w:r>
      <w:r>
        <w:rPr>
          <w:spacing w:val="-72"/>
        </w:rPr>
        <w:t> </w:t>
      </w:r>
      <w:r>
        <w:rPr>
          <w:spacing w:val="26"/>
        </w:rPr>
        <w:t>出具的《内</w:t>
      </w:r>
      <w:r>
        <w:rPr>
          <w:spacing w:val="-72"/>
        </w:rPr>
        <w:t> </w:t>
      </w:r>
      <w:r>
        <w:rPr>
          <w:spacing w:val="26"/>
        </w:rPr>
        <w:t>部控制鉴证</w:t>
      </w:r>
      <w:r>
        <w:rPr>
          <w:spacing w:val="-72"/>
        </w:rPr>
        <w:t> </w:t>
      </w:r>
      <w:r>
        <w:rPr>
          <w:spacing w:val="26"/>
        </w:rPr>
        <w:t>报告》刊登</w:t>
      </w:r>
      <w:r>
        <w:rPr>
          <w:spacing w:val="-72"/>
        </w:rPr>
        <w:t> </w:t>
      </w:r>
      <w:r>
        <w:rPr/>
        <w:t>于</w:t>
      </w:r>
      <w:r>
        <w:rPr>
          <w:spacing w:val="-71"/>
        </w:rPr>
        <w:t> </w:t>
      </w:r>
      <w:r>
        <w:rPr>
          <w:spacing w:val="6"/>
        </w:rPr>
        <w:t>2011年</w:t>
      </w:r>
      <w:r>
        <w:rPr>
          <w:spacing w:val="-72"/>
        </w:rPr>
        <w:t> </w:t>
      </w:r>
      <w:r>
        <w:rPr>
          <w:spacing w:val="27"/>
        </w:rPr>
        <w:t>3月9日的巨</w:t>
      </w:r>
      <w:r>
        <w:rPr>
          <w:spacing w:val="-72"/>
        </w:rPr>
        <w:t> </w:t>
      </w:r>
      <w:r>
        <w:rPr>
          <w:spacing w:val="22"/>
        </w:rPr>
        <w:t>潮资讯</w:t>
      </w:r>
      <w:r>
        <w:rPr>
          <w:spacing w:val="-70"/>
        </w:rPr>
        <w:t> </w:t>
      </w:r>
      <w:r>
        <w:rPr/>
        <w:t>网</w:t>
      </w:r>
      <w:r>
        <w:rPr/>
        <w:t> (www.cninfo.com.cn)。</w:t>
      </w:r>
    </w:p>
    <w:p>
      <w:pPr>
        <w:pStyle w:val="Heading3"/>
        <w:spacing w:line="240" w:lineRule="auto" w:before="30"/>
        <w:ind w:left="576" w:right="3476"/>
        <w:jc w:val="left"/>
        <w:rPr>
          <w:b w:val="0"/>
          <w:bCs w:val="0"/>
        </w:rPr>
      </w:pPr>
      <w:r>
        <w:rPr/>
        <w:t>五、公司内部审计制度的建立和执行情况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39" w:type="dxa"/>
        <w:tblLayout w:type="fixed"/>
        <w:tblCellMar>
          <w:top w:w="0" w:type="dxa"/>
          <w:left w:w="0" w:type="dxa"/>
          <w:bottom w:w="0" w:type="dxa"/>
          <w:right w:w="0" w:type="dxa"/>
        </w:tblCellMar>
        <w:tblLook w:val="01E0"/>
      </w:tblPr>
      <w:tblGrid>
        <w:gridCol w:w="6727"/>
        <w:gridCol w:w="1595"/>
        <w:gridCol w:w="1333"/>
      </w:tblGrid>
      <w:tr>
        <w:trPr>
          <w:trHeight w:val="62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21"/>
                <w:szCs w:val="21"/>
              </w:rPr>
            </w:pPr>
            <w:r>
              <w:rPr>
                <w:rFonts w:ascii="宋体" w:hAnsi="宋体" w:cs="宋体" w:eastAsia="宋体" w:hint="default"/>
                <w:b/>
                <w:bCs/>
                <w:sz w:val="21"/>
                <w:szCs w:val="21"/>
              </w:rPr>
              <w:t>是/否/不适用</w:t>
            </w:r>
            <w:r>
              <w:rPr>
                <w:rFonts w:ascii="宋体" w:hAnsi="宋体" w:cs="宋体" w:eastAsia="宋体" w:hint="default"/>
                <w:sz w:val="21"/>
                <w:szCs w:val="21"/>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21"/>
                <w:szCs w:val="21"/>
              </w:rPr>
            </w:pPr>
            <w:r>
              <w:rPr>
                <w:rFonts w:ascii="宋体" w:hAnsi="宋体" w:cs="宋体" w:eastAsia="宋体" w:hint="default"/>
                <w:b/>
                <w:bCs/>
                <w:sz w:val="21"/>
                <w:szCs w:val="21"/>
              </w:rPr>
              <w:t>备注/说明</w:t>
            </w:r>
            <w:r>
              <w:rPr>
                <w:rFonts w:ascii="宋体" w:hAnsi="宋体" w:cs="宋体" w:eastAsia="宋体" w:hint="default"/>
                <w:sz w:val="21"/>
                <w:szCs w:val="21"/>
              </w:rPr>
            </w:r>
          </w:p>
        </w:tc>
      </w:tr>
      <w:tr>
        <w:trPr>
          <w:trHeight w:val="37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一、内部审计制度的建立情况以及内审工作指引落实情况</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4"/>
                <w:sz w:val="21"/>
                <w:szCs w:val="21"/>
              </w:rPr>
              <w:t>1．公司是否在股票上市后六个月内建立内部审计制度，内部审计制度是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否经公司董事会审议通过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4"/>
                <w:sz w:val="21"/>
                <w:szCs w:val="21"/>
              </w:rPr>
              <w:t>2．公司董事会是否设立审计委员会，公司在股票上市后六个月内是否设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立独立于财务部门的内部审计部门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73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4"/>
              <w:ind w:left="103" w:right="10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）审计委员会成员是否全部由董事组成，独立董事占半数以上并 担任召集人，且至少有一名独立董事为会计专业人士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101"/>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）内部审计部门是否配置三名以上（含三名）专职人员从事内部审计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）内部审计部门负责人是否专职，由审计委员会提名，董事会任免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37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w:t>
            </w:r>
          </w:p>
        </w:tc>
      </w:tr>
      <w:tr>
        <w:trPr>
          <w:trHeight w:val="73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2"/>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．内部控制自我评价报告结论是否为内部控制有效（如为内部控制无效，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请说明内部控制存在的重大缺陷）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7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．本年度是否聘请会计师事务所对内部控制有效性出具鉴证报告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w:t>
            </w:r>
          </w:p>
        </w:tc>
      </w:tr>
      <w:tr>
        <w:trPr>
          <w:trHeight w:val="109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．会计师事务所对公司内部控制有效性是否出具无保留结论鉴证报告。 如出具非无保留结论鉴证报告，公司董事会、监事会是否针对鉴证结论 涉及事项做出专项说明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r>
      <w:tr>
        <w:trPr>
          <w:trHeight w:val="3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．独立董事、监事会是否出具明确同意意见（如为异议意见，请说明）</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w:t>
            </w:r>
          </w:p>
        </w:tc>
      </w:tr>
      <w:tr>
        <w:trPr>
          <w:trHeight w:val="37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6．保荐机构和保荐代表人是否出具明确同意的核查意见（如适用）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w:t>
            </w:r>
          </w:p>
        </w:tc>
      </w:tr>
      <w:tr>
        <w:trPr>
          <w:trHeight w:val="37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361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1"/>
                <w:sz w:val="21"/>
                <w:szCs w:val="21"/>
              </w:rPr>
              <w:t>审计委员会本年度主要工作内容及工作成效参见第七节第六部分中的“董事会审计委员会履职情况汇总</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报告”。</w:t>
            </w:r>
          </w:p>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年度，内部审计部门主要工作内容为：</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1.2009</w:t>
            </w:r>
            <w:r>
              <w:rPr>
                <w:rFonts w:ascii="宋体" w:hAnsi="宋体" w:cs="宋体" w:eastAsia="宋体" w:hint="default"/>
                <w:spacing w:val="-54"/>
                <w:sz w:val="21"/>
                <w:szCs w:val="21"/>
              </w:rPr>
              <w:t> </w:t>
            </w:r>
            <w:r>
              <w:rPr>
                <w:rFonts w:ascii="宋体" w:hAnsi="宋体" w:cs="宋体" w:eastAsia="宋体" w:hint="default"/>
                <w:sz w:val="21"/>
                <w:szCs w:val="21"/>
              </w:rPr>
              <w:t>年第四季度、年度及</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年前三个季度公司的财务状况进行审计</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2.2009</w:t>
            </w:r>
            <w:r>
              <w:rPr>
                <w:rFonts w:ascii="宋体" w:hAnsi="宋体" w:cs="宋体" w:eastAsia="宋体" w:hint="default"/>
                <w:spacing w:val="-54"/>
                <w:sz w:val="21"/>
                <w:szCs w:val="21"/>
              </w:rPr>
              <w:t> </w:t>
            </w:r>
            <w:r>
              <w:rPr>
                <w:rFonts w:ascii="宋体" w:hAnsi="宋体" w:cs="宋体" w:eastAsia="宋体" w:hint="default"/>
                <w:sz w:val="21"/>
                <w:szCs w:val="21"/>
              </w:rPr>
              <w:t>年第四季度、年度及</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年前三个季度公司的募集资金的存放和使用进行审计</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3.评价各部门经费管理控制规章制度建立和执行情况,了解固定资产购置、管理、使用等方面的情况</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4.检查公司是否有对外担保、关联交易情形，并是否履行了相关制度</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5．配合审计委员会以及外部审计机构的工作</w:t>
            </w:r>
          </w:p>
          <w:p>
            <w:pPr>
              <w:pStyle w:val="TableParagraph"/>
              <w:spacing w:line="314" w:lineRule="auto" w:before="85"/>
              <w:ind w:left="103" w:right="10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pacing w:val="-2"/>
                <w:sz w:val="21"/>
                <w:szCs w:val="21"/>
              </w:rPr>
              <w:t>年度内审部各项工作的开展加强了公司财务管理工作，起到了改进财务管理和流程的作用，有力地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协助董事会审计委员会完成了各项工作。</w:t>
            </w:r>
          </w:p>
        </w:tc>
      </w:tr>
      <w:tr>
        <w:trPr>
          <w:trHeight w:val="371"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r>
      <w:tr>
        <w:trPr>
          <w:trHeight w:val="370" w:hRule="exact"/>
        </w:trPr>
        <w:tc>
          <w:tcPr>
            <w:tcW w:w="9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851" w:footer="982" w:top="1200" w:bottom="1180" w:left="980" w:right="980"/>
        </w:sectPr>
      </w:pPr>
    </w:p>
    <w:p>
      <w:pPr>
        <w:pStyle w:val="Heading3"/>
        <w:spacing w:line="240" w:lineRule="auto" w:before="33"/>
        <w:ind w:left="576" w:right="3476"/>
        <w:jc w:val="left"/>
        <w:rPr>
          <w:b w:val="0"/>
          <w:bCs w:val="0"/>
        </w:rPr>
      </w:pPr>
      <w:r>
        <w:rPr/>
        <w:pict>
          <v:group style="position:absolute;margin-left:55.200001pt;margin-top:2.93395pt;width:484.95pt;height:.1pt;mso-position-horizontal-relative:page;mso-position-vertical-relative:paragraph;z-index:-709888" coordorigin="1104,59" coordsize="9699,2">
            <v:shape style="position:absolute;left:1104;top:59;width:9699;height:2" coordorigin="1104,59" coordsize="9699,0" path="m1104,59l10802,59e" filled="false" stroked="true" strokeweight=".72pt" strokecolor="#000000">
              <v:path arrowok="t"/>
            </v:shape>
            <w10:wrap type="none"/>
          </v:group>
        </w:pict>
      </w:r>
      <w:r>
        <w:rPr/>
        <w:t>六、高级管理人员的考评及激励机制</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right="142" w:firstLine="420"/>
        <w:jc w:val="both"/>
      </w:pPr>
      <w:r>
        <w:rPr/>
        <w:t>公司重视对高级管理人员的绩效考评工作，不断完善高级管理人员的考评和激励机制。公司对高级</w:t>
      </w:r>
      <w:r>
        <w:rPr>
          <w:spacing w:val="2"/>
        </w:rPr>
        <w:t> </w:t>
      </w:r>
      <w:r>
        <w:rPr/>
        <w:t>管理人员实行年薪制，高级管理人员的年薪与公司经营业绩以及个人工作绩效挂钩，由公司董事会薪酬</w:t>
      </w:r>
      <w:r>
        <w:rPr>
          <w:spacing w:val="-28"/>
        </w:rPr>
        <w:t> </w:t>
      </w:r>
      <w:r>
        <w:rPr>
          <w:spacing w:val="-28"/>
        </w:rPr>
      </w:r>
      <w:r>
        <w:rPr>
          <w:spacing w:val="-1"/>
        </w:rPr>
        <w:t>委员会对高级管理人员进行考评。考评结果作为高管人员年薪核定的主要依据，由董事会最终审议通过。</w:t>
      </w:r>
    </w:p>
    <w:p>
      <w:pPr>
        <w:spacing w:after="0" w:line="357" w:lineRule="auto"/>
        <w:jc w:val="both"/>
        <w:sectPr>
          <w:pgSz w:w="11910" w:h="16840"/>
          <w:pgMar w:header="851" w:footer="982" w:top="1200" w:bottom="1180" w:left="980" w:right="98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right="1417"/>
        <w:jc w:val="center"/>
        <w:rPr>
          <w:b w:val="0"/>
          <w:bCs w:val="0"/>
        </w:rPr>
      </w:pPr>
      <w:bookmarkStart w:name="_bookmark5" w:id="6"/>
      <w:bookmarkEnd w:id="6"/>
      <w:r>
        <w:rPr>
          <w:b w:val="0"/>
          <w:bCs w:val="0"/>
        </w:rPr>
      </w:r>
      <w:r>
        <w:rPr/>
        <w:t>第六节</w:t>
      </w:r>
      <w:r>
        <w:rPr>
          <w:spacing w:val="-6"/>
        </w:rPr>
        <w:t> </w:t>
      </w:r>
      <w:r>
        <w:rPr/>
        <w:t>股东大会情况简介</w:t>
      </w:r>
      <w:r>
        <w:rPr>
          <w:b w:val="0"/>
          <w:bCs w:val="0"/>
        </w:rPr>
      </w:r>
    </w:p>
    <w:p>
      <w:pPr>
        <w:spacing w:line="240" w:lineRule="auto" w:before="12"/>
        <w:rPr>
          <w:rFonts w:ascii="宋体" w:hAnsi="宋体" w:cs="宋体" w:eastAsia="宋体" w:hint="default"/>
          <w:b/>
          <w:bCs/>
          <w:sz w:val="35"/>
          <w:szCs w:val="35"/>
        </w:rPr>
      </w:pPr>
    </w:p>
    <w:p>
      <w:pPr>
        <w:pStyle w:val="BodyText"/>
        <w:spacing w:line="355" w:lineRule="auto"/>
        <w:ind w:right="0" w:firstLine="420"/>
        <w:jc w:val="left"/>
      </w:pPr>
      <w:r>
        <w:rPr/>
        <w:t>报告期内，公司共召开了3次股东大会：2010年第一次临时股东大会、2009年年度股东大会、2010年 </w:t>
      </w:r>
      <w:r>
        <w:rPr>
          <w:spacing w:val="-1"/>
        </w:rPr>
        <w:t>第二次临时股东大会。会议的召集程序、召开程序、出席人员资格以及表决程序符合《公司法》、《上市</w:t>
      </w:r>
      <w:r>
        <w:rPr>
          <w:spacing w:val="-85"/>
        </w:rPr>
        <w:t> </w:t>
      </w:r>
      <w:r>
        <w:rPr>
          <w:spacing w:val="-85"/>
        </w:rPr>
      </w:r>
      <w:r>
        <w:rPr/>
        <w:t>公司股东大会规则》和《公司章程》的有关规定。</w:t>
      </w:r>
    </w:p>
    <w:p>
      <w:pPr>
        <w:spacing w:line="240" w:lineRule="auto" w:before="0"/>
        <w:rPr>
          <w:rFonts w:ascii="宋体" w:hAnsi="宋体" w:cs="宋体" w:eastAsia="宋体" w:hint="default"/>
          <w:sz w:val="24"/>
          <w:szCs w:val="24"/>
        </w:rPr>
      </w:pPr>
    </w:p>
    <w:p>
      <w:pPr>
        <w:pStyle w:val="Heading3"/>
        <w:spacing w:line="240" w:lineRule="auto"/>
        <w:ind w:left="576" w:right="3476"/>
        <w:jc w:val="left"/>
        <w:rPr>
          <w:b w:val="0"/>
          <w:bCs w:val="0"/>
        </w:rPr>
      </w:pPr>
      <w:r>
        <w:rPr/>
        <w:t>一、2010</w:t>
      </w:r>
      <w:r>
        <w:rPr>
          <w:spacing w:val="-67"/>
        </w:rPr>
        <w:t> </w:t>
      </w:r>
      <w:r>
        <w:rPr/>
        <w:t>年第一次临时股东股东大会</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153" w:right="139" w:firstLine="420"/>
        <w:jc w:val="both"/>
      </w:pPr>
      <w:r>
        <w:rPr/>
        <w:t>2010</w:t>
      </w:r>
      <w:r>
        <w:rPr>
          <w:spacing w:val="-53"/>
        </w:rPr>
        <w:t> </w:t>
      </w:r>
      <w:r>
        <w:rPr/>
        <w:t>年</w:t>
      </w:r>
      <w:r>
        <w:rPr>
          <w:spacing w:val="-53"/>
        </w:rPr>
        <w:t> </w:t>
      </w:r>
      <w:r>
        <w:rPr/>
        <w:t>2</w:t>
      </w:r>
      <w:r>
        <w:rPr>
          <w:spacing w:val="-53"/>
        </w:rPr>
        <w:t> </w:t>
      </w:r>
      <w:r>
        <w:rPr/>
        <w:t>月</w:t>
      </w:r>
      <w:r>
        <w:rPr>
          <w:spacing w:val="-54"/>
        </w:rPr>
        <w:t> </w:t>
      </w:r>
      <w:r>
        <w:rPr/>
        <w:t>11</w:t>
      </w:r>
      <w:r>
        <w:rPr>
          <w:spacing w:val="-52"/>
        </w:rPr>
        <w:t> </w:t>
      </w:r>
      <w:r>
        <w:rPr/>
        <w:t>日</w:t>
      </w:r>
      <w:r>
        <w:rPr>
          <w:spacing w:val="-44"/>
        </w:rPr>
        <w:t>，</w:t>
      </w:r>
      <w:r>
        <w:rPr/>
        <w:t>公</w:t>
      </w:r>
      <w:r>
        <w:rPr>
          <w:spacing w:val="-2"/>
        </w:rPr>
        <w:t>司</w:t>
      </w:r>
      <w:r>
        <w:rPr/>
        <w:t>召开了</w:t>
      </w:r>
      <w:r>
        <w:rPr>
          <w:spacing w:val="-53"/>
        </w:rPr>
        <w:t> </w:t>
      </w:r>
      <w:r>
        <w:rPr/>
        <w:t>2010</w:t>
      </w:r>
      <w:r>
        <w:rPr>
          <w:spacing w:val="-53"/>
        </w:rPr>
        <w:t> </w:t>
      </w:r>
      <w:r>
        <w:rPr/>
        <w:t>年第一次临时股东大会</w:t>
      </w:r>
      <w:r>
        <w:rPr>
          <w:spacing w:val="-44"/>
        </w:rPr>
        <w:t>，</w:t>
      </w:r>
      <w:r>
        <w:rPr/>
        <w:t>审议通过</w:t>
      </w:r>
      <w:r>
        <w:rPr>
          <w:spacing w:val="-44"/>
        </w:rPr>
        <w:t>了</w:t>
      </w:r>
      <w:r>
        <w:rPr/>
        <w:t>《证券投资管理制度</w:t>
      </w:r>
      <w:r>
        <w:rPr>
          <w:spacing w:val="-105"/>
        </w:rPr>
        <w:t>》</w:t>
      </w:r>
      <w:r>
        <w:rPr>
          <w:spacing w:val="-147"/>
        </w:rPr>
        <w:t>、</w:t>
      </w:r>
      <w:r>
        <w:rPr>
          <w:spacing w:val="1"/>
        </w:rPr>
        <w:t>《股</w:t>
      </w:r>
      <w:r>
        <w:rPr>
          <w:spacing w:val="1"/>
        </w:rPr>
        <w:t> </w:t>
      </w:r>
      <w:r>
        <w:rPr>
          <w:spacing w:val="2"/>
        </w:rPr>
        <w:t>票期</w:t>
      </w:r>
      <w:r>
        <w:rPr>
          <w:spacing w:val="1"/>
        </w:rPr>
        <w:t>权</w:t>
      </w:r>
      <w:r>
        <w:rPr>
          <w:spacing w:val="2"/>
        </w:rPr>
        <w:t>激</w:t>
      </w:r>
      <w:r>
        <w:rPr>
          <w:spacing w:val="1"/>
        </w:rPr>
        <w:t>励</w:t>
      </w:r>
      <w:r>
        <w:rPr>
          <w:spacing w:val="2"/>
        </w:rPr>
        <w:t>计</w:t>
      </w:r>
      <w:r>
        <w:rPr>
          <w:spacing w:val="1"/>
        </w:rPr>
        <w:t>划</w:t>
      </w:r>
      <w:r>
        <w:rPr>
          <w:spacing w:val="2"/>
        </w:rPr>
        <w:t>(草</w:t>
      </w:r>
      <w:r>
        <w:rPr>
          <w:spacing w:val="1"/>
        </w:rPr>
        <w:t>案)</w:t>
      </w:r>
      <w:r>
        <w:rPr>
          <w:spacing w:val="2"/>
        </w:rPr>
        <w:t>修订案</w:t>
      </w:r>
      <w:r>
        <w:rPr>
          <w:spacing w:val="-103"/>
        </w:rPr>
        <w:t>》</w:t>
      </w:r>
      <w:r>
        <w:rPr>
          <w:spacing w:val="-104"/>
        </w:rPr>
        <w:t>、</w:t>
      </w:r>
      <w:r>
        <w:rPr>
          <w:spacing w:val="1"/>
        </w:rPr>
        <w:t>《</w:t>
      </w:r>
      <w:r>
        <w:rPr>
          <w:spacing w:val="2"/>
        </w:rPr>
        <w:t>股权</w:t>
      </w:r>
      <w:r>
        <w:rPr>
          <w:spacing w:val="1"/>
        </w:rPr>
        <w:t>激</w:t>
      </w:r>
      <w:r>
        <w:rPr>
          <w:spacing w:val="2"/>
        </w:rPr>
        <w:t>励</w:t>
      </w:r>
      <w:r>
        <w:rPr>
          <w:spacing w:val="1"/>
        </w:rPr>
        <w:t>计</w:t>
      </w:r>
      <w:r>
        <w:rPr>
          <w:spacing w:val="2"/>
        </w:rPr>
        <w:t>划实</w:t>
      </w:r>
      <w:r>
        <w:rPr>
          <w:spacing w:val="1"/>
        </w:rPr>
        <w:t>施</w:t>
      </w:r>
      <w:r>
        <w:rPr>
          <w:spacing w:val="2"/>
        </w:rPr>
        <w:t>考</w:t>
      </w:r>
      <w:r>
        <w:rPr>
          <w:spacing w:val="1"/>
        </w:rPr>
        <w:t>核</w:t>
      </w:r>
      <w:r>
        <w:rPr>
          <w:spacing w:val="2"/>
        </w:rPr>
        <w:t>办法</w:t>
      </w:r>
      <w:r>
        <w:rPr>
          <w:spacing w:val="-103"/>
        </w:rPr>
        <w:t>》</w:t>
      </w:r>
      <w:r>
        <w:rPr>
          <w:spacing w:val="-104"/>
        </w:rPr>
        <w:t>、</w:t>
      </w:r>
      <w:r>
        <w:rPr>
          <w:spacing w:val="2"/>
        </w:rPr>
        <w:t>《</w:t>
      </w:r>
      <w:r>
        <w:rPr>
          <w:spacing w:val="1"/>
        </w:rPr>
        <w:t>关</w:t>
      </w:r>
      <w:r>
        <w:rPr>
          <w:spacing w:val="2"/>
        </w:rPr>
        <w:t>于提</w:t>
      </w:r>
      <w:r>
        <w:rPr>
          <w:spacing w:val="1"/>
        </w:rPr>
        <w:t>请</w:t>
      </w:r>
      <w:r>
        <w:rPr>
          <w:spacing w:val="2"/>
        </w:rPr>
        <w:t>股</w:t>
      </w:r>
      <w:r>
        <w:rPr>
          <w:spacing w:val="1"/>
        </w:rPr>
        <w:t>东</w:t>
      </w:r>
      <w:r>
        <w:rPr>
          <w:spacing w:val="2"/>
        </w:rPr>
        <w:t>大会</w:t>
      </w:r>
      <w:r>
        <w:rPr>
          <w:spacing w:val="1"/>
        </w:rPr>
        <w:t>授</w:t>
      </w:r>
      <w:r>
        <w:rPr>
          <w:spacing w:val="2"/>
        </w:rPr>
        <w:t>权</w:t>
      </w:r>
      <w:r>
        <w:rPr>
          <w:spacing w:val="1"/>
        </w:rPr>
        <w:t>董</w:t>
      </w:r>
      <w:r>
        <w:rPr>
          <w:spacing w:val="2"/>
        </w:rPr>
        <w:t>事会</w:t>
      </w:r>
      <w:r>
        <w:rPr>
          <w:spacing w:val="1"/>
        </w:rPr>
        <w:t>办</w:t>
      </w:r>
      <w:r>
        <w:rPr>
          <w:spacing w:val="2"/>
        </w:rPr>
        <w:t>理股</w:t>
      </w:r>
      <w:r>
        <w:rPr>
          <w:spacing w:val="2"/>
        </w:rPr>
        <w:t> </w:t>
      </w:r>
      <w:r>
        <w:rPr>
          <w:spacing w:val="-1"/>
        </w:rPr>
        <w:t>票期权激励计划相关事宜的议案》四项提案，会议决议公告刊登</w:t>
      </w:r>
      <w:r>
        <w:rPr/>
        <w:t>于</w:t>
      </w:r>
      <w:r>
        <w:rPr>
          <w:spacing w:val="-37"/>
        </w:rPr>
        <w:t> </w:t>
      </w:r>
      <w:r>
        <w:rPr>
          <w:spacing w:val="-1"/>
        </w:rPr>
        <w:t>201</w:t>
      </w:r>
      <w:r>
        <w:rPr/>
        <w:t>0</w:t>
      </w:r>
      <w:r>
        <w:rPr>
          <w:spacing w:val="-36"/>
        </w:rPr>
        <w:t> </w:t>
      </w:r>
      <w:r>
        <w:rPr/>
        <w:t>年</w:t>
      </w:r>
      <w:r>
        <w:rPr>
          <w:spacing w:val="-38"/>
        </w:rPr>
        <w:t> </w:t>
      </w:r>
      <w:r>
        <w:rPr/>
        <w:t>2</w:t>
      </w:r>
      <w:r>
        <w:rPr>
          <w:spacing w:val="-38"/>
        </w:rPr>
        <w:t> </w:t>
      </w:r>
      <w:r>
        <w:rPr/>
        <w:t>月</w:t>
      </w:r>
      <w:r>
        <w:rPr>
          <w:spacing w:val="-37"/>
        </w:rPr>
        <w:t> </w:t>
      </w:r>
      <w:r>
        <w:rPr>
          <w:spacing w:val="-1"/>
        </w:rPr>
        <w:t>1</w:t>
      </w:r>
      <w:r>
        <w:rPr/>
        <w:t>2</w:t>
      </w:r>
      <w:r>
        <w:rPr>
          <w:spacing w:val="-38"/>
        </w:rPr>
        <w:t> </w:t>
      </w:r>
      <w:r>
        <w:rPr>
          <w:spacing w:val="-1"/>
        </w:rPr>
        <w:t>日的《中国证券报</w:t>
      </w:r>
      <w:r>
        <w:rPr>
          <w:spacing w:val="-105"/>
        </w:rPr>
        <w:t>》</w:t>
      </w:r>
      <w:r>
        <w:rPr/>
        <w:t>、</w:t>
      </w:r>
    </w:p>
    <w:p>
      <w:pPr>
        <w:spacing w:line="602" w:lineRule="auto" w:before="30"/>
        <w:ind w:left="576" w:right="4205" w:hanging="423"/>
        <w:jc w:val="left"/>
        <w:rPr>
          <w:rFonts w:ascii="宋体" w:hAnsi="宋体" w:cs="宋体" w:eastAsia="宋体" w:hint="default"/>
          <w:sz w:val="21"/>
          <w:szCs w:val="21"/>
        </w:rPr>
      </w:pPr>
      <w:r>
        <w:rPr>
          <w:rFonts w:ascii="宋体" w:hAnsi="宋体" w:cs="宋体" w:eastAsia="宋体" w:hint="default"/>
          <w:spacing w:val="-1"/>
          <w:sz w:val="21"/>
          <w:szCs w:val="21"/>
        </w:rPr>
        <w:t>《证券时报》及巨潮资讯网(www.cninfo.com.cn)上。 </w:t>
      </w:r>
      <w:r>
        <w:rPr>
          <w:rFonts w:ascii="宋体" w:hAnsi="宋体" w:cs="宋体" w:eastAsia="宋体" w:hint="default"/>
          <w:b/>
          <w:bCs/>
          <w:sz w:val="21"/>
          <w:szCs w:val="21"/>
        </w:rPr>
        <w:t>二、2009</w:t>
      </w:r>
      <w:r>
        <w:rPr>
          <w:rFonts w:ascii="宋体" w:hAnsi="宋体" w:cs="宋体" w:eastAsia="宋体" w:hint="default"/>
          <w:b/>
          <w:bCs/>
          <w:spacing w:val="-63"/>
          <w:sz w:val="21"/>
          <w:szCs w:val="21"/>
        </w:rPr>
        <w:t> </w:t>
      </w:r>
      <w:r>
        <w:rPr>
          <w:rFonts w:ascii="宋体" w:hAnsi="宋体" w:cs="宋体" w:eastAsia="宋体" w:hint="default"/>
          <w:b/>
          <w:bCs/>
          <w:sz w:val="21"/>
          <w:szCs w:val="21"/>
        </w:rPr>
        <w:t>年年度股东大会</w:t>
      </w:r>
      <w:r>
        <w:rPr>
          <w:rFonts w:ascii="宋体" w:hAnsi="宋体" w:cs="宋体" w:eastAsia="宋体" w:hint="default"/>
          <w:sz w:val="21"/>
          <w:szCs w:val="21"/>
        </w:rPr>
      </w:r>
    </w:p>
    <w:p>
      <w:pPr>
        <w:pStyle w:val="BodyText"/>
        <w:spacing w:line="357" w:lineRule="auto" w:before="95"/>
        <w:ind w:right="233" w:firstLine="420"/>
        <w:jc w:val="both"/>
      </w:pPr>
      <w:r>
        <w:rPr/>
        <w:t>2010</w:t>
      </w:r>
      <w:r>
        <w:rPr>
          <w:spacing w:val="-53"/>
        </w:rPr>
        <w:t> </w:t>
      </w:r>
      <w:r>
        <w:rPr/>
        <w:t>年</w:t>
      </w:r>
      <w:r>
        <w:rPr>
          <w:spacing w:val="-53"/>
        </w:rPr>
        <w:t> </w:t>
      </w:r>
      <w:r>
        <w:rPr/>
        <w:t>5</w:t>
      </w:r>
      <w:r>
        <w:rPr>
          <w:spacing w:val="-53"/>
        </w:rPr>
        <w:t> </w:t>
      </w:r>
      <w:r>
        <w:rPr/>
        <w:t>月</w:t>
      </w:r>
      <w:r>
        <w:rPr>
          <w:spacing w:val="-54"/>
        </w:rPr>
        <w:t> </w:t>
      </w:r>
      <w:r>
        <w:rPr/>
        <w:t>6</w:t>
      </w:r>
      <w:r>
        <w:rPr>
          <w:spacing w:val="-52"/>
        </w:rPr>
        <w:t> </w:t>
      </w:r>
      <w:r>
        <w:rPr/>
        <w:t>日</w:t>
      </w:r>
      <w:r>
        <w:rPr>
          <w:spacing w:val="-30"/>
        </w:rPr>
        <w:t>，</w:t>
      </w:r>
      <w:r>
        <w:rPr/>
        <w:t>公司召开了</w:t>
      </w:r>
      <w:r>
        <w:rPr>
          <w:spacing w:val="-53"/>
        </w:rPr>
        <w:t> </w:t>
      </w:r>
      <w:r>
        <w:rPr/>
        <w:t>2009</w:t>
      </w:r>
      <w:r>
        <w:rPr>
          <w:spacing w:val="-52"/>
        </w:rPr>
        <w:t> </w:t>
      </w:r>
      <w:r>
        <w:rPr>
          <w:spacing w:val="-2"/>
        </w:rPr>
        <w:t>年</w:t>
      </w:r>
      <w:r>
        <w:rPr/>
        <w:t>年度股东大会</w:t>
      </w:r>
      <w:r>
        <w:rPr>
          <w:spacing w:val="-30"/>
        </w:rPr>
        <w:t>，</w:t>
      </w:r>
      <w:r>
        <w:rPr/>
        <w:t>审议通过</w:t>
      </w:r>
      <w:r>
        <w:rPr>
          <w:spacing w:val="-30"/>
        </w:rPr>
        <w:t>了</w:t>
      </w:r>
      <w:r>
        <w:rPr/>
        <w:t>《2009</w:t>
      </w:r>
      <w:r>
        <w:rPr>
          <w:spacing w:val="-53"/>
        </w:rPr>
        <w:t> </w:t>
      </w:r>
      <w:r>
        <w:rPr/>
        <w:t>年年度报告及摘要</w:t>
      </w:r>
      <w:r>
        <w:rPr>
          <w:spacing w:val="-105"/>
        </w:rPr>
        <w:t>》</w:t>
      </w:r>
      <w:r>
        <w:rPr>
          <w:spacing w:val="-135"/>
        </w:rPr>
        <w:t>、</w:t>
      </w:r>
      <w:r>
        <w:rPr/>
        <w:t>《</w:t>
      </w:r>
      <w:r>
        <w:rPr>
          <w:spacing w:val="-1"/>
        </w:rPr>
        <w:t>2</w:t>
      </w:r>
      <w:r>
        <w:rPr/>
        <w:t>009</w:t>
      </w:r>
      <w:r>
        <w:rPr/>
        <w:t> 年度董事会工作报告</w:t>
      </w:r>
      <w:r>
        <w:rPr>
          <w:spacing w:val="-105"/>
        </w:rPr>
        <w:t>》</w:t>
      </w:r>
      <w:r>
        <w:rPr>
          <w:spacing w:val="-128"/>
        </w:rPr>
        <w:t>、</w:t>
      </w:r>
      <w:r>
        <w:rPr/>
        <w:t>《2009</w:t>
      </w:r>
      <w:r>
        <w:rPr>
          <w:spacing w:val="-52"/>
        </w:rPr>
        <w:t> </w:t>
      </w:r>
      <w:r>
        <w:rPr/>
        <w:t>年</w:t>
      </w:r>
      <w:r>
        <w:rPr>
          <w:spacing w:val="-2"/>
        </w:rPr>
        <w:t>度</w:t>
      </w:r>
      <w:r>
        <w:rPr/>
        <w:t>监事会工作报告</w:t>
      </w:r>
      <w:r>
        <w:rPr>
          <w:spacing w:val="-105"/>
        </w:rPr>
        <w:t>》</w:t>
      </w:r>
      <w:r>
        <w:rPr>
          <w:spacing w:val="-126"/>
        </w:rPr>
        <w:t>、</w:t>
      </w:r>
      <w:r>
        <w:rPr>
          <w:spacing w:val="-2"/>
        </w:rPr>
        <w:t>《</w:t>
      </w:r>
      <w:r>
        <w:rPr/>
        <w:t>2</w:t>
      </w:r>
      <w:r>
        <w:rPr>
          <w:spacing w:val="-1"/>
        </w:rPr>
        <w:t>00</w:t>
      </w:r>
      <w:r>
        <w:rPr/>
        <w:t>9</w:t>
      </w:r>
      <w:r>
        <w:rPr>
          <w:spacing w:val="-52"/>
        </w:rPr>
        <w:t> </w:t>
      </w:r>
      <w:r>
        <w:rPr>
          <w:spacing w:val="-1"/>
        </w:rPr>
        <w:t>年度利润</w:t>
      </w:r>
      <w:r>
        <w:rPr>
          <w:spacing w:val="-2"/>
        </w:rPr>
        <w:t>分</w:t>
      </w:r>
      <w:r>
        <w:rPr>
          <w:spacing w:val="-1"/>
        </w:rPr>
        <w:t>配方案</w:t>
      </w:r>
      <w:r>
        <w:rPr>
          <w:spacing w:val="-105"/>
        </w:rPr>
        <w:t>》</w:t>
      </w:r>
      <w:r>
        <w:rPr>
          <w:spacing w:val="-126"/>
        </w:rPr>
        <w:t>、</w:t>
      </w:r>
      <w:r>
        <w:rPr>
          <w:spacing w:val="-2"/>
        </w:rPr>
        <w:t>《</w:t>
      </w:r>
      <w:r>
        <w:rPr>
          <w:spacing w:val="-1"/>
        </w:rPr>
        <w:t>2</w:t>
      </w:r>
      <w:r>
        <w:rPr/>
        <w:t>009</w:t>
      </w:r>
      <w:r>
        <w:rPr>
          <w:spacing w:val="-52"/>
        </w:rPr>
        <w:t> </w:t>
      </w:r>
      <w:r>
        <w:rPr/>
        <w:t>年度财</w:t>
      </w:r>
      <w:r>
        <w:rPr>
          <w:spacing w:val="-2"/>
        </w:rPr>
        <w:t>务</w:t>
      </w:r>
      <w:r>
        <w:rPr/>
        <w:t>决算报</w:t>
      </w:r>
      <w:r>
        <w:rPr/>
        <w:t> 告</w:t>
      </w:r>
      <w:r>
        <w:rPr>
          <w:spacing w:val="-105"/>
        </w:rPr>
        <w:t>》、</w:t>
      </w:r>
      <w:r>
        <w:rPr>
          <w:spacing w:val="-1"/>
        </w:rPr>
        <w:t>《关</w:t>
      </w:r>
      <w:r>
        <w:rPr>
          <w:spacing w:val="-2"/>
        </w:rPr>
        <w:t>于</w:t>
      </w:r>
      <w:r>
        <w:rPr>
          <w:spacing w:val="-1"/>
        </w:rPr>
        <w:t>续聘武汉众环会计师事务所有限责任公司担任公</w:t>
      </w:r>
      <w:r>
        <w:rPr/>
        <w:t>司</w:t>
      </w:r>
      <w:r>
        <w:rPr>
          <w:spacing w:val="-53"/>
        </w:rPr>
        <w:t> </w:t>
      </w:r>
      <w:r>
        <w:rPr>
          <w:spacing w:val="-1"/>
        </w:rPr>
        <w:t>201</w:t>
      </w:r>
      <w:r>
        <w:rPr/>
        <w:t>0</w:t>
      </w:r>
      <w:r>
        <w:rPr>
          <w:spacing w:val="-52"/>
        </w:rPr>
        <w:t> </w:t>
      </w:r>
      <w:r>
        <w:rPr>
          <w:spacing w:val="-2"/>
        </w:rPr>
        <w:t>年</w:t>
      </w:r>
      <w:r>
        <w:rPr>
          <w:spacing w:val="-1"/>
        </w:rPr>
        <w:t>度审计机构的提案》</w:t>
      </w:r>
      <w:r>
        <w:rPr/>
        <w:t>等</w:t>
      </w:r>
      <w:r>
        <w:rPr>
          <w:spacing w:val="-53"/>
        </w:rPr>
        <w:t> </w:t>
      </w:r>
      <w:r>
        <w:rPr/>
        <w:t>6</w:t>
      </w:r>
      <w:r>
        <w:rPr>
          <w:spacing w:val="-52"/>
        </w:rPr>
        <w:t> </w:t>
      </w:r>
      <w:r>
        <w:rPr>
          <w:spacing w:val="-1"/>
        </w:rPr>
        <w:t>项提案，</w:t>
      </w:r>
      <w:r>
        <w:rPr/>
      </w:r>
    </w:p>
    <w:p>
      <w:pPr>
        <w:pStyle w:val="BodyText"/>
        <w:spacing w:line="355" w:lineRule="auto" w:before="30"/>
        <w:ind w:right="172"/>
        <w:jc w:val="left"/>
      </w:pPr>
      <w:r>
        <w:rPr>
          <w:spacing w:val="-1"/>
        </w:rPr>
        <w:t>会议决议公告刊登于</w:t>
      </w:r>
      <w:r>
        <w:rPr>
          <w:spacing w:val="-49"/>
        </w:rPr>
        <w:t> </w:t>
      </w:r>
      <w:r>
        <w:rPr>
          <w:spacing w:val="-1"/>
        </w:rPr>
        <w:t>2010</w:t>
      </w:r>
      <w:r>
        <w:rPr>
          <w:spacing w:val="-48"/>
        </w:rPr>
        <w:t> </w:t>
      </w:r>
      <w:r>
        <w:rPr/>
        <w:t>年</w:t>
      </w:r>
      <w:r>
        <w:rPr>
          <w:spacing w:val="-50"/>
        </w:rPr>
        <w:t> </w:t>
      </w:r>
      <w:r>
        <w:rPr/>
        <w:t>5</w:t>
      </w:r>
      <w:r>
        <w:rPr>
          <w:spacing w:val="-48"/>
        </w:rPr>
        <w:t> </w:t>
      </w:r>
      <w:r>
        <w:rPr/>
        <w:t>月</w:t>
      </w:r>
      <w:r>
        <w:rPr>
          <w:spacing w:val="-50"/>
        </w:rPr>
        <w:t> </w:t>
      </w:r>
      <w:r>
        <w:rPr/>
        <w:t>7</w:t>
      </w:r>
      <w:r>
        <w:rPr>
          <w:spacing w:val="-48"/>
        </w:rPr>
        <w:t> </w:t>
      </w:r>
      <w:r>
        <w:rPr>
          <w:spacing w:val="-9"/>
        </w:rPr>
        <w:t>日的《中国证券报》、《证券时报》及巨潮资讯网(www.cninfo.com.cn)</w:t>
      </w:r>
      <w:r>
        <w:rPr>
          <w:spacing w:val="-102"/>
        </w:rPr>
        <w:t> </w:t>
      </w:r>
      <w:r>
        <w:rPr>
          <w:spacing w:val="-102"/>
        </w:rPr>
      </w:r>
      <w:r>
        <w:rPr/>
        <w:t>上。</w:t>
      </w:r>
    </w:p>
    <w:p>
      <w:pPr>
        <w:spacing w:line="240" w:lineRule="auto" w:before="0"/>
        <w:rPr>
          <w:rFonts w:ascii="宋体" w:hAnsi="宋体" w:cs="宋体" w:eastAsia="宋体" w:hint="default"/>
          <w:sz w:val="24"/>
          <w:szCs w:val="24"/>
        </w:rPr>
      </w:pPr>
    </w:p>
    <w:p>
      <w:pPr>
        <w:pStyle w:val="Heading3"/>
        <w:spacing w:line="240" w:lineRule="auto"/>
        <w:ind w:left="576" w:right="3476"/>
        <w:jc w:val="left"/>
        <w:rPr>
          <w:b w:val="0"/>
          <w:bCs w:val="0"/>
        </w:rPr>
      </w:pPr>
      <w:r>
        <w:rPr/>
        <w:t>三、2010</w:t>
      </w:r>
      <w:r>
        <w:rPr>
          <w:spacing w:val="-66"/>
        </w:rPr>
        <w:t> </w:t>
      </w:r>
      <w:r>
        <w:rPr/>
        <w:t>年第二次临时股东大会</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right="246" w:firstLine="420"/>
        <w:jc w:val="both"/>
      </w:pPr>
      <w:r>
        <w:rPr/>
        <w:t>2010</w:t>
      </w:r>
      <w:r>
        <w:rPr>
          <w:spacing w:val="-33"/>
        </w:rPr>
        <w:t> </w:t>
      </w:r>
      <w:r>
        <w:rPr/>
        <w:t>年</w:t>
      </w:r>
      <w:r>
        <w:rPr>
          <w:spacing w:val="-34"/>
        </w:rPr>
        <w:t> </w:t>
      </w:r>
      <w:r>
        <w:rPr/>
        <w:t>11</w:t>
      </w:r>
      <w:r>
        <w:rPr>
          <w:spacing w:val="-34"/>
        </w:rPr>
        <w:t> </w:t>
      </w:r>
      <w:r>
        <w:rPr/>
        <w:t>月</w:t>
      </w:r>
      <w:r>
        <w:rPr>
          <w:spacing w:val="-33"/>
        </w:rPr>
        <w:t> </w:t>
      </w:r>
      <w:r>
        <w:rPr/>
        <w:t>15</w:t>
      </w:r>
      <w:r>
        <w:rPr>
          <w:spacing w:val="-33"/>
        </w:rPr>
        <w:t> </w:t>
      </w:r>
      <w:r>
        <w:rPr/>
        <w:t>日，公司召开了</w:t>
      </w:r>
      <w:r>
        <w:rPr>
          <w:spacing w:val="-33"/>
        </w:rPr>
        <w:t> </w:t>
      </w:r>
      <w:r>
        <w:rPr/>
        <w:t>2010</w:t>
      </w:r>
      <w:r>
        <w:rPr>
          <w:spacing w:val="-33"/>
        </w:rPr>
        <w:t> </w:t>
      </w:r>
      <w:r>
        <w:rPr/>
        <w:t>年第二次临时股东大会，审议通过了《关于修订&lt;公司章程&gt;</w:t>
      </w:r>
      <w:r>
        <w:rPr/>
        <w:t> </w:t>
      </w:r>
      <w:r>
        <w:rPr>
          <w:spacing w:val="-14"/>
        </w:rPr>
        <w:t>的提案》、《关于董事会换届选举的提案》、《关于监事会换届选举的提案》3</w:t>
      </w:r>
      <w:r>
        <w:rPr>
          <w:spacing w:val="-33"/>
        </w:rPr>
        <w:t> </w:t>
      </w:r>
      <w:r>
        <w:rPr>
          <w:spacing w:val="-2"/>
        </w:rPr>
        <w:t>项提案，会议决议公告刊登于</w:t>
      </w:r>
      <w:r>
        <w:rPr>
          <w:spacing w:val="-100"/>
        </w:rPr>
        <w:t> </w:t>
      </w:r>
      <w:r>
        <w:rPr>
          <w:spacing w:val="-100"/>
        </w:rPr>
      </w:r>
      <w:r>
        <w:rPr/>
        <w:t>2010</w:t>
      </w:r>
      <w:r>
        <w:rPr>
          <w:spacing w:val="-51"/>
        </w:rPr>
        <w:t> </w:t>
      </w:r>
      <w:r>
        <w:rPr/>
        <w:t>年</w:t>
      </w:r>
      <w:r>
        <w:rPr>
          <w:spacing w:val="-51"/>
        </w:rPr>
        <w:t> </w:t>
      </w:r>
      <w:r>
        <w:rPr>
          <w:spacing w:val="-1"/>
        </w:rPr>
        <w:t>11</w:t>
      </w:r>
      <w:r>
        <w:rPr>
          <w:spacing w:val="-51"/>
        </w:rPr>
        <w:t> </w:t>
      </w:r>
      <w:r>
        <w:rPr/>
        <w:t>月</w:t>
      </w:r>
      <w:r>
        <w:rPr>
          <w:spacing w:val="-51"/>
        </w:rPr>
        <w:t> </w:t>
      </w:r>
      <w:r>
        <w:rPr/>
        <w:t>16</w:t>
      </w:r>
      <w:r>
        <w:rPr>
          <w:spacing w:val="-50"/>
        </w:rPr>
        <w:t> </w:t>
      </w:r>
      <w:r>
        <w:rPr>
          <w:spacing w:val="-6"/>
        </w:rPr>
        <w:t>日的《中国证券报》、《证券时报》及巨潮资讯网(www.cninfo.com.cn)上。</w:t>
      </w:r>
      <w:r>
        <w:rPr/>
      </w:r>
    </w:p>
    <w:p>
      <w:pPr>
        <w:spacing w:after="0" w:line="357" w:lineRule="auto"/>
        <w:jc w:val="both"/>
        <w:sectPr>
          <w:pgSz w:w="11910" w:h="16840"/>
          <w:pgMar w:header="851" w:footer="982" w:top="1200" w:bottom="1180" w:left="980" w:right="980"/>
        </w:sectPr>
      </w:pPr>
    </w:p>
    <w:p>
      <w:pPr>
        <w:pStyle w:val="Heading1"/>
        <w:spacing w:line="240" w:lineRule="auto" w:before="21"/>
        <w:ind w:left="3480" w:right="3537"/>
        <w:jc w:val="center"/>
        <w:rPr>
          <w:b w:val="0"/>
          <w:bCs w:val="0"/>
        </w:rPr>
      </w:pPr>
      <w:r>
        <w:rPr/>
        <w:pict>
          <v:group style="position:absolute;margin-left:55.200001pt;margin-top:2.94186pt;width:484.95pt;height:.1pt;mso-position-horizontal-relative:page;mso-position-vertical-relative:paragraph;z-index:-709840"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6" w:id="7"/>
      <w:bookmarkEnd w:id="7"/>
      <w:r>
        <w:rPr>
          <w:b w:val="0"/>
          <w:bCs w:val="0"/>
        </w:rPr>
      </w:r>
      <w:r>
        <w:rPr/>
        <w:t>第七节</w:t>
      </w:r>
      <w:r>
        <w:rPr>
          <w:spacing w:val="-5"/>
        </w:rPr>
        <w:t> </w:t>
      </w:r>
      <w:r>
        <w:rPr/>
        <w:t>董事会工作报告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Heading3"/>
        <w:spacing w:line="240" w:lineRule="auto" w:before="35"/>
        <w:ind w:right="0"/>
        <w:jc w:val="left"/>
        <w:rPr>
          <w:b w:val="0"/>
          <w:bCs w:val="0"/>
        </w:rPr>
      </w:pPr>
      <w:r>
        <w:rPr/>
        <w:t>一、公司经营情况</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left="573" w:right="0"/>
        <w:jc w:val="left"/>
        <w:rPr>
          <w:b w:val="0"/>
          <w:bCs w:val="0"/>
        </w:rPr>
      </w:pPr>
      <w:r>
        <w:rPr/>
        <w:t>（一）报告期内的公司经营情况回顾</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567" w:right="0" w:firstLine="8"/>
        <w:jc w:val="left"/>
      </w:pPr>
      <w:r>
        <w:rPr>
          <w:rFonts w:ascii="宋体" w:hAnsi="宋体" w:cs="宋体" w:eastAsia="宋体" w:hint="default"/>
          <w:b/>
          <w:bCs/>
        </w:rPr>
        <w:t>1、总体经营情况</w:t>
      </w:r>
      <w:r>
        <w:rPr>
          <w:rFonts w:ascii="宋体" w:hAnsi="宋体" w:cs="宋体" w:eastAsia="宋体" w:hint="default"/>
          <w:b/>
          <w:bCs/>
          <w:spacing w:val="1"/>
          <w:w w:val="99"/>
        </w:rPr>
        <w:t> </w:t>
      </w:r>
      <w:r>
        <w:rPr>
          <w:spacing w:val="-1"/>
        </w:rPr>
        <w:t>在经历了2009年的历史低点之后，我国旅游酒店业在2010年迎来了复苏的阶段，在政策刺激、世博会</w:t>
      </w:r>
    </w:p>
    <w:p>
      <w:pPr>
        <w:pStyle w:val="BodyText"/>
        <w:spacing w:line="355" w:lineRule="auto" w:before="33"/>
        <w:ind w:left="153" w:right="0"/>
        <w:jc w:val="left"/>
      </w:pPr>
      <w:r>
        <w:rPr>
          <w:spacing w:val="-1"/>
        </w:rPr>
        <w:t>等重大利好的推动下，行业逐渐步入上升轨道。报告期内，新建酒店项目恢复增长，公司回到了较快的发</w:t>
      </w:r>
      <w:r>
        <w:rPr>
          <w:spacing w:val="-86"/>
        </w:rPr>
        <w:t> </w:t>
      </w:r>
      <w:r>
        <w:rPr>
          <w:spacing w:val="-86"/>
        </w:rPr>
      </w:r>
      <w:r>
        <w:rPr/>
        <w:t>展轨道，圆满地完成了年初制定的经营目标。</w:t>
      </w:r>
    </w:p>
    <w:p>
      <w:pPr>
        <w:pStyle w:val="BodyText"/>
        <w:spacing w:line="357" w:lineRule="auto" w:before="32"/>
        <w:ind w:left="153" w:right="211" w:firstLine="413"/>
        <w:jc w:val="both"/>
      </w:pPr>
      <w:r>
        <w:rPr>
          <w:spacing w:val="-1"/>
        </w:rPr>
        <w:t>报告期内，公司实现营业收入61,024.74万元，同比增长50.08%；实现利润总额24,487.09万元，同比</w:t>
      </w:r>
      <w:r>
        <w:rPr/>
        <w:t> 增长69.18%；归属于上市公司股东的净利润21,389.79万元，同比增长62.46%。</w:t>
      </w:r>
    </w:p>
    <w:p>
      <w:pPr>
        <w:spacing w:line="357" w:lineRule="auto" w:before="30"/>
        <w:ind w:left="573" w:right="157" w:firstLine="0"/>
        <w:jc w:val="left"/>
        <w:rPr>
          <w:rFonts w:ascii="宋体" w:hAnsi="宋体" w:cs="宋体" w:eastAsia="宋体" w:hint="default"/>
          <w:sz w:val="21"/>
          <w:szCs w:val="21"/>
        </w:rPr>
      </w:pPr>
      <w:r>
        <w:rPr>
          <w:rFonts w:ascii="宋体" w:hAnsi="宋体" w:cs="宋体" w:eastAsia="宋体" w:hint="default"/>
          <w:sz w:val="21"/>
          <w:szCs w:val="21"/>
        </w:rPr>
        <w:t>报告期内，公司各项主要业务经营情况如下： </w:t>
      </w:r>
      <w:r>
        <w:rPr>
          <w:rFonts w:ascii="宋体" w:hAnsi="宋体" w:cs="宋体" w:eastAsia="宋体" w:hint="default"/>
          <w:b/>
          <w:bCs/>
          <w:sz w:val="21"/>
          <w:szCs w:val="21"/>
        </w:rPr>
        <w:t>国际连锁高档酒店信息系统业务方面：</w:t>
      </w:r>
      <w:r>
        <w:rPr>
          <w:rFonts w:ascii="宋体" w:hAnsi="宋体" w:cs="宋体" w:eastAsia="宋体" w:hint="default"/>
          <w:sz w:val="21"/>
          <w:szCs w:val="21"/>
        </w:rPr>
        <w:t>针对国际连锁高档酒店的信息系统开展业务的主要是母公司、</w:t>
      </w:r>
    </w:p>
    <w:p>
      <w:pPr>
        <w:pStyle w:val="BodyText"/>
        <w:spacing w:line="357" w:lineRule="auto" w:before="30"/>
        <w:ind w:left="153" w:right="0"/>
        <w:jc w:val="left"/>
      </w:pPr>
      <w:r>
        <w:rPr/>
        <w:t>全资子公司北京石基、上海石基、北海石基等。报告期内，完成新建酒店信息系统项目138个，新签技术 支持与服务用户83个，签订技术支持与服务合同的用户数达到672家。2010年，经过全面整合和升级的石 基数字饭店整体解决方案（IP</w:t>
      </w:r>
      <w:r>
        <w:rPr>
          <w:spacing w:val="-51"/>
        </w:rPr>
        <w:t> </w:t>
      </w:r>
      <w:r>
        <w:rPr/>
        <w:t>Hotel），进一步强化了公司的技术和市场优势，为公司的长远稳定发展奠</w:t>
      </w:r>
      <w:r>
        <w:rPr>
          <w:spacing w:val="-1"/>
        </w:rPr>
        <w:t> </w:t>
      </w:r>
      <w:r>
        <w:rPr/>
        <w:t>定了坚实的基础。</w:t>
      </w:r>
    </w:p>
    <w:p>
      <w:pPr>
        <w:pStyle w:val="BodyText"/>
        <w:spacing w:line="357" w:lineRule="auto" w:before="30"/>
        <w:ind w:left="153" w:right="188" w:firstLine="422"/>
        <w:jc w:val="both"/>
      </w:pPr>
      <w:r>
        <w:rPr>
          <w:rFonts w:ascii="宋体" w:hAnsi="宋体" w:cs="宋体" w:eastAsia="宋体" w:hint="default"/>
          <w:b/>
          <w:bCs/>
          <w:spacing w:val="-2"/>
        </w:rPr>
        <w:t>较低星级酒店及本土高档酒店信息系统业务方面：</w:t>
      </w:r>
      <w:r>
        <w:rPr>
          <w:spacing w:val="-2"/>
        </w:rPr>
        <w:t>公司主要通过控股子公司杭州西软科技有限公司开</w:t>
      </w:r>
      <w:r>
        <w:rPr/>
        <w:t> </w:t>
      </w:r>
      <w:r>
        <w:rPr>
          <w:spacing w:val="-1"/>
        </w:rPr>
        <w:t>展这一领域的业务。报告期内，西软科技将不同版本的产品和接口进行了优化、标准化，并结合当前客户</w:t>
      </w:r>
      <w:r>
        <w:rPr>
          <w:spacing w:val="-99"/>
        </w:rPr>
        <w:t> </w:t>
      </w:r>
      <w:r>
        <w:rPr>
          <w:spacing w:val="-99"/>
        </w:rPr>
      </w:r>
      <w:r>
        <w:rPr>
          <w:spacing w:val="-1"/>
        </w:rPr>
        <w:t>的共性需求融入了新的功能点，进一步提升了产品的稳定性、实用性、创新性；与此同时，启用呼叫中心</w:t>
      </w:r>
      <w:r>
        <w:rPr>
          <w:spacing w:val="-103"/>
        </w:rPr>
        <w:t> </w:t>
      </w:r>
      <w:r>
        <w:rPr>
          <w:spacing w:val="-103"/>
        </w:rPr>
      </w:r>
      <w:r>
        <w:rPr/>
        <w:t>系统和</w:t>
      </w:r>
      <w:r>
        <w:rPr>
          <w:spacing w:val="-54"/>
        </w:rPr>
        <w:t> </w:t>
      </w:r>
      <w:r>
        <w:rPr/>
        <w:t>SHIJICARE</w:t>
      </w:r>
      <w:r>
        <w:rPr>
          <w:spacing w:val="-53"/>
        </w:rPr>
        <w:t> </w:t>
      </w:r>
      <w:r>
        <w:rPr/>
        <w:t>为售后服务提供了实时的监测数据和丰富的报表，提升了售后服务的及时性和规范性。</w:t>
      </w:r>
      <w:r>
        <w:rPr/>
        <w:t> 2010</w:t>
      </w:r>
      <w:r>
        <w:rPr>
          <w:spacing w:val="-54"/>
        </w:rPr>
        <w:t> </w:t>
      </w:r>
      <w:r>
        <w:rPr/>
        <w:t>年，西软科技新增用户数量为</w:t>
      </w:r>
      <w:r>
        <w:rPr>
          <w:spacing w:val="-55"/>
        </w:rPr>
        <w:t> </w:t>
      </w:r>
      <w:r>
        <w:rPr/>
        <w:t>470</w:t>
      </w:r>
      <w:r>
        <w:rPr>
          <w:spacing w:val="-54"/>
        </w:rPr>
        <w:t> </w:t>
      </w:r>
      <w:r>
        <w:rPr>
          <w:spacing w:val="-3"/>
        </w:rPr>
        <w:t>家，2009</w:t>
      </w:r>
      <w:r>
        <w:rPr>
          <w:spacing w:val="-55"/>
        </w:rPr>
        <w:t> </w:t>
      </w:r>
      <w:r>
        <w:rPr/>
        <w:t>年新增客户数量为</w:t>
      </w:r>
      <w:r>
        <w:rPr>
          <w:spacing w:val="-55"/>
        </w:rPr>
        <w:t> </w:t>
      </w:r>
      <w:r>
        <w:rPr/>
        <w:t>340</w:t>
      </w:r>
      <w:r>
        <w:rPr>
          <w:spacing w:val="-55"/>
        </w:rPr>
        <w:t> </w:t>
      </w:r>
      <w:r>
        <w:rPr/>
        <w:t>家，用户总数达到</w:t>
      </w:r>
      <w:r>
        <w:rPr>
          <w:spacing w:val="-55"/>
        </w:rPr>
        <w:t> </w:t>
      </w:r>
      <w:r>
        <w:rPr/>
        <w:t>3383</w:t>
      </w:r>
      <w:r>
        <w:rPr>
          <w:spacing w:val="-55"/>
        </w:rPr>
        <w:t> </w:t>
      </w:r>
      <w:r>
        <w:rPr>
          <w:spacing w:val="-3"/>
        </w:rPr>
        <w:t>家，继续</w:t>
      </w:r>
      <w:r>
        <w:rPr/>
        <w:t> 保持并巩固了其在本土高档酒店及较低星级酒店业务领域的市场领先地位。</w:t>
      </w:r>
    </w:p>
    <w:p>
      <w:pPr>
        <w:pStyle w:val="BodyText"/>
        <w:spacing w:line="352" w:lineRule="auto" w:before="30"/>
        <w:ind w:left="153" w:right="96" w:firstLine="422"/>
        <w:jc w:val="left"/>
      </w:pPr>
      <w:r>
        <w:rPr>
          <w:rFonts w:ascii="宋体" w:hAnsi="宋体" w:cs="宋体" w:eastAsia="宋体" w:hint="default"/>
          <w:b/>
          <w:bCs/>
        </w:rPr>
        <w:t>餐饮系统（</w:t>
      </w:r>
      <w:r>
        <w:rPr>
          <w:rFonts w:ascii="Arial" w:hAnsi="Arial" w:cs="Arial" w:eastAsia="Arial" w:hint="default"/>
          <w:b/>
          <w:bCs/>
        </w:rPr>
        <w:t>POS</w:t>
      </w:r>
      <w:r>
        <w:rPr>
          <w:rFonts w:ascii="宋体" w:hAnsi="宋体" w:cs="宋体" w:eastAsia="宋体" w:hint="default"/>
          <w:b/>
          <w:bCs/>
        </w:rPr>
        <w:t>）业务方面</w:t>
      </w:r>
      <w:r>
        <w:rPr/>
        <w:t>：报告期内，Infrasys International</w:t>
      </w:r>
      <w:r>
        <w:rPr>
          <w:spacing w:val="7"/>
        </w:rPr>
        <w:t> </w:t>
      </w:r>
      <w:r>
        <w:rPr/>
        <w:t>Ltd公司继续以传统的POS餐饮信</w:t>
      </w:r>
      <w:r>
        <w:rPr/>
        <w:t> 息系统管理软件为基础，进一步走网络化及智能化的产品发展方向。公司为新一代餐饮企业成功打造了一 </w:t>
      </w:r>
      <w:r>
        <w:rPr>
          <w:spacing w:val="-4"/>
        </w:rPr>
        <w:t>系列网上餐饮管理系统，比如智能电子菜单系统（GourmateiMenu）、网上订位管理系统（GourmateLink）、</w:t>
      </w:r>
      <w:r>
        <w:rPr>
          <w:spacing w:val="-101"/>
        </w:rPr>
        <w:t> </w:t>
      </w:r>
      <w:r>
        <w:rPr>
          <w:spacing w:val="-101"/>
        </w:rPr>
      </w:r>
      <w:r>
        <w:rPr/>
        <w:t>网上排队管理系统（GourmateQueue）、美食联网通积分管理系统（GourmateLoyalty）等，有利于餐饮企</w:t>
      </w:r>
      <w:r>
        <w:rPr/>
        <w:t> 业的创新管理，为餐饮企业连锁化拓展提供了强有力的信息化管理手段。</w:t>
      </w:r>
    </w:p>
    <w:p>
      <w:pPr>
        <w:pStyle w:val="BodyText"/>
        <w:spacing w:line="357" w:lineRule="auto" w:before="35"/>
        <w:ind w:left="153" w:right="168" w:firstLine="435"/>
        <w:jc w:val="both"/>
      </w:pPr>
      <w:r>
        <w:rPr>
          <w:rFonts w:ascii="宋体" w:hAnsi="宋体" w:cs="宋体" w:eastAsia="宋体" w:hint="default"/>
          <w:b/>
          <w:bCs/>
        </w:rPr>
        <w:t>畅联业务方面：</w:t>
      </w:r>
      <w:r>
        <w:rPr/>
        <w:t>作为公司的战略性项目，畅联已经按计划全面完成技术开发和建设工作。报告期内， </w:t>
      </w:r>
      <w:r>
        <w:rPr>
          <w:spacing w:val="-5"/>
        </w:rPr>
        <w:t>畅联在以下方面取得预期进展：（1）截止</w:t>
      </w:r>
      <w:r>
        <w:rPr>
          <w:spacing w:val="-53"/>
        </w:rPr>
        <w:t> </w:t>
      </w:r>
      <w:r>
        <w:rPr/>
        <w:t>2010</w:t>
      </w:r>
      <w:r>
        <w:rPr>
          <w:spacing w:val="-53"/>
        </w:rPr>
        <w:t> </w:t>
      </w:r>
      <w:r>
        <w:rPr/>
        <w:t>年</w:t>
      </w:r>
      <w:r>
        <w:rPr>
          <w:spacing w:val="-53"/>
        </w:rPr>
        <w:t> </w:t>
      </w:r>
      <w:r>
        <w:rPr/>
        <w:t>12</w:t>
      </w:r>
      <w:r>
        <w:rPr>
          <w:spacing w:val="-52"/>
        </w:rPr>
        <w:t> </w:t>
      </w:r>
      <w:r>
        <w:rPr/>
        <w:t>月</w:t>
      </w:r>
      <w:r>
        <w:rPr>
          <w:spacing w:val="-53"/>
        </w:rPr>
        <w:t> </w:t>
      </w:r>
      <w:r>
        <w:rPr/>
        <w:t>31</w:t>
      </w:r>
      <w:r>
        <w:rPr>
          <w:spacing w:val="-53"/>
        </w:rPr>
        <w:t> </w:t>
      </w:r>
      <w:r>
        <w:rPr>
          <w:spacing w:val="-5"/>
        </w:rPr>
        <w:t>日，畅联已与近</w:t>
      </w:r>
      <w:r>
        <w:rPr>
          <w:spacing w:val="-53"/>
        </w:rPr>
        <w:t> </w:t>
      </w:r>
      <w:r>
        <w:rPr/>
        <w:t>3000</w:t>
      </w:r>
      <w:r>
        <w:rPr>
          <w:spacing w:val="-52"/>
        </w:rPr>
        <w:t> </w:t>
      </w:r>
      <w:r>
        <w:rPr>
          <w:spacing w:val="-4"/>
        </w:rPr>
        <w:t>家酒店完成有效直连（即</w:t>
      </w:r>
      <w:r>
        <w:rPr>
          <w:spacing w:val="-1"/>
        </w:rPr>
        <w:t> </w:t>
      </w:r>
      <w:r>
        <w:rPr>
          <w:spacing w:val="-3"/>
        </w:rPr>
        <w:t>已有预订纪录），在达成合作协议的</w:t>
      </w:r>
      <w:r>
        <w:rPr>
          <w:spacing w:val="-49"/>
        </w:rPr>
        <w:t> </w:t>
      </w:r>
      <w:r>
        <w:rPr/>
        <w:t>20</w:t>
      </w:r>
      <w:r>
        <w:rPr>
          <w:spacing w:val="-48"/>
        </w:rPr>
        <w:t> </w:t>
      </w:r>
      <w:r>
        <w:rPr>
          <w:spacing w:val="-3"/>
        </w:rPr>
        <w:t>多家渠道中，12</w:t>
      </w:r>
      <w:r>
        <w:rPr>
          <w:spacing w:val="-48"/>
        </w:rPr>
        <w:t> </w:t>
      </w:r>
      <w:r>
        <w:rPr>
          <w:spacing w:val="-3"/>
        </w:rPr>
        <w:t>家渠道已正式上线并实现在线预订处理；（2）运</w:t>
      </w:r>
      <w:r>
        <w:rPr>
          <w:spacing w:val="-98"/>
        </w:rPr>
        <w:t> </w:t>
      </w:r>
      <w:r>
        <w:rPr>
          <w:spacing w:val="-98"/>
        </w:rPr>
      </w:r>
      <w:r>
        <w:rPr/>
        <w:t>营与维护的技术服务水平得到进一步提高，在上线酒店和渠道数量不断增加的情况下，接口的稳定性和数</w:t>
      </w:r>
      <w:r>
        <w:rPr/>
        <w:t> 据传输的准确性得到了客户认可；（3）报告期内，畅联与招商银行所属电话服务中心及信用卡中心，以</w:t>
      </w:r>
    </w:p>
    <w:p>
      <w:pPr>
        <w:spacing w:after="0" w:line="357" w:lineRule="auto"/>
        <w:jc w:val="both"/>
        <w:sectPr>
          <w:pgSz w:w="11910" w:h="16840"/>
          <w:pgMar w:header="851" w:footer="982" w:top="1200" w:bottom="1180" w:left="980" w:right="920"/>
        </w:sectPr>
      </w:pPr>
    </w:p>
    <w:p>
      <w:pPr>
        <w:pStyle w:val="BodyText"/>
        <w:spacing w:line="355" w:lineRule="auto" w:before="32"/>
        <w:ind w:left="153" w:right="0"/>
        <w:jc w:val="left"/>
      </w:pPr>
      <w:r>
        <w:rPr/>
        <w:pict>
          <v:group style="position:absolute;margin-left:55.200001pt;margin-top:2.943948pt;width:484.95pt;height:.1pt;mso-position-horizontal-relative:page;mso-position-vertical-relative:paragraph;z-index:-709816" coordorigin="1104,59" coordsize="9699,2">
            <v:shape style="position:absolute;left:1104;top:59;width:9699;height:2" coordorigin="1104,59" coordsize="9699,0" path="m1104,59l10802,59e" filled="false" stroked="true" strokeweight=".72pt" strokecolor="#000000">
              <v:path arrowok="t"/>
            </v:shape>
            <w10:wrap type="none"/>
          </v:group>
        </w:pict>
      </w:r>
      <w:r>
        <w:rPr/>
        <w:t>及国际著名分销商</w:t>
      </w:r>
      <w:r>
        <w:rPr>
          <w:spacing w:val="-62"/>
        </w:rPr>
        <w:t> </w:t>
      </w:r>
      <w:r>
        <w:rPr/>
        <w:t>Booking.com、Hotel</w:t>
      </w:r>
      <w:r>
        <w:rPr>
          <w:spacing w:val="-64"/>
        </w:rPr>
        <w:t> </w:t>
      </w:r>
      <w:r>
        <w:rPr/>
        <w:t>Club/Ratestogo.com</w:t>
      </w:r>
      <w:r>
        <w:rPr>
          <w:spacing w:val="-61"/>
        </w:rPr>
        <w:t> </w:t>
      </w:r>
      <w:r>
        <w:rPr>
          <w:spacing w:val="-4"/>
        </w:rPr>
        <w:t>等达成了战略合作协议，畅联在行业“直连”</w:t>
      </w:r>
      <w:r>
        <w:rPr>
          <w:spacing w:val="-1"/>
        </w:rPr>
        <w:t> </w:t>
      </w:r>
      <w:r>
        <w:rPr/>
        <w:t>中的主导地位进一步加强，进一步形成了畅联与国内外主流渠道的合作趋势。</w:t>
      </w:r>
    </w:p>
    <w:p>
      <w:pPr>
        <w:pStyle w:val="BodyText"/>
        <w:spacing w:line="343" w:lineRule="auto" w:before="33"/>
        <w:ind w:right="207" w:firstLine="435"/>
        <w:jc w:val="both"/>
      </w:pPr>
      <w:r>
        <w:rPr>
          <w:rFonts w:ascii="宋体" w:hAnsi="宋体" w:cs="宋体" w:eastAsia="宋体" w:hint="default"/>
          <w:b/>
          <w:bCs/>
        </w:rPr>
        <w:t>其他业务方面</w:t>
      </w:r>
      <w:r>
        <w:rPr/>
        <w:t>：</w:t>
      </w:r>
      <w:r>
        <w:rPr>
          <w:rFonts w:ascii="Arial" w:hAnsi="Arial" w:cs="Arial" w:eastAsia="Arial" w:hint="default"/>
        </w:rPr>
        <w:t>2010 </w:t>
      </w:r>
      <w:r>
        <w:rPr/>
        <w:t>年 </w:t>
      </w:r>
      <w:r>
        <w:rPr>
          <w:rFonts w:ascii="Arial" w:hAnsi="Arial" w:cs="Arial" w:eastAsia="Arial" w:hint="default"/>
        </w:rPr>
        <w:t>7 </w:t>
      </w:r>
      <w:r>
        <w:rPr/>
        <w:t>月，公司收购了南京银石计算机系统有限公司</w:t>
      </w:r>
      <w:r>
        <w:rPr>
          <w:spacing w:val="-29"/>
        </w:rPr>
        <w:t> </w:t>
      </w:r>
      <w:r>
        <w:rPr>
          <w:rFonts w:ascii="Arial" w:hAnsi="Arial" w:cs="Arial" w:eastAsia="Arial" w:hint="default"/>
        </w:rPr>
        <w:t>100%</w:t>
      </w:r>
      <w:r>
        <w:rPr/>
        <w:t>的股权，南京银石主 要产品为：银行卡收银一体化软件（</w:t>
      </w:r>
      <w:r>
        <w:rPr>
          <w:rFonts w:ascii="Arial" w:hAnsi="Arial" w:cs="Arial" w:eastAsia="Arial" w:hint="default"/>
        </w:rPr>
        <w:t>SOFTPOS</w:t>
      </w:r>
      <w:r>
        <w:rPr/>
        <w:t>）、储值卡系统（</w:t>
      </w:r>
      <w:r>
        <w:rPr>
          <w:rFonts w:ascii="Arial" w:hAnsi="Arial" w:cs="Arial" w:eastAsia="Arial" w:hint="default"/>
        </w:rPr>
        <w:t>E-PAY</w:t>
      </w:r>
      <w:r>
        <w:rPr/>
        <w:t>）和银行前端系统软件，还有配</w:t>
      </w:r>
      <w:r>
        <w:rPr>
          <w:spacing w:val="-99"/>
        </w:rPr>
        <w:t> </w:t>
      </w:r>
      <w:r>
        <w:rPr>
          <w:spacing w:val="-99"/>
        </w:rPr>
      </w:r>
      <w:r>
        <w:rPr/>
        <w:t>套的硬件产品 </w:t>
      </w:r>
      <w:r>
        <w:rPr>
          <w:rFonts w:ascii="Arial" w:hAnsi="Arial" w:cs="Arial" w:eastAsia="Arial" w:hint="default"/>
        </w:rPr>
        <w:t>SS-001</w:t>
      </w:r>
      <w:r>
        <w:rPr/>
        <w:t>、</w:t>
      </w:r>
      <w:r>
        <w:rPr>
          <w:rFonts w:ascii="Arial" w:hAnsi="Arial" w:cs="Arial" w:eastAsia="Arial" w:hint="default"/>
        </w:rPr>
        <w:t>SS-101 </w:t>
      </w:r>
      <w:r>
        <w:rPr/>
        <w:t>密码键盘系列。报告期内，南京银石继续大力推广其核心产品，</w:t>
      </w:r>
      <w:r>
        <w:rPr>
          <w:rFonts w:ascii="Arial" w:hAnsi="Arial" w:cs="Arial" w:eastAsia="Arial" w:hint="default"/>
        </w:rPr>
        <w:t>2010</w:t>
      </w:r>
      <w:r>
        <w:rPr>
          <w:rFonts w:ascii="Arial" w:hAnsi="Arial" w:cs="Arial" w:eastAsia="Arial" w:hint="default"/>
          <w:spacing w:val="-26"/>
        </w:rPr>
        <w:t> </w:t>
      </w:r>
      <w:r>
        <w:rPr/>
        <w:t>年 </w:t>
      </w:r>
      <w:r>
        <w:rPr>
          <w:rFonts w:ascii="Arial" w:hAnsi="Arial" w:cs="Arial" w:eastAsia="Arial" w:hint="default"/>
        </w:rPr>
        <w:t>7</w:t>
      </w:r>
      <w:r>
        <w:rPr>
          <w:rFonts w:ascii="Arial" w:hAnsi="Arial" w:cs="Arial" w:eastAsia="Arial" w:hint="default"/>
          <w:spacing w:val="12"/>
        </w:rPr>
        <w:t> </w:t>
      </w:r>
      <w:r>
        <w:rPr/>
        <w:t>月以后，着手与公司原有支付系统产品部门的整合工作，借助公司的技术、资源以及合作伙伴优势，进 </w:t>
      </w:r>
      <w:r>
        <w:rPr>
          <w:spacing w:val="-1"/>
        </w:rPr>
        <w:t>一步做大做强南京银石的支付与收单业务，扩大其增值业务面，逐步巩固南京银石在信用卡和储值卡支付</w:t>
      </w:r>
      <w:r>
        <w:rPr>
          <w:spacing w:val="-81"/>
        </w:rPr>
        <w:t> </w:t>
      </w:r>
      <w:r>
        <w:rPr>
          <w:spacing w:val="-81"/>
        </w:rPr>
      </w:r>
      <w:r>
        <w:rPr/>
        <w:t>系统领域的领先地位。</w:t>
      </w:r>
    </w:p>
    <w:p>
      <w:pPr>
        <w:spacing w:line="240" w:lineRule="auto" w:before="8"/>
        <w:rPr>
          <w:rFonts w:ascii="宋体" w:hAnsi="宋体" w:cs="宋体" w:eastAsia="宋体" w:hint="default"/>
          <w:sz w:val="24"/>
          <w:szCs w:val="24"/>
        </w:rPr>
      </w:pPr>
    </w:p>
    <w:p>
      <w:pPr>
        <w:pStyle w:val="Heading3"/>
        <w:spacing w:line="240" w:lineRule="auto"/>
        <w:ind w:left="576" w:right="0"/>
        <w:jc w:val="left"/>
        <w:rPr>
          <w:b w:val="0"/>
          <w:bCs w:val="0"/>
        </w:rPr>
      </w:pPr>
      <w:r>
        <w:rPr/>
        <w:t>2、主要财务数据及其变动原因</w:t>
      </w:r>
      <w:r>
        <w:rPr>
          <w:b w:val="0"/>
          <w:bCs w:val="0"/>
        </w:rPr>
      </w:r>
    </w:p>
    <w:p>
      <w:pPr>
        <w:spacing w:line="240" w:lineRule="auto" w:before="11"/>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1687"/>
        <w:gridCol w:w="1896"/>
        <w:gridCol w:w="1686"/>
        <w:gridCol w:w="1686"/>
        <w:gridCol w:w="1439"/>
        <w:gridCol w:w="1306"/>
      </w:tblGrid>
      <w:tr>
        <w:trPr>
          <w:trHeight w:val="827" w:hRule="exact"/>
        </w:trPr>
        <w:tc>
          <w:tcPr>
            <w:tcW w:w="168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29"/>
              <w:ind w:left="103" w:right="-3" w:firstLine="86"/>
              <w:jc w:val="left"/>
              <w:rPr>
                <w:rFonts w:ascii="宋体" w:hAnsi="宋体" w:cs="宋体" w:eastAsia="宋体" w:hint="default"/>
                <w:sz w:val="21"/>
                <w:szCs w:val="21"/>
              </w:rPr>
            </w:pPr>
            <w:r>
              <w:rPr>
                <w:rFonts w:ascii="宋体" w:hAnsi="宋体" w:cs="宋体" w:eastAsia="宋体" w:hint="default"/>
                <w:sz w:val="21"/>
                <w:szCs w:val="21"/>
              </w:rPr>
              <w:t>本年比上年 </w:t>
            </w:r>
            <w:r>
              <w:rPr>
                <w:rFonts w:ascii="宋体" w:hAnsi="宋体" w:cs="宋体" w:eastAsia="宋体" w:hint="default"/>
                <w:spacing w:val="-6"/>
                <w:sz w:val="21"/>
                <w:szCs w:val="21"/>
              </w:rPr>
              <w:t>增减幅度（%）</w:t>
            </w:r>
          </w:p>
        </w:tc>
        <w:tc>
          <w:tcPr>
            <w:tcW w:w="1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48" w:right="0" w:hanging="27"/>
              <w:jc w:val="left"/>
              <w:rPr>
                <w:rFonts w:ascii="宋体" w:hAnsi="宋体" w:cs="宋体" w:eastAsia="宋体" w:hint="default"/>
                <w:sz w:val="21"/>
                <w:szCs w:val="21"/>
              </w:rPr>
            </w:pPr>
            <w:r>
              <w:rPr>
                <w:rFonts w:ascii="宋体" w:hAnsi="宋体" w:cs="宋体" w:eastAsia="宋体" w:hint="default"/>
                <w:sz w:val="21"/>
                <w:szCs w:val="21"/>
              </w:rPr>
              <w:t>增减幅度超</w:t>
            </w:r>
          </w:p>
          <w:p>
            <w:pPr>
              <w:pStyle w:val="TableParagraph"/>
              <w:spacing w:line="272" w:lineRule="exact" w:before="26"/>
              <w:ind w:left="542" w:right="146" w:hanging="394"/>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宋体" w:hAnsi="宋体" w:cs="宋体" w:eastAsia="宋体" w:hint="default"/>
                <w:sz w:val="21"/>
                <w:szCs w:val="21"/>
              </w:rPr>
              <w:t>30%的原</w:t>
            </w:r>
            <w:r>
              <w:rPr>
                <w:rFonts w:ascii="宋体" w:hAnsi="宋体" w:cs="宋体" w:eastAsia="宋体" w:hint="default"/>
                <w:sz w:val="21"/>
                <w:szCs w:val="21"/>
              </w:rPr>
              <w:t> 因</w:t>
            </w:r>
          </w:p>
        </w:tc>
      </w:tr>
      <w:tr>
        <w:trPr>
          <w:trHeight w:val="379"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610,247,365.99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406,620,993.67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sz w:val="21"/>
              </w:rPr>
              <w:t>442,732,505.08</w:t>
            </w:r>
            <w:r>
              <w:rPr>
                <w:rFonts w:ascii="宋体"/>
                <w:sz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w w:val="95"/>
                <w:sz w:val="21"/>
              </w:rPr>
              <w:t>50.08</w:t>
            </w:r>
            <w:r>
              <w:rPr>
                <w:rFonts w:ascii="宋体"/>
                <w:w w:val="95"/>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378"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206,884,219.24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122,447,938.85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144,135,249.34</w:t>
            </w:r>
            <w:r>
              <w:rPr>
                <w:rFonts w:ascii="宋体"/>
                <w:sz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68.96</w:t>
            </w:r>
            <w:r>
              <w:rPr>
                <w:rFonts w:ascii="宋体"/>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378"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244,870,891.86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144,742,260.51</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170,328,029.99</w:t>
            </w:r>
            <w:r>
              <w:rPr>
                <w:rFonts w:ascii="宋体"/>
                <w:sz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w w:val="95"/>
                <w:sz w:val="21"/>
              </w:rPr>
              <w:t>69.18</w:t>
            </w:r>
            <w:r>
              <w:rPr>
                <w:rFonts w:ascii="宋体"/>
                <w:w w:val="95"/>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554"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213,897,872.25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131,664,286.61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142,217,978.46</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62.46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556" w:hRule="exact"/>
        </w:trPr>
        <w:tc>
          <w:tcPr>
            <w:tcW w:w="16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203,266,424.33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145,853,782.86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168,128,227.34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39.36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282" w:hRule="exact"/>
        </w:trPr>
        <w:tc>
          <w:tcPr>
            <w:tcW w:w="16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0.95</w:t>
            </w:r>
            <w:r>
              <w:rPr>
                <w:rFonts w:ascii="宋体"/>
                <w:w w:val="95"/>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0.59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0.63</w:t>
            </w:r>
            <w:r>
              <w:rPr>
                <w:rFonts w:ascii="宋体"/>
                <w:sz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61.02</w:t>
            </w:r>
            <w:r>
              <w:rPr>
                <w:rFonts w:ascii="宋体"/>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283" w:hRule="exact"/>
        </w:trPr>
        <w:tc>
          <w:tcPr>
            <w:tcW w:w="16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净资产收益率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27.05%</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19.52%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24.14%</w:t>
            </w:r>
            <w:r>
              <w:rPr>
                <w:rFonts w:ascii="宋体"/>
                <w:sz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7.53</w:t>
            </w:r>
            <w:r>
              <w:rPr>
                <w:rFonts w:ascii="宋体"/>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r>
        <w:trPr>
          <w:trHeight w:val="826"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8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128"/>
              <w:ind w:left="103" w:right="-3" w:firstLine="86"/>
              <w:jc w:val="left"/>
              <w:rPr>
                <w:rFonts w:ascii="宋体" w:hAnsi="宋体" w:cs="宋体" w:eastAsia="宋体" w:hint="default"/>
                <w:sz w:val="21"/>
                <w:szCs w:val="21"/>
              </w:rPr>
            </w:pPr>
            <w:r>
              <w:rPr>
                <w:rFonts w:ascii="宋体" w:hAnsi="宋体" w:cs="宋体" w:eastAsia="宋体" w:hint="default"/>
                <w:sz w:val="21"/>
                <w:szCs w:val="21"/>
              </w:rPr>
              <w:t>本年比上年 </w:t>
            </w:r>
            <w:r>
              <w:rPr>
                <w:rFonts w:ascii="宋体" w:hAnsi="宋体" w:cs="宋体" w:eastAsia="宋体" w:hint="default"/>
                <w:spacing w:val="-6"/>
                <w:sz w:val="21"/>
                <w:szCs w:val="21"/>
              </w:rPr>
              <w:t>增减幅度（%）</w:t>
            </w:r>
          </w:p>
        </w:tc>
        <w:tc>
          <w:tcPr>
            <w:tcW w:w="13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9" w:lineRule="exact"/>
              <w:ind w:left="148" w:right="0" w:hanging="27"/>
              <w:jc w:val="left"/>
              <w:rPr>
                <w:rFonts w:ascii="宋体" w:hAnsi="宋体" w:cs="宋体" w:eastAsia="宋体" w:hint="default"/>
                <w:sz w:val="21"/>
                <w:szCs w:val="21"/>
              </w:rPr>
            </w:pPr>
            <w:r>
              <w:rPr>
                <w:rFonts w:ascii="宋体" w:hAnsi="宋体" w:cs="宋体" w:eastAsia="宋体" w:hint="default"/>
                <w:sz w:val="21"/>
                <w:szCs w:val="21"/>
              </w:rPr>
              <w:t>增减幅度超</w:t>
            </w:r>
          </w:p>
          <w:p>
            <w:pPr>
              <w:pStyle w:val="TableParagraph"/>
              <w:spacing w:line="272" w:lineRule="exact" w:before="26"/>
              <w:ind w:left="542" w:right="146" w:hanging="394"/>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宋体" w:hAnsi="宋体" w:cs="宋体" w:eastAsia="宋体" w:hint="default"/>
                <w:sz w:val="21"/>
                <w:szCs w:val="21"/>
              </w:rPr>
              <w:t>30%的原</w:t>
            </w:r>
            <w:r>
              <w:rPr>
                <w:rFonts w:ascii="宋体" w:hAnsi="宋体" w:cs="宋体" w:eastAsia="宋体" w:hint="default"/>
                <w:sz w:val="21"/>
                <w:szCs w:val="21"/>
              </w:rPr>
              <w:t> 因</w:t>
            </w:r>
          </w:p>
        </w:tc>
      </w:tr>
      <w:tr>
        <w:trPr>
          <w:trHeight w:val="379"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1,070,041,696.23</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z w:val="21"/>
              </w:rPr>
              <w:t>869,006,514.15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782,121,103.61</w:t>
            </w:r>
            <w:r>
              <w:rPr>
                <w:rFonts w:ascii="宋体"/>
                <w:sz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宋体" w:hAnsi="宋体" w:cs="宋体" w:eastAsia="宋体" w:hint="default"/>
                <w:sz w:val="21"/>
                <w:szCs w:val="21"/>
              </w:rPr>
            </w:pPr>
            <w:r>
              <w:rPr>
                <w:rFonts w:ascii="宋体"/>
                <w:spacing w:val="-1"/>
                <w:w w:val="95"/>
                <w:sz w:val="21"/>
              </w:rPr>
              <w:t>23.13</w:t>
            </w:r>
            <w:r>
              <w:rPr>
                <w:rFonts w:ascii="宋体"/>
                <w:w w:val="95"/>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sz w:val="21"/>
              </w:rPr>
              <w:t>-</w:t>
            </w:r>
          </w:p>
        </w:tc>
      </w:tr>
      <w:tr>
        <w:trPr>
          <w:trHeight w:val="554"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872,475,376.70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720,332,293.42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639,691,335.18</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21.12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r>
        <w:trPr>
          <w:trHeight w:val="379" w:hRule="exact"/>
        </w:trPr>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224,000,000.00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224,000,000.00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112,000,000.00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1" w:lineRule="exact"/>
        <w:ind w:right="0" w:firstLine="420"/>
        <w:jc w:val="left"/>
      </w:pPr>
      <w:r>
        <w:rPr/>
        <w:t>[注]：1.报告期内，公司营业收入、营业利润、利润总额、归属于上市公司股东的净利润、每股收益</w:t>
      </w:r>
    </w:p>
    <w:p>
      <w:pPr>
        <w:pStyle w:val="BodyText"/>
        <w:spacing w:line="357" w:lineRule="auto" w:before="133"/>
        <w:ind w:left="153" w:right="210"/>
        <w:jc w:val="both"/>
      </w:pPr>
      <w:r>
        <w:rPr>
          <w:spacing w:val="-1"/>
        </w:rPr>
        <w:t>分别比去年同期增长50.08%、68.96%、69.18%、62.46%、61.02%，主要是由于因为在经历了2009年的历史</w:t>
      </w:r>
      <w:r>
        <w:rPr>
          <w:spacing w:val="-95"/>
        </w:rPr>
        <w:t> </w:t>
      </w:r>
      <w:r>
        <w:rPr>
          <w:spacing w:val="-95"/>
        </w:rPr>
      </w:r>
      <w:r>
        <w:rPr>
          <w:spacing w:val="-1"/>
        </w:rPr>
        <w:t>低点之后，我国旅游酒店业在2010年迎来了复苏的阶段，在政策利好、世博会等重大利好的推动下，行业</w:t>
      </w:r>
      <w:r>
        <w:rPr>
          <w:spacing w:val="-84"/>
        </w:rPr>
        <w:t> </w:t>
      </w:r>
      <w:r>
        <w:rPr>
          <w:spacing w:val="-84"/>
        </w:rPr>
      </w:r>
      <w:r>
        <w:rPr/>
        <w:t>逐渐步入上升轨道，新开业酒店数量增加，公司本年度酒店信息管理系统业务得以较快增长。</w:t>
      </w:r>
    </w:p>
    <w:p>
      <w:pPr>
        <w:pStyle w:val="BodyText"/>
        <w:spacing w:line="357" w:lineRule="auto" w:before="30"/>
        <w:ind w:left="153" w:right="0" w:firstLine="420"/>
        <w:jc w:val="left"/>
      </w:pPr>
      <w:r>
        <w:rPr>
          <w:spacing w:val="-1"/>
        </w:rPr>
        <w:t>2.报告期内，公司经营活动产生的现金流量净额比去年同期增长39.36%，主要是由于本年度销售收入</w:t>
      </w:r>
      <w:r>
        <w:rPr/>
        <w:t> 增幅较大及扩大合并范围所致。</w:t>
      </w:r>
    </w:p>
    <w:p>
      <w:pPr>
        <w:spacing w:line="240" w:lineRule="auto" w:before="9"/>
        <w:rPr>
          <w:rFonts w:ascii="宋体" w:hAnsi="宋体" w:cs="宋体" w:eastAsia="宋体" w:hint="default"/>
          <w:sz w:val="23"/>
          <w:szCs w:val="23"/>
        </w:rPr>
      </w:pPr>
    </w:p>
    <w:p>
      <w:pPr>
        <w:spacing w:line="357" w:lineRule="auto" w:before="0"/>
        <w:ind w:left="574" w:right="4160" w:firstLine="2"/>
        <w:jc w:val="left"/>
        <w:rPr>
          <w:rFonts w:ascii="宋体" w:hAnsi="宋体" w:cs="宋体" w:eastAsia="宋体" w:hint="default"/>
          <w:sz w:val="21"/>
          <w:szCs w:val="21"/>
        </w:rPr>
      </w:pPr>
      <w:r>
        <w:rPr>
          <w:rFonts w:ascii="宋体" w:hAnsi="宋体" w:cs="宋体" w:eastAsia="宋体" w:hint="default"/>
          <w:b/>
          <w:bCs/>
          <w:sz w:val="21"/>
          <w:szCs w:val="21"/>
        </w:rPr>
        <w:t>3、主要产品价格变动情况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报告期内，公司主要产品及服务的价格未发生显著变动。</w:t>
      </w:r>
    </w:p>
    <w:p>
      <w:pPr>
        <w:spacing w:line="240" w:lineRule="auto" w:before="9"/>
        <w:rPr>
          <w:rFonts w:ascii="宋体" w:hAnsi="宋体" w:cs="宋体" w:eastAsia="宋体" w:hint="default"/>
          <w:sz w:val="23"/>
          <w:szCs w:val="23"/>
        </w:rPr>
      </w:pPr>
    </w:p>
    <w:p>
      <w:pPr>
        <w:pStyle w:val="Heading3"/>
        <w:spacing w:line="240" w:lineRule="auto"/>
        <w:ind w:left="576" w:right="0"/>
        <w:jc w:val="left"/>
        <w:rPr>
          <w:b w:val="0"/>
          <w:bCs w:val="0"/>
        </w:rPr>
      </w:pPr>
      <w:r>
        <w:rPr/>
        <w:t>4、订单（合同）签署和执行情况</w:t>
      </w:r>
      <w:r>
        <w:rPr>
          <w:b w:val="0"/>
          <w:bCs w:val="0"/>
        </w:rPr>
      </w:r>
    </w:p>
    <w:p>
      <w:pPr>
        <w:spacing w:after="0" w:line="240" w:lineRule="auto"/>
        <w:jc w:val="left"/>
        <w:sectPr>
          <w:pgSz w:w="11910" w:h="16840"/>
          <w:pgMar w:header="851" w:footer="982" w:top="1200" w:bottom="1180" w:left="980" w:right="920"/>
        </w:sectPr>
      </w:pPr>
    </w:p>
    <w:p>
      <w:pPr>
        <w:spacing w:line="240" w:lineRule="auto" w:before="13"/>
        <w:rPr>
          <w:rFonts w:ascii="宋体" w:hAnsi="宋体" w:cs="宋体" w:eastAsia="宋体"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2042"/>
        <w:gridCol w:w="1586"/>
        <w:gridCol w:w="1800"/>
        <w:gridCol w:w="1800"/>
        <w:gridCol w:w="1620"/>
        <w:gridCol w:w="954"/>
      </w:tblGrid>
      <w:tr>
        <w:trPr>
          <w:trHeight w:val="706" w:hRule="exact"/>
        </w:trPr>
        <w:tc>
          <w:tcPr>
            <w:tcW w:w="2042" w:type="dxa"/>
            <w:tcBorders>
              <w:top w:val="single" w:sz="10" w:space="0" w:color="000000"/>
              <w:left w:val="single" w:sz="4" w:space="0" w:color="000000"/>
              <w:bottom w:val="single" w:sz="4" w:space="0" w:color="000000"/>
              <w:right w:val="single" w:sz="4" w:space="0" w:color="000000"/>
            </w:tcBorders>
            <w:shd w:val="clear" w:color="auto" w:fill="E6E6E6"/>
          </w:tcPr>
          <w:p>
            <w:pPr/>
          </w:p>
        </w:tc>
        <w:tc>
          <w:tcPr>
            <w:tcW w:w="1586" w:type="dxa"/>
            <w:tcBorders>
              <w:top w:val="single" w:sz="10"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3"/>
              <w:ind w:right="576"/>
              <w:jc w:val="right"/>
              <w:rPr>
                <w:rFonts w:ascii="宋体" w:hAnsi="宋体" w:cs="宋体" w:eastAsia="宋体" w:hint="default"/>
                <w:sz w:val="21"/>
                <w:szCs w:val="21"/>
              </w:rPr>
            </w:pPr>
            <w:r>
              <w:rPr>
                <w:rFonts w:ascii="宋体"/>
                <w:spacing w:val="-1"/>
                <w:sz w:val="21"/>
              </w:rPr>
              <w:t>2010</w:t>
            </w:r>
          </w:p>
        </w:tc>
        <w:tc>
          <w:tcPr>
            <w:tcW w:w="1800" w:type="dxa"/>
            <w:tcBorders>
              <w:top w:val="single" w:sz="10"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00" w:type="dxa"/>
            <w:tcBorders>
              <w:top w:val="single" w:sz="10" w:space="0" w:color="000000"/>
              <w:left w:val="single" w:sz="4" w:space="0" w:color="000000"/>
              <w:bottom w:val="single" w:sz="4" w:space="0" w:color="000000"/>
              <w:right w:val="single" w:sz="4" w:space="0" w:color="000000"/>
            </w:tcBorders>
            <w:shd w:val="clear" w:color="auto" w:fill="E6E6E6"/>
          </w:tcPr>
          <w:p>
            <w:pPr>
              <w:pStyle w:val="TableParagraph"/>
              <w:spacing w:line="280" w:lineRule="auto" w:before="12"/>
              <w:ind w:left="212" w:right="158" w:hanging="53"/>
              <w:jc w:val="left"/>
              <w:rPr>
                <w:rFonts w:ascii="宋体" w:hAnsi="宋体" w:cs="宋体" w:eastAsia="宋体" w:hint="default"/>
                <w:sz w:val="21"/>
                <w:szCs w:val="21"/>
              </w:rPr>
            </w:pPr>
            <w:r>
              <w:rPr>
                <w:rFonts w:ascii="宋体" w:hAnsi="宋体" w:cs="宋体" w:eastAsia="宋体" w:hint="default"/>
                <w:sz w:val="21"/>
                <w:szCs w:val="21"/>
              </w:rPr>
              <w:t>本年比上年订单 增减幅度（%）</w:t>
            </w:r>
          </w:p>
        </w:tc>
        <w:tc>
          <w:tcPr>
            <w:tcW w:w="1620" w:type="dxa"/>
            <w:tcBorders>
              <w:top w:val="single" w:sz="10"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64"/>
              <w:ind w:left="332" w:right="173" w:hanging="158"/>
              <w:jc w:val="left"/>
              <w:rPr>
                <w:rFonts w:ascii="宋体" w:hAnsi="宋体" w:cs="宋体" w:eastAsia="宋体" w:hint="default"/>
                <w:sz w:val="21"/>
                <w:szCs w:val="21"/>
              </w:rPr>
            </w:pPr>
            <w:r>
              <w:rPr>
                <w:rFonts w:ascii="宋体" w:hAnsi="宋体" w:cs="宋体" w:eastAsia="宋体" w:hint="default"/>
                <w:sz w:val="21"/>
                <w:szCs w:val="21"/>
              </w:rPr>
              <w:t>增减幅度超过 30%的原因</w:t>
            </w:r>
          </w:p>
        </w:tc>
        <w:tc>
          <w:tcPr>
            <w:tcW w:w="954" w:type="dxa"/>
            <w:tcBorders>
              <w:top w:val="single" w:sz="10" w:space="0" w:color="000000"/>
              <w:left w:val="single" w:sz="4" w:space="0" w:color="000000"/>
              <w:bottom w:val="single" w:sz="4" w:space="0" w:color="000000"/>
              <w:right w:val="single" w:sz="4" w:space="0" w:color="000000"/>
            </w:tcBorders>
            <w:shd w:val="clear" w:color="auto" w:fill="E6E6E6"/>
          </w:tcPr>
          <w:p>
            <w:pPr>
              <w:pStyle w:val="TableParagraph"/>
              <w:spacing w:line="272" w:lineRule="exact" w:before="40"/>
              <w:ind w:left="157" w:right="155"/>
              <w:jc w:val="left"/>
              <w:rPr>
                <w:rFonts w:ascii="宋体" w:hAnsi="宋体" w:cs="宋体" w:eastAsia="宋体" w:hint="default"/>
                <w:sz w:val="21"/>
                <w:szCs w:val="21"/>
              </w:rPr>
            </w:pPr>
            <w:r>
              <w:rPr>
                <w:rFonts w:ascii="宋体" w:hAnsi="宋体" w:cs="宋体" w:eastAsia="宋体" w:hint="default"/>
                <w:sz w:val="21"/>
                <w:szCs w:val="21"/>
              </w:rPr>
              <w:t>跨期执 行情况</w:t>
            </w:r>
          </w:p>
        </w:tc>
      </w:tr>
      <w:tr>
        <w:trPr>
          <w:trHeight w:val="698"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left="280" w:right="0"/>
              <w:jc w:val="left"/>
              <w:rPr>
                <w:rFonts w:ascii="宋体" w:hAnsi="宋体" w:cs="宋体" w:eastAsia="宋体" w:hint="default"/>
                <w:sz w:val="21"/>
                <w:szCs w:val="21"/>
              </w:rPr>
            </w:pPr>
            <w:r>
              <w:rPr>
                <w:rFonts w:ascii="宋体" w:hAnsi="宋体" w:cs="宋体" w:eastAsia="宋体" w:hint="default"/>
                <w:sz w:val="21"/>
                <w:szCs w:val="21"/>
              </w:rPr>
              <w:t>软件开发与销售</w:t>
            </w:r>
          </w:p>
          <w:p>
            <w:pPr>
              <w:pStyle w:val="TableParagraph"/>
              <w:spacing w:line="240" w:lineRule="auto" w:before="44"/>
              <w:ind w:left="280" w:right="0"/>
              <w:jc w:val="left"/>
              <w:rPr>
                <w:rFonts w:ascii="宋体" w:hAnsi="宋体" w:cs="宋体" w:eastAsia="宋体" w:hint="default"/>
                <w:sz w:val="21"/>
                <w:szCs w:val="21"/>
              </w:rPr>
            </w:pPr>
            <w:r>
              <w:rPr>
                <w:rFonts w:ascii="宋体" w:hAnsi="宋体" w:cs="宋体" w:eastAsia="宋体" w:hint="default"/>
                <w:sz w:val="21"/>
                <w:szCs w:val="21"/>
              </w:rPr>
              <w:t>（含系统集成）</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629"/>
              <w:jc w:val="right"/>
              <w:rPr>
                <w:rFonts w:ascii="宋体" w:hAnsi="宋体" w:cs="宋体" w:eastAsia="宋体" w:hint="default"/>
                <w:sz w:val="21"/>
                <w:szCs w:val="21"/>
              </w:rPr>
            </w:pPr>
            <w:r>
              <w:rPr>
                <w:rFonts w:ascii="宋体"/>
                <w:spacing w:val="-1"/>
                <w:sz w:val="21"/>
              </w:rPr>
              <w:t>138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sz w:val="21"/>
              </w:rPr>
              <w:t>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579" w:right="0"/>
              <w:jc w:val="left"/>
              <w:rPr>
                <w:rFonts w:ascii="宋体" w:hAnsi="宋体" w:cs="宋体" w:eastAsia="宋体" w:hint="default"/>
                <w:sz w:val="21"/>
                <w:szCs w:val="21"/>
              </w:rPr>
            </w:pPr>
            <w:r>
              <w:rPr>
                <w:rFonts w:ascii="宋体"/>
                <w:sz w:val="21"/>
              </w:rPr>
              <w:t>60.47%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67" w:right="0"/>
              <w:jc w:val="left"/>
              <w:rPr>
                <w:rFonts w:ascii="宋体" w:hAnsi="宋体" w:cs="宋体" w:eastAsia="宋体" w:hint="default"/>
                <w:sz w:val="21"/>
                <w:szCs w:val="21"/>
              </w:rPr>
            </w:pPr>
            <w:r>
              <w:rPr>
                <w:rFonts w:ascii="宋体"/>
                <w:sz w:val="21"/>
              </w:rPr>
              <w:t>31</w:t>
            </w:r>
          </w:p>
        </w:tc>
      </w:tr>
      <w:tr>
        <w:trPr>
          <w:trHeight w:val="379"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
              <w:ind w:left="280" w:right="0"/>
              <w:jc w:val="left"/>
              <w:rPr>
                <w:rFonts w:ascii="宋体" w:hAnsi="宋体" w:cs="宋体" w:eastAsia="宋体" w:hint="default"/>
                <w:sz w:val="21"/>
                <w:szCs w:val="21"/>
              </w:rPr>
            </w:pPr>
            <w:r>
              <w:rPr>
                <w:rFonts w:ascii="宋体" w:hAnsi="宋体" w:cs="宋体" w:eastAsia="宋体" w:hint="default"/>
                <w:sz w:val="21"/>
                <w:szCs w:val="21"/>
              </w:rPr>
              <w:t>技术支持与维护</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30"/>
              <w:jc w:val="right"/>
              <w:rPr>
                <w:rFonts w:ascii="宋体" w:hAnsi="宋体" w:cs="宋体" w:eastAsia="宋体" w:hint="default"/>
                <w:sz w:val="21"/>
                <w:szCs w:val="21"/>
              </w:rPr>
            </w:pPr>
            <w:r>
              <w:rPr>
                <w:rFonts w:ascii="宋体"/>
                <w:spacing w:val="-1"/>
                <w:sz w:val="21"/>
              </w:rPr>
              <w:t>672</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589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9" w:right="0"/>
              <w:jc w:val="left"/>
              <w:rPr>
                <w:rFonts w:ascii="宋体" w:hAnsi="宋体" w:cs="宋体" w:eastAsia="宋体" w:hint="default"/>
                <w:sz w:val="21"/>
                <w:szCs w:val="21"/>
              </w:rPr>
            </w:pPr>
            <w:r>
              <w:rPr>
                <w:rFonts w:ascii="宋体"/>
                <w:sz w:val="21"/>
              </w:rPr>
              <w:t>14.09%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sz w:val="21"/>
              </w:rPr>
              <w:t>373</w:t>
            </w:r>
          </w:p>
        </w:tc>
      </w:tr>
    </w:tbl>
    <w:p>
      <w:pPr>
        <w:pStyle w:val="BodyText"/>
        <w:spacing w:line="241" w:lineRule="exact"/>
        <w:ind w:left="214" w:right="102"/>
        <w:jc w:val="left"/>
      </w:pPr>
      <w:r>
        <w:rPr/>
        <w:t>[注]：1.本处所指的订单数量包括国际高档连锁酒店信息系统、本土高档酒店信息系统的订单。</w:t>
      </w:r>
    </w:p>
    <w:p>
      <w:pPr>
        <w:pStyle w:val="BodyText"/>
        <w:spacing w:line="357" w:lineRule="auto" w:before="133"/>
        <w:ind w:left="214" w:right="209" w:firstLine="630"/>
        <w:jc w:val="both"/>
      </w:pPr>
      <w:r>
        <w:rPr>
          <w:spacing w:val="-1"/>
        </w:rPr>
        <w:t>2.软件开发与销售（含系统集成）订单数量同比增长60.47%，是由于我国旅游酒店业在2010年迎来</w:t>
      </w:r>
      <w:r>
        <w:rPr/>
        <w:t> </w:t>
      </w:r>
      <w:r>
        <w:rPr>
          <w:spacing w:val="-1"/>
        </w:rPr>
        <w:t>了复苏的阶段，行业逐渐步入上升轨道，新开业酒店数量增加，使得公司酒店信息系统软件的订单增加幅</w:t>
      </w:r>
      <w:r>
        <w:rPr>
          <w:spacing w:val="-83"/>
        </w:rPr>
        <w:t> </w:t>
      </w:r>
      <w:r>
        <w:rPr>
          <w:spacing w:val="-83"/>
        </w:rPr>
      </w:r>
      <w:r>
        <w:rPr/>
        <w:t>度较大。</w:t>
      </w:r>
    </w:p>
    <w:p>
      <w:pPr>
        <w:spacing w:line="240" w:lineRule="auto" w:before="0"/>
        <w:rPr>
          <w:rFonts w:ascii="宋体" w:hAnsi="宋体" w:cs="宋体" w:eastAsia="宋体" w:hint="default"/>
          <w:sz w:val="20"/>
          <w:szCs w:val="20"/>
        </w:rPr>
      </w:pPr>
    </w:p>
    <w:p>
      <w:pPr>
        <w:pStyle w:val="Heading3"/>
        <w:spacing w:line="240" w:lineRule="auto" w:before="178"/>
        <w:ind w:left="740" w:right="102"/>
        <w:jc w:val="left"/>
        <w:rPr>
          <w:b w:val="0"/>
          <w:bCs w:val="0"/>
        </w:rPr>
      </w:pPr>
      <w:r>
        <w:rPr/>
        <w:t>5、毛利率变动情况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97" w:type="dxa"/>
        <w:tblLayout w:type="fixed"/>
        <w:tblCellMar>
          <w:top w:w="0" w:type="dxa"/>
          <w:left w:w="0" w:type="dxa"/>
          <w:bottom w:w="0" w:type="dxa"/>
          <w:right w:w="0" w:type="dxa"/>
        </w:tblCellMar>
        <w:tblLook w:val="01E0"/>
      </w:tblPr>
      <w:tblGrid>
        <w:gridCol w:w="1786"/>
        <w:gridCol w:w="1230"/>
        <w:gridCol w:w="1080"/>
        <w:gridCol w:w="1103"/>
        <w:gridCol w:w="2006"/>
        <w:gridCol w:w="2457"/>
      </w:tblGrid>
      <w:tr>
        <w:trPr>
          <w:trHeight w:val="554" w:hRule="exact"/>
        </w:trPr>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9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84" w:right="0" w:hanging="27"/>
              <w:jc w:val="left"/>
              <w:rPr>
                <w:rFonts w:ascii="宋体" w:hAnsi="宋体" w:cs="宋体" w:eastAsia="宋体" w:hint="default"/>
                <w:sz w:val="21"/>
                <w:szCs w:val="21"/>
              </w:rPr>
            </w:pPr>
            <w:r>
              <w:rPr>
                <w:rFonts w:ascii="宋体" w:hAnsi="宋体" w:cs="宋体" w:eastAsia="宋体" w:hint="default"/>
                <w:sz w:val="21"/>
                <w:szCs w:val="21"/>
              </w:rPr>
              <w:t>本年比上年增减幅</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度超过</w:t>
            </w:r>
            <w:r>
              <w:rPr>
                <w:rFonts w:ascii="宋体" w:hAnsi="宋体" w:cs="宋体" w:eastAsia="宋体" w:hint="default"/>
                <w:spacing w:val="-55"/>
                <w:sz w:val="21"/>
                <w:szCs w:val="21"/>
              </w:rPr>
              <w:t> </w:t>
            </w:r>
            <w:r>
              <w:rPr>
                <w:rFonts w:ascii="宋体" w:hAnsi="宋体" w:cs="宋体" w:eastAsia="宋体" w:hint="default"/>
                <w:sz w:val="21"/>
                <w:szCs w:val="21"/>
              </w:rPr>
              <w:t>30%的原因</w:t>
            </w:r>
          </w:p>
        </w:tc>
        <w:tc>
          <w:tcPr>
            <w:tcW w:w="2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与同行业相比差异超过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30%的原因</w:t>
            </w:r>
          </w:p>
        </w:tc>
      </w:tr>
      <w:tr>
        <w:trPr>
          <w:trHeight w:val="282" w:hRule="exact"/>
        </w:trPr>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69.27%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7" w:right="0"/>
              <w:jc w:val="left"/>
              <w:rPr>
                <w:rFonts w:ascii="宋体" w:hAnsi="宋体" w:cs="宋体" w:eastAsia="宋体" w:hint="default"/>
                <w:sz w:val="21"/>
                <w:szCs w:val="21"/>
              </w:rPr>
            </w:pPr>
            <w:r>
              <w:rPr>
                <w:rFonts w:ascii="宋体"/>
                <w:sz w:val="21"/>
              </w:rPr>
              <w:t>70.23%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63.24%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2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b/>
          <w:bCs/>
          <w:sz w:val="16"/>
          <w:szCs w:val="16"/>
        </w:rPr>
      </w:pPr>
    </w:p>
    <w:p>
      <w:pPr>
        <w:pStyle w:val="Heading3"/>
        <w:spacing w:line="240" w:lineRule="auto" w:before="35"/>
        <w:ind w:left="739" w:right="102"/>
        <w:jc w:val="left"/>
        <w:rPr>
          <w:b w:val="0"/>
          <w:bCs w:val="0"/>
        </w:rPr>
      </w:pPr>
      <w:r>
        <w:rPr/>
        <w:t>6、公司主营业务按行业、产品和地区分布情况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left="633" w:right="102"/>
        <w:jc w:val="left"/>
      </w:pPr>
      <w:r>
        <w:rPr/>
        <w:t>（1）主营业务分行业、分产品经营情况（单位：万元）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120"/>
        <w:gridCol w:w="1183"/>
        <w:gridCol w:w="1184"/>
        <w:gridCol w:w="950"/>
        <w:gridCol w:w="1409"/>
        <w:gridCol w:w="1426"/>
        <w:gridCol w:w="1549"/>
      </w:tblGrid>
      <w:tr>
        <w:trPr>
          <w:trHeight w:val="321" w:hRule="exact"/>
        </w:trPr>
        <w:tc>
          <w:tcPr>
            <w:tcW w:w="9821" w:type="dxa"/>
            <w:gridSpan w:val="7"/>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65" w:hRule="exact"/>
        </w:trPr>
        <w:tc>
          <w:tcPr>
            <w:tcW w:w="21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18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8"/>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left="15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7" w:right="0" w:firstLine="52"/>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润率(%)</w:t>
            </w:r>
          </w:p>
        </w:tc>
        <w:tc>
          <w:tcPr>
            <w:tcW w:w="140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8" w:firstLine="70"/>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98" w:right="-8"/>
              <w:jc w:val="left"/>
              <w:rPr>
                <w:rFonts w:ascii="宋体" w:hAnsi="宋体" w:cs="宋体" w:eastAsia="宋体" w:hint="default"/>
                <w:sz w:val="21"/>
                <w:szCs w:val="21"/>
              </w:rPr>
            </w:pPr>
            <w:r>
              <w:rPr>
                <w:rFonts w:ascii="宋体" w:hAnsi="宋体" w:cs="宋体" w:eastAsia="宋体" w:hint="default"/>
                <w:spacing w:val="-10"/>
                <w:sz w:val="21"/>
                <w:szCs w:val="21"/>
              </w:rPr>
              <w:t>上年增减（%）</w:t>
            </w:r>
          </w:p>
        </w:tc>
        <w:tc>
          <w:tcPr>
            <w:tcW w:w="142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6" w:firstLine="79"/>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left="98" w:right="-6"/>
              <w:jc w:val="left"/>
              <w:rPr>
                <w:rFonts w:ascii="宋体" w:hAnsi="宋体" w:cs="宋体" w:eastAsia="宋体" w:hint="default"/>
                <w:sz w:val="21"/>
                <w:szCs w:val="21"/>
              </w:rPr>
            </w:pPr>
            <w:r>
              <w:rPr>
                <w:rFonts w:ascii="宋体" w:hAnsi="宋体" w:cs="宋体" w:eastAsia="宋体" w:hint="default"/>
                <w:spacing w:val="-9"/>
                <w:sz w:val="21"/>
                <w:szCs w:val="21"/>
              </w:rPr>
              <w:t>上年增减（%）</w:t>
            </w:r>
            <w:r>
              <w:rPr>
                <w:rFonts w:ascii="宋体" w:hAnsi="宋体" w:cs="宋体" w:eastAsia="宋体" w:hint="default"/>
                <w:sz w:val="21"/>
                <w:szCs w:val="21"/>
              </w:rPr>
            </w:r>
          </w:p>
        </w:tc>
        <w:tc>
          <w:tcPr>
            <w:tcW w:w="154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firstLine="36"/>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上年增减（%）</w:t>
            </w:r>
          </w:p>
        </w:tc>
      </w:tr>
      <w:tr>
        <w:trPr>
          <w:trHeight w:val="349" w:hRule="exact"/>
        </w:trPr>
        <w:tc>
          <w:tcPr>
            <w:tcW w:w="21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8" w:lineRule="exact"/>
              <w:ind w:left="98" w:right="0"/>
              <w:jc w:val="left"/>
              <w:rPr>
                <w:rFonts w:ascii="宋体" w:hAnsi="宋体" w:cs="宋体" w:eastAsia="宋体" w:hint="default"/>
                <w:sz w:val="21"/>
                <w:szCs w:val="21"/>
              </w:rPr>
            </w:pPr>
            <w:r>
              <w:rPr>
                <w:rFonts w:ascii="宋体" w:hAnsi="宋体" w:cs="宋体" w:eastAsia="宋体" w:hint="default"/>
                <w:sz w:val="21"/>
                <w:szCs w:val="21"/>
              </w:rPr>
              <w:t>计算机服务和软件业</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19"/>
              <w:jc w:val="center"/>
              <w:rPr>
                <w:rFonts w:ascii="宋体" w:hAnsi="宋体" w:cs="宋体" w:eastAsia="宋体" w:hint="default"/>
                <w:sz w:val="21"/>
                <w:szCs w:val="21"/>
              </w:rPr>
            </w:pPr>
            <w:r>
              <w:rPr>
                <w:rFonts w:ascii="宋体"/>
                <w:sz w:val="21"/>
              </w:rPr>
              <w:t>60,854.95</w:t>
            </w:r>
          </w:p>
        </w:tc>
        <w:tc>
          <w:tcPr>
            <w:tcW w:w="118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8"/>
              <w:jc w:val="right"/>
              <w:rPr>
                <w:rFonts w:ascii="宋体" w:hAnsi="宋体" w:cs="宋体" w:eastAsia="宋体" w:hint="default"/>
                <w:sz w:val="21"/>
                <w:szCs w:val="21"/>
              </w:rPr>
            </w:pPr>
            <w:r>
              <w:rPr>
                <w:rFonts w:ascii="宋体"/>
                <w:spacing w:val="-1"/>
                <w:sz w:val="21"/>
              </w:rPr>
              <w:t>18,701.80</w:t>
            </w:r>
            <w:r>
              <w:rPr>
                <w:rFonts w:ascii="宋体"/>
                <w:sz w:val="21"/>
              </w:rPr>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103" w:right="0"/>
              <w:jc w:val="center"/>
              <w:rPr>
                <w:rFonts w:ascii="宋体" w:hAnsi="宋体" w:cs="宋体" w:eastAsia="宋体" w:hint="default"/>
                <w:sz w:val="21"/>
                <w:szCs w:val="21"/>
              </w:rPr>
            </w:pPr>
            <w:r>
              <w:rPr>
                <w:rFonts w:ascii="宋体"/>
                <w:sz w:val="21"/>
              </w:rPr>
              <w:t>69.27%</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5"/>
              <w:jc w:val="right"/>
              <w:rPr>
                <w:rFonts w:ascii="宋体" w:hAnsi="宋体" w:cs="宋体" w:eastAsia="宋体" w:hint="default"/>
                <w:sz w:val="21"/>
                <w:szCs w:val="21"/>
              </w:rPr>
            </w:pPr>
            <w:r>
              <w:rPr>
                <w:rFonts w:ascii="宋体"/>
                <w:sz w:val="21"/>
              </w:rPr>
              <w:t>50.18%</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z w:val="21"/>
              </w:rPr>
              <w:t>55.04%</w:t>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5"/>
              <w:jc w:val="right"/>
              <w:rPr>
                <w:rFonts w:ascii="宋体" w:hAnsi="宋体" w:cs="宋体" w:eastAsia="宋体" w:hint="default"/>
                <w:sz w:val="21"/>
                <w:szCs w:val="21"/>
              </w:rPr>
            </w:pPr>
            <w:r>
              <w:rPr>
                <w:rFonts w:ascii="宋体"/>
                <w:sz w:val="21"/>
              </w:rPr>
              <w:t>-0.96%</w:t>
            </w:r>
          </w:p>
        </w:tc>
      </w:tr>
      <w:tr>
        <w:trPr>
          <w:trHeight w:val="320" w:hRule="exact"/>
        </w:trPr>
        <w:tc>
          <w:tcPr>
            <w:tcW w:w="9821" w:type="dxa"/>
            <w:gridSpan w:val="7"/>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0" w:hRule="exact"/>
        </w:trPr>
        <w:tc>
          <w:tcPr>
            <w:tcW w:w="21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1．系统集成</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5" w:right="0"/>
              <w:jc w:val="center"/>
              <w:rPr>
                <w:rFonts w:ascii="宋体" w:hAnsi="宋体" w:cs="宋体" w:eastAsia="宋体" w:hint="default"/>
                <w:sz w:val="21"/>
                <w:szCs w:val="21"/>
              </w:rPr>
            </w:pPr>
            <w:r>
              <w:rPr>
                <w:rFonts w:ascii="宋体"/>
                <w:sz w:val="21"/>
              </w:rPr>
              <w:t>15,961.08</w:t>
            </w:r>
          </w:p>
        </w:tc>
        <w:tc>
          <w:tcPr>
            <w:tcW w:w="11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14,169.61</w:t>
            </w:r>
            <w:r>
              <w:rPr>
                <w:rFonts w:ascii="宋体"/>
                <w:sz w:val="21"/>
              </w:rPr>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3" w:right="0"/>
              <w:jc w:val="center"/>
              <w:rPr>
                <w:rFonts w:ascii="宋体" w:hAnsi="宋体" w:cs="宋体" w:eastAsia="宋体" w:hint="default"/>
                <w:sz w:val="21"/>
                <w:szCs w:val="21"/>
              </w:rPr>
            </w:pPr>
            <w:r>
              <w:rPr>
                <w:rFonts w:ascii="宋体"/>
                <w:sz w:val="21"/>
              </w:rPr>
              <w:t>11.22%</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sz w:val="21"/>
              </w:rPr>
              <w:t>59.14%</w:t>
            </w:r>
            <w:r>
              <w:rPr>
                <w:rFonts w:ascii="宋体"/>
                <w:sz w:val="21"/>
              </w:rPr>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57.89%</w:t>
            </w:r>
            <w:r>
              <w:rPr>
                <w:rFonts w:ascii="宋体"/>
                <w:sz w:val="21"/>
              </w:rPr>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spacing w:val="-1"/>
                <w:w w:val="95"/>
                <w:sz w:val="21"/>
              </w:rPr>
              <w:t>0.70%</w:t>
            </w:r>
            <w:r>
              <w:rPr>
                <w:rFonts w:ascii="宋体"/>
                <w:w w:val="95"/>
                <w:sz w:val="21"/>
              </w:rPr>
            </w:r>
          </w:p>
        </w:tc>
      </w:tr>
      <w:tr>
        <w:trPr>
          <w:trHeight w:val="319" w:hRule="exact"/>
        </w:trPr>
        <w:tc>
          <w:tcPr>
            <w:tcW w:w="21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2．软件开发</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7" w:right="0"/>
              <w:jc w:val="center"/>
              <w:rPr>
                <w:rFonts w:ascii="宋体" w:hAnsi="宋体" w:cs="宋体" w:eastAsia="宋体" w:hint="default"/>
                <w:sz w:val="21"/>
                <w:szCs w:val="21"/>
              </w:rPr>
            </w:pPr>
            <w:r>
              <w:rPr>
                <w:rFonts w:ascii="宋体"/>
                <w:sz w:val="21"/>
              </w:rPr>
              <w:t>28,338.63</w:t>
            </w:r>
          </w:p>
        </w:tc>
        <w:tc>
          <w:tcPr>
            <w:tcW w:w="11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0.00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100.00%</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71.40%</w:t>
            </w:r>
          </w:p>
        </w:tc>
        <w:tc>
          <w:tcPr>
            <w:tcW w:w="1426" w:type="dxa"/>
            <w:tcBorders>
              <w:top w:val="single" w:sz="8" w:space="0" w:color="000000"/>
              <w:left w:val="single" w:sz="8" w:space="0" w:color="000000"/>
              <w:bottom w:val="single" w:sz="8" w:space="0" w:color="000000"/>
              <w:right w:val="single" w:sz="8" w:space="0" w:color="000000"/>
            </w:tcBorders>
          </w:tcPr>
          <w:p>
            <w:pP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0.00%</w:t>
            </w:r>
          </w:p>
        </w:tc>
      </w:tr>
      <w:tr>
        <w:trPr>
          <w:trHeight w:val="320" w:hRule="exact"/>
        </w:trPr>
        <w:tc>
          <w:tcPr>
            <w:tcW w:w="21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3．技术支持与维护</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67" w:right="0"/>
              <w:jc w:val="center"/>
              <w:rPr>
                <w:rFonts w:ascii="宋体" w:hAnsi="宋体" w:cs="宋体" w:eastAsia="宋体" w:hint="default"/>
                <w:sz w:val="21"/>
                <w:szCs w:val="21"/>
              </w:rPr>
            </w:pPr>
            <w:r>
              <w:rPr>
                <w:rFonts w:ascii="宋体"/>
                <w:sz w:val="21"/>
              </w:rPr>
              <w:t>16,555.24</w:t>
            </w:r>
          </w:p>
        </w:tc>
        <w:tc>
          <w:tcPr>
            <w:tcW w:w="11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sz w:val="21"/>
              </w:rPr>
              <w:t>4,532.19</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sz w:val="21"/>
              </w:rPr>
              <w:t>72.62%</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4"/>
              <w:jc w:val="right"/>
              <w:rPr>
                <w:rFonts w:ascii="宋体" w:hAnsi="宋体" w:cs="宋体" w:eastAsia="宋体" w:hint="default"/>
                <w:sz w:val="21"/>
                <w:szCs w:val="21"/>
              </w:rPr>
            </w:pPr>
            <w:r>
              <w:rPr>
                <w:rFonts w:ascii="宋体"/>
                <w:sz w:val="21"/>
              </w:rPr>
              <w:t>18.61%</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46.77%</w:t>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-5.25%</w:t>
            </w:r>
          </w:p>
        </w:tc>
      </w:tr>
      <w:tr>
        <w:trPr>
          <w:trHeight w:val="293" w:hRule="exact"/>
        </w:trPr>
        <w:tc>
          <w:tcPr>
            <w:tcW w:w="21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60,854.95</w:t>
            </w:r>
          </w:p>
        </w:tc>
        <w:tc>
          <w:tcPr>
            <w:tcW w:w="118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18,701.80</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69.27%</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50.18%</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55.04%</w:t>
            </w:r>
          </w:p>
        </w:tc>
        <w:tc>
          <w:tcPr>
            <w:tcW w:w="154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-0.96%</w:t>
            </w:r>
          </w:p>
        </w:tc>
      </w:tr>
    </w:tbl>
    <w:p>
      <w:pPr>
        <w:spacing w:line="240" w:lineRule="auto" w:before="1"/>
        <w:rPr>
          <w:rFonts w:ascii="宋体" w:hAnsi="宋体" w:cs="宋体" w:eastAsia="宋体" w:hint="default"/>
          <w:sz w:val="16"/>
          <w:szCs w:val="16"/>
        </w:rPr>
      </w:pPr>
    </w:p>
    <w:p>
      <w:pPr>
        <w:pStyle w:val="BodyText"/>
        <w:spacing w:line="357" w:lineRule="auto" w:before="35"/>
        <w:ind w:left="214" w:right="209" w:firstLine="420"/>
        <w:jc w:val="both"/>
      </w:pPr>
      <w:r>
        <w:rPr>
          <w:spacing w:val="-2"/>
        </w:rPr>
        <w:t>注：系统集成、软件开发营业收入同比增长59.14%、71.40%，主要是由于我国旅游酒店业在2010年迎</w:t>
      </w:r>
      <w:r>
        <w:rPr/>
        <w:t> </w:t>
      </w:r>
      <w:r>
        <w:rPr>
          <w:spacing w:val="-1"/>
        </w:rPr>
        <w:t>来了复苏的阶段，行业逐渐步入上升轨道，新开业酒店数量增加，使得公司酒店信息系统软件的订单增加</w:t>
      </w:r>
      <w:r>
        <w:rPr>
          <w:spacing w:val="-83"/>
        </w:rPr>
        <w:t> </w:t>
      </w:r>
      <w:r>
        <w:rPr>
          <w:spacing w:val="-83"/>
        </w:rPr>
      </w:r>
      <w:r>
        <w:rPr/>
        <w:t>幅度较大。</w:t>
      </w:r>
    </w:p>
    <w:p>
      <w:pPr>
        <w:spacing w:line="240" w:lineRule="auto" w:before="10"/>
        <w:rPr>
          <w:rFonts w:ascii="宋体" w:hAnsi="宋体" w:cs="宋体" w:eastAsia="宋体" w:hint="default"/>
          <w:sz w:val="23"/>
          <w:szCs w:val="23"/>
        </w:rPr>
      </w:pPr>
    </w:p>
    <w:p>
      <w:pPr>
        <w:pStyle w:val="BodyText"/>
        <w:spacing w:line="240" w:lineRule="auto"/>
        <w:ind w:left="634" w:right="102"/>
        <w:jc w:val="left"/>
      </w:pPr>
      <w:r>
        <w:rPr/>
        <w:t>（</w:t>
      </w:r>
      <w:r>
        <w:rPr>
          <w:rFonts w:ascii="Arial" w:hAnsi="Arial" w:cs="Arial" w:eastAsia="Arial" w:hint="default"/>
        </w:rPr>
        <w:t>2</w:t>
      </w:r>
      <w:r>
        <w:rPr/>
        <w:t>）主营业务分地区情况（单位：万元）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55" w:type="dxa"/>
        <w:tblLayout w:type="fixed"/>
        <w:tblCellMar>
          <w:top w:w="0" w:type="dxa"/>
          <w:left w:w="0" w:type="dxa"/>
          <w:bottom w:w="0" w:type="dxa"/>
          <w:right w:w="0" w:type="dxa"/>
        </w:tblCellMar>
        <w:tblLook w:val="01E0"/>
      </w:tblPr>
      <w:tblGrid>
        <w:gridCol w:w="2694"/>
        <w:gridCol w:w="1440"/>
        <w:gridCol w:w="1560"/>
        <w:gridCol w:w="1560"/>
        <w:gridCol w:w="2466"/>
      </w:tblGrid>
      <w:tr>
        <w:trPr>
          <w:trHeight w:val="282"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7"/>
              <w:jc w:val="right"/>
              <w:rPr>
                <w:rFonts w:ascii="宋体" w:hAnsi="宋体" w:cs="宋体" w:eastAsia="宋体" w:hint="default"/>
                <w:sz w:val="21"/>
                <w:szCs w:val="21"/>
              </w:rPr>
            </w:pPr>
            <w:r>
              <w:rPr>
                <w:rFonts w:ascii="宋体" w:hAnsi="宋体" w:cs="宋体" w:eastAsia="宋体" w:hint="default"/>
                <w:spacing w:val="-1"/>
                <w:sz w:val="21"/>
                <w:szCs w:val="21"/>
              </w:rPr>
              <w:t>营业收入比上年增减（%）</w:t>
            </w:r>
            <w:r>
              <w:rPr>
                <w:rFonts w:ascii="宋体" w:hAnsi="宋体" w:cs="宋体" w:eastAsia="宋体" w:hint="default"/>
                <w:sz w:val="21"/>
                <w:szCs w:val="21"/>
              </w:rPr>
            </w:r>
          </w:p>
        </w:tc>
      </w:tr>
      <w:tr>
        <w:trPr>
          <w:trHeight w:val="378"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1、中国大陆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2"/>
                <w:szCs w:val="22"/>
              </w:rPr>
            </w:pPr>
            <w:r>
              <w:rPr>
                <w:rFonts w:ascii="宋体"/>
                <w:spacing w:val="-1"/>
                <w:sz w:val="22"/>
              </w:rPr>
              <w:t>52,654.37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2"/>
                <w:szCs w:val="22"/>
              </w:rPr>
            </w:pPr>
            <w:r>
              <w:rPr>
                <w:rFonts w:ascii="宋体"/>
                <w:spacing w:val="-1"/>
                <w:sz w:val="22"/>
              </w:rPr>
              <w:t>15,137.39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2"/>
                <w:szCs w:val="22"/>
              </w:rPr>
            </w:pPr>
            <w:r>
              <w:rPr>
                <w:rFonts w:ascii="宋体"/>
                <w:spacing w:val="-1"/>
                <w:sz w:val="22"/>
              </w:rPr>
              <w:t>37,516.99</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54.28</w:t>
            </w:r>
          </w:p>
        </w:tc>
      </w:tr>
      <w:tr>
        <w:trPr>
          <w:trHeight w:val="379"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pacing w:val="-8"/>
                <w:sz w:val="21"/>
                <w:szCs w:val="21"/>
              </w:rPr>
              <w:t>2、其他地区（含港、澳、台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6"/>
              <w:ind w:left="-140" w:right="22"/>
              <w:jc w:val="right"/>
              <w:rPr>
                <w:rFonts w:ascii="宋体" w:hAnsi="宋体" w:cs="宋体" w:eastAsia="宋体" w:hint="default"/>
                <w:sz w:val="22"/>
                <w:szCs w:val="22"/>
              </w:rPr>
            </w:pPr>
            <w:r>
              <w:rPr>
                <w:rFonts w:ascii="宋体" w:hAnsi="宋体" w:cs="宋体" w:eastAsia="宋体" w:hint="default"/>
                <w:sz w:val="21"/>
                <w:szCs w:val="21"/>
              </w:rPr>
              <w:t>）</w:t>
              <w:tab/>
            </w:r>
            <w:r>
              <w:rPr>
                <w:rFonts w:ascii="宋体" w:hAnsi="宋体" w:cs="宋体" w:eastAsia="宋体" w:hint="default"/>
                <w:spacing w:val="-1"/>
                <w:sz w:val="22"/>
                <w:szCs w:val="22"/>
              </w:rPr>
              <w:t>8,200.57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宋体" w:hAnsi="宋体" w:cs="宋体" w:eastAsia="宋体" w:hint="default"/>
                <w:sz w:val="22"/>
                <w:szCs w:val="22"/>
              </w:rPr>
            </w:pPr>
            <w:r>
              <w:rPr>
                <w:rFonts w:ascii="宋体"/>
                <w:spacing w:val="-1"/>
                <w:sz w:val="22"/>
              </w:rPr>
              <w:t>3,564.41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宋体" w:hAnsi="宋体" w:cs="宋体" w:eastAsia="宋体" w:hint="default"/>
                <w:sz w:val="22"/>
                <w:szCs w:val="22"/>
              </w:rPr>
            </w:pPr>
            <w:r>
              <w:rPr>
                <w:rFonts w:ascii="宋体"/>
                <w:spacing w:val="-1"/>
                <w:sz w:val="22"/>
              </w:rPr>
              <w:t>4,636.16</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28.30</w:t>
            </w:r>
          </w:p>
        </w:tc>
      </w:tr>
      <w:tr>
        <w:trPr>
          <w:trHeight w:val="378" w:hRule="exact"/>
        </w:trPr>
        <w:tc>
          <w:tcPr>
            <w:tcW w:w="2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60,854.95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18,701.80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42,153.15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50.18</w:t>
            </w:r>
          </w:p>
        </w:tc>
      </w:tr>
    </w:tbl>
    <w:p>
      <w:pPr>
        <w:spacing w:line="240" w:lineRule="auto" w:before="1"/>
        <w:rPr>
          <w:rFonts w:ascii="宋体" w:hAnsi="宋体" w:cs="宋体" w:eastAsia="宋体" w:hint="default"/>
          <w:sz w:val="16"/>
          <w:szCs w:val="16"/>
        </w:rPr>
      </w:pPr>
    </w:p>
    <w:p>
      <w:pPr>
        <w:pStyle w:val="Heading3"/>
        <w:spacing w:line="240" w:lineRule="auto" w:before="35"/>
        <w:ind w:left="626" w:right="102"/>
        <w:jc w:val="left"/>
        <w:rPr>
          <w:b w:val="0"/>
          <w:bCs w:val="0"/>
        </w:rPr>
      </w:pPr>
      <w:r>
        <w:rPr>
          <w:rFonts w:ascii="Arial" w:hAnsi="Arial" w:cs="Arial" w:eastAsia="Arial" w:hint="default"/>
        </w:rPr>
        <w:t>7</w:t>
      </w:r>
      <w:r>
        <w:rPr/>
        <w:t>、公司主要客户、供应商情况</w:t>
      </w:r>
      <w:r>
        <w:rPr>
          <w:b w:val="0"/>
          <w:bCs w:val="0"/>
        </w:rPr>
      </w:r>
    </w:p>
    <w:p>
      <w:pPr>
        <w:spacing w:after="0" w:line="240" w:lineRule="auto"/>
        <w:jc w:val="left"/>
        <w:sectPr>
          <w:pgSz w:w="11910" w:h="16840"/>
          <w:pgMar w:header="851" w:footer="982" w:top="1200" w:bottom="1180" w:left="920" w:right="920"/>
        </w:sectPr>
      </w:pPr>
    </w:p>
    <w:p>
      <w:pPr>
        <w:pStyle w:val="BodyText"/>
        <w:spacing w:line="348" w:lineRule="auto" w:before="32"/>
        <w:ind w:left="253" w:right="0" w:firstLine="420"/>
        <w:jc w:val="left"/>
      </w:pPr>
      <w:r>
        <w:rPr/>
        <w:pict>
          <v:group style="position:absolute;margin-left:55.200001pt;margin-top:2.943948pt;width:484.95pt;height:.1pt;mso-position-horizontal-relative:page;mso-position-vertical-relative:paragraph;z-index:-709792" coordorigin="1104,59" coordsize="9699,2">
            <v:shape style="position:absolute;left:1104;top:59;width:9699;height:2" coordorigin="1104,59" coordsize="9699,0" path="m1104,59l10802,59e" filled="false" stroked="true" strokeweight=".72pt" strokecolor="#000000">
              <v:path arrowok="t"/>
            </v:shape>
            <w10:wrap type="none"/>
          </v:group>
        </w:pict>
      </w:r>
      <w:r>
        <w:rPr/>
        <w:t>报告期内，公司没有单一供应商或客户采购、销售比例超过</w:t>
      </w:r>
      <w:r>
        <w:rPr>
          <w:spacing w:val="-2"/>
        </w:rPr>
        <w:t> </w:t>
      </w:r>
      <w:r>
        <w:rPr>
          <w:rFonts w:ascii="Arial" w:hAnsi="Arial" w:cs="Arial" w:eastAsia="Arial" w:hint="default"/>
        </w:rPr>
        <w:t>30%</w:t>
      </w:r>
      <w:r>
        <w:rPr/>
        <w:t>的情形，不存在应收账款不能收回 </w:t>
      </w:r>
      <w:r>
        <w:rPr>
          <w:spacing w:val="-1"/>
        </w:rPr>
        <w:t>的风险。公司与前五名供应商、客户之间不存在关联关系，公司董事、监事、高级管理人员、核心技术人</w:t>
      </w:r>
      <w:r>
        <w:rPr>
          <w:spacing w:val="-83"/>
        </w:rPr>
        <w:t> </w:t>
      </w:r>
      <w:r>
        <w:rPr>
          <w:spacing w:val="-83"/>
        </w:rPr>
      </w:r>
      <w:r>
        <w:rPr/>
        <w:t>员、持股</w:t>
      </w:r>
      <w:r>
        <w:rPr>
          <w:spacing w:val="-2"/>
        </w:rPr>
        <w:t> </w:t>
      </w:r>
      <w:r>
        <w:rPr>
          <w:rFonts w:ascii="Arial" w:hAnsi="Arial" w:cs="Arial" w:eastAsia="Arial" w:hint="default"/>
        </w:rPr>
        <w:t>5%</w:t>
      </w:r>
      <w:r>
        <w:rPr/>
        <w:t>以上股东、实际控制人和其他关联方没有在主要供应商、客户中直接或间接拥有权益等。</w:t>
      </w:r>
    </w:p>
    <w:p>
      <w:pPr>
        <w:pStyle w:val="BodyText"/>
        <w:spacing w:line="240" w:lineRule="auto" w:before="12"/>
        <w:ind w:left="673" w:right="0"/>
        <w:jc w:val="left"/>
      </w:pPr>
      <w:r>
        <w:rPr/>
        <w:t>2007年以来，公司主要客户和供应商相关情况如下：</w:t>
      </w:r>
    </w:p>
    <w:p>
      <w:pPr>
        <w:pStyle w:val="BodyText"/>
        <w:spacing w:line="240" w:lineRule="auto" w:before="134"/>
        <w:ind w:left="665" w:right="0"/>
        <w:jc w:val="left"/>
      </w:pPr>
      <w:r>
        <w:rPr/>
        <w:t>（</w:t>
      </w:r>
      <w:r>
        <w:rPr>
          <w:rFonts w:ascii="Arial" w:hAnsi="Arial" w:cs="Arial" w:eastAsia="Arial" w:hint="default"/>
        </w:rPr>
        <w:t>1</w:t>
      </w:r>
      <w:r>
        <w:rPr/>
        <w:t>）</w:t>
      </w:r>
      <w:r>
        <w:rPr>
          <w:rFonts w:ascii="Arial" w:hAnsi="Arial" w:cs="Arial" w:eastAsia="Arial" w:hint="default"/>
        </w:rPr>
        <w:t>2010</w:t>
      </w:r>
      <w:r>
        <w:rPr/>
        <w:t>年主要客户、供应商情况</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008"/>
        <w:gridCol w:w="1582"/>
        <w:gridCol w:w="1572"/>
        <w:gridCol w:w="1633"/>
        <w:gridCol w:w="1708"/>
        <w:gridCol w:w="1398"/>
      </w:tblGrid>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预付账款的余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29" w:right="0" w:hanging="17"/>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89"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69</w:t>
            </w:r>
            <w:r>
              <w:rPr>
                <w:rFonts w:ascii="宋体" w:hAnsi="宋体" w:cs="宋体" w:eastAsia="宋体" w:hint="default"/>
                <w:spacing w:val="-105"/>
                <w:sz w:val="21"/>
                <w:szCs w:val="21"/>
              </w:rPr>
              <w:t>，</w:t>
            </w:r>
            <w:r>
              <w:rPr>
                <w:rFonts w:ascii="宋体" w:hAnsi="宋体" w:cs="宋体" w:eastAsia="宋体" w:hint="default"/>
                <w:spacing w:val="-1"/>
                <w:sz w:val="21"/>
                <w:szCs w:val="21"/>
              </w:rPr>
              <w:t>7</w:t>
            </w:r>
            <w:r>
              <w:rPr>
                <w:rFonts w:ascii="宋体" w:hAnsi="宋体" w:cs="宋体" w:eastAsia="宋体" w:hint="default"/>
                <w:sz w:val="21"/>
                <w:szCs w:val="21"/>
              </w:rPr>
              <w:t>9</w:t>
            </w:r>
            <w:r>
              <w:rPr>
                <w:rFonts w:ascii="宋体" w:hAnsi="宋体" w:cs="宋体" w:eastAsia="宋体" w:hint="default"/>
                <w:spacing w:val="-1"/>
                <w:sz w:val="21"/>
                <w:szCs w:val="21"/>
              </w:rPr>
              <w:t>2</w:t>
            </w:r>
            <w:r>
              <w:rPr>
                <w:rFonts w:ascii="宋体" w:hAnsi="宋体" w:cs="宋体" w:eastAsia="宋体" w:hint="default"/>
                <w:spacing w:val="-105"/>
                <w:sz w:val="21"/>
                <w:szCs w:val="21"/>
              </w:rPr>
              <w:t>，</w:t>
            </w:r>
            <w:r>
              <w:rPr>
                <w:rFonts w:ascii="宋体" w:hAnsi="宋体" w:cs="宋体" w:eastAsia="宋体" w:hint="default"/>
                <w:spacing w:val="-1"/>
                <w:sz w:val="21"/>
                <w:szCs w:val="21"/>
              </w:rPr>
              <w:t>8</w:t>
            </w:r>
            <w:r>
              <w:rPr>
                <w:rFonts w:ascii="宋体" w:hAnsi="宋体" w:cs="宋体" w:eastAsia="宋体" w:hint="default"/>
                <w:sz w:val="21"/>
                <w:szCs w:val="21"/>
              </w:rPr>
              <w:t>9</w:t>
            </w:r>
            <w:r>
              <w:rPr>
                <w:rFonts w:ascii="宋体" w:hAnsi="宋体" w:cs="宋体" w:eastAsia="宋体" w:hint="default"/>
                <w:spacing w:val="-1"/>
                <w:sz w:val="21"/>
                <w:szCs w:val="21"/>
              </w:rPr>
              <w:t>9.</w:t>
            </w:r>
            <w:r>
              <w:rPr>
                <w:rFonts w:ascii="宋体" w:hAnsi="宋体" w:cs="宋体" w:eastAsia="宋体" w:hint="default"/>
                <w:sz w:val="21"/>
                <w:szCs w:val="21"/>
              </w:rPr>
              <w:t>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71.83%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13,055,417.49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81.92%</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名客户</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29" w:right="0" w:hanging="17"/>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89"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2" w:hRule="exact"/>
        </w:trPr>
        <w:tc>
          <w:tcPr>
            <w:tcW w:w="2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50,964,312.75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8.35%</w:t>
            </w:r>
            <w:r>
              <w:rPr>
                <w:rFonts w:ascii="宋体"/>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26,659,200.10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17.41</w:t>
            </w:r>
            <w:r>
              <w:rPr>
                <w:rFonts w:ascii="宋体"/>
                <w:sz w:val="21"/>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5"/>
        <w:rPr>
          <w:rFonts w:ascii="宋体" w:hAnsi="宋体" w:cs="宋体" w:eastAsia="宋体" w:hint="default"/>
          <w:sz w:val="22"/>
          <w:szCs w:val="22"/>
        </w:rPr>
      </w:pPr>
    </w:p>
    <w:p>
      <w:pPr>
        <w:pStyle w:val="BodyText"/>
        <w:spacing w:line="240" w:lineRule="auto" w:before="35"/>
        <w:ind w:left="665" w:right="0"/>
        <w:jc w:val="left"/>
      </w:pPr>
      <w:r>
        <w:rPr/>
        <w:t>（</w:t>
      </w:r>
      <w:r>
        <w:rPr>
          <w:rFonts w:ascii="Arial" w:hAnsi="Arial" w:cs="Arial" w:eastAsia="Arial" w:hint="default"/>
        </w:rPr>
        <w:t>2</w:t>
      </w:r>
      <w:r>
        <w:rPr/>
        <w:t>）</w:t>
      </w:r>
      <w:r>
        <w:rPr>
          <w:rFonts w:ascii="Arial" w:hAnsi="Arial" w:cs="Arial" w:eastAsia="Arial" w:hint="default"/>
        </w:rPr>
        <w:t>2009</w:t>
      </w:r>
      <w:r>
        <w:rPr/>
        <w:t>年主要客户、供应商情况</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008"/>
        <w:gridCol w:w="1582"/>
        <w:gridCol w:w="1572"/>
        <w:gridCol w:w="1633"/>
        <w:gridCol w:w="1708"/>
        <w:gridCol w:w="1398"/>
      </w:tblGrid>
      <w:tr>
        <w:trPr>
          <w:trHeight w:val="554" w:hRule="exact"/>
        </w:trPr>
        <w:tc>
          <w:tcPr>
            <w:tcW w:w="2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预付账款的余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29" w:right="0" w:hanging="17"/>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89"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59,131,070.72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41.39%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7,178,661.98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64.16%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55" w:hRule="exact"/>
        </w:trPr>
        <w:tc>
          <w:tcPr>
            <w:tcW w:w="2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名客户</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67" w:right="0" w:hanging="17"/>
              <w:jc w:val="left"/>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金额的比例</w:t>
            </w:r>
            <w:r>
              <w:rPr>
                <w:rFonts w:ascii="Times New Roman" w:hAnsi="Times New Roman" w:cs="Times New Roman" w:eastAsia="Times New Roman" w:hint="default"/>
                <w:sz w:val="21"/>
                <w:szCs w:val="21"/>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应收账款的余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29" w:right="0" w:hanging="17"/>
              <w:jc w:val="left"/>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89"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总余额的比例</w:t>
            </w:r>
            <w:r>
              <w:rPr>
                <w:rFonts w:ascii="Times New Roman" w:hAnsi="Times New Roman" w:cs="Times New Roman" w:eastAsia="Times New Roman" w:hint="default"/>
                <w:sz w:val="21"/>
                <w:szCs w:val="21"/>
              </w:rPr>
              <w:t>%</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是否存在关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联关系</w:t>
            </w:r>
          </w:p>
        </w:tc>
      </w:tr>
      <w:tr>
        <w:trPr>
          <w:trHeight w:val="282" w:hRule="exact"/>
        </w:trPr>
        <w:tc>
          <w:tcPr>
            <w:tcW w:w="2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33,136,271.14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8.15%</w:t>
            </w:r>
            <w:r>
              <w:rPr>
                <w:rFonts w:ascii="宋体"/>
                <w:sz w:val="21"/>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3,730,599.48</w:t>
            </w:r>
            <w:r>
              <w:rPr>
                <w:rFonts w:ascii="宋体"/>
                <w:sz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4.64%</w:t>
            </w:r>
            <w:r>
              <w:rPr>
                <w:rFonts w:ascii="宋体"/>
                <w:sz w:val="21"/>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6"/>
          <w:szCs w:val="16"/>
        </w:rPr>
      </w:pPr>
    </w:p>
    <w:p>
      <w:pPr>
        <w:pStyle w:val="BodyText"/>
        <w:spacing w:line="240" w:lineRule="auto" w:before="35"/>
        <w:ind w:left="665" w:right="0"/>
        <w:jc w:val="left"/>
      </w:pPr>
      <w:r>
        <w:rPr/>
        <w:t>（3）2008年主要客户、供应商情况</w:t>
      </w:r>
    </w:p>
    <w:p>
      <w:pPr>
        <w:spacing w:line="240" w:lineRule="auto" w:before="12"/>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47"/>
        <w:gridCol w:w="1582"/>
        <w:gridCol w:w="1499"/>
        <w:gridCol w:w="1784"/>
        <w:gridCol w:w="1806"/>
        <w:gridCol w:w="1082"/>
      </w:tblGrid>
      <w:tr>
        <w:trPr>
          <w:trHeight w:val="563"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w:t>
            </w:r>
          </w:p>
        </w:tc>
        <w:tc>
          <w:tcPr>
            <w:tcW w:w="15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49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78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01"/>
              <w:ind w:right="145"/>
              <w:jc w:val="right"/>
              <w:rPr>
                <w:rFonts w:ascii="宋体" w:hAnsi="宋体" w:cs="宋体" w:eastAsia="宋体" w:hint="default"/>
                <w:sz w:val="21"/>
                <w:szCs w:val="21"/>
              </w:rPr>
            </w:pPr>
            <w:r>
              <w:rPr>
                <w:rFonts w:ascii="宋体" w:hAnsi="宋体" w:cs="宋体" w:eastAsia="宋体" w:hint="default"/>
                <w:sz w:val="21"/>
                <w:szCs w:val="21"/>
              </w:rPr>
              <w:t>预付账款的余额</w:t>
            </w:r>
          </w:p>
        </w:tc>
        <w:tc>
          <w:tcPr>
            <w:tcW w:w="180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211" w:right="0" w:hanging="53"/>
              <w:jc w:val="left"/>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总余额的比例%</w:t>
            </w:r>
          </w:p>
        </w:tc>
        <w:tc>
          <w:tcPr>
            <w:tcW w:w="10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111"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11"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1"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77,823,437.83</w:t>
            </w:r>
          </w:p>
        </w:tc>
        <w:tc>
          <w:tcPr>
            <w:tcW w:w="14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31.44%</w:t>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2,431,516.23</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pacing w:val="-1"/>
                <w:sz w:val="21"/>
              </w:rPr>
              <w:t>14.43%</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65"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名客户</w:t>
            </w:r>
          </w:p>
        </w:tc>
        <w:tc>
          <w:tcPr>
            <w:tcW w:w="15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49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78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right="145"/>
              <w:jc w:val="right"/>
              <w:rPr>
                <w:rFonts w:ascii="宋体" w:hAnsi="宋体" w:cs="宋体" w:eastAsia="宋体" w:hint="default"/>
                <w:sz w:val="21"/>
                <w:szCs w:val="21"/>
              </w:rPr>
            </w:pPr>
            <w:r>
              <w:rPr>
                <w:rFonts w:ascii="宋体" w:hAnsi="宋体" w:cs="宋体" w:eastAsia="宋体" w:hint="default"/>
                <w:sz w:val="21"/>
                <w:szCs w:val="21"/>
              </w:rPr>
              <w:t>应收账款的余额</w:t>
            </w:r>
          </w:p>
        </w:tc>
        <w:tc>
          <w:tcPr>
            <w:tcW w:w="180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总余额的比例</w:t>
            </w:r>
          </w:p>
        </w:tc>
        <w:tc>
          <w:tcPr>
            <w:tcW w:w="10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111"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74" w:lineRule="exact"/>
              <w:ind w:left="111"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320" w:hRule="exact"/>
        </w:trPr>
        <w:tc>
          <w:tcPr>
            <w:tcW w:w="214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sz w:val="21"/>
              </w:rPr>
              <w:t>43,062,653.87</w:t>
            </w:r>
          </w:p>
        </w:tc>
        <w:tc>
          <w:tcPr>
            <w:tcW w:w="1499"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7"/>
              <w:jc w:val="right"/>
              <w:rPr>
                <w:rFonts w:ascii="宋体" w:hAnsi="宋体" w:cs="宋体" w:eastAsia="宋体" w:hint="default"/>
                <w:sz w:val="21"/>
                <w:szCs w:val="21"/>
              </w:rPr>
            </w:pPr>
            <w:r>
              <w:rPr>
                <w:rFonts w:ascii="宋体"/>
                <w:spacing w:val="-1"/>
                <w:sz w:val="21"/>
              </w:rPr>
              <w:t>9.73%</w:t>
            </w:r>
            <w:r>
              <w:rPr>
                <w:rFonts w:ascii="宋体"/>
                <w:sz w:val="21"/>
              </w:rPr>
            </w:r>
          </w:p>
        </w:tc>
        <w:tc>
          <w:tcPr>
            <w:tcW w:w="1784"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20,168,199.25</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27.53%</w:t>
            </w:r>
          </w:p>
        </w:tc>
        <w:tc>
          <w:tcPr>
            <w:tcW w:w="1082"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6"/>
              <w:jc w:val="righ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16"/>
          <w:szCs w:val="16"/>
        </w:rPr>
      </w:pPr>
    </w:p>
    <w:p>
      <w:pPr>
        <w:pStyle w:val="Heading3"/>
        <w:spacing w:line="240" w:lineRule="auto" w:before="35"/>
        <w:ind w:left="666" w:right="0"/>
        <w:jc w:val="left"/>
        <w:rPr>
          <w:b w:val="0"/>
          <w:bCs w:val="0"/>
        </w:rPr>
      </w:pPr>
      <w:r>
        <w:rPr/>
        <w:t>8、非经常性损益情况</w:t>
      </w:r>
      <w:r>
        <w:rPr>
          <w:b w:val="0"/>
          <w:bCs w:val="0"/>
        </w:rPr>
      </w:r>
    </w:p>
    <w:p>
      <w:pPr>
        <w:spacing w:line="240" w:lineRule="auto" w:before="11"/>
        <w:rPr>
          <w:rFonts w:ascii="宋体" w:hAnsi="宋体" w:cs="宋体" w:eastAsia="宋体" w:hint="default"/>
          <w:b/>
          <w:bCs/>
          <w:sz w:val="12"/>
          <w:szCs w:val="12"/>
        </w:rPr>
      </w:pPr>
    </w:p>
    <w:tbl>
      <w:tblPr>
        <w:tblW w:w="0" w:type="auto"/>
        <w:jc w:val="left"/>
        <w:tblInd w:w="234" w:type="dxa"/>
        <w:tblLayout w:type="fixed"/>
        <w:tblCellMar>
          <w:top w:w="0" w:type="dxa"/>
          <w:left w:w="0" w:type="dxa"/>
          <w:bottom w:w="0" w:type="dxa"/>
          <w:right w:w="0" w:type="dxa"/>
        </w:tblCellMar>
        <w:tblLook w:val="01E0"/>
      </w:tblPr>
      <w:tblGrid>
        <w:gridCol w:w="5650"/>
        <w:gridCol w:w="4200"/>
      </w:tblGrid>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2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93"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-66,122.46</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2,185,918.10</w:t>
            </w:r>
            <w:r>
              <w:rPr>
                <w:rFonts w:ascii="宋体"/>
                <w:sz w:val="21"/>
              </w:rPr>
            </w:r>
          </w:p>
        </w:tc>
      </w:tr>
      <w:tr>
        <w:trPr>
          <w:trHeight w:val="837"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计入当期损益的政府补助，但与公司正常经营业务密切相</w:t>
            </w:r>
            <w:r>
              <w:rPr>
                <w:rFonts w:ascii="宋体" w:hAnsi="宋体" w:cs="宋体" w:eastAsia="宋体" w:hint="default"/>
                <w:sz w:val="21"/>
                <w:szCs w:val="21"/>
              </w:rPr>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pacing w:val="-2"/>
                <w:sz w:val="21"/>
                <w:szCs w:val="21"/>
              </w:rPr>
              <w:t>关，符合国家政策规定、按照一定标准定额或定量持续享受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的政府补助除外</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2,453,474.54</w:t>
            </w:r>
          </w:p>
        </w:tc>
      </w:tr>
      <w:tr>
        <w:trPr>
          <w:trHeight w:val="1109"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w:t>
            </w:r>
          </w:p>
          <w:p>
            <w:pPr>
              <w:pStyle w:val="TableParagraph"/>
              <w:spacing w:line="272" w:lineRule="exact" w:before="26"/>
              <w:ind w:left="98" w:right="71"/>
              <w:jc w:val="both"/>
              <w:rPr>
                <w:rFonts w:ascii="宋体" w:hAnsi="宋体" w:cs="宋体" w:eastAsia="宋体" w:hint="default"/>
                <w:sz w:val="21"/>
                <w:szCs w:val="21"/>
              </w:rPr>
            </w:pPr>
            <w:r>
              <w:rPr>
                <w:rFonts w:ascii="宋体" w:hAnsi="宋体" w:cs="宋体" w:eastAsia="宋体" w:hint="default"/>
                <w:sz w:val="21"/>
                <w:szCs w:val="21"/>
              </w:rPr>
              <w:t>易性金融资产、交易性金融负债产生的公允价值变动损益， 以及处置交易性金融资产、交易性金融负债和可供出售金融 资产取得的投资收益</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18,976.37</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z w:val="21"/>
              </w:rPr>
              <w:t>-1,730,334.30</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-387,177.13</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3"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5"/>
              <w:jc w:val="right"/>
              <w:rPr>
                <w:rFonts w:ascii="宋体" w:hAnsi="宋体" w:cs="宋体" w:eastAsia="宋体" w:hint="default"/>
                <w:sz w:val="21"/>
                <w:szCs w:val="21"/>
              </w:rPr>
            </w:pPr>
            <w:r>
              <w:rPr>
                <w:rFonts w:ascii="宋体"/>
                <w:sz w:val="21"/>
              </w:rPr>
              <w:t>-72,103.49</w:t>
            </w:r>
          </w:p>
        </w:tc>
      </w:tr>
      <w:tr>
        <w:trPr>
          <w:trHeight w:val="320" w:hRule="exact"/>
        </w:trPr>
        <w:tc>
          <w:tcPr>
            <w:tcW w:w="56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20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95"/>
              <w:jc w:val="right"/>
              <w:rPr>
                <w:rFonts w:ascii="宋体" w:hAnsi="宋体" w:cs="宋体" w:eastAsia="宋体" w:hint="default"/>
                <w:sz w:val="21"/>
                <w:szCs w:val="21"/>
              </w:rPr>
            </w:pPr>
            <w:r>
              <w:rPr>
                <w:rFonts w:ascii="宋体"/>
                <w:spacing w:val="-1"/>
                <w:sz w:val="21"/>
              </w:rPr>
              <w:t>2,402,631.63</w:t>
            </w:r>
          </w:p>
        </w:tc>
      </w:tr>
    </w:tbl>
    <w:p>
      <w:pPr>
        <w:spacing w:line="240" w:lineRule="auto" w:before="1"/>
        <w:rPr>
          <w:rFonts w:ascii="宋体" w:hAnsi="宋体" w:cs="宋体" w:eastAsia="宋体" w:hint="default"/>
          <w:b/>
          <w:bCs/>
          <w:sz w:val="16"/>
          <w:szCs w:val="16"/>
        </w:rPr>
      </w:pPr>
    </w:p>
    <w:p>
      <w:pPr>
        <w:pStyle w:val="Heading3"/>
        <w:spacing w:line="240" w:lineRule="auto" w:before="35"/>
        <w:ind w:left="676" w:right="0"/>
        <w:jc w:val="left"/>
        <w:rPr>
          <w:b w:val="0"/>
          <w:bCs w:val="0"/>
        </w:rPr>
      </w:pPr>
      <w:r>
        <w:rPr/>
        <w:t>9、主要费用情况（单位：人民币元）</w:t>
      </w:r>
      <w:r>
        <w:rPr>
          <w:b w:val="0"/>
          <w:bCs w:val="0"/>
        </w:rPr>
      </w:r>
    </w:p>
    <w:p>
      <w:pPr>
        <w:spacing w:after="0" w:line="240" w:lineRule="auto"/>
        <w:jc w:val="left"/>
        <w:sectPr>
          <w:footerReference w:type="default" r:id="rId13"/>
          <w:pgSz w:w="11910" w:h="16840"/>
          <w:pgMar w:footer="982" w:header="851" w:top="1200" w:bottom="1180" w:left="880" w:right="800"/>
          <w:pgNumType w:start="26"/>
        </w:sectPr>
      </w:pPr>
    </w:p>
    <w:p>
      <w:pPr>
        <w:spacing w:line="240" w:lineRule="auto" w:before="13"/>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1308"/>
        <w:gridCol w:w="1800"/>
        <w:gridCol w:w="1800"/>
        <w:gridCol w:w="1680"/>
        <w:gridCol w:w="1692"/>
        <w:gridCol w:w="1574"/>
      </w:tblGrid>
      <w:tr>
        <w:trPr>
          <w:trHeight w:val="617" w:hRule="exact"/>
        </w:trPr>
        <w:tc>
          <w:tcPr>
            <w:tcW w:w="130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579" w:right="0"/>
              <w:jc w:val="left"/>
              <w:rPr>
                <w:rFonts w:ascii="宋体" w:hAnsi="宋体" w:cs="宋体" w:eastAsia="宋体" w:hint="default"/>
                <w:sz w:val="21"/>
                <w:szCs w:val="21"/>
              </w:rPr>
            </w:pPr>
            <w:r>
              <w:rPr>
                <w:rFonts w:ascii="宋体" w:hAnsi="宋体" w:cs="宋体" w:eastAsia="宋体" w:hint="default"/>
                <w:sz w:val="21"/>
                <w:szCs w:val="21"/>
              </w:rPr>
              <w:t>2010年</w:t>
            </w:r>
          </w:p>
        </w:tc>
        <w:tc>
          <w:tcPr>
            <w:tcW w:w="18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579" w:right="0"/>
              <w:jc w:val="left"/>
              <w:rPr>
                <w:rFonts w:ascii="宋体" w:hAnsi="宋体" w:cs="宋体" w:eastAsia="宋体" w:hint="default"/>
                <w:sz w:val="21"/>
                <w:szCs w:val="21"/>
              </w:rPr>
            </w:pPr>
            <w:r>
              <w:rPr>
                <w:rFonts w:ascii="宋体" w:hAnsi="宋体" w:cs="宋体" w:eastAsia="宋体" w:hint="default"/>
                <w:sz w:val="21"/>
                <w:szCs w:val="21"/>
              </w:rPr>
              <w:t>2009年</w:t>
            </w:r>
          </w:p>
        </w:tc>
        <w:tc>
          <w:tcPr>
            <w:tcW w:w="168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2008年</w:t>
            </w:r>
          </w:p>
        </w:tc>
        <w:tc>
          <w:tcPr>
            <w:tcW w:w="169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61" w:lineRule="auto"/>
              <w:ind w:left="631" w:right="104" w:hanging="526"/>
              <w:jc w:val="left"/>
              <w:rPr>
                <w:rFonts w:ascii="宋体" w:hAnsi="宋体" w:cs="宋体" w:eastAsia="宋体" w:hint="default"/>
                <w:sz w:val="21"/>
                <w:szCs w:val="21"/>
              </w:rPr>
            </w:pPr>
            <w:r>
              <w:rPr>
                <w:rFonts w:ascii="宋体" w:hAnsi="宋体" w:cs="宋体" w:eastAsia="宋体" w:hint="default"/>
                <w:sz w:val="21"/>
                <w:szCs w:val="21"/>
              </w:rPr>
              <w:t>本年比上年增减 幅度</w:t>
            </w:r>
          </w:p>
        </w:tc>
        <w:tc>
          <w:tcPr>
            <w:tcW w:w="157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61" w:lineRule="auto"/>
              <w:ind w:left="362" w:right="150" w:hanging="210"/>
              <w:jc w:val="left"/>
              <w:rPr>
                <w:rFonts w:ascii="宋体" w:hAnsi="宋体" w:cs="宋体" w:eastAsia="宋体" w:hint="default"/>
                <w:sz w:val="21"/>
                <w:szCs w:val="21"/>
              </w:rPr>
            </w:pPr>
            <w:r>
              <w:rPr>
                <w:rFonts w:ascii="宋体" w:hAnsi="宋体" w:cs="宋体" w:eastAsia="宋体" w:hint="default"/>
                <w:sz w:val="21"/>
                <w:szCs w:val="21"/>
              </w:rPr>
              <w:t>占2010年营业 收入比例</w:t>
            </w:r>
          </w:p>
        </w:tc>
      </w:tr>
      <w:tr>
        <w:trPr>
          <w:trHeight w:val="311"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44,703,163.94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33,812,386.43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center"/>
              <w:rPr>
                <w:rFonts w:ascii="宋体" w:hAnsi="宋体" w:cs="宋体" w:eastAsia="宋体" w:hint="default"/>
                <w:sz w:val="21"/>
                <w:szCs w:val="21"/>
              </w:rPr>
            </w:pPr>
            <w:r>
              <w:rPr>
                <w:rFonts w:ascii="宋体"/>
                <w:sz w:val="21"/>
              </w:rPr>
              <w:t>39,009,599.38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32.21%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7.33%</w:t>
            </w:r>
          </w:p>
        </w:tc>
      </w:tr>
      <w:tr>
        <w:trPr>
          <w:trHeight w:val="310"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156,735,409.08</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120,500,673.72</w:t>
            </w:r>
            <w:r>
              <w:rPr>
                <w:rFonts w:ascii="宋体"/>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center"/>
              <w:rPr>
                <w:rFonts w:ascii="宋体" w:hAnsi="宋体" w:cs="宋体" w:eastAsia="宋体" w:hint="default"/>
                <w:sz w:val="21"/>
                <w:szCs w:val="21"/>
              </w:rPr>
            </w:pPr>
            <w:r>
              <w:rPr>
                <w:rFonts w:ascii="宋体"/>
                <w:sz w:val="21"/>
              </w:rPr>
              <w:t>92,411,682.18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30.07%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宋体" w:hAnsi="宋体" w:cs="宋体" w:eastAsia="宋体" w:hint="default"/>
                <w:sz w:val="21"/>
                <w:szCs w:val="21"/>
              </w:rPr>
            </w:pPr>
            <w:r>
              <w:rPr>
                <w:rFonts w:ascii="宋体"/>
                <w:spacing w:val="-1"/>
                <w:sz w:val="21"/>
              </w:rPr>
              <w:t>25.68%</w:t>
            </w:r>
          </w:p>
        </w:tc>
      </w:tr>
      <w:tr>
        <w:trPr>
          <w:trHeight w:val="310"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-4,182,001.24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-3,684,069.26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center"/>
              <w:rPr>
                <w:rFonts w:ascii="宋体" w:hAnsi="宋体" w:cs="宋体" w:eastAsia="宋体" w:hint="default"/>
                <w:sz w:val="21"/>
                <w:szCs w:val="21"/>
              </w:rPr>
            </w:pPr>
            <w:r>
              <w:rPr>
                <w:rFonts w:ascii="宋体"/>
                <w:sz w:val="21"/>
              </w:rPr>
              <w:t>-4,811,300.88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13.52%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-0.69%</w:t>
            </w:r>
          </w:p>
        </w:tc>
      </w:tr>
      <w:tr>
        <w:trPr>
          <w:trHeight w:val="311" w:hRule="exact"/>
        </w:trPr>
        <w:tc>
          <w:tcPr>
            <w:tcW w:w="13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16,221,505.56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1"/>
                <w:szCs w:val="21"/>
              </w:rPr>
            </w:pPr>
            <w:r>
              <w:rPr>
                <w:rFonts w:ascii="宋体"/>
                <w:spacing w:val="-1"/>
                <w:sz w:val="21"/>
              </w:rPr>
              <w:t>3,420,228.34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center"/>
              <w:rPr>
                <w:rFonts w:ascii="宋体" w:hAnsi="宋体" w:cs="宋体" w:eastAsia="宋体" w:hint="default"/>
                <w:sz w:val="21"/>
                <w:szCs w:val="21"/>
              </w:rPr>
            </w:pPr>
            <w:r>
              <w:rPr>
                <w:rFonts w:ascii="宋体"/>
                <w:sz w:val="21"/>
              </w:rPr>
              <w:t>19,552,016.06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374.28%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宋体" w:hAnsi="宋体" w:cs="宋体" w:eastAsia="宋体" w:hint="default"/>
                <w:sz w:val="21"/>
                <w:szCs w:val="21"/>
              </w:rPr>
            </w:pPr>
            <w:r>
              <w:rPr>
                <w:rFonts w:ascii="宋体"/>
                <w:spacing w:val="-1"/>
                <w:sz w:val="21"/>
              </w:rPr>
              <w:t>2.66%</w:t>
            </w:r>
          </w:p>
        </w:tc>
      </w:tr>
    </w:tbl>
    <w:p>
      <w:pPr>
        <w:pStyle w:val="BodyText"/>
        <w:spacing w:line="241" w:lineRule="exact"/>
        <w:ind w:left="634" w:right="101"/>
        <w:jc w:val="left"/>
      </w:pPr>
      <w:r>
        <w:rPr/>
        <w:t>注：（1）报告期内，销售费用比上年增长32.21%，主要系报告期内营业收入增长使得销售费用相应</w:t>
      </w:r>
    </w:p>
    <w:p>
      <w:pPr>
        <w:pStyle w:val="BodyText"/>
        <w:spacing w:line="240" w:lineRule="auto" w:before="133"/>
        <w:ind w:left="214" w:right="0"/>
        <w:jc w:val="both"/>
      </w:pPr>
      <w:r>
        <w:rPr/>
        <w:t>增长所致。</w:t>
      </w:r>
    </w:p>
    <w:p>
      <w:pPr>
        <w:pStyle w:val="BodyText"/>
        <w:spacing w:line="355" w:lineRule="auto" w:before="134"/>
        <w:ind w:left="214" w:right="101" w:firstLine="420"/>
        <w:jc w:val="left"/>
      </w:pPr>
      <w:r>
        <w:rPr>
          <w:spacing w:val="-1"/>
        </w:rPr>
        <w:t>（2）报告期内，管理费用比上年增长30.07%,主要系报告期内公司业务增长以及合并范围增加使得管</w:t>
      </w:r>
      <w:r>
        <w:rPr/>
        <w:t> 理费用相应增长所致。</w:t>
      </w:r>
    </w:p>
    <w:p>
      <w:pPr>
        <w:pStyle w:val="BodyText"/>
        <w:spacing w:line="357" w:lineRule="auto" w:before="33"/>
        <w:ind w:left="214" w:right="231" w:firstLine="420"/>
        <w:jc w:val="both"/>
      </w:pPr>
      <w:r>
        <w:rPr>
          <w:spacing w:val="-2"/>
        </w:rPr>
        <w:t>（3）报告期内，所得税费用比上年增长374.28%，主要是由于控股子公司北海石基信息技术股份有限</w:t>
      </w:r>
      <w:r>
        <w:rPr>
          <w:spacing w:val="-1"/>
        </w:rPr>
        <w:t> 公司免税期结束，所得税税率按照7.5%征收，现化电脑系统（北京）有限公司免税期结束，所得税税率按</w:t>
      </w:r>
      <w:r>
        <w:rPr>
          <w:spacing w:val="-81"/>
        </w:rPr>
        <w:t> </w:t>
      </w:r>
      <w:r>
        <w:rPr>
          <w:spacing w:val="-81"/>
        </w:rPr>
      </w:r>
      <w:r>
        <w:rPr/>
        <w:t>照12.5%开始征收。</w:t>
      </w:r>
    </w:p>
    <w:p>
      <w:pPr>
        <w:spacing w:line="240" w:lineRule="auto" w:before="9"/>
        <w:rPr>
          <w:rFonts w:ascii="宋体" w:hAnsi="宋体" w:cs="宋体" w:eastAsia="宋体" w:hint="default"/>
          <w:sz w:val="23"/>
          <w:szCs w:val="23"/>
        </w:rPr>
      </w:pPr>
    </w:p>
    <w:p>
      <w:pPr>
        <w:pStyle w:val="Heading3"/>
        <w:spacing w:line="240" w:lineRule="auto"/>
        <w:ind w:left="626" w:right="101"/>
        <w:jc w:val="left"/>
        <w:rPr>
          <w:b w:val="0"/>
          <w:bCs w:val="0"/>
        </w:rPr>
      </w:pPr>
      <w:r>
        <w:rPr/>
        <w:t>10、困难与优势分析</w:t>
      </w:r>
      <w:r>
        <w:rPr>
          <w:b w:val="0"/>
          <w:bCs w:val="0"/>
        </w:rPr>
      </w:r>
    </w:p>
    <w:p>
      <w:pPr>
        <w:pStyle w:val="BodyText"/>
        <w:spacing w:line="355" w:lineRule="auto" w:before="134"/>
        <w:ind w:left="634" w:right="101" w:firstLine="2"/>
        <w:jc w:val="left"/>
      </w:pPr>
      <w:r>
        <w:rPr>
          <w:rFonts w:ascii="宋体" w:hAnsi="宋体" w:cs="宋体" w:eastAsia="宋体" w:hint="default"/>
          <w:b/>
          <w:bCs/>
        </w:rPr>
        <w:t>（1）优势分析</w:t>
      </w:r>
      <w:r>
        <w:rPr>
          <w:rFonts w:ascii="宋体" w:hAnsi="宋体" w:cs="宋体" w:eastAsia="宋体" w:hint="default"/>
          <w:b/>
          <w:bCs/>
          <w:w w:val="99"/>
        </w:rPr>
        <w:t> </w:t>
      </w:r>
      <w:r>
        <w:rPr>
          <w:spacing w:val="-1"/>
        </w:rPr>
        <w:t>过去的两年，公司全面整合了前台管理系统（PMS）、酒店餐饮信息系统（POS）、酒店后台管理系统</w:t>
      </w:r>
    </w:p>
    <w:p>
      <w:pPr>
        <w:pStyle w:val="BodyText"/>
        <w:spacing w:line="357" w:lineRule="auto" w:before="33"/>
        <w:ind w:left="214" w:right="229"/>
        <w:jc w:val="both"/>
      </w:pPr>
      <w:r>
        <w:rPr>
          <w:spacing w:val="-1"/>
        </w:rPr>
        <w:t>（BO）以及其他管理系统（LPS、CRM等），使公司的各类产品融合成为一个功能完整覆盖、技术全面领先</w:t>
      </w:r>
      <w:r>
        <w:rPr>
          <w:spacing w:val="-83"/>
        </w:rPr>
        <w:t> </w:t>
      </w:r>
      <w:r>
        <w:rPr>
          <w:spacing w:val="-83"/>
        </w:rPr>
      </w:r>
      <w:r>
        <w:rPr/>
        <w:t>的石基数字饭店整体解决方案（IP</w:t>
      </w:r>
      <w:r>
        <w:rPr>
          <w:spacing w:val="-26"/>
        </w:rPr>
        <w:t> </w:t>
      </w:r>
      <w:r>
        <w:rPr/>
        <w:t>Hotel），为公司迎接2010年酒店行业的复苏奠定了基础，从而进一步</w:t>
      </w:r>
      <w:r>
        <w:rPr/>
        <w:t> </w:t>
      </w:r>
      <w:r>
        <w:rPr>
          <w:spacing w:val="-1"/>
        </w:rPr>
        <w:t>强化了公司的技术和市场优势，公司的品牌优势得到进一步加强，为公司的长远稳定发展奠定了坚实的基</w:t>
      </w:r>
      <w:r>
        <w:rPr>
          <w:spacing w:val="-81"/>
        </w:rPr>
        <w:t> </w:t>
      </w:r>
      <w:r>
        <w:rPr>
          <w:spacing w:val="-81"/>
        </w:rPr>
      </w:r>
      <w:r>
        <w:rPr/>
        <w:t>础。</w:t>
      </w:r>
    </w:p>
    <w:p>
      <w:pPr>
        <w:pStyle w:val="BodyText"/>
        <w:spacing w:line="357" w:lineRule="auto" w:before="30"/>
        <w:ind w:left="634" w:right="101" w:hanging="8"/>
        <w:jc w:val="left"/>
      </w:pPr>
      <w:r>
        <w:rPr>
          <w:rFonts w:ascii="宋体" w:hAnsi="宋体" w:cs="宋体" w:eastAsia="宋体" w:hint="default"/>
          <w:b/>
          <w:bCs/>
        </w:rPr>
        <w:t>（2）困难分析</w:t>
      </w:r>
      <w:r>
        <w:rPr>
          <w:rFonts w:ascii="宋体" w:hAnsi="宋体" w:cs="宋体" w:eastAsia="宋体" w:hint="default"/>
          <w:b/>
          <w:bCs/>
          <w:w w:val="99"/>
        </w:rPr>
        <w:t> </w:t>
      </w:r>
      <w:r>
        <w:rPr>
          <w:spacing w:val="-1"/>
        </w:rPr>
        <w:t>公司的发展已经进入到了从酒店软件供应商向整个旅游业交易平台提供商的第四次转型阶段，而旅游</w:t>
      </w:r>
    </w:p>
    <w:p>
      <w:pPr>
        <w:pStyle w:val="BodyText"/>
        <w:spacing w:line="357" w:lineRule="auto" w:before="30"/>
        <w:ind w:left="214" w:right="229"/>
        <w:jc w:val="both"/>
      </w:pPr>
      <w:r>
        <w:rPr>
          <w:spacing w:val="-1"/>
        </w:rPr>
        <w:t>酒店行业的信息化发展随着整个信息技术的快速发展与客户需求的变化而不断发展与变化，因此公司的业</w:t>
      </w:r>
      <w:r>
        <w:rPr>
          <w:spacing w:val="-81"/>
        </w:rPr>
        <w:t> </w:t>
      </w:r>
      <w:r>
        <w:rPr>
          <w:spacing w:val="-81"/>
        </w:rPr>
      </w:r>
      <w:r>
        <w:rPr>
          <w:spacing w:val="-1"/>
        </w:rPr>
        <w:t>务规模、业务领域以及业务模式也需随之处于不断的更新和变革之中，这就要求公司首先要能敏锐领悟与</w:t>
      </w:r>
      <w:r>
        <w:rPr>
          <w:spacing w:val="-81"/>
        </w:rPr>
        <w:t> </w:t>
      </w:r>
      <w:r>
        <w:rPr>
          <w:spacing w:val="-81"/>
        </w:rPr>
      </w:r>
      <w:r>
        <w:rPr>
          <w:spacing w:val="-1"/>
        </w:rPr>
        <w:t>洞察行业的发展趋势并及时对公司的产品与服务做出调整，其次随着变化的加快，对管理层的管理和经营</w:t>
      </w:r>
      <w:r>
        <w:rPr>
          <w:spacing w:val="-81"/>
        </w:rPr>
        <w:t> </w:t>
      </w:r>
      <w:r>
        <w:rPr>
          <w:spacing w:val="-81"/>
        </w:rPr>
      </w:r>
      <w:r>
        <w:rPr>
          <w:spacing w:val="-1"/>
        </w:rPr>
        <w:t>能力提出了很大的挑战。因此，公司今后将通过进一步建设职业化管理团队、加强内部控制的建设克服这</w:t>
      </w:r>
      <w:r>
        <w:rPr>
          <w:spacing w:val="-83"/>
        </w:rPr>
        <w:t> </w:t>
      </w:r>
      <w:r>
        <w:rPr>
          <w:spacing w:val="-83"/>
        </w:rPr>
      </w:r>
      <w:r>
        <w:rPr/>
        <w:t>一困难。</w:t>
      </w:r>
    </w:p>
    <w:p>
      <w:pPr>
        <w:pStyle w:val="Heading3"/>
        <w:spacing w:line="240" w:lineRule="auto" w:before="30"/>
        <w:ind w:left="627" w:right="101"/>
        <w:jc w:val="left"/>
        <w:rPr>
          <w:b w:val="0"/>
          <w:bCs w:val="0"/>
        </w:rPr>
      </w:pPr>
      <w:r>
        <w:rPr/>
        <w:t>11、现金流状况分析</w:t>
      </w:r>
      <w:r>
        <w:rPr>
          <w:b w:val="0"/>
          <w:bCs w:val="0"/>
        </w:rPr>
      </w:r>
    </w:p>
    <w:p>
      <w:pPr>
        <w:spacing w:line="240" w:lineRule="auto" w:before="10"/>
        <w:rPr>
          <w:rFonts w:ascii="宋体" w:hAnsi="宋体" w:cs="宋体" w:eastAsia="宋体" w:hint="default"/>
          <w:b/>
          <w:bCs/>
          <w:sz w:val="12"/>
          <w:szCs w:val="12"/>
        </w:rPr>
      </w:pPr>
    </w:p>
    <w:tbl>
      <w:tblPr>
        <w:tblW w:w="0" w:type="auto"/>
        <w:jc w:val="left"/>
        <w:tblInd w:w="155" w:type="dxa"/>
        <w:tblLayout w:type="fixed"/>
        <w:tblCellMar>
          <w:top w:w="0" w:type="dxa"/>
          <w:left w:w="0" w:type="dxa"/>
          <w:bottom w:w="0" w:type="dxa"/>
          <w:right w:w="0" w:type="dxa"/>
        </w:tblCellMar>
        <w:tblLook w:val="01E0"/>
      </w:tblPr>
      <w:tblGrid>
        <w:gridCol w:w="3299"/>
        <w:gridCol w:w="1686"/>
        <w:gridCol w:w="1792"/>
        <w:gridCol w:w="1056"/>
        <w:gridCol w:w="1914"/>
      </w:tblGrid>
      <w:tr>
        <w:trPr>
          <w:trHeight w:val="650"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39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44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2"/>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40"/>
              <w:ind w:left="480" w:right="110" w:hanging="369"/>
              <w:jc w:val="left"/>
              <w:rPr>
                <w:rFonts w:ascii="宋体" w:hAnsi="宋体" w:cs="宋体" w:eastAsia="宋体" w:hint="default"/>
                <w:sz w:val="21"/>
                <w:szCs w:val="21"/>
              </w:rPr>
            </w:pPr>
            <w:r>
              <w:rPr>
                <w:rFonts w:ascii="宋体" w:hAnsi="宋体" w:cs="宋体" w:eastAsia="宋体" w:hint="default"/>
                <w:sz w:val="21"/>
                <w:szCs w:val="21"/>
              </w:rPr>
              <w:t>同比变动幅度超过 30%的原因</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5"/>
                <w:sz w:val="21"/>
                <w:szCs w:val="21"/>
              </w:rPr>
              <w:t>一、经营活动产生的现金流量净额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203,266,424.33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145,853,782.86</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w w:val="95"/>
                <w:sz w:val="21"/>
              </w:rPr>
              <w:t>39.36</w:t>
            </w:r>
            <w:r>
              <w:rPr>
                <w:rFonts w:ascii="宋体"/>
                <w:w w:val="95"/>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注1</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668,244,455.91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482,625,881.72</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1"/>
                <w:szCs w:val="21"/>
              </w:rPr>
            </w:pPr>
            <w:r>
              <w:rPr>
                <w:rFonts w:ascii="宋体"/>
                <w:spacing w:val="-1"/>
                <w:w w:val="95"/>
                <w:sz w:val="21"/>
              </w:rPr>
              <w:t>38.46</w:t>
            </w:r>
            <w:r>
              <w:rPr>
                <w:rFonts w:ascii="宋体"/>
                <w:w w:val="95"/>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464,978,031.58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336,772,098.86</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21"/>
                <w:szCs w:val="21"/>
              </w:rPr>
            </w:pPr>
            <w:r>
              <w:rPr>
                <w:rFonts w:ascii="宋体"/>
                <w:spacing w:val="-1"/>
                <w:w w:val="95"/>
                <w:sz w:val="21"/>
              </w:rPr>
              <w:t>38.07</w:t>
            </w:r>
            <w:r>
              <w:rPr>
                <w:rFonts w:ascii="宋体"/>
                <w:w w:val="95"/>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5"/>
                <w:sz w:val="21"/>
                <w:szCs w:val="21"/>
              </w:rPr>
              <w:t>二、投资活动产生的现金流量净额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-56,812,868.20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-77,982,614.64</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-27.15</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70,148.41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5"/>
              <w:jc w:val="right"/>
              <w:rPr>
                <w:rFonts w:ascii="宋体" w:hAnsi="宋体" w:cs="宋体" w:eastAsia="宋体" w:hint="default"/>
                <w:sz w:val="21"/>
                <w:szCs w:val="21"/>
              </w:rPr>
            </w:pPr>
            <w:r>
              <w:rPr>
                <w:rFonts w:ascii="宋体"/>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56,883,016.61</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77,982,614.64</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-27.06</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851" w:footer="982" w:top="1200" w:bottom="1180" w:left="920" w:right="900"/>
        </w:sectPr>
      </w:pP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3299"/>
        <w:gridCol w:w="1686"/>
        <w:gridCol w:w="1792"/>
        <w:gridCol w:w="1056"/>
        <w:gridCol w:w="1914"/>
      </w:tblGrid>
      <w:tr>
        <w:trPr>
          <w:trHeight w:val="385" w:hRule="exact"/>
        </w:trPr>
        <w:tc>
          <w:tcPr>
            <w:tcW w:w="3299"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5"/>
                <w:sz w:val="21"/>
                <w:szCs w:val="21"/>
              </w:rPr>
              <w:t>三、筹资活动产生的现金流量净额</w:t>
            </w:r>
          </w:p>
        </w:tc>
        <w:tc>
          <w:tcPr>
            <w:tcW w:w="16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-67,552,000.00</w:t>
            </w:r>
          </w:p>
        </w:tc>
        <w:tc>
          <w:tcPr>
            <w:tcW w:w="17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-33,952,000.00</w:t>
            </w:r>
            <w:r>
              <w:rPr>
                <w:rFonts w:ascii="宋体"/>
                <w:sz w:val="21"/>
              </w:rPr>
            </w:r>
          </w:p>
        </w:tc>
        <w:tc>
          <w:tcPr>
            <w:tcW w:w="10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-98.96</w:t>
            </w:r>
            <w:r>
              <w:rPr>
                <w:rFonts w:ascii="宋体"/>
                <w:sz w:val="21"/>
              </w:rPr>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注2</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67,552,000.00</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33,952,000.00</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98.96</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注2</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78,901,556.13</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33,919,168.22</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132.62</w:t>
            </w:r>
            <w:r>
              <w:rPr>
                <w:rFonts w:ascii="宋体"/>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8"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52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668,314,604.32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482,625,881.72</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宋体" w:hAnsi="宋体" w:cs="宋体" w:eastAsia="宋体" w:hint="default"/>
                <w:sz w:val="21"/>
                <w:szCs w:val="21"/>
              </w:rPr>
            </w:pPr>
            <w:r>
              <w:rPr>
                <w:rFonts w:ascii="宋体"/>
                <w:spacing w:val="-1"/>
                <w:w w:val="95"/>
                <w:sz w:val="21"/>
              </w:rPr>
              <w:t>38.47</w:t>
            </w:r>
            <w:r>
              <w:rPr>
                <w:rFonts w:ascii="宋体"/>
                <w:w w:val="95"/>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r>
      <w:tr>
        <w:trPr>
          <w:trHeight w:val="379" w:hRule="exact"/>
        </w:trPr>
        <w:tc>
          <w:tcPr>
            <w:tcW w:w="3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589,413,048.19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448,706,713.50</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宋体" w:hAnsi="宋体" w:cs="宋体" w:eastAsia="宋体" w:hint="default"/>
                <w:sz w:val="21"/>
                <w:szCs w:val="21"/>
              </w:rPr>
            </w:pPr>
            <w:r>
              <w:rPr>
                <w:rFonts w:ascii="宋体"/>
                <w:spacing w:val="-1"/>
                <w:w w:val="95"/>
                <w:sz w:val="21"/>
              </w:rPr>
              <w:t>31.36</w:t>
            </w:r>
            <w:r>
              <w:rPr>
                <w:rFonts w:ascii="宋体"/>
                <w:w w:val="95"/>
                <w:sz w:val="21"/>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w:t>
            </w:r>
          </w:p>
        </w:tc>
      </w:tr>
    </w:tbl>
    <w:p>
      <w:pPr>
        <w:pStyle w:val="BodyText"/>
        <w:spacing w:line="241" w:lineRule="exact"/>
        <w:ind w:left="594" w:right="210"/>
        <w:jc w:val="left"/>
      </w:pPr>
      <w:r>
        <w:rPr/>
        <w:t>注：（1）报告期内，经营活动产生的现金流量净额同比增长39.36%，主要是由于本年度销售收入的</w:t>
      </w:r>
    </w:p>
    <w:p>
      <w:pPr>
        <w:pStyle w:val="BodyText"/>
        <w:spacing w:line="240" w:lineRule="auto" w:before="133"/>
        <w:ind w:left="174" w:right="210"/>
        <w:jc w:val="left"/>
      </w:pPr>
      <w:r>
        <w:rPr/>
        <w:t>增长及扩大合并范围所致；</w:t>
      </w:r>
    </w:p>
    <w:p>
      <w:pPr>
        <w:pStyle w:val="BodyText"/>
        <w:spacing w:line="355" w:lineRule="auto" w:before="134"/>
        <w:ind w:left="174" w:right="210" w:firstLine="420"/>
        <w:jc w:val="left"/>
      </w:pPr>
      <w:r>
        <w:rPr>
          <w:spacing w:val="-1"/>
        </w:rPr>
        <w:t>（2）报告期内，筹资活动现金流出量同比减少98.96%，主要原因是2010年度发放现金股利6720.00万</w:t>
      </w:r>
      <w:r>
        <w:rPr/>
        <w:t> 元,较去年同期增加3360.00万元。</w:t>
      </w:r>
    </w:p>
    <w:p>
      <w:pPr>
        <w:pStyle w:val="BodyText"/>
        <w:spacing w:line="355" w:lineRule="auto" w:before="33"/>
        <w:ind w:left="596" w:right="711" w:hanging="3"/>
        <w:jc w:val="left"/>
        <w:rPr>
          <w:rFonts w:ascii="宋体" w:hAnsi="宋体" w:cs="宋体" w:eastAsia="宋体" w:hint="default"/>
        </w:rPr>
      </w:pPr>
      <w:r>
        <w:rPr/>
        <w:t>（3）现金及现金等价物净增加额同比增加132.62%，主要原因是2010年购置投资活动减少所致。 </w:t>
      </w:r>
      <w:r>
        <w:rPr>
          <w:rFonts w:ascii="宋体" w:hAnsi="宋体" w:cs="宋体" w:eastAsia="宋体" w:hint="default"/>
          <w:b/>
          <w:bCs/>
        </w:rPr>
        <w:t>12、薪酬分析</w:t>
      </w:r>
      <w:r>
        <w:rPr>
          <w:rFonts w:ascii="宋体" w:hAnsi="宋体" w:cs="宋体" w:eastAsia="宋体" w:hint="default"/>
        </w:rPr>
      </w:r>
    </w:p>
    <w:p>
      <w:pPr>
        <w:spacing w:line="240" w:lineRule="auto" w:before="2"/>
        <w:rPr>
          <w:rFonts w:ascii="宋体" w:hAnsi="宋体" w:cs="宋体" w:eastAsia="宋体" w:hint="default"/>
          <w:b/>
          <w:bCs/>
          <w:sz w:val="5"/>
          <w:szCs w:val="5"/>
        </w:rPr>
      </w:pPr>
    </w:p>
    <w:tbl>
      <w:tblPr>
        <w:tblW w:w="0" w:type="auto"/>
        <w:jc w:val="left"/>
        <w:tblInd w:w="169" w:type="dxa"/>
        <w:tblLayout w:type="fixed"/>
        <w:tblCellMar>
          <w:top w:w="0" w:type="dxa"/>
          <w:left w:w="0" w:type="dxa"/>
          <w:bottom w:w="0" w:type="dxa"/>
          <w:right w:w="0" w:type="dxa"/>
        </w:tblCellMar>
        <w:tblLook w:val="01E0"/>
      </w:tblPr>
      <w:tblGrid>
        <w:gridCol w:w="780"/>
        <w:gridCol w:w="1380"/>
        <w:gridCol w:w="1800"/>
        <w:gridCol w:w="1800"/>
        <w:gridCol w:w="1080"/>
        <w:gridCol w:w="1080"/>
        <w:gridCol w:w="1927"/>
      </w:tblGrid>
      <w:tr>
        <w:trPr>
          <w:trHeight w:val="92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27" w:right="27"/>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年度从公司领</w:t>
            </w:r>
            <w:r>
              <w:rPr>
                <w:rFonts w:ascii="宋体" w:hAnsi="宋体" w:cs="宋体" w:eastAsia="宋体" w:hint="default"/>
                <w:sz w:val="21"/>
                <w:szCs w:val="21"/>
              </w:rPr>
              <w:t> 取的报酬总额（万 元）</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27" w:right="27"/>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年度从公司领</w:t>
            </w:r>
            <w:r>
              <w:rPr>
                <w:rFonts w:ascii="宋体" w:hAnsi="宋体" w:cs="宋体" w:eastAsia="宋体" w:hint="default"/>
                <w:sz w:val="21"/>
                <w:szCs w:val="21"/>
              </w:rPr>
              <w:t> 取的报酬总额（万 元）</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13" w:right="114"/>
              <w:jc w:val="center"/>
              <w:rPr>
                <w:rFonts w:ascii="宋体" w:hAnsi="宋体" w:cs="宋体" w:eastAsia="宋体" w:hint="default"/>
                <w:sz w:val="21"/>
                <w:szCs w:val="21"/>
              </w:rPr>
            </w:pPr>
            <w:r>
              <w:rPr>
                <w:rFonts w:ascii="宋体" w:hAnsi="宋体" w:cs="宋体" w:eastAsia="宋体" w:hint="default"/>
                <w:sz w:val="21"/>
                <w:szCs w:val="21"/>
              </w:rPr>
              <w:t>薪酬总额 同比增减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13" w:right="114"/>
              <w:jc w:val="both"/>
              <w:rPr>
                <w:rFonts w:ascii="宋体" w:hAnsi="宋体" w:cs="宋体" w:eastAsia="宋体" w:hint="default"/>
                <w:sz w:val="21"/>
                <w:szCs w:val="21"/>
              </w:rPr>
            </w:pPr>
            <w:r>
              <w:rPr>
                <w:rFonts w:ascii="宋体" w:hAnsi="宋体" w:cs="宋体" w:eastAsia="宋体" w:hint="default"/>
                <w:sz w:val="21"/>
                <w:szCs w:val="21"/>
              </w:rPr>
              <w:t>公司净利 润同比增 减（%）</w:t>
            </w:r>
          </w:p>
        </w:tc>
        <w:tc>
          <w:tcPr>
            <w:tcW w:w="19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17" w:right="119"/>
              <w:jc w:val="center"/>
              <w:rPr>
                <w:rFonts w:ascii="宋体" w:hAnsi="宋体" w:cs="宋体" w:eastAsia="宋体" w:hint="default"/>
                <w:sz w:val="21"/>
                <w:szCs w:val="21"/>
              </w:rPr>
            </w:pPr>
            <w:r>
              <w:rPr>
                <w:rFonts w:ascii="宋体" w:hAnsi="宋体" w:cs="宋体" w:eastAsia="宋体" w:hint="default"/>
                <w:sz w:val="21"/>
                <w:szCs w:val="21"/>
              </w:rPr>
              <w:t>薪酬同比变动与净 利润同比变动的比 较说明</w:t>
            </w: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10.06</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9.81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2.55%</w:t>
            </w:r>
            <w:r>
              <w:rPr>
                <w:rFonts w:ascii="宋体"/>
                <w:sz w:val="21"/>
              </w:rPr>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9"/>
              <w:ind w:left="416" w:right="0"/>
              <w:jc w:val="left"/>
              <w:rPr>
                <w:rFonts w:ascii="宋体" w:hAnsi="宋体" w:cs="宋体" w:eastAsia="宋体" w:hint="default"/>
                <w:sz w:val="21"/>
                <w:szCs w:val="21"/>
              </w:rPr>
            </w:pPr>
            <w:r>
              <w:rPr>
                <w:rFonts w:ascii="宋体"/>
                <w:sz w:val="21"/>
              </w:rPr>
              <w:t>62.46%</w:t>
            </w:r>
          </w:p>
        </w:tc>
        <w:tc>
          <w:tcPr>
            <w:tcW w:w="1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37" w:lineRule="auto"/>
              <w:ind w:left="23" w:right="-6"/>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pacing w:val="-11"/>
                <w:sz w:val="21"/>
                <w:szCs w:val="21"/>
              </w:rPr>
              <w:t>年度，公司净利</w:t>
            </w:r>
            <w:r>
              <w:rPr>
                <w:rFonts w:ascii="宋体" w:hAnsi="宋体" w:cs="宋体" w:eastAsia="宋体" w:hint="default"/>
                <w:sz w:val="21"/>
                <w:szCs w:val="21"/>
              </w:rPr>
              <w:t> </w:t>
            </w:r>
            <w:r>
              <w:rPr>
                <w:rFonts w:ascii="宋体" w:hAnsi="宋体" w:cs="宋体" w:eastAsia="宋体" w:hint="default"/>
                <w:spacing w:val="21"/>
                <w:sz w:val="21"/>
                <w:szCs w:val="21"/>
              </w:rPr>
              <w:t>润比去年同</w:t>
            </w:r>
            <w:r>
              <w:rPr>
                <w:rFonts w:ascii="宋体" w:hAnsi="宋体" w:cs="宋体" w:eastAsia="宋体" w:hint="default"/>
                <w:spacing w:val="-78"/>
                <w:sz w:val="21"/>
                <w:szCs w:val="21"/>
              </w:rPr>
              <w:t> </w:t>
            </w:r>
            <w:r>
              <w:rPr>
                <w:rFonts w:ascii="宋体" w:hAnsi="宋体" w:cs="宋体" w:eastAsia="宋体" w:hint="default"/>
                <w:spacing w:val="18"/>
                <w:sz w:val="21"/>
                <w:szCs w:val="21"/>
              </w:rPr>
              <w:t>期增长</w:t>
            </w:r>
            <w:r>
              <w:rPr>
                <w:rFonts w:ascii="宋体" w:hAnsi="宋体" w:cs="宋体" w:eastAsia="宋体" w:hint="default"/>
                <w:spacing w:val="-78"/>
                <w:sz w:val="21"/>
                <w:szCs w:val="21"/>
              </w:rPr>
              <w:t> </w:t>
            </w:r>
            <w:r>
              <w:rPr>
                <w:rFonts w:ascii="宋体" w:hAnsi="宋体" w:cs="宋体" w:eastAsia="宋体" w:hint="default"/>
                <w:sz w:val="21"/>
                <w:szCs w:val="21"/>
              </w:rPr>
              <w:t>了</w:t>
            </w:r>
            <w:r>
              <w:rPr>
                <w:rFonts w:ascii="宋体" w:hAnsi="宋体" w:cs="宋体" w:eastAsia="宋体" w:hint="default"/>
                <w:spacing w:val="18"/>
                <w:sz w:val="21"/>
                <w:szCs w:val="21"/>
              </w:rPr>
              <w:t> </w:t>
            </w:r>
            <w:r>
              <w:rPr>
                <w:rFonts w:ascii="宋体" w:hAnsi="宋体" w:cs="宋体" w:eastAsia="宋体" w:hint="default"/>
                <w:spacing w:val="6"/>
                <w:sz w:val="21"/>
                <w:szCs w:val="21"/>
              </w:rPr>
              <w:t>62.46%，公司董</w:t>
            </w:r>
            <w:r>
              <w:rPr>
                <w:rFonts w:ascii="宋体" w:hAnsi="宋体" w:cs="宋体" w:eastAsia="宋体" w:hint="default"/>
                <w:sz w:val="21"/>
                <w:szCs w:val="21"/>
              </w:rPr>
              <w:t> </w:t>
            </w:r>
            <w:r>
              <w:rPr>
                <w:rFonts w:ascii="宋体" w:hAnsi="宋体" w:cs="宋体" w:eastAsia="宋体" w:hint="default"/>
                <w:spacing w:val="-3"/>
                <w:sz w:val="21"/>
                <w:szCs w:val="21"/>
              </w:rPr>
              <w:t>事、监事以及高级管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1"/>
                <w:sz w:val="21"/>
                <w:szCs w:val="21"/>
              </w:rPr>
              <w:t>理人员的薪</w:t>
            </w:r>
            <w:r>
              <w:rPr>
                <w:rFonts w:ascii="宋体" w:hAnsi="宋体" w:cs="宋体" w:eastAsia="宋体" w:hint="default"/>
                <w:spacing w:val="-78"/>
                <w:sz w:val="21"/>
                <w:szCs w:val="21"/>
              </w:rPr>
              <w:t> </w:t>
            </w:r>
            <w:r>
              <w:rPr>
                <w:rFonts w:ascii="宋体" w:hAnsi="宋体" w:cs="宋体" w:eastAsia="宋体" w:hint="default"/>
                <w:spacing w:val="18"/>
                <w:sz w:val="21"/>
                <w:szCs w:val="21"/>
              </w:rPr>
              <w:t>酬增长</w:t>
            </w:r>
            <w:r>
              <w:rPr>
                <w:rFonts w:ascii="宋体" w:hAnsi="宋体" w:cs="宋体" w:eastAsia="宋体" w:hint="default"/>
                <w:spacing w:val="-78"/>
                <w:sz w:val="21"/>
                <w:szCs w:val="21"/>
              </w:rPr>
              <w:t> </w:t>
            </w:r>
            <w:r>
              <w:rPr>
                <w:rFonts w:ascii="宋体" w:hAnsi="宋体" w:cs="宋体" w:eastAsia="宋体" w:hint="default"/>
                <w:sz w:val="21"/>
                <w:szCs w:val="21"/>
              </w:rPr>
              <w:t>了</w:t>
            </w:r>
            <w:r>
              <w:rPr>
                <w:rFonts w:ascii="宋体" w:hAnsi="宋体" w:cs="宋体" w:eastAsia="宋体" w:hint="default"/>
                <w:spacing w:val="-53"/>
                <w:sz w:val="21"/>
                <w:szCs w:val="21"/>
              </w:rPr>
              <w:t> </w:t>
            </w:r>
            <w:r>
              <w:rPr>
                <w:rFonts w:ascii="宋体" w:hAnsi="宋体" w:cs="宋体" w:eastAsia="宋体" w:hint="default"/>
                <w:spacing w:val="-7"/>
                <w:sz w:val="21"/>
                <w:szCs w:val="21"/>
              </w:rPr>
              <w:t>29.90%，符合公司</w:t>
            </w:r>
            <w:r>
              <w:rPr>
                <w:rFonts w:ascii="宋体" w:hAnsi="宋体" w:cs="宋体" w:eastAsia="宋体" w:hint="default"/>
                <w:sz w:val="21"/>
                <w:szCs w:val="21"/>
              </w:rPr>
              <w:t> </w:t>
            </w:r>
            <w:r>
              <w:rPr>
                <w:rFonts w:ascii="宋体" w:hAnsi="宋体" w:cs="宋体" w:eastAsia="宋体" w:hint="default"/>
                <w:spacing w:val="-3"/>
                <w:sz w:val="21"/>
                <w:szCs w:val="21"/>
              </w:rPr>
              <w:t>实际情况。同时也有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1"/>
                <w:sz w:val="21"/>
                <w:szCs w:val="21"/>
              </w:rPr>
              <w:t>利于公司加</w:t>
            </w:r>
            <w:r>
              <w:rPr>
                <w:rFonts w:ascii="宋体" w:hAnsi="宋体" w:cs="宋体" w:eastAsia="宋体" w:hint="default"/>
                <w:spacing w:val="-78"/>
                <w:sz w:val="21"/>
                <w:szCs w:val="21"/>
              </w:rPr>
              <w:t> </w:t>
            </w:r>
            <w:r>
              <w:rPr>
                <w:rFonts w:ascii="宋体" w:hAnsi="宋体" w:cs="宋体" w:eastAsia="宋体" w:hint="default"/>
                <w:spacing w:val="18"/>
                <w:sz w:val="21"/>
                <w:szCs w:val="21"/>
              </w:rPr>
              <w:t>强建设</w:t>
            </w:r>
            <w:r>
              <w:rPr>
                <w:rFonts w:ascii="宋体" w:hAnsi="宋体" w:cs="宋体" w:eastAsia="宋体" w:hint="default"/>
                <w:spacing w:val="-78"/>
                <w:sz w:val="21"/>
                <w:szCs w:val="21"/>
              </w:rPr>
              <w:t> </w:t>
            </w:r>
            <w:r>
              <w:rPr>
                <w:rFonts w:ascii="宋体" w:hAnsi="宋体" w:cs="宋体" w:eastAsia="宋体" w:hint="default"/>
                <w:spacing w:val="21"/>
                <w:sz w:val="21"/>
                <w:szCs w:val="21"/>
              </w:rPr>
              <w:t>职业化专业</w:t>
            </w:r>
            <w:r>
              <w:rPr>
                <w:rFonts w:ascii="宋体" w:hAnsi="宋体" w:cs="宋体" w:eastAsia="宋体" w:hint="default"/>
                <w:spacing w:val="-78"/>
                <w:sz w:val="21"/>
                <w:szCs w:val="21"/>
              </w:rPr>
              <w:t> </w:t>
            </w:r>
            <w:r>
              <w:rPr>
                <w:rFonts w:ascii="宋体" w:hAnsi="宋体" w:cs="宋体" w:eastAsia="宋体" w:hint="default"/>
                <w:spacing w:val="18"/>
                <w:sz w:val="21"/>
                <w:szCs w:val="21"/>
              </w:rPr>
              <w:t>化管理</w:t>
            </w:r>
            <w:r>
              <w:rPr>
                <w:rFonts w:ascii="宋体" w:hAnsi="宋体" w:cs="宋体" w:eastAsia="宋体" w:hint="default"/>
                <w:spacing w:val="-78"/>
                <w:sz w:val="21"/>
                <w:szCs w:val="21"/>
              </w:rPr>
              <w:t> </w:t>
            </w:r>
            <w:r>
              <w:rPr>
                <w:rFonts w:ascii="宋体" w:hAnsi="宋体" w:cs="宋体" w:eastAsia="宋体" w:hint="default"/>
                <w:sz w:val="21"/>
                <w:szCs w:val="21"/>
              </w:rPr>
              <w:t>团队建设。</w:t>
            </w:r>
          </w:p>
        </w:tc>
      </w:tr>
      <w:tr>
        <w:trPr>
          <w:trHeight w:val="61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auto"/>
              <w:ind w:left="264" w:right="126" w:hanging="242"/>
              <w:jc w:val="left"/>
              <w:rPr>
                <w:rFonts w:ascii="宋体" w:hAnsi="宋体" w:cs="宋体" w:eastAsia="宋体" w:hint="default"/>
                <w:sz w:val="21"/>
                <w:szCs w:val="21"/>
              </w:rPr>
            </w:pPr>
            <w:r>
              <w:rPr>
                <w:rFonts w:ascii="宋体" w:hAnsi="宋体" w:cs="宋体" w:eastAsia="宋体" w:hint="default"/>
                <w:spacing w:val="-7"/>
                <w:sz w:val="21"/>
                <w:szCs w:val="21"/>
              </w:rPr>
              <w:t>董事、副总裁</w:t>
            </w:r>
            <w:r>
              <w:rPr>
                <w:rFonts w:ascii="宋体" w:hAnsi="宋体" w:cs="宋体" w:eastAsia="宋体" w:hint="default"/>
                <w:sz w:val="21"/>
                <w:szCs w:val="21"/>
              </w:rPr>
              <w:t> 财务总监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1242" w:val="left" w:leader="none"/>
              </w:tabs>
              <w:spacing w:line="404" w:lineRule="exact"/>
              <w:ind w:left="-138" w:right="21"/>
              <w:jc w:val="righ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pacing w:val="-1"/>
                <w:sz w:val="21"/>
                <w:szCs w:val="21"/>
              </w:rPr>
              <w:t>52.00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spacing w:val="-1"/>
                <w:sz w:val="21"/>
              </w:rPr>
              <w:t>52.00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spacing w:val="-1"/>
                <w:sz w:val="21"/>
              </w:rPr>
              <w:t>0.00%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郑大立</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61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auto"/>
              <w:ind w:left="474" w:right="54" w:hanging="420"/>
              <w:jc w:val="left"/>
              <w:rPr>
                <w:rFonts w:ascii="宋体" w:hAnsi="宋体" w:cs="宋体" w:eastAsia="宋体" w:hint="default"/>
                <w:sz w:val="21"/>
                <w:szCs w:val="21"/>
              </w:rPr>
            </w:pPr>
            <w:r>
              <w:rPr>
                <w:rFonts w:ascii="宋体" w:hAnsi="宋体" w:cs="宋体" w:eastAsia="宋体" w:hint="default"/>
                <w:sz w:val="21"/>
                <w:szCs w:val="21"/>
              </w:rPr>
              <w:t>董事、董事会 秘书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spacing w:val="-1"/>
                <w:sz w:val="21"/>
              </w:rPr>
              <w:t>29.75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spacing w:val="-1"/>
                <w:sz w:val="21"/>
              </w:rPr>
              <w:t>16.20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宋体" w:hAnsi="宋体" w:cs="宋体" w:eastAsia="宋体" w:hint="default"/>
                <w:sz w:val="21"/>
                <w:szCs w:val="21"/>
              </w:rPr>
            </w:pPr>
            <w:r>
              <w:rPr>
                <w:rFonts w:ascii="宋体"/>
                <w:spacing w:val="-1"/>
                <w:sz w:val="21"/>
              </w:rPr>
              <w:t>83.64%</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郭田勇</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刘剑锋</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阎丽明</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罗志明</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45.41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39.10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16.14%</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关东玉</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44.78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35.16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27.36%</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王敏敏</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18.22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z w:val="21"/>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20.02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16.20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23.58%</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张广杰</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7.87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6.54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20.34%</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9"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王淑杰</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14.63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11.86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23.36%</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7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21"/>
                <w:szCs w:val="21"/>
              </w:rPr>
            </w:pPr>
            <w:r>
              <w:rPr>
                <w:rFonts w:ascii="宋体"/>
                <w:spacing w:val="-1"/>
                <w:sz w:val="21"/>
              </w:rPr>
              <w:t>242.74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186.87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29.90%</w:t>
            </w:r>
          </w:p>
        </w:tc>
        <w:tc>
          <w:tcPr>
            <w:tcW w:w="1080" w:type="dxa"/>
            <w:vMerge/>
            <w:tcBorders>
              <w:left w:val="single" w:sz="4" w:space="0" w:color="000000"/>
              <w:bottom w:val="single" w:sz="8" w:space="0" w:color="000000"/>
              <w:right w:val="single" w:sz="4" w:space="0" w:color="000000"/>
            </w:tcBorders>
          </w:tcPr>
          <w:p>
            <w:pPr/>
          </w:p>
        </w:tc>
        <w:tc>
          <w:tcPr>
            <w:tcW w:w="1927" w:type="dxa"/>
            <w:vMerge/>
            <w:tcBorders>
              <w:left w:val="single" w:sz="4" w:space="0" w:color="000000"/>
              <w:bottom w:val="single" w:sz="8" w:space="0" w:color="000000"/>
              <w:right w:val="single" w:sz="4" w:space="0" w:color="000000"/>
            </w:tcBorders>
          </w:tcPr>
          <w:p>
            <w:pPr/>
          </w:p>
        </w:tc>
      </w:tr>
    </w:tbl>
    <w:p>
      <w:pPr>
        <w:spacing w:line="240" w:lineRule="auto" w:before="6"/>
        <w:rPr>
          <w:rFonts w:ascii="宋体" w:hAnsi="宋体" w:cs="宋体" w:eastAsia="宋体" w:hint="default"/>
          <w:b/>
          <w:bCs/>
          <w:sz w:val="16"/>
          <w:szCs w:val="16"/>
        </w:rPr>
      </w:pPr>
    </w:p>
    <w:p>
      <w:pPr>
        <w:pStyle w:val="Heading3"/>
        <w:spacing w:line="240" w:lineRule="auto" w:before="35"/>
        <w:ind w:left="586" w:right="210"/>
        <w:jc w:val="left"/>
        <w:rPr>
          <w:b w:val="0"/>
          <w:bCs w:val="0"/>
        </w:rPr>
      </w:pPr>
      <w:r>
        <w:rPr/>
        <w:t>13、经营计划或盈利预测完成情况</w:t>
      </w:r>
      <w:r>
        <w:rPr>
          <w:b w:val="0"/>
          <w:bCs w:val="0"/>
        </w:rPr>
      </w:r>
    </w:p>
    <w:p>
      <w:pPr>
        <w:pStyle w:val="BodyText"/>
        <w:spacing w:line="357" w:lineRule="auto" w:before="134"/>
        <w:ind w:left="174" w:right="210" w:firstLine="413"/>
        <w:jc w:val="left"/>
      </w:pPr>
      <w:r>
        <w:rPr>
          <w:spacing w:val="-5"/>
        </w:rPr>
        <w:t>2010年，公司实现营业收入61,024.74万元，同比增长50.08%，归属于上市公司股东的净利润21,389.79</w:t>
      </w:r>
      <w:r>
        <w:rPr/>
        <w:t> 万元，同比增长62.46%，圆满完成了公司年初制定的经营计划。</w:t>
      </w:r>
    </w:p>
    <w:p>
      <w:pPr>
        <w:spacing w:line="240" w:lineRule="auto" w:before="9"/>
        <w:rPr>
          <w:rFonts w:ascii="宋体" w:hAnsi="宋体" w:cs="宋体" w:eastAsia="宋体" w:hint="default"/>
          <w:sz w:val="23"/>
          <w:szCs w:val="23"/>
        </w:rPr>
      </w:pPr>
    </w:p>
    <w:p>
      <w:pPr>
        <w:spacing w:line="357" w:lineRule="auto" w:before="0"/>
        <w:ind w:left="585" w:right="2609" w:firstLine="1"/>
        <w:jc w:val="left"/>
        <w:rPr>
          <w:rFonts w:ascii="宋体" w:hAnsi="宋体" w:cs="宋体" w:eastAsia="宋体" w:hint="default"/>
          <w:sz w:val="21"/>
          <w:szCs w:val="21"/>
        </w:rPr>
      </w:pPr>
      <w:r>
        <w:rPr>
          <w:rFonts w:ascii="宋体" w:hAnsi="宋体" w:cs="宋体" w:eastAsia="宋体" w:hint="default"/>
          <w:b/>
          <w:bCs/>
          <w:sz w:val="21"/>
          <w:szCs w:val="21"/>
        </w:rPr>
        <w:t>14、会计制度实施情况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报告期内，公司主要会计政策、会计估计及会计核算方法未发生重大变更。</w:t>
      </w:r>
    </w:p>
    <w:p>
      <w:pPr>
        <w:spacing w:after="0" w:line="357" w:lineRule="auto"/>
        <w:jc w:val="left"/>
        <w:rPr>
          <w:rFonts w:ascii="宋体" w:hAnsi="宋体" w:cs="宋体" w:eastAsia="宋体" w:hint="default"/>
          <w:sz w:val="21"/>
          <w:szCs w:val="21"/>
        </w:rPr>
        <w:sectPr>
          <w:pgSz w:w="11910" w:h="16840"/>
          <w:pgMar w:header="851" w:footer="982" w:top="1200" w:bottom="1180" w:left="960" w:right="800"/>
        </w:sectPr>
      </w:pPr>
    </w:p>
    <w:p>
      <w:pPr>
        <w:pStyle w:val="Heading3"/>
        <w:spacing w:line="600" w:lineRule="auto" w:before="33"/>
        <w:ind w:right="5985"/>
        <w:jc w:val="left"/>
        <w:rPr>
          <w:b w:val="0"/>
          <w:bCs w:val="0"/>
        </w:rPr>
      </w:pPr>
      <w:r>
        <w:rPr/>
        <w:pict>
          <v:group style="position:absolute;margin-left:55.200001pt;margin-top:2.93395pt;width:484.95pt;height:.1pt;mso-position-horizontal-relative:page;mso-position-vertical-relative:paragraph;z-index:-709768" coordorigin="1104,59" coordsize="9699,2">
            <v:shape style="position:absolute;left:1104;top:59;width:9699;height:2" coordorigin="1104,59" coordsize="9699,0" path="m1104,59l10802,59e" filled="false" stroked="true" strokeweight=".72pt" strokecolor="#000000">
              <v:path arrowok="t"/>
            </v:shape>
            <w10:wrap type="none"/>
          </v:group>
        </w:pict>
      </w:r>
      <w:r>
        <w:rPr/>
        <w:pict>
          <v:shape style="position:absolute;margin-left:58.919998pt;margin-top:58.133949pt;width:477.75pt;height:52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900"/>
                    <w:gridCol w:w="1091"/>
                    <w:gridCol w:w="1080"/>
                    <w:gridCol w:w="1440"/>
                    <w:gridCol w:w="2280"/>
                    <w:gridCol w:w="1669"/>
                  </w:tblGrid>
                  <w:tr>
                    <w:trPr>
                      <w:trHeight w:val="646"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资产类别</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存放状态</w:t>
                        </w:r>
                      </w:p>
                    </w:tc>
                    <w:tc>
                      <w:tcPr>
                        <w:tcW w:w="1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left="1" w:right="0"/>
                          <w:jc w:val="center"/>
                          <w:rPr>
                            <w:rFonts w:ascii="宋体" w:hAnsi="宋体" w:cs="宋体" w:eastAsia="宋体" w:hint="default"/>
                            <w:sz w:val="21"/>
                            <w:szCs w:val="21"/>
                          </w:rPr>
                        </w:pPr>
                        <w:r>
                          <w:rPr>
                            <w:rFonts w:ascii="宋体" w:hAnsi="宋体" w:cs="宋体" w:eastAsia="宋体" w:hint="default"/>
                            <w:sz w:val="21"/>
                            <w:szCs w:val="21"/>
                          </w:rPr>
                          <w:t>性 质</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盈利能力情况</w:t>
                        </w:r>
                      </w:p>
                    </w:tc>
                    <w:tc>
                      <w:tcPr>
                        <w:tcW w:w="22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减值情况</w:t>
                        </w:r>
                      </w:p>
                    </w:tc>
                    <w:tc>
                      <w:tcPr>
                        <w:tcW w:w="16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303" w:right="-44" w:hanging="281"/>
                          <w:jc w:val="left"/>
                          <w:rPr>
                            <w:rFonts w:ascii="宋体" w:hAnsi="宋体" w:cs="宋体" w:eastAsia="宋体" w:hint="default"/>
                            <w:sz w:val="21"/>
                            <w:szCs w:val="21"/>
                          </w:rPr>
                        </w:pPr>
                        <w:r>
                          <w:rPr>
                            <w:rFonts w:ascii="宋体" w:hAnsi="宋体" w:cs="宋体" w:eastAsia="宋体" w:hint="default"/>
                            <w:sz w:val="21"/>
                            <w:szCs w:val="21"/>
                          </w:rPr>
                          <w:t>相关担保、诉讼、 仲裁等情况</w:t>
                        </w:r>
                      </w:p>
                    </w:tc>
                  </w:tr>
                  <w:tr>
                    <w:trPr>
                      <w:trHeight w:val="384"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办公用房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正常使用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按照固定资产计提折旧</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（二）资产、负债及重大投资等事项</w:t>
      </w:r>
      <w:r>
        <w:rPr>
          <w:w w:val="99"/>
        </w:rPr>
        <w:t> </w:t>
      </w:r>
      <w:r>
        <w:rPr/>
        <w:t>1、重要资产情况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3"/>
        <w:spacing w:line="240" w:lineRule="auto" w:before="35"/>
        <w:ind w:right="3476"/>
        <w:jc w:val="left"/>
        <w:rPr>
          <w:b w:val="0"/>
          <w:bCs w:val="0"/>
        </w:rPr>
      </w:pPr>
      <w:r>
        <w:rPr/>
        <w:t>2、资产构成变动情况</w:t>
      </w:r>
      <w:r>
        <w:rPr>
          <w:b w:val="0"/>
          <w:bCs w:val="0"/>
        </w:rPr>
      </w:r>
    </w:p>
    <w:p>
      <w:pPr>
        <w:spacing w:line="240" w:lineRule="auto" w:before="11"/>
        <w:rPr>
          <w:rFonts w:ascii="宋体" w:hAnsi="宋体" w:cs="宋体" w:eastAsia="宋体" w:hint="default"/>
          <w:b/>
          <w:bCs/>
          <w:sz w:val="12"/>
          <w:szCs w:val="12"/>
        </w:rPr>
      </w:pPr>
    </w:p>
    <w:tbl>
      <w:tblPr>
        <w:tblW w:w="0" w:type="auto"/>
        <w:jc w:val="left"/>
        <w:tblInd w:w="211" w:type="dxa"/>
        <w:tblLayout w:type="fixed"/>
        <w:tblCellMar>
          <w:top w:w="0" w:type="dxa"/>
          <w:left w:w="0" w:type="dxa"/>
          <w:bottom w:w="0" w:type="dxa"/>
          <w:right w:w="0" w:type="dxa"/>
        </w:tblCellMar>
        <w:tblLook w:val="01E0"/>
      </w:tblPr>
      <w:tblGrid>
        <w:gridCol w:w="1231"/>
        <w:gridCol w:w="2170"/>
        <w:gridCol w:w="2297"/>
        <w:gridCol w:w="1226"/>
        <w:gridCol w:w="2588"/>
      </w:tblGrid>
      <w:tr>
        <w:trPr>
          <w:trHeight w:val="650"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资产项目</w:t>
            </w:r>
          </w:p>
        </w:tc>
        <w:tc>
          <w:tcPr>
            <w:tcW w:w="2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921" w:right="106" w:hanging="814"/>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年占总资产比重</w:t>
            </w:r>
            <w:r>
              <w:rPr>
                <w:rFonts w:ascii="宋体" w:hAnsi="宋体" w:cs="宋体" w:eastAsia="宋体" w:hint="default"/>
                <w:sz w:val="21"/>
                <w:szCs w:val="21"/>
              </w:rPr>
              <w:t> (%)</w:t>
            </w:r>
          </w:p>
        </w:tc>
        <w:tc>
          <w:tcPr>
            <w:tcW w:w="2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986" w:right="170" w:hanging="815"/>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年占总资产比重</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left="188"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5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40"/>
              <w:ind w:left="1078" w:right="105" w:hanging="971"/>
              <w:jc w:val="left"/>
              <w:rPr>
                <w:rFonts w:ascii="宋体" w:hAnsi="宋体" w:cs="宋体" w:eastAsia="宋体" w:hint="default"/>
                <w:sz w:val="21"/>
                <w:szCs w:val="21"/>
              </w:rPr>
            </w:pPr>
            <w:r>
              <w:rPr>
                <w:rFonts w:ascii="宋体" w:hAnsi="宋体" w:cs="宋体" w:eastAsia="宋体" w:hint="default"/>
                <w:sz w:val="21"/>
                <w:szCs w:val="21"/>
              </w:rPr>
              <w:t>同比增减（%）达到</w:t>
            </w:r>
            <w:r>
              <w:rPr>
                <w:rFonts w:ascii="宋体" w:hAnsi="宋体" w:cs="宋体" w:eastAsia="宋体" w:hint="default"/>
                <w:spacing w:val="-53"/>
                <w:sz w:val="21"/>
                <w:szCs w:val="21"/>
              </w:rPr>
              <w:t> </w:t>
            </w:r>
            <w:r>
              <w:rPr>
                <w:rFonts w:ascii="宋体" w:hAnsi="宋体" w:cs="宋体" w:eastAsia="宋体" w:hint="default"/>
                <w:sz w:val="21"/>
                <w:szCs w:val="21"/>
              </w:rPr>
              <w:t>20%的</w:t>
            </w:r>
            <w:r>
              <w:rPr>
                <w:rFonts w:ascii="宋体" w:hAnsi="宋体" w:cs="宋体" w:eastAsia="宋体" w:hint="default"/>
                <w:sz w:val="21"/>
                <w:szCs w:val="21"/>
              </w:rPr>
              <w:t> 说明</w:t>
            </w:r>
          </w:p>
        </w:tc>
      </w:tr>
      <w:tr>
        <w:trPr>
          <w:trHeight w:val="378"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z w:val="21"/>
              </w:rPr>
              <w:t>45.93%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47.48%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z w:val="21"/>
              </w:rPr>
              <w:t>-1.55%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7" w:right="0"/>
              <w:jc w:val="left"/>
              <w:rPr>
                <w:rFonts w:ascii="宋体" w:hAnsi="宋体" w:cs="宋体" w:eastAsia="宋体" w:hint="default"/>
                <w:sz w:val="21"/>
                <w:szCs w:val="21"/>
              </w:rPr>
            </w:pPr>
            <w:r>
              <w:rPr>
                <w:rFonts w:ascii="宋体"/>
                <w:sz w:val="21"/>
              </w:rPr>
              <w:t>-</w:t>
            </w:r>
          </w:p>
        </w:tc>
      </w:tr>
      <w:tr>
        <w:trPr>
          <w:trHeight w:val="379"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pacing w:val="-1"/>
                <w:sz w:val="21"/>
              </w:rPr>
              <w:t>13.22%</w:t>
            </w:r>
            <w:r>
              <w:rPr>
                <w:rFonts w:ascii="宋体"/>
                <w:sz w:val="21"/>
              </w:rPr>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pacing w:val="-1"/>
                <w:sz w:val="21"/>
              </w:rPr>
              <w:t>9.25%</w:t>
            </w:r>
            <w:r>
              <w:rPr>
                <w:rFonts w:ascii="宋体"/>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w w:val="95"/>
                <w:sz w:val="21"/>
              </w:rPr>
              <w:t>3.97%</w:t>
            </w:r>
            <w:r>
              <w:rPr>
                <w:rFonts w:ascii="宋体"/>
                <w:w w:val="95"/>
                <w:sz w:val="21"/>
              </w:rPr>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236" w:right="0"/>
              <w:jc w:val="left"/>
              <w:rPr>
                <w:rFonts w:ascii="宋体" w:hAnsi="宋体" w:cs="宋体" w:eastAsia="宋体" w:hint="default"/>
                <w:sz w:val="21"/>
                <w:szCs w:val="21"/>
              </w:rPr>
            </w:pPr>
            <w:r>
              <w:rPr>
                <w:rFonts w:ascii="宋体"/>
                <w:sz w:val="21"/>
              </w:rPr>
              <w:t>-</w:t>
            </w:r>
          </w:p>
        </w:tc>
      </w:tr>
      <w:tr>
        <w:trPr>
          <w:trHeight w:val="378"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5.14%</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6.85%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-1.71%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7" w:right="0"/>
              <w:jc w:val="left"/>
              <w:rPr>
                <w:rFonts w:ascii="宋体" w:hAnsi="宋体" w:cs="宋体" w:eastAsia="宋体" w:hint="default"/>
                <w:sz w:val="21"/>
                <w:szCs w:val="21"/>
              </w:rPr>
            </w:pPr>
            <w:r>
              <w:rPr>
                <w:rFonts w:ascii="宋体"/>
                <w:sz w:val="21"/>
              </w:rPr>
              <w:t>-</w:t>
            </w:r>
          </w:p>
        </w:tc>
      </w:tr>
      <w:tr>
        <w:trPr>
          <w:trHeight w:val="378"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1"/>
                <w:szCs w:val="21"/>
              </w:rPr>
            </w:pPr>
            <w:r>
              <w:rPr>
                <w:rFonts w:ascii="宋体"/>
                <w:spacing w:val="-1"/>
                <w:sz w:val="21"/>
              </w:rPr>
              <w:t>12.09%</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宋体" w:hAnsi="宋体" w:cs="宋体" w:eastAsia="宋体" w:hint="default"/>
                <w:sz w:val="21"/>
                <w:szCs w:val="21"/>
              </w:rPr>
            </w:pPr>
            <w:r>
              <w:rPr>
                <w:rFonts w:ascii="宋体"/>
                <w:spacing w:val="-1"/>
                <w:sz w:val="21"/>
              </w:rPr>
              <w:t>15.40%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-3.31%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37"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b/>
          <w:bCs/>
          <w:sz w:val="16"/>
          <w:szCs w:val="16"/>
        </w:rPr>
      </w:pPr>
    </w:p>
    <w:p>
      <w:pPr>
        <w:pStyle w:val="Heading3"/>
        <w:spacing w:line="240" w:lineRule="auto" w:before="35"/>
        <w:ind w:right="3476"/>
        <w:jc w:val="left"/>
        <w:rPr>
          <w:b w:val="0"/>
          <w:bCs w:val="0"/>
        </w:rPr>
      </w:pPr>
      <w:r>
        <w:rPr/>
        <w:t>3、金融资产投资情况</w:t>
      </w:r>
      <w:r>
        <w:rPr>
          <w:b w:val="0"/>
          <w:bCs w:val="0"/>
        </w:rPr>
      </w:r>
    </w:p>
    <w:p>
      <w:pPr>
        <w:spacing w:line="240" w:lineRule="auto" w:before="11"/>
        <w:rPr>
          <w:rFonts w:ascii="宋体" w:hAnsi="宋体" w:cs="宋体" w:eastAsia="宋体" w:hint="default"/>
          <w:b/>
          <w:bCs/>
          <w:sz w:val="23"/>
          <w:szCs w:val="23"/>
        </w:rPr>
      </w:pPr>
    </w:p>
    <w:p>
      <w:pPr>
        <w:pStyle w:val="BodyText"/>
        <w:spacing w:line="372" w:lineRule="auto"/>
        <w:ind w:left="153" w:right="150" w:firstLine="420"/>
        <w:jc w:val="both"/>
      </w:pPr>
      <w:r>
        <w:rPr/>
        <w:t>报告期内，公司处置了期初持有的港股股票中国航空，报告期损益为 </w:t>
      </w:r>
      <w:r>
        <w:rPr>
          <w:rFonts w:ascii="Times New Roman" w:hAnsi="Times New Roman" w:cs="Times New Roman" w:eastAsia="Times New Roman" w:hint="default"/>
        </w:rPr>
        <w:t>18,976.37</w:t>
      </w:r>
      <w:r>
        <w:rPr>
          <w:rFonts w:ascii="Times New Roman" w:hAnsi="Times New Roman" w:cs="Times New Roman" w:eastAsia="Times New Roman" w:hint="default"/>
          <w:spacing w:val="24"/>
        </w:rPr>
        <w:t> </w:t>
      </w:r>
      <w:r>
        <w:rPr/>
        <w:t>元。该项证券投资为 公司收购控股子公司 </w:t>
      </w:r>
      <w:r>
        <w:rPr>
          <w:rFonts w:ascii="Times New Roman" w:hAnsi="Times New Roman" w:cs="Times New Roman" w:eastAsia="Times New Roman" w:hint="default"/>
        </w:rPr>
        <w:t>Infrasys International Ltd </w:t>
      </w:r>
      <w:r>
        <w:rPr/>
        <w:t>之前，由 </w:t>
      </w:r>
      <w:r>
        <w:rPr>
          <w:rFonts w:ascii="Times New Roman" w:hAnsi="Times New Roman" w:cs="Times New Roman" w:eastAsia="Times New Roman" w:hint="default"/>
        </w:rPr>
        <w:t>Infrasys International Ltd</w:t>
      </w:r>
      <w:r>
        <w:rPr>
          <w:rFonts w:ascii="Times New Roman" w:hAnsi="Times New Roman" w:cs="Times New Roman" w:eastAsia="Times New Roman" w:hint="default"/>
          <w:spacing w:val="-16"/>
        </w:rPr>
        <w:t> </w:t>
      </w:r>
      <w:r>
        <w:rPr/>
        <w:t>购买且延续至报告期的资 产。公司一直专注于主业的发展，本报告期公司未发生其他证券投资。</w:t>
      </w:r>
    </w:p>
    <w:p>
      <w:pPr>
        <w:pStyle w:val="Heading3"/>
        <w:spacing w:line="240" w:lineRule="auto" w:before="161"/>
        <w:ind w:right="3476"/>
        <w:jc w:val="left"/>
        <w:rPr>
          <w:b w:val="0"/>
          <w:bCs w:val="0"/>
        </w:rPr>
      </w:pPr>
      <w:r>
        <w:rPr/>
        <w:t>4、主要资产的计量</w:t>
      </w:r>
      <w:r>
        <w:rPr>
          <w:b w:val="0"/>
          <w:bCs w:val="0"/>
        </w:rPr>
      </w:r>
    </w:p>
    <w:p>
      <w:pPr>
        <w:pStyle w:val="BodyText"/>
        <w:spacing w:line="240" w:lineRule="auto" w:before="134"/>
        <w:ind w:left="573" w:right="172"/>
        <w:jc w:val="left"/>
      </w:pPr>
      <w:r>
        <w:rPr/>
        <w:t>（1）报告期内，本公司在对会计要素进行计量时，一般采用历史成本计量。</w:t>
      </w:r>
    </w:p>
    <w:p>
      <w:pPr>
        <w:pStyle w:val="BodyText"/>
        <w:spacing w:line="240" w:lineRule="auto" w:before="133"/>
        <w:ind w:left="573" w:right="3476"/>
        <w:jc w:val="left"/>
      </w:pPr>
      <w:r>
        <w:rPr/>
        <w:t>（2）报告期内，采用公允价值计量的主要报表项目：</w:t>
      </w:r>
    </w:p>
    <w:p>
      <w:pPr>
        <w:spacing w:line="240" w:lineRule="auto" w:before="11"/>
        <w:rPr>
          <w:rFonts w:ascii="宋体" w:hAnsi="宋体" w:cs="宋体" w:eastAsia="宋体" w:hint="default"/>
          <w:sz w:val="12"/>
          <w:szCs w:val="12"/>
        </w:rPr>
      </w:pPr>
    </w:p>
    <w:tbl>
      <w:tblPr>
        <w:tblW w:w="0" w:type="auto"/>
        <w:jc w:val="left"/>
        <w:tblInd w:w="168" w:type="dxa"/>
        <w:tblLayout w:type="fixed"/>
        <w:tblCellMar>
          <w:top w:w="0" w:type="dxa"/>
          <w:left w:w="0" w:type="dxa"/>
          <w:bottom w:w="0" w:type="dxa"/>
          <w:right w:w="0" w:type="dxa"/>
        </w:tblCellMar>
        <w:tblLook w:val="01E0"/>
      </w:tblPr>
      <w:tblGrid>
        <w:gridCol w:w="2880"/>
        <w:gridCol w:w="1200"/>
        <w:gridCol w:w="1200"/>
        <w:gridCol w:w="1558"/>
        <w:gridCol w:w="1082"/>
        <w:gridCol w:w="1680"/>
      </w:tblGrid>
      <w:tr>
        <w:trPr>
          <w:trHeight w:val="142"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174"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20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5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082"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1"/>
              <w:ind w:left="413"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72" w:hRule="exact"/>
        </w:trPr>
        <w:tc>
          <w:tcPr>
            <w:tcW w:w="2880" w:type="dxa"/>
            <w:tcBorders>
              <w:top w:val="nil" w:sz="6" w:space="0" w:color="auto"/>
              <w:left w:val="single" w:sz="4" w:space="0" w:color="000000"/>
              <w:bottom w:val="nil" w:sz="6" w:space="0" w:color="auto"/>
              <w:right w:val="single" w:sz="4" w:space="0" w:color="000000"/>
            </w:tcBorders>
          </w:tcPr>
          <w:p>
            <w:pPr>
              <w:pStyle w:val="TableParagraph"/>
              <w:tabs>
                <w:tab w:pos="1223" w:val="left" w:leader="none"/>
                <w:tab w:pos="2846" w:val="left" w:leader="none"/>
              </w:tabs>
              <w:spacing w:line="24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tab/>
            </w:r>
            <w:r>
              <w:rPr>
                <w:rFonts w:ascii="宋体" w:hAnsi="宋体" w:cs="宋体" w:eastAsia="宋体" w:hint="default"/>
                <w:sz w:val="21"/>
                <w:szCs w:val="21"/>
                <w:shd w:fill="DCDCDC" w:color="auto" w:val="clear"/>
              </w:rPr>
              <w:t>项目</w:t>
              <w:tab/>
            </w:r>
            <w:r>
              <w:rPr>
                <w:rFonts w:ascii="宋体" w:hAnsi="宋体" w:cs="宋体" w:eastAsia="宋体" w:hint="default"/>
                <w:sz w:val="21"/>
                <w:szCs w:val="21"/>
              </w:rPr>
            </w:r>
          </w:p>
        </w:tc>
        <w:tc>
          <w:tcPr>
            <w:tcW w:w="1200" w:type="dxa"/>
            <w:vMerge/>
            <w:tcBorders>
              <w:left w:val="single" w:sz="4" w:space="0" w:color="000000"/>
              <w:right w:val="single" w:sz="4" w:space="0" w:color="000000"/>
            </w:tcBorders>
            <w:shd w:val="clear" w:color="auto" w:fill="DCDCDC"/>
          </w:tcPr>
          <w:p>
            <w:pPr/>
          </w:p>
        </w:tc>
        <w:tc>
          <w:tcPr>
            <w:tcW w:w="1200" w:type="dxa"/>
            <w:vMerge/>
            <w:tcBorders>
              <w:left w:val="single" w:sz="4" w:space="0" w:color="000000"/>
              <w:right w:val="single" w:sz="4" w:space="0" w:color="000000"/>
            </w:tcBorders>
            <w:shd w:val="clear" w:color="auto" w:fill="DCDCDC"/>
          </w:tcPr>
          <w:p>
            <w:pPr/>
          </w:p>
        </w:tc>
        <w:tc>
          <w:tcPr>
            <w:tcW w:w="1558" w:type="dxa"/>
            <w:vMerge/>
            <w:tcBorders>
              <w:left w:val="single" w:sz="4" w:space="0" w:color="000000"/>
              <w:right w:val="single" w:sz="4" w:space="0" w:color="000000"/>
            </w:tcBorders>
            <w:shd w:val="clear" w:color="auto" w:fill="DCDCDC"/>
          </w:tcPr>
          <w:p>
            <w:pPr/>
          </w:p>
        </w:tc>
        <w:tc>
          <w:tcPr>
            <w:tcW w:w="1082" w:type="dxa"/>
            <w:vMerge/>
            <w:tcBorders>
              <w:left w:val="single" w:sz="4" w:space="0" w:color="000000"/>
              <w:right w:val="single" w:sz="4" w:space="0" w:color="000000"/>
            </w:tcBorders>
            <w:shd w:val="clear" w:color="auto" w:fill="DCDCDC"/>
          </w:tcPr>
          <w:p>
            <w:pPr/>
          </w:p>
        </w:tc>
        <w:tc>
          <w:tcPr>
            <w:tcW w:w="1680" w:type="dxa"/>
            <w:vMerge/>
            <w:tcBorders>
              <w:left w:val="single" w:sz="4" w:space="0" w:color="000000"/>
              <w:right w:val="single" w:sz="4" w:space="0" w:color="000000"/>
            </w:tcBorders>
            <w:shd w:val="clear" w:color="auto" w:fill="DCDCDC"/>
          </w:tcPr>
          <w:p>
            <w:pPr/>
          </w:p>
        </w:tc>
      </w:tr>
      <w:tr>
        <w:trPr>
          <w:trHeight w:val="140"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00" w:type="dxa"/>
            <w:vMerge/>
            <w:tcBorders>
              <w:left w:val="single" w:sz="4" w:space="0" w:color="000000"/>
              <w:bottom w:val="single" w:sz="4" w:space="0" w:color="000000"/>
              <w:right w:val="single" w:sz="4" w:space="0" w:color="000000"/>
            </w:tcBorders>
            <w:shd w:val="clear" w:color="auto" w:fill="DCDCDC"/>
          </w:tcPr>
          <w:p>
            <w:pPr/>
          </w:p>
        </w:tc>
        <w:tc>
          <w:tcPr>
            <w:tcW w:w="1200" w:type="dxa"/>
            <w:vMerge/>
            <w:tcBorders>
              <w:left w:val="single" w:sz="4" w:space="0" w:color="000000"/>
              <w:bottom w:val="single" w:sz="4" w:space="0" w:color="000000"/>
              <w:right w:val="single" w:sz="4" w:space="0" w:color="000000"/>
            </w:tcBorders>
            <w:shd w:val="clear" w:color="auto" w:fill="DCDCDC"/>
          </w:tcPr>
          <w:p>
            <w:pPr/>
          </w:p>
        </w:tc>
        <w:tc>
          <w:tcPr>
            <w:tcW w:w="1558" w:type="dxa"/>
            <w:vMerge/>
            <w:tcBorders>
              <w:left w:val="single" w:sz="4" w:space="0" w:color="000000"/>
              <w:bottom w:val="single" w:sz="4" w:space="0" w:color="000000"/>
              <w:right w:val="single" w:sz="4" w:space="0" w:color="000000"/>
            </w:tcBorders>
            <w:shd w:val="clear" w:color="auto" w:fill="DCDCDC"/>
          </w:tcPr>
          <w:p>
            <w:pPr/>
          </w:p>
        </w:tc>
        <w:tc>
          <w:tcPr>
            <w:tcW w:w="1082"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960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56"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其中：1.以公允价值计量且其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变动计入当期损益的金融资产</w:t>
            </w:r>
          </w:p>
        </w:tc>
        <w:tc>
          <w:tcPr>
            <w:tcW w:w="12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66,916.48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-66,916.48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0.00</w:t>
            </w:r>
          </w:p>
        </w:tc>
      </w:tr>
      <w:tr>
        <w:trPr>
          <w:trHeight w:val="282" w:hRule="exact"/>
        </w:trPr>
        <w:tc>
          <w:tcPr>
            <w:tcW w:w="288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200" w:type="dxa"/>
            <w:tcBorders>
              <w:top w:val="single" w:sz="4" w:space="0" w:color="000000"/>
              <w:left w:val="single" w:sz="4" w:space="0" w:color="000000"/>
              <w:bottom w:val="single" w:sz="4" w:space="0" w:color="FFFFFF"/>
              <w:right w:val="single" w:sz="4" w:space="0" w:color="000000"/>
            </w:tcBorders>
          </w:tcPr>
          <w:p>
            <w:pPr/>
          </w:p>
        </w:tc>
        <w:tc>
          <w:tcPr>
            <w:tcW w:w="1200" w:type="dxa"/>
            <w:tcBorders>
              <w:top w:val="single" w:sz="4" w:space="0" w:color="000000"/>
              <w:left w:val="single" w:sz="4" w:space="0" w:color="000000"/>
              <w:bottom w:val="single" w:sz="4" w:space="0" w:color="FFFFFF"/>
              <w:right w:val="single" w:sz="4" w:space="0" w:color="000000"/>
            </w:tcBorders>
          </w:tcPr>
          <w:p>
            <w:pPr/>
          </w:p>
        </w:tc>
        <w:tc>
          <w:tcPr>
            <w:tcW w:w="1558" w:type="dxa"/>
            <w:tcBorders>
              <w:top w:val="single" w:sz="4" w:space="0" w:color="000000"/>
              <w:left w:val="single" w:sz="4" w:space="0" w:color="000000"/>
              <w:bottom w:val="single" w:sz="4" w:space="0" w:color="FFFFFF"/>
              <w:right w:val="single" w:sz="4" w:space="0" w:color="000000"/>
            </w:tcBorders>
          </w:tcPr>
          <w:p>
            <w:pPr/>
          </w:p>
        </w:tc>
        <w:tc>
          <w:tcPr>
            <w:tcW w:w="1082"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r>
      <w:tr>
        <w:trPr>
          <w:trHeight w:val="366" w:hRule="exact"/>
        </w:trPr>
        <w:tc>
          <w:tcPr>
            <w:tcW w:w="2880" w:type="dxa"/>
            <w:tcBorders>
              <w:top w:val="single" w:sz="4" w:space="0" w:color="FFFFFF"/>
              <w:left w:val="single" w:sz="4" w:space="0" w:color="000000"/>
              <w:bottom w:val="single" w:sz="17" w:space="0" w:color="DCDCDC"/>
              <w:right w:val="single" w:sz="4" w:space="0" w:color="000000"/>
            </w:tcBorders>
          </w:tcPr>
          <w:p>
            <w:pPr>
              <w:pStyle w:val="TableParagraph"/>
              <w:tabs>
                <w:tab w:pos="443" w:val="left" w:leader="none"/>
                <w:tab w:pos="2846" w:val="left" w:leader="none"/>
              </w:tabs>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CDCDC" w:color="auto" w:val="clear"/>
              </w:rPr>
              <w:t> </w:t>
              <w:tab/>
            </w:r>
            <w:r>
              <w:rPr>
                <w:rFonts w:ascii="宋体" w:hAnsi="宋体" w:cs="宋体" w:eastAsia="宋体" w:hint="default"/>
                <w:sz w:val="21"/>
                <w:szCs w:val="21"/>
                <w:shd w:fill="DCDCDC" w:color="auto" w:val="clear"/>
              </w:rPr>
              <w:t>2.可供出售金融资产</w:t>
              <w:tab/>
            </w:r>
            <w:r>
              <w:rPr>
                <w:rFonts w:ascii="宋体" w:hAnsi="宋体" w:cs="宋体" w:eastAsia="宋体" w:hint="default"/>
                <w:sz w:val="21"/>
                <w:szCs w:val="21"/>
              </w:rPr>
            </w:r>
          </w:p>
        </w:tc>
        <w:tc>
          <w:tcPr>
            <w:tcW w:w="12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
              <w:ind w:right="22"/>
              <w:jc w:val="right"/>
              <w:rPr>
                <w:rFonts w:ascii="宋体" w:hAnsi="宋体" w:cs="宋体" w:eastAsia="宋体" w:hint="default"/>
                <w:sz w:val="21"/>
                <w:szCs w:val="21"/>
              </w:rPr>
            </w:pPr>
            <w:r>
              <w:rPr>
                <w:rFonts w:ascii="宋体"/>
                <w:spacing w:val="-1"/>
                <w:sz w:val="21"/>
              </w:rPr>
              <w:t>334,582.40</w:t>
            </w:r>
          </w:p>
        </w:tc>
        <w:tc>
          <w:tcPr>
            <w:tcW w:w="1200" w:type="dxa"/>
            <w:tcBorders>
              <w:top w:val="single" w:sz="4" w:space="0" w:color="FFFFFF"/>
              <w:left w:val="single" w:sz="4" w:space="0" w:color="000000"/>
              <w:bottom w:val="single" w:sz="4" w:space="0" w:color="000000"/>
              <w:right w:val="single" w:sz="4" w:space="0" w:color="000000"/>
            </w:tcBorders>
          </w:tcPr>
          <w:p>
            <w:pPr/>
          </w:p>
        </w:tc>
        <w:tc>
          <w:tcPr>
            <w:tcW w:w="15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-11,240.40</w:t>
            </w:r>
          </w:p>
        </w:tc>
        <w:tc>
          <w:tcPr>
            <w:tcW w:w="1082"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z w:val="21"/>
              </w:rPr>
              <w:t>323,342.00</w:t>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401,498.88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-66,916.48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-11,240.40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323,342.00</w:t>
            </w: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401,498.88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-66,916.48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-11,240.40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323,342.00</w:t>
            </w:r>
          </w:p>
        </w:tc>
      </w:tr>
    </w:tbl>
    <w:p>
      <w:pPr>
        <w:spacing w:line="240" w:lineRule="auto" w:before="1"/>
        <w:rPr>
          <w:rFonts w:ascii="宋体" w:hAnsi="宋体" w:cs="宋体" w:eastAsia="宋体" w:hint="default"/>
          <w:sz w:val="16"/>
          <w:szCs w:val="16"/>
        </w:rPr>
      </w:pPr>
    </w:p>
    <w:p>
      <w:pPr>
        <w:pStyle w:val="Heading3"/>
        <w:spacing w:line="240" w:lineRule="auto" w:before="35"/>
        <w:ind w:right="3476"/>
        <w:jc w:val="left"/>
        <w:rPr>
          <w:b w:val="0"/>
          <w:bCs w:val="0"/>
        </w:rPr>
      </w:pPr>
      <w:r>
        <w:rPr/>
        <w:t>5、主要子公司及参股公司情况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58" w:type="dxa"/>
        <w:tblLayout w:type="fixed"/>
        <w:tblCellMar>
          <w:top w:w="0" w:type="dxa"/>
          <w:left w:w="0" w:type="dxa"/>
          <w:bottom w:w="0" w:type="dxa"/>
          <w:right w:w="0" w:type="dxa"/>
        </w:tblCellMar>
        <w:tblLook w:val="01E0"/>
      </w:tblPr>
      <w:tblGrid>
        <w:gridCol w:w="1813"/>
        <w:gridCol w:w="1693"/>
        <w:gridCol w:w="1686"/>
        <w:gridCol w:w="1686"/>
        <w:gridCol w:w="1204"/>
        <w:gridCol w:w="1535"/>
      </w:tblGrid>
      <w:tr>
        <w:trPr>
          <w:trHeight w:val="827"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9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29"/>
              <w:ind w:left="211" w:right="104" w:hanging="105"/>
              <w:jc w:val="left"/>
              <w:rPr>
                <w:rFonts w:ascii="宋体" w:hAnsi="宋体" w:cs="宋体" w:eastAsia="宋体" w:hint="default"/>
                <w:sz w:val="21"/>
                <w:szCs w:val="21"/>
              </w:rPr>
            </w:pPr>
            <w:r>
              <w:rPr>
                <w:rFonts w:ascii="宋体" w:hAnsi="宋体" w:cs="宋体" w:eastAsia="宋体" w:hint="default"/>
                <w:sz w:val="21"/>
                <w:szCs w:val="21"/>
              </w:rPr>
              <w:t>持股比例及是否 列入合并报表</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03" w:right="0" w:firstLine="78"/>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年归属于</w:t>
            </w:r>
          </w:p>
          <w:p>
            <w:pPr>
              <w:pStyle w:val="TableParagraph"/>
              <w:spacing w:line="272" w:lineRule="exact" w:before="26"/>
              <w:ind w:left="523" w:right="101" w:hanging="420"/>
              <w:jc w:val="left"/>
              <w:rPr>
                <w:rFonts w:ascii="宋体" w:hAnsi="宋体" w:cs="宋体" w:eastAsia="宋体" w:hint="default"/>
                <w:sz w:val="21"/>
                <w:szCs w:val="21"/>
              </w:rPr>
            </w:pPr>
            <w:r>
              <w:rPr>
                <w:rFonts w:ascii="宋体" w:hAnsi="宋体" w:cs="宋体" w:eastAsia="宋体" w:hint="default"/>
                <w:sz w:val="21"/>
                <w:szCs w:val="21"/>
              </w:rPr>
              <w:t>母公司所有者的 净利润</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03" w:right="0" w:firstLine="78"/>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年归属于</w:t>
            </w:r>
          </w:p>
          <w:p>
            <w:pPr>
              <w:pStyle w:val="TableParagraph"/>
              <w:spacing w:line="272" w:lineRule="exact" w:before="26"/>
              <w:ind w:left="523" w:right="101" w:hanging="420"/>
              <w:jc w:val="left"/>
              <w:rPr>
                <w:rFonts w:ascii="宋体" w:hAnsi="宋体" w:cs="宋体" w:eastAsia="宋体" w:hint="default"/>
                <w:sz w:val="21"/>
                <w:szCs w:val="21"/>
              </w:rPr>
            </w:pPr>
            <w:r>
              <w:rPr>
                <w:rFonts w:ascii="宋体" w:hAnsi="宋体" w:cs="宋体" w:eastAsia="宋体" w:hint="default"/>
                <w:sz w:val="21"/>
                <w:szCs w:val="21"/>
              </w:rPr>
              <w:t>母公司所有者的 净利润</w:t>
            </w:r>
          </w:p>
        </w:tc>
        <w:tc>
          <w:tcPr>
            <w:tcW w:w="12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29"/>
              <w:ind w:left="334" w:right="175" w:hanging="159"/>
              <w:jc w:val="left"/>
              <w:rPr>
                <w:rFonts w:ascii="宋体" w:hAnsi="宋体" w:cs="宋体" w:eastAsia="宋体" w:hint="default"/>
                <w:sz w:val="21"/>
                <w:szCs w:val="21"/>
              </w:rPr>
            </w:pPr>
            <w:r>
              <w:rPr>
                <w:rFonts w:ascii="宋体" w:hAnsi="宋体" w:cs="宋体" w:eastAsia="宋体" w:hint="default"/>
                <w:sz w:val="21"/>
                <w:szCs w:val="21"/>
              </w:rPr>
              <w:t>同比变动 比例%</w:t>
            </w:r>
          </w:p>
        </w:tc>
        <w:tc>
          <w:tcPr>
            <w:tcW w:w="153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2" w:lineRule="exact" w:before="129"/>
              <w:ind w:left="184" w:right="131" w:hanging="53"/>
              <w:jc w:val="left"/>
              <w:rPr>
                <w:rFonts w:ascii="宋体" w:hAnsi="宋体" w:cs="宋体" w:eastAsia="宋体" w:hint="default"/>
                <w:sz w:val="21"/>
                <w:szCs w:val="21"/>
              </w:rPr>
            </w:pPr>
            <w:r>
              <w:rPr>
                <w:rFonts w:ascii="宋体" w:hAnsi="宋体" w:cs="宋体" w:eastAsia="宋体" w:hint="default"/>
                <w:sz w:val="21"/>
                <w:szCs w:val="21"/>
              </w:rPr>
              <w:t>对合并净利润 的影响比例%</w:t>
            </w:r>
          </w:p>
        </w:tc>
      </w:tr>
      <w:tr>
        <w:trPr>
          <w:trHeight w:val="283"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北京中长石基软</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121,628,266.98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59,916,936.83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sz w:val="21"/>
              </w:rPr>
              <w:t>102.99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sz w:val="21"/>
              </w:rPr>
              <w:t>56.86</w:t>
            </w:r>
          </w:p>
        </w:tc>
      </w:tr>
    </w:tbl>
    <w:p>
      <w:pPr>
        <w:spacing w:after="0" w:line="240" w:lineRule="exact"/>
        <w:jc w:val="left"/>
        <w:rPr>
          <w:rFonts w:ascii="宋体" w:hAnsi="宋体" w:cs="宋体" w:eastAsia="宋体" w:hint="default"/>
          <w:sz w:val="21"/>
          <w:szCs w:val="21"/>
        </w:rPr>
        <w:sectPr>
          <w:pgSz w:w="11910" w:h="16840"/>
          <w:pgMar w:header="851" w:footer="982" w:top="1200" w:bottom="1180" w:left="980" w:right="980"/>
        </w:sectPr>
      </w:pPr>
    </w:p>
    <w:p>
      <w:pPr>
        <w:spacing w:line="240" w:lineRule="auto" w:before="13"/>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813"/>
        <w:gridCol w:w="1693"/>
        <w:gridCol w:w="1686"/>
        <w:gridCol w:w="1686"/>
        <w:gridCol w:w="1204"/>
        <w:gridCol w:w="1536"/>
      </w:tblGrid>
      <w:tr>
        <w:trPr>
          <w:trHeight w:val="289" w:hRule="exact"/>
        </w:trPr>
        <w:tc>
          <w:tcPr>
            <w:tcW w:w="1813" w:type="dxa"/>
            <w:tcBorders>
              <w:top w:val="single" w:sz="10"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件有限公司</w:t>
            </w:r>
          </w:p>
        </w:tc>
        <w:tc>
          <w:tcPr>
            <w:tcW w:w="1693" w:type="dxa"/>
            <w:tcBorders>
              <w:top w:val="single" w:sz="10" w:space="0" w:color="000000"/>
              <w:left w:val="single" w:sz="4" w:space="0" w:color="000000"/>
              <w:bottom w:val="single" w:sz="4" w:space="0" w:color="000000"/>
              <w:right w:val="single" w:sz="4" w:space="0" w:color="000000"/>
            </w:tcBorders>
          </w:tcPr>
          <w:p>
            <w:pPr/>
          </w:p>
        </w:tc>
        <w:tc>
          <w:tcPr>
            <w:tcW w:w="1686" w:type="dxa"/>
            <w:tcBorders>
              <w:top w:val="single" w:sz="10" w:space="0" w:color="000000"/>
              <w:left w:val="single" w:sz="4" w:space="0" w:color="000000"/>
              <w:bottom w:val="single" w:sz="4" w:space="0" w:color="000000"/>
              <w:right w:val="single" w:sz="4" w:space="0" w:color="000000"/>
            </w:tcBorders>
          </w:tcPr>
          <w:p>
            <w:pPr/>
          </w:p>
        </w:tc>
        <w:tc>
          <w:tcPr>
            <w:tcW w:w="1686" w:type="dxa"/>
            <w:tcBorders>
              <w:top w:val="single" w:sz="10" w:space="0" w:color="000000"/>
              <w:left w:val="single" w:sz="4" w:space="0" w:color="000000"/>
              <w:bottom w:val="single" w:sz="4" w:space="0" w:color="000000"/>
              <w:right w:val="single" w:sz="4" w:space="0" w:color="000000"/>
            </w:tcBorders>
          </w:tcPr>
          <w:p>
            <w:pPr/>
          </w:p>
        </w:tc>
        <w:tc>
          <w:tcPr>
            <w:tcW w:w="1204" w:type="dxa"/>
            <w:tcBorders>
              <w:top w:val="single" w:sz="10" w:space="0" w:color="000000"/>
              <w:left w:val="single" w:sz="4" w:space="0" w:color="000000"/>
              <w:bottom w:val="single" w:sz="4" w:space="0" w:color="000000"/>
              <w:right w:val="single" w:sz="4" w:space="0" w:color="000000"/>
            </w:tcBorders>
          </w:tcPr>
          <w:p>
            <w:pPr/>
          </w:p>
        </w:tc>
        <w:tc>
          <w:tcPr>
            <w:tcW w:w="1536" w:type="dxa"/>
            <w:tcBorders>
              <w:top w:val="single" w:sz="10" w:space="0" w:color="000000"/>
              <w:left w:val="single" w:sz="4" w:space="0" w:color="000000"/>
              <w:bottom w:val="single" w:sz="4" w:space="0" w:color="000000"/>
              <w:right w:val="single" w:sz="4" w:space="0" w:color="000000"/>
            </w:tcBorders>
          </w:tcPr>
          <w:p>
            <w:pPr/>
          </w:p>
        </w:tc>
      </w:tr>
      <w:tr>
        <w:trPr>
          <w:trHeight w:val="554"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上海石基信息技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-3,691,231.26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-3,105,066.57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18.88</w:t>
            </w:r>
          </w:p>
        </w:tc>
        <w:tc>
          <w:tcPr>
            <w:tcW w:w="153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sz w:val="21"/>
              </w:rPr>
              <w:t>-1.73</w:t>
            </w:r>
          </w:p>
        </w:tc>
      </w:tr>
      <w:tr>
        <w:trPr>
          <w:trHeight w:val="556"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北海石基信息技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术有限公司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84,391,686.26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69,061,765.55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39.45</w:t>
            </w:r>
          </w:p>
        </w:tc>
      </w:tr>
      <w:tr>
        <w:trPr>
          <w:trHeight w:val="554"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杭州西软科技有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31,072,332.97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13,812,623.21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124.96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14.53</w:t>
            </w:r>
          </w:p>
        </w:tc>
      </w:tr>
      <w:tr>
        <w:trPr>
          <w:trHeight w:val="554"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石基昆仑软件有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82.40%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6,340,109.02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3,306,561.02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91.74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2.96</w:t>
            </w:r>
          </w:p>
        </w:tc>
      </w:tr>
      <w:tr>
        <w:trPr>
          <w:trHeight w:val="554"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焦点信息技术（香</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港）有限公司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3"/>
              <w:jc w:val="right"/>
              <w:rPr>
                <w:rFonts w:ascii="宋体" w:hAnsi="宋体" w:cs="宋体" w:eastAsia="宋体" w:hint="default"/>
                <w:sz w:val="21"/>
                <w:szCs w:val="21"/>
              </w:rPr>
            </w:pPr>
            <w:r>
              <w:rPr>
                <w:rFonts w:ascii="宋体"/>
                <w:spacing w:val="-1"/>
                <w:sz w:val="21"/>
              </w:rPr>
              <w:t>17,247,607.16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14,138,306.23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21.99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8.06</w:t>
            </w:r>
          </w:p>
        </w:tc>
      </w:tr>
      <w:tr>
        <w:trPr>
          <w:trHeight w:val="556"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南京银石计算机</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系统有限公司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9,862,875.57</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2,770,917.22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255.94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4.61</w:t>
            </w:r>
          </w:p>
        </w:tc>
      </w:tr>
      <w:tr>
        <w:trPr>
          <w:trHeight w:val="302" w:hRule="exact"/>
        </w:trPr>
        <w:tc>
          <w:tcPr>
            <w:tcW w:w="18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pacing w:val="-1"/>
                <w:sz w:val="21"/>
              </w:rPr>
              <w:t>266,851,646.70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5</w:t>
            </w:r>
            <w:r>
              <w:rPr>
                <w:rFonts w:ascii="宋体" w:hAnsi="宋体" w:cs="宋体" w:eastAsia="宋体" w:hint="default"/>
                <w:sz w:val="21"/>
                <w:szCs w:val="21"/>
              </w:rPr>
              <w:t>7</w:t>
            </w:r>
            <w:r>
              <w:rPr>
                <w:rFonts w:ascii="宋体" w:hAnsi="宋体" w:cs="宋体" w:eastAsia="宋体" w:hint="default"/>
                <w:spacing w:val="-106"/>
                <w:sz w:val="21"/>
                <w:szCs w:val="21"/>
              </w:rPr>
              <w:t>，</w:t>
            </w:r>
            <w:r>
              <w:rPr>
                <w:rFonts w:ascii="宋体" w:hAnsi="宋体" w:cs="宋体" w:eastAsia="宋体" w:hint="default"/>
                <w:sz w:val="21"/>
                <w:szCs w:val="21"/>
              </w:rPr>
              <w:t>1</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106"/>
                <w:sz w:val="21"/>
                <w:szCs w:val="21"/>
              </w:rPr>
              <w:t>，</w:t>
            </w:r>
            <w:r>
              <w:rPr>
                <w:rFonts w:ascii="宋体" w:hAnsi="宋体" w:cs="宋体" w:eastAsia="宋体" w:hint="default"/>
                <w:sz w:val="21"/>
                <w:szCs w:val="21"/>
              </w:rPr>
              <w:t>1</w:t>
            </w:r>
            <w:r>
              <w:rPr>
                <w:rFonts w:ascii="宋体" w:hAnsi="宋体" w:cs="宋体" w:eastAsia="宋体" w:hint="default"/>
                <w:spacing w:val="-1"/>
                <w:sz w:val="21"/>
                <w:szCs w:val="21"/>
              </w:rPr>
              <w:t>26</w:t>
            </w:r>
            <w:r>
              <w:rPr>
                <w:rFonts w:ascii="宋体" w:hAnsi="宋体" w:cs="宋体" w:eastAsia="宋体" w:hint="default"/>
                <w:sz w:val="21"/>
                <w:szCs w:val="21"/>
              </w:rPr>
              <w:t>.</w:t>
            </w:r>
            <w:r>
              <w:rPr>
                <w:rFonts w:ascii="宋体" w:hAnsi="宋体" w:cs="宋体" w:eastAsia="宋体" w:hint="default"/>
                <w:spacing w:val="-1"/>
                <w:sz w:val="21"/>
                <w:szCs w:val="21"/>
              </w:rPr>
              <w:t>27</w:t>
            </w:r>
            <w:r>
              <w:rPr>
                <w:rFonts w:ascii="宋体" w:hAnsi="宋体" w:cs="宋体" w:eastAsia="宋体" w:hint="default"/>
                <w:sz w:val="21"/>
                <w:szCs w:val="21"/>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sz w:val="21"/>
              </w:rPr>
              <w:t>69.83</w:t>
            </w: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6"/>
          <w:szCs w:val="16"/>
        </w:rPr>
      </w:pPr>
    </w:p>
    <w:p>
      <w:pPr>
        <w:pStyle w:val="Heading3"/>
        <w:spacing w:line="240" w:lineRule="auto" w:before="35"/>
        <w:ind w:left="536" w:right="118"/>
        <w:jc w:val="left"/>
        <w:rPr>
          <w:b w:val="0"/>
          <w:bCs w:val="0"/>
        </w:rPr>
      </w:pPr>
      <w:r>
        <w:rPr/>
        <w:t>（1）北京中长石基软件有限公司</w:t>
      </w:r>
      <w:r>
        <w:rPr>
          <w:b w:val="0"/>
          <w:bCs w:val="0"/>
        </w:rPr>
      </w:r>
    </w:p>
    <w:p>
      <w:pPr>
        <w:pStyle w:val="BodyText"/>
        <w:spacing w:line="357" w:lineRule="auto" w:before="133"/>
        <w:ind w:left="114" w:right="118" w:firstLine="420"/>
        <w:jc w:val="left"/>
      </w:pPr>
      <w:r>
        <w:rPr/>
        <w:t>北京中长石基软件有限公司为本公司全资子公司，成立于</w:t>
      </w:r>
      <w:r>
        <w:rPr>
          <w:spacing w:val="-33"/>
        </w:rPr>
        <w:t> </w:t>
      </w:r>
      <w:r>
        <w:rPr/>
        <w:t>2008</w:t>
      </w:r>
      <w:r>
        <w:rPr>
          <w:spacing w:val="-33"/>
        </w:rPr>
        <w:t> </w:t>
      </w:r>
      <w:r>
        <w:rPr/>
        <w:t>年，注册资本</w:t>
      </w:r>
      <w:r>
        <w:rPr>
          <w:spacing w:val="-33"/>
        </w:rPr>
        <w:t> </w:t>
      </w:r>
      <w:r>
        <w:rPr/>
        <w:t>1,000</w:t>
      </w:r>
      <w:r>
        <w:rPr>
          <w:spacing w:val="-34"/>
        </w:rPr>
        <w:t> </w:t>
      </w:r>
      <w:r>
        <w:rPr/>
        <w:t>万元，主要业务</w:t>
      </w:r>
      <w:r>
        <w:rPr/>
        <w:t> 为软件研发、销售和技术咨询。</w:t>
      </w:r>
    </w:p>
    <w:p>
      <w:pPr>
        <w:pStyle w:val="BodyText"/>
        <w:spacing w:line="357" w:lineRule="auto" w:before="30"/>
        <w:ind w:left="114" w:right="118" w:firstLine="420"/>
        <w:jc w:val="left"/>
      </w:pPr>
      <w:r>
        <w:rPr/>
        <w:t>经武汉众环会计师事务所有限责任公司审计，截至2010年12月31日，该公司总资产18,657.12万元，</w:t>
      </w:r>
      <w:r>
        <w:rPr>
          <w:spacing w:val="2"/>
        </w:rPr>
        <w:t> </w:t>
      </w:r>
      <w:r>
        <w:rPr/>
        <w:t>净资产13,760.49万元，2010年实现营业收入27,128.30万元。</w:t>
      </w:r>
    </w:p>
    <w:p>
      <w:pPr>
        <w:spacing w:line="357" w:lineRule="auto" w:before="30"/>
        <w:ind w:left="534" w:right="118" w:hanging="8"/>
        <w:jc w:val="left"/>
        <w:rPr>
          <w:rFonts w:ascii="宋体" w:hAnsi="宋体" w:cs="宋体" w:eastAsia="宋体" w:hint="default"/>
          <w:sz w:val="21"/>
          <w:szCs w:val="21"/>
        </w:rPr>
      </w:pPr>
      <w:r>
        <w:rPr>
          <w:rFonts w:ascii="宋体" w:hAnsi="宋体" w:cs="宋体" w:eastAsia="宋体" w:hint="default"/>
          <w:b/>
          <w:bCs/>
          <w:sz w:val="21"/>
          <w:szCs w:val="21"/>
        </w:rPr>
        <w:t>（2）上海石基信息技术有限公司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上海石基信息技术有限公司为本公司的全资子公司，注册资本100万元，主要负责本公司的技术支持</w:t>
      </w:r>
    </w:p>
    <w:p>
      <w:pPr>
        <w:pStyle w:val="BodyText"/>
        <w:spacing w:line="240" w:lineRule="auto" w:before="30"/>
        <w:ind w:left="114" w:right="0"/>
        <w:jc w:val="both"/>
      </w:pPr>
      <w:r>
        <w:rPr/>
        <w:t>与维护业务。</w:t>
      </w:r>
    </w:p>
    <w:p>
      <w:pPr>
        <w:pStyle w:val="BodyText"/>
        <w:spacing w:line="357" w:lineRule="auto" w:before="133"/>
        <w:ind w:left="114" w:right="118" w:firstLine="420"/>
        <w:jc w:val="left"/>
      </w:pPr>
      <w:r>
        <w:rPr>
          <w:spacing w:val="-1"/>
        </w:rPr>
        <w:t>经武汉众环会计师事务所有限责任公司审计，截至2010年12月31日，该公司总资产3,691.16万元，净</w:t>
      </w:r>
      <w:r>
        <w:rPr/>
        <w:t> 资产2,165.40万元，2010年实现营业收入1,776.76万元。</w:t>
      </w:r>
    </w:p>
    <w:p>
      <w:pPr>
        <w:spacing w:line="357" w:lineRule="auto" w:before="30"/>
        <w:ind w:left="534" w:right="118" w:firstLine="2"/>
        <w:jc w:val="left"/>
        <w:rPr>
          <w:rFonts w:ascii="宋体" w:hAnsi="宋体" w:cs="宋体" w:eastAsia="宋体" w:hint="default"/>
          <w:sz w:val="21"/>
          <w:szCs w:val="21"/>
        </w:rPr>
      </w:pPr>
      <w:r>
        <w:rPr>
          <w:rFonts w:ascii="宋体" w:hAnsi="宋体" w:cs="宋体" w:eastAsia="宋体" w:hint="default"/>
          <w:b/>
          <w:bCs/>
          <w:sz w:val="21"/>
          <w:szCs w:val="21"/>
        </w:rPr>
        <w:t>（3）北海石基信息技术有限公司</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北海石基信息技术有限公司为本公司的全资子公司，成立于2008年1月，注册资本666万元，主要业务</w:t>
      </w:r>
    </w:p>
    <w:p>
      <w:pPr>
        <w:pStyle w:val="BodyText"/>
        <w:spacing w:line="357" w:lineRule="auto" w:before="30"/>
        <w:ind w:left="114" w:right="129"/>
        <w:jc w:val="both"/>
      </w:pPr>
      <w:r>
        <w:rPr>
          <w:spacing w:val="-1"/>
        </w:rPr>
        <w:t>是计算机软件开发、销售及相关的系统集成、技术服务；电子产品、网络设备、网络技术的研究开发、销</w:t>
      </w:r>
      <w:r>
        <w:rPr>
          <w:spacing w:val="-83"/>
        </w:rPr>
        <w:t> </w:t>
      </w:r>
      <w:r>
        <w:rPr>
          <w:spacing w:val="-83"/>
        </w:rPr>
      </w:r>
      <w:r>
        <w:rPr>
          <w:spacing w:val="-6"/>
        </w:rPr>
        <w:t>售及服务（以上项目不含互联网信息服务）。</w:t>
      </w:r>
    </w:p>
    <w:p>
      <w:pPr>
        <w:pStyle w:val="BodyText"/>
        <w:spacing w:line="355" w:lineRule="auto" w:before="30"/>
        <w:ind w:left="114" w:right="118" w:firstLine="420"/>
        <w:jc w:val="left"/>
      </w:pPr>
      <w:r>
        <w:rPr/>
        <w:t>经武汉众环会计师事务所有限责任公司审计，截至2010年12月31日，该公司总资产13,852.03万元，</w:t>
      </w:r>
      <w:r>
        <w:rPr>
          <w:spacing w:val="2"/>
        </w:rPr>
        <w:t> </w:t>
      </w:r>
      <w:r>
        <w:rPr/>
        <w:t>净资产10,233.74万元，2010年实现营业收入12,684.78万元。</w:t>
      </w:r>
    </w:p>
    <w:p>
      <w:pPr>
        <w:spacing w:line="355" w:lineRule="auto" w:before="33"/>
        <w:ind w:left="534" w:right="118" w:hanging="8"/>
        <w:jc w:val="left"/>
        <w:rPr>
          <w:rFonts w:ascii="宋体" w:hAnsi="宋体" w:cs="宋体" w:eastAsia="宋体" w:hint="default"/>
          <w:sz w:val="21"/>
          <w:szCs w:val="21"/>
        </w:rPr>
      </w:pPr>
      <w:r>
        <w:rPr>
          <w:rFonts w:ascii="宋体" w:hAnsi="宋体" w:cs="宋体" w:eastAsia="宋体" w:hint="default"/>
          <w:b/>
          <w:bCs/>
          <w:sz w:val="21"/>
          <w:szCs w:val="21"/>
        </w:rPr>
        <w:t>（4）杭州西软科技有限公司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杭州西软科技有限公司，成立于2001年2月20日，注册资本为,1,970万元人民币，是本公司的控股子</w:t>
      </w:r>
    </w:p>
    <w:p>
      <w:pPr>
        <w:pStyle w:val="BodyText"/>
        <w:spacing w:line="357" w:lineRule="auto" w:before="33"/>
        <w:ind w:left="114" w:right="108"/>
        <w:jc w:val="both"/>
      </w:pPr>
      <w:r>
        <w:rPr/>
        <w:t>公司，本公司持有其60%</w:t>
      </w:r>
      <w:r>
        <w:rPr>
          <w:spacing w:val="-20"/>
        </w:rPr>
        <w:t> </w:t>
      </w:r>
      <w:r>
        <w:rPr/>
        <w:t>的股份。该公司主要从事开发销售计算机软硬件及外围设备，西软科技拥有包括</w:t>
      </w:r>
      <w:r>
        <w:rPr/>
        <w:t> </w:t>
      </w:r>
      <w:r>
        <w:rPr>
          <w:spacing w:val="-16"/>
        </w:rPr>
        <w:t>“西软X5”、“FOXHIS</w:t>
      </w:r>
      <w:r>
        <w:rPr>
          <w:spacing w:val="6"/>
        </w:rPr>
        <w:t> </w:t>
      </w:r>
      <w:r>
        <w:rPr>
          <w:spacing w:val="-6"/>
        </w:rPr>
        <w:t>V系列”、“Smart”等针对不同档次酒店用户需求的较为完整的产品序列，连续多年</w:t>
      </w:r>
      <w:r>
        <w:rPr/>
        <w:t> </w:t>
      </w:r>
      <w:r>
        <w:rPr>
          <w:spacing w:val="-5"/>
        </w:rPr>
        <w:t>荣获中国软件行业协会“年度推荐优秀软件产品”、“中国优秀软件产品”称号，并拥有多项软件著作权，</w:t>
      </w:r>
      <w:r>
        <w:rPr>
          <w:spacing w:val="-82"/>
        </w:rPr>
        <w:t> </w:t>
      </w:r>
      <w:r>
        <w:rPr>
          <w:spacing w:val="-82"/>
        </w:rPr>
      </w:r>
      <w:r>
        <w:rPr/>
        <w:t>是目前国内用户数量最多的酒店信息系统公司。</w:t>
      </w:r>
    </w:p>
    <w:p>
      <w:pPr>
        <w:pStyle w:val="BodyText"/>
        <w:spacing w:line="357" w:lineRule="auto" w:before="30"/>
        <w:ind w:left="114" w:right="118" w:firstLine="420"/>
        <w:jc w:val="left"/>
      </w:pPr>
      <w:r>
        <w:rPr/>
        <w:t>经武汉众环会计师事务所有限责任公司审计，截至2010年12月31日，该公司总资产10,826.58万元，</w:t>
      </w:r>
      <w:r>
        <w:rPr>
          <w:spacing w:val="2"/>
        </w:rPr>
        <w:t> </w:t>
      </w:r>
      <w:r>
        <w:rPr/>
        <w:t>净资产5,941.42万元，2010年实现营业收入7,096.93万元。</w:t>
      </w:r>
    </w:p>
    <w:p>
      <w:pPr>
        <w:pStyle w:val="Heading3"/>
        <w:spacing w:line="240" w:lineRule="auto" w:before="30"/>
        <w:ind w:left="527" w:right="118"/>
        <w:jc w:val="left"/>
        <w:rPr>
          <w:b w:val="0"/>
          <w:bCs w:val="0"/>
        </w:rPr>
      </w:pPr>
      <w:r>
        <w:rPr/>
        <w:t>（5）北京石基昆仑软件有限公司</w:t>
      </w:r>
      <w:r>
        <w:rPr>
          <w:b w:val="0"/>
          <w:bCs w:val="0"/>
        </w:rPr>
      </w:r>
    </w:p>
    <w:p>
      <w:pPr>
        <w:spacing w:after="0" w:line="240" w:lineRule="auto"/>
        <w:jc w:val="left"/>
        <w:sectPr>
          <w:pgSz w:w="11910" w:h="16840"/>
          <w:pgMar w:header="851" w:footer="982" w:top="1200" w:bottom="1180" w:left="1020" w:right="1000"/>
        </w:sectPr>
      </w:pPr>
    </w:p>
    <w:p>
      <w:pPr>
        <w:pStyle w:val="BodyText"/>
        <w:spacing w:line="355" w:lineRule="auto" w:before="32"/>
        <w:ind w:left="214" w:right="148" w:firstLine="420"/>
        <w:jc w:val="left"/>
      </w:pPr>
      <w:r>
        <w:rPr/>
        <w:pict>
          <v:group style="position:absolute;margin-left:55.200001pt;margin-top:2.943948pt;width:484.95pt;height:.1pt;mso-position-horizontal-relative:page;mso-position-vertical-relative:paragraph;z-index:-709720" coordorigin="1104,59" coordsize="9699,2">
            <v:shape style="position:absolute;left:1104;top:59;width:9699;height:2" coordorigin="1104,59" coordsize="9699,0" path="m1104,59l10802,59e" filled="false" stroked="true" strokeweight=".72pt" strokecolor="#000000">
              <v:path arrowok="t"/>
            </v:shape>
            <w10:wrap type="none"/>
          </v:group>
        </w:pict>
      </w:r>
      <w:r>
        <w:rPr/>
        <w:t>石基昆仑软件有限公司为本公司控股子公司。成立于</w:t>
      </w:r>
      <w:r>
        <w:rPr>
          <w:spacing w:val="-44"/>
        </w:rPr>
        <w:t> </w:t>
      </w:r>
      <w:r>
        <w:rPr/>
        <w:t>2005</w:t>
      </w:r>
      <w:r>
        <w:rPr>
          <w:spacing w:val="-45"/>
        </w:rPr>
        <w:t> </w:t>
      </w:r>
      <w:r>
        <w:rPr/>
        <w:t>年</w:t>
      </w:r>
      <w:r>
        <w:rPr>
          <w:spacing w:val="-44"/>
        </w:rPr>
        <w:t> </w:t>
      </w:r>
      <w:r>
        <w:rPr/>
        <w:t>8</w:t>
      </w:r>
      <w:r>
        <w:rPr>
          <w:spacing w:val="-44"/>
        </w:rPr>
        <w:t> </w:t>
      </w:r>
      <w:r>
        <w:rPr/>
        <w:t>月</w:t>
      </w:r>
      <w:r>
        <w:rPr>
          <w:spacing w:val="-44"/>
        </w:rPr>
        <w:t> </w:t>
      </w:r>
      <w:r>
        <w:rPr/>
        <w:t>9</w:t>
      </w:r>
      <w:r>
        <w:rPr>
          <w:spacing w:val="-44"/>
        </w:rPr>
        <w:t> </w:t>
      </w:r>
      <w:r>
        <w:rPr/>
        <w:t>日，注册资本</w:t>
      </w:r>
      <w:r>
        <w:rPr>
          <w:spacing w:val="-44"/>
        </w:rPr>
        <w:t> </w:t>
      </w:r>
      <w:r>
        <w:rPr/>
        <w:t>428</w:t>
      </w:r>
      <w:r>
        <w:rPr>
          <w:spacing w:val="-44"/>
        </w:rPr>
        <w:t> </w:t>
      </w:r>
      <w:r>
        <w:rPr/>
        <w:t>万元。本公司</w:t>
      </w:r>
      <w:r>
        <w:rPr/>
        <w:t> 持有石基昆仑</w:t>
      </w:r>
      <w:r>
        <w:rPr>
          <w:spacing w:val="-55"/>
        </w:rPr>
        <w:t> </w:t>
      </w:r>
      <w:r>
        <w:rPr/>
        <w:t>82.42%的股权。</w:t>
      </w:r>
    </w:p>
    <w:p>
      <w:pPr>
        <w:pStyle w:val="BodyText"/>
        <w:spacing w:line="240" w:lineRule="auto" w:before="33"/>
        <w:ind w:left="634" w:right="0"/>
        <w:jc w:val="left"/>
      </w:pPr>
      <w:r>
        <w:rPr/>
        <w:t>石基昆仑的主要业务开发和实施酒店</w:t>
      </w:r>
      <w:r>
        <w:rPr>
          <w:spacing w:val="-12"/>
        </w:rPr>
        <w:t> </w:t>
      </w:r>
      <w:r>
        <w:rPr/>
        <w:t>CRM（</w:t>
      </w:r>
      <w:r>
        <w:rPr>
          <w:spacing w:val="-2"/>
        </w:rPr>
        <w:t>客</w:t>
      </w:r>
      <w:r>
        <w:rPr/>
        <w:t>户关系管理系统</w:t>
      </w:r>
      <w:r>
        <w:rPr>
          <w:spacing w:val="-105"/>
        </w:rPr>
        <w:t>）</w:t>
      </w:r>
      <w:r>
        <w:rPr/>
        <w:t>、LPS（会员积分和管理系统）和</w:t>
      </w:r>
      <w:r>
        <w:rPr>
          <w:spacing w:val="-12"/>
        </w:rPr>
        <w:t> </w:t>
      </w:r>
      <w:r>
        <w:rPr/>
        <w:t>CRS</w:t>
      </w:r>
    </w:p>
    <w:p>
      <w:pPr>
        <w:pStyle w:val="BodyText"/>
        <w:spacing w:line="357" w:lineRule="auto" w:before="133"/>
        <w:ind w:left="633" w:right="0" w:hanging="420"/>
        <w:jc w:val="left"/>
      </w:pPr>
      <w:r>
        <w:rPr>
          <w:spacing w:val="-4"/>
        </w:rPr>
        <w:t>（集团酒店中央预订系统），配合石基数字酒店信息系统提供中国本地酒店集团化解决方案。</w:t>
      </w:r>
      <w:r>
        <w:rPr>
          <w:spacing w:val="-76"/>
        </w:rPr>
        <w:t> </w:t>
      </w:r>
      <w:r>
        <w:rPr>
          <w:spacing w:val="-76"/>
        </w:rPr>
      </w:r>
      <w:r>
        <w:rPr>
          <w:spacing w:val="-1"/>
        </w:rPr>
        <w:t>经武汉众环会计师事务所有限责任公司审计，截至2010年12月31日，该公司总资产1,525.72万元，净</w:t>
      </w:r>
    </w:p>
    <w:p>
      <w:pPr>
        <w:pStyle w:val="BodyText"/>
        <w:spacing w:line="240" w:lineRule="auto" w:before="30"/>
        <w:ind w:left="213" w:right="0"/>
        <w:jc w:val="left"/>
      </w:pPr>
      <w:r>
        <w:rPr/>
        <w:t>资产1,293.91万元，2010年实现营业收入1,015.66万元。</w:t>
      </w:r>
    </w:p>
    <w:p>
      <w:pPr>
        <w:spacing w:line="355" w:lineRule="auto" w:before="134"/>
        <w:ind w:left="633" w:right="0" w:firstLine="119"/>
        <w:jc w:val="left"/>
        <w:rPr>
          <w:rFonts w:ascii="宋体" w:hAnsi="宋体" w:cs="宋体" w:eastAsia="宋体" w:hint="default"/>
          <w:sz w:val="21"/>
          <w:szCs w:val="21"/>
        </w:rPr>
      </w:pPr>
      <w:r>
        <w:rPr>
          <w:rFonts w:ascii="宋体" w:hAnsi="宋体" w:cs="宋体" w:eastAsia="宋体" w:hint="default"/>
          <w:b/>
          <w:bCs/>
          <w:sz w:val="21"/>
          <w:szCs w:val="21"/>
        </w:rPr>
        <w:t>（6）焦点信息技术（香港）有限公司</w:t>
      </w:r>
      <w:r>
        <w:rPr>
          <w:rFonts w:ascii="宋体" w:hAnsi="宋体" w:cs="宋体" w:eastAsia="宋体" w:hint="default"/>
          <w:b/>
          <w:bCs/>
          <w:w w:val="99"/>
          <w:sz w:val="21"/>
          <w:szCs w:val="21"/>
        </w:rPr>
        <w:t> </w:t>
      </w:r>
      <w:r>
        <w:rPr>
          <w:rFonts w:ascii="宋体" w:hAnsi="宋体" w:cs="宋体" w:eastAsia="宋体" w:hint="default"/>
          <w:sz w:val="21"/>
          <w:szCs w:val="21"/>
        </w:rPr>
        <w:t>焦点信息技术（香港）有限公司为本公司的全资子公司，注册资本3500</w:t>
      </w:r>
      <w:r>
        <w:rPr>
          <w:rFonts w:ascii="宋体" w:hAnsi="宋体" w:cs="宋体" w:eastAsia="宋体" w:hint="default"/>
          <w:spacing w:val="69"/>
          <w:sz w:val="21"/>
          <w:szCs w:val="21"/>
        </w:rPr>
        <w:t> </w:t>
      </w:r>
      <w:r>
        <w:rPr>
          <w:rFonts w:ascii="宋体" w:hAnsi="宋体" w:cs="宋体" w:eastAsia="宋体" w:hint="default"/>
          <w:sz w:val="21"/>
          <w:szCs w:val="21"/>
        </w:rPr>
        <w:t>万元港币，2007年10月17日</w:t>
      </w:r>
    </w:p>
    <w:p>
      <w:pPr>
        <w:pStyle w:val="BodyText"/>
        <w:spacing w:line="357" w:lineRule="auto" w:before="32"/>
        <w:ind w:left="633" w:right="0" w:hanging="420"/>
        <w:jc w:val="left"/>
      </w:pPr>
      <w:r>
        <w:rPr/>
        <w:t>在中国香港成立，主要从事酒店及餐饮信息管理系统经营或相关投资业务。 经武汉众环会计师事务所有限责任公司审计，截至2010年12月31日，该公司总资产11,074.35万元，</w:t>
      </w:r>
    </w:p>
    <w:p>
      <w:pPr>
        <w:pStyle w:val="BodyText"/>
        <w:spacing w:line="240" w:lineRule="auto" w:before="30"/>
        <w:ind w:left="213" w:right="0"/>
        <w:jc w:val="left"/>
      </w:pPr>
      <w:r>
        <w:rPr/>
        <w:t>净资产8,624.83万元，2010年实现营业收入10,710.05万元。</w:t>
      </w:r>
    </w:p>
    <w:p>
      <w:pPr>
        <w:spacing w:line="355" w:lineRule="auto" w:before="134"/>
        <w:ind w:left="633" w:right="111" w:firstLine="2"/>
        <w:jc w:val="left"/>
        <w:rPr>
          <w:rFonts w:ascii="宋体" w:hAnsi="宋体" w:cs="宋体" w:eastAsia="宋体" w:hint="default"/>
          <w:sz w:val="21"/>
          <w:szCs w:val="21"/>
        </w:rPr>
      </w:pPr>
      <w:r>
        <w:rPr>
          <w:rFonts w:ascii="宋体" w:hAnsi="宋体" w:cs="宋体" w:eastAsia="宋体" w:hint="default"/>
          <w:b/>
          <w:bCs/>
          <w:sz w:val="21"/>
          <w:szCs w:val="21"/>
        </w:rPr>
        <w:t>（7）南京银石计算机系统有限公司</w:t>
      </w:r>
      <w:r>
        <w:rPr>
          <w:rFonts w:ascii="宋体" w:hAnsi="宋体" w:cs="宋体" w:eastAsia="宋体" w:hint="default"/>
          <w:b/>
          <w:bCs/>
          <w:w w:val="99"/>
          <w:sz w:val="21"/>
          <w:szCs w:val="21"/>
        </w:rPr>
        <w:t> </w:t>
      </w:r>
      <w:r>
        <w:rPr>
          <w:rFonts w:ascii="宋体" w:hAnsi="宋体" w:cs="宋体" w:eastAsia="宋体" w:hint="default"/>
          <w:sz w:val="21"/>
          <w:szCs w:val="21"/>
        </w:rPr>
        <w:t>南京银石计算机系统有限公司为本公司全资子公司，成立于1999年9月，注册资本3,000万元人民币，</w:t>
      </w:r>
    </w:p>
    <w:p>
      <w:pPr>
        <w:pStyle w:val="BodyText"/>
        <w:spacing w:line="355" w:lineRule="auto" w:before="33"/>
        <w:ind w:left="213" w:right="150"/>
        <w:jc w:val="left"/>
      </w:pPr>
      <w:r>
        <w:rPr>
          <w:spacing w:val="-1"/>
        </w:rPr>
        <w:t>主要产品为：银行卡收银一体化软件（SOFTPOS）、储值卡系统（E-PAY）和银行前端系统软件，还有配套</w:t>
      </w:r>
      <w:r>
        <w:rPr>
          <w:spacing w:val="-96"/>
        </w:rPr>
        <w:t> </w:t>
      </w:r>
      <w:r>
        <w:rPr>
          <w:spacing w:val="-96"/>
        </w:rPr>
      </w:r>
      <w:r>
        <w:rPr/>
        <w:t>的硬件产品SS-001、SS-101密码键盘系列。</w:t>
      </w:r>
    </w:p>
    <w:p>
      <w:pPr>
        <w:pStyle w:val="BodyText"/>
        <w:spacing w:line="357" w:lineRule="auto" w:before="32"/>
        <w:ind w:left="213" w:right="0" w:firstLine="420"/>
        <w:jc w:val="left"/>
      </w:pPr>
      <w:r>
        <w:rPr>
          <w:spacing w:val="-1"/>
        </w:rPr>
        <w:t>经武汉众环会计师事务所有限责任公司审计，截至2010年12月31日，该公司总资产6,766.52万元，净</w:t>
      </w:r>
      <w:r>
        <w:rPr/>
        <w:t> 资产4,712.07万元，2010年实现营业收入3,136.35万元。</w:t>
      </w:r>
    </w:p>
    <w:p>
      <w:pPr>
        <w:spacing w:line="240" w:lineRule="auto" w:before="9"/>
        <w:rPr>
          <w:rFonts w:ascii="宋体" w:hAnsi="宋体" w:cs="宋体" w:eastAsia="宋体" w:hint="default"/>
          <w:sz w:val="23"/>
          <w:szCs w:val="23"/>
        </w:rPr>
      </w:pPr>
    </w:p>
    <w:p>
      <w:pPr>
        <w:pStyle w:val="Heading3"/>
        <w:spacing w:line="240" w:lineRule="auto"/>
        <w:ind w:left="636" w:right="0"/>
        <w:jc w:val="left"/>
        <w:rPr>
          <w:b w:val="0"/>
          <w:bCs w:val="0"/>
        </w:rPr>
      </w:pPr>
      <w:r>
        <w:rPr/>
        <w:t>6、偿债能力分析</w:t>
      </w:r>
      <w:r>
        <w:rPr>
          <w:b w:val="0"/>
          <w:bCs w:val="0"/>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459"/>
        <w:gridCol w:w="2755"/>
        <w:gridCol w:w="2755"/>
        <w:gridCol w:w="2755"/>
      </w:tblGrid>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2010年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2008年</w:t>
            </w:r>
          </w:p>
        </w:tc>
      </w:tr>
      <w:tr>
        <w:trPr>
          <w:trHeight w:val="311"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4.44</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4.7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5.1</w:t>
            </w:r>
          </w:p>
        </w:tc>
      </w:tr>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4.22</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4.65</w:t>
            </w:r>
          </w:p>
        </w:tc>
      </w:tr>
      <w:tr>
        <w:trPr>
          <w:trHeight w:val="311"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15.35%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14.25%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13.26%</w:t>
            </w:r>
          </w:p>
        </w:tc>
      </w:tr>
    </w:tbl>
    <w:p>
      <w:pPr>
        <w:pStyle w:val="BodyText"/>
        <w:spacing w:line="241" w:lineRule="exact"/>
        <w:ind w:left="634" w:right="0"/>
        <w:jc w:val="left"/>
      </w:pPr>
      <w:r>
        <w:rPr/>
        <w:t>（1）公司期末现金资产占全部资产的</w:t>
      </w:r>
      <w:r>
        <w:rPr>
          <w:spacing w:val="-57"/>
        </w:rPr>
        <w:t> </w:t>
      </w:r>
      <w:r>
        <w:rPr/>
        <w:t>45.93%，短期偿债能力良好；</w:t>
      </w:r>
    </w:p>
    <w:p>
      <w:pPr>
        <w:spacing w:line="602" w:lineRule="auto" w:before="133"/>
        <w:ind w:left="636" w:right="3738" w:hanging="3"/>
        <w:jc w:val="left"/>
        <w:rPr>
          <w:rFonts w:ascii="宋体" w:hAnsi="宋体" w:cs="宋体" w:eastAsia="宋体" w:hint="default"/>
          <w:sz w:val="21"/>
          <w:szCs w:val="21"/>
        </w:rPr>
      </w:pPr>
      <w:r>
        <w:rPr/>
        <w:pict>
          <v:shape style="position:absolute;margin-left:51.060001pt;margin-top:63.222466pt;width:487pt;height:47.0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8"/>
                    <w:gridCol w:w="2066"/>
                    <w:gridCol w:w="2755"/>
                    <w:gridCol w:w="2755"/>
                  </w:tblGrid>
                  <w:tr>
                    <w:trPr>
                      <w:trHeight w:val="310" w:hRule="exact"/>
                    </w:trPr>
                    <w:tc>
                      <w:tcPr>
                        <w:tcW w:w="2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2010年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2008年</w:t>
                        </w:r>
                      </w:p>
                    </w:tc>
                  </w:tr>
                  <w:tr>
                    <w:trPr>
                      <w:trHeight w:val="310" w:hRule="exact"/>
                    </w:trPr>
                    <w:tc>
                      <w:tcPr>
                        <w:tcW w:w="2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5.50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pacing w:val="-1"/>
                            <w:sz w:val="21"/>
                          </w:rPr>
                          <w:t>5.3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6.59</w:t>
                        </w:r>
                      </w:p>
                    </w:tc>
                  </w:tr>
                  <w:tr>
                    <w:trPr>
                      <w:trHeight w:val="311" w:hRule="exact"/>
                    </w:trPr>
                    <w:tc>
                      <w:tcPr>
                        <w:tcW w:w="2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3.28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2.28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3.83</w:t>
                        </w:r>
                      </w:p>
                    </w:tc>
                  </w:tr>
                </w:tbl>
                <w:p>
                  <w:pPr/>
                </w:p>
              </w:txbxContent>
            </v:textbox>
            <w10:wrap type="none"/>
          </v:shape>
        </w:pict>
      </w:r>
      <w:r>
        <w:rPr>
          <w:rFonts w:ascii="宋体" w:hAnsi="宋体" w:cs="宋体" w:eastAsia="宋体" w:hint="default"/>
          <w:sz w:val="21"/>
          <w:szCs w:val="21"/>
        </w:rPr>
        <w:t>（2）公司本年度资产负债率为</w:t>
      </w:r>
      <w:r>
        <w:rPr>
          <w:rFonts w:ascii="宋体" w:hAnsi="宋体" w:cs="宋体" w:eastAsia="宋体" w:hint="default"/>
          <w:spacing w:val="-57"/>
          <w:sz w:val="21"/>
          <w:szCs w:val="21"/>
        </w:rPr>
        <w:t> </w:t>
      </w:r>
      <w:r>
        <w:rPr>
          <w:rFonts w:ascii="宋体" w:hAnsi="宋体" w:cs="宋体" w:eastAsia="宋体" w:hint="default"/>
          <w:sz w:val="21"/>
          <w:szCs w:val="21"/>
        </w:rPr>
        <w:t>15.35%，长期偿债能力良好；</w:t>
      </w:r>
      <w:r>
        <w:rPr>
          <w:rFonts w:ascii="宋体" w:hAnsi="宋体" w:cs="宋体" w:eastAsia="宋体" w:hint="default"/>
          <w:sz w:val="21"/>
          <w:szCs w:val="21"/>
        </w:rPr>
        <w:t> </w:t>
      </w:r>
      <w:r>
        <w:rPr>
          <w:rFonts w:ascii="宋体" w:hAnsi="宋体" w:cs="宋体" w:eastAsia="宋体" w:hint="default"/>
          <w:b/>
          <w:bCs/>
          <w:sz w:val="21"/>
          <w:szCs w:val="21"/>
        </w:rPr>
        <w:t>7、资产营运能力分析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before="35"/>
        <w:ind w:left="634" w:right="0"/>
        <w:jc w:val="left"/>
      </w:pPr>
      <w:r>
        <w:rPr/>
        <w:t>（1）公司加大销售回款力度,资金回收速度加快,应收帐款周转率稳步提升；</w:t>
      </w:r>
    </w:p>
    <w:p>
      <w:pPr>
        <w:pStyle w:val="BodyText"/>
        <w:spacing w:line="357" w:lineRule="auto" w:before="133"/>
        <w:ind w:left="214" w:right="110" w:firstLine="420"/>
        <w:jc w:val="left"/>
      </w:pPr>
      <w:r>
        <w:rPr/>
        <w:t>（2）存货资产主要是公司在报告期末已开工而未完工的系统集成项目所投入的相关硬件产品，每年 报告期末的存货资产金额与当时已开工而未完工的系统集成项目数量（及规模）有关，有一定的偶然性， 公司存货周转率有所增长，主要是公司同期在建系统集成项目减少引起。</w:t>
      </w:r>
    </w:p>
    <w:p>
      <w:pPr>
        <w:spacing w:line="240" w:lineRule="auto" w:before="9"/>
        <w:rPr>
          <w:rFonts w:ascii="宋体" w:hAnsi="宋体" w:cs="宋体" w:eastAsia="宋体" w:hint="default"/>
          <w:sz w:val="23"/>
          <w:szCs w:val="23"/>
        </w:rPr>
      </w:pPr>
    </w:p>
    <w:p>
      <w:pPr>
        <w:pStyle w:val="Heading3"/>
        <w:spacing w:line="240" w:lineRule="auto"/>
        <w:ind w:left="636" w:right="0"/>
        <w:jc w:val="left"/>
        <w:rPr>
          <w:b w:val="0"/>
          <w:bCs w:val="0"/>
        </w:rPr>
      </w:pPr>
      <w:r>
        <w:rPr/>
        <w:t>8、研发情况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028"/>
        <w:gridCol w:w="2186"/>
        <w:gridCol w:w="2755"/>
        <w:gridCol w:w="2755"/>
      </w:tblGrid>
      <w:tr>
        <w:trPr>
          <w:trHeight w:val="379" w:hRule="exact"/>
        </w:trPr>
        <w:tc>
          <w:tcPr>
            <w:tcW w:w="2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2010年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2008年</w:t>
            </w:r>
          </w:p>
        </w:tc>
      </w:tr>
    </w:tbl>
    <w:p>
      <w:pPr>
        <w:spacing w:after="0" w:line="240" w:lineRule="auto"/>
        <w:jc w:val="center"/>
        <w:rPr>
          <w:rFonts w:ascii="宋体" w:hAnsi="宋体" w:cs="宋体" w:eastAsia="宋体" w:hint="default"/>
          <w:sz w:val="21"/>
          <w:szCs w:val="21"/>
        </w:rPr>
        <w:sectPr>
          <w:pgSz w:w="11910" w:h="16840"/>
          <w:pgMar w:header="851" w:footer="982" w:top="1200" w:bottom="1180" w:left="920" w:right="980"/>
        </w:sectPr>
      </w:pPr>
    </w:p>
    <w:p>
      <w:pPr>
        <w:spacing w:line="240" w:lineRule="auto" w:before="13"/>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2028"/>
        <w:gridCol w:w="2186"/>
        <w:gridCol w:w="2755"/>
        <w:gridCol w:w="2755"/>
      </w:tblGrid>
      <w:tr>
        <w:trPr>
          <w:trHeight w:val="385" w:hRule="exact"/>
        </w:trPr>
        <w:tc>
          <w:tcPr>
            <w:tcW w:w="202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研发支出总额</w:t>
            </w:r>
          </w:p>
        </w:tc>
        <w:tc>
          <w:tcPr>
            <w:tcW w:w="21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50,581,028.88</w:t>
            </w:r>
            <w:r>
              <w:rPr>
                <w:rFonts w:ascii="宋体"/>
                <w:sz w:val="21"/>
              </w:rPr>
            </w:r>
          </w:p>
        </w:tc>
        <w:tc>
          <w:tcPr>
            <w:tcW w:w="27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54,101,941.95</w:t>
            </w:r>
            <w:r>
              <w:rPr>
                <w:rFonts w:ascii="宋体"/>
                <w:sz w:val="21"/>
              </w:rPr>
            </w:r>
          </w:p>
        </w:tc>
        <w:tc>
          <w:tcPr>
            <w:tcW w:w="27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21"/>
                <w:szCs w:val="21"/>
              </w:rPr>
            </w:pPr>
            <w:r>
              <w:rPr>
                <w:rFonts w:ascii="宋体"/>
                <w:spacing w:val="-1"/>
                <w:sz w:val="21"/>
              </w:rPr>
              <w:t>41,946,353.52</w:t>
            </w:r>
            <w:r>
              <w:rPr>
                <w:rFonts w:ascii="宋体"/>
                <w:sz w:val="21"/>
              </w:rPr>
            </w:r>
          </w:p>
        </w:tc>
      </w:tr>
      <w:tr>
        <w:trPr>
          <w:trHeight w:val="379"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w w:val="95"/>
                <w:sz w:val="21"/>
              </w:rPr>
              <w:t>8.29%</w:t>
            </w:r>
            <w:r>
              <w:rPr>
                <w:rFonts w:ascii="宋体"/>
                <w:w w:val="95"/>
                <w:sz w:val="21"/>
              </w:rPr>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13.31%</w:t>
            </w:r>
            <w:r>
              <w:rPr>
                <w:rFonts w:ascii="宋体"/>
                <w:sz w:val="21"/>
              </w:rPr>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9.47%</w:t>
            </w:r>
            <w:r>
              <w:rPr>
                <w:rFonts w:ascii="宋体"/>
                <w:sz w:val="21"/>
              </w:rPr>
            </w:r>
          </w:p>
        </w:tc>
      </w:tr>
    </w:tbl>
    <w:p>
      <w:pPr>
        <w:pStyle w:val="BodyText"/>
        <w:spacing w:line="241" w:lineRule="exact"/>
        <w:ind w:left="625" w:right="102"/>
        <w:jc w:val="left"/>
      </w:pPr>
      <w:r>
        <w:rPr/>
        <w:t>（1）公司研发费用主要用于自有软件产品的更新和新产品的研发。</w:t>
      </w:r>
    </w:p>
    <w:p>
      <w:pPr>
        <w:pStyle w:val="BodyText"/>
        <w:spacing w:line="240" w:lineRule="auto" w:before="133"/>
        <w:ind w:left="625" w:right="102"/>
        <w:jc w:val="left"/>
      </w:pPr>
      <w:r>
        <w:rPr/>
        <w:t>（2）2010年资本化金额为387.08万元，2009年资本化金额1,358.76万元。</w:t>
      </w:r>
    </w:p>
    <w:p>
      <w:pPr>
        <w:spacing w:line="240" w:lineRule="auto" w:before="0"/>
        <w:rPr>
          <w:rFonts w:ascii="宋体" w:hAnsi="宋体" w:cs="宋体" w:eastAsia="宋体" w:hint="default"/>
          <w:sz w:val="20"/>
          <w:szCs w:val="20"/>
        </w:rPr>
      </w:pPr>
    </w:p>
    <w:p>
      <w:pPr>
        <w:pStyle w:val="Heading3"/>
        <w:spacing w:line="240" w:lineRule="auto" w:before="153"/>
        <w:ind w:left="626" w:right="102"/>
        <w:jc w:val="left"/>
        <w:rPr>
          <w:b w:val="0"/>
          <w:bCs w:val="0"/>
        </w:rPr>
      </w:pPr>
      <w:r>
        <w:rPr/>
        <w:t>（三）</w:t>
      </w:r>
      <w:r>
        <w:rPr>
          <w:spacing w:val="-14"/>
        </w:rPr>
        <w:t> </w:t>
      </w:r>
      <w:r>
        <w:rPr/>
        <w:t>对公司未来发展的展望及重大风险情况分析</w:t>
      </w:r>
      <w:r>
        <w:rPr>
          <w:b w:val="0"/>
          <w:bCs w:val="0"/>
        </w:rPr>
      </w:r>
    </w:p>
    <w:p>
      <w:pPr>
        <w:spacing w:line="240" w:lineRule="auto" w:before="0"/>
        <w:rPr>
          <w:rFonts w:ascii="宋体" w:hAnsi="宋体" w:cs="宋体" w:eastAsia="宋体" w:hint="default"/>
          <w:b/>
          <w:bCs/>
          <w:sz w:val="20"/>
          <w:szCs w:val="20"/>
        </w:rPr>
      </w:pPr>
    </w:p>
    <w:p>
      <w:pPr>
        <w:spacing w:line="355" w:lineRule="auto" w:before="151"/>
        <w:ind w:left="625" w:right="102" w:firstLine="1"/>
        <w:jc w:val="left"/>
        <w:rPr>
          <w:rFonts w:ascii="宋体" w:hAnsi="宋体" w:cs="宋体" w:eastAsia="宋体" w:hint="default"/>
          <w:sz w:val="21"/>
          <w:szCs w:val="21"/>
        </w:rPr>
      </w:pPr>
      <w:r>
        <w:rPr>
          <w:rFonts w:ascii="宋体" w:hAnsi="宋体" w:cs="宋体" w:eastAsia="宋体" w:hint="default"/>
          <w:b/>
          <w:bCs/>
          <w:sz w:val="21"/>
          <w:szCs w:val="21"/>
        </w:rPr>
        <w:t>1、公司所处行业的发展趋势及面临的市场竞争格局</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在经历了2009年的历史低点之后，我国旅游酒店业在2010年迎来了复苏的阶段，在政策刺激、世博会</w:t>
      </w:r>
    </w:p>
    <w:p>
      <w:pPr>
        <w:pStyle w:val="BodyText"/>
        <w:spacing w:line="357" w:lineRule="auto" w:before="33"/>
        <w:ind w:left="213" w:right="102"/>
        <w:jc w:val="left"/>
      </w:pPr>
      <w:r>
        <w:rPr/>
        <w:t>等重大利好的推动下，行业逐渐步入上升轨道。从国内经济发展阶段来看，我国2010年人均GDP已经超过</w:t>
      </w:r>
      <w:r>
        <w:rPr>
          <w:spacing w:val="-1"/>
        </w:rPr>
        <w:t> </w:t>
      </w:r>
      <w:r>
        <w:rPr/>
        <w:t>4000美元，国内居民消费结构和消费层次将进行调整：生存性消费的比重逐步下降，发展型、享受型消费</w:t>
      </w:r>
      <w:r>
        <w:rPr/>
        <w:t> 比重不断上升，在旅游消费升级的过程中，公司所服务的旅游酒店行业将迎来新的发展阶段；其次，高铁 时代的来临，催生了区域旅游的新热点，加大了出游的便捷性，进一步带动区域旅游资源的整合，使得一 些旅游资源丰富的内陆地区因此产生新建酒店的需求；从国家产业政策来看，目前国家旅游局已经进入全 </w:t>
      </w:r>
      <w:r>
        <w:rPr>
          <w:spacing w:val="-3"/>
        </w:rPr>
        <w:t>国旅游业发展“十二五”规划的编制时期，随着我国居民消费升级、旅游消费大众化、多元化时代的到来，</w:t>
      </w:r>
      <w:r>
        <w:rPr>
          <w:spacing w:val="-94"/>
        </w:rPr>
        <w:t> </w:t>
      </w:r>
      <w:r>
        <w:rPr>
          <w:spacing w:val="-94"/>
        </w:rPr>
      </w:r>
      <w:r>
        <w:rPr/>
        <w:t>“十二五”时期，我国旅游酒店业将处于高速增长的新阶段，国内旅游成为产业发展的基础。因此，在国</w:t>
      </w:r>
      <w:r>
        <w:rPr/>
        <w:t> 内经济复苏、消费结构升级以及产业政策支持等方面的带动下，今后的酒店信息系统项目建设及相关业务 将具有良好的发展空间。</w:t>
      </w:r>
    </w:p>
    <w:p>
      <w:pPr>
        <w:pStyle w:val="BodyText"/>
        <w:spacing w:line="357" w:lineRule="auto" w:before="31"/>
        <w:ind w:left="213" w:right="102" w:firstLine="411"/>
        <w:jc w:val="left"/>
      </w:pPr>
      <w:r>
        <w:rPr/>
        <w:t>然而在目前国内已有的星级酒店中，连锁酒店仅占10%左右，国际连锁酒店数量更少，大部分是管理 </w:t>
      </w:r>
      <w:r>
        <w:rPr>
          <w:spacing w:val="-3"/>
        </w:rPr>
        <w:t>水平较低的单体酒店，无论是星级酒店数量还是质量均远远不能满足高速发展的中国旅游业的需求。同时，</w:t>
      </w:r>
      <w:r>
        <w:rPr>
          <w:spacing w:val="-92"/>
        </w:rPr>
        <w:t> </w:t>
      </w:r>
      <w:r>
        <w:rPr>
          <w:spacing w:val="-92"/>
        </w:rPr>
      </w:r>
      <w:r>
        <w:rPr/>
        <w:t>单个酒店的信息化深度也有待于进一步提升。因此，经营连锁化、运营信息化是我国旅游酒店业提升服务</w:t>
      </w:r>
      <w:r>
        <w:rPr/>
        <w:t> 质量、提高经营效益的必由之路，也是我国旅游酒店业近几年的发展趋势，经营连锁化、运营信息化必然 对酒店的信息管理系统提出更高的技术先进性、运行可靠性、系统扩展性（接口通用性）要求。无疑，本 公司产品与服务在上述各方面相比于竞争对手具有显著的优势，行业与市场的发展将有利于本公司各项竞 争优势的充分发挥。</w:t>
      </w:r>
    </w:p>
    <w:p>
      <w:pPr>
        <w:spacing w:line="355" w:lineRule="auto" w:before="31"/>
        <w:ind w:left="633" w:right="102" w:firstLine="119"/>
        <w:jc w:val="left"/>
        <w:rPr>
          <w:rFonts w:ascii="宋体" w:hAnsi="宋体" w:cs="宋体" w:eastAsia="宋体" w:hint="default"/>
          <w:sz w:val="21"/>
          <w:szCs w:val="21"/>
        </w:rPr>
      </w:pPr>
      <w:r>
        <w:rPr>
          <w:rFonts w:ascii="宋体" w:hAnsi="宋体" w:cs="宋体" w:eastAsia="宋体" w:hint="default"/>
          <w:b/>
          <w:bCs/>
          <w:sz w:val="21"/>
          <w:szCs w:val="21"/>
        </w:rPr>
        <w:t>2、公司近几年发展规划</w:t>
      </w:r>
      <w:r>
        <w:rPr>
          <w:rFonts w:ascii="宋体" w:hAnsi="宋体" w:cs="宋体" w:eastAsia="宋体" w:hint="default"/>
          <w:b/>
          <w:bCs/>
          <w:w w:val="99"/>
          <w:sz w:val="21"/>
          <w:szCs w:val="21"/>
        </w:rPr>
        <w:t> </w:t>
      </w:r>
      <w:r>
        <w:rPr>
          <w:rFonts w:ascii="宋体" w:hAnsi="宋体" w:cs="宋体" w:eastAsia="宋体" w:hint="default"/>
          <w:spacing w:val="-1"/>
          <w:sz w:val="21"/>
          <w:szCs w:val="21"/>
        </w:rPr>
        <w:t>在未来的两年中，公司将继续专注于酒店信息系统业务，加大新一代酒店信息管理系统研发投入，加</w:t>
      </w:r>
    </w:p>
    <w:p>
      <w:pPr>
        <w:pStyle w:val="BodyText"/>
        <w:spacing w:line="357" w:lineRule="auto" w:before="32"/>
        <w:ind w:left="213" w:right="188"/>
        <w:jc w:val="both"/>
      </w:pPr>
      <w:r>
        <w:rPr/>
        <w:t>速公司内部各子公司产品的研发整合，成立国内一流的与国际接轨的酒店信息管理系统研究与开发中心， </w:t>
      </w:r>
      <w:r>
        <w:rPr>
          <w:spacing w:val="-1"/>
        </w:rPr>
        <w:t>通过技术、产品和服务创新进一步巩固公司在酒店信息管理系统的领导地位，使公司在目前快速发展的以</w:t>
      </w:r>
      <w:r>
        <w:rPr>
          <w:spacing w:val="-81"/>
        </w:rPr>
        <w:t> </w:t>
      </w:r>
      <w:r>
        <w:rPr>
          <w:spacing w:val="-81"/>
        </w:rPr>
      </w:r>
      <w:r>
        <w:rPr/>
        <w:t>云计算为代表的新一代系统变迁中能够继续领导中国酒店信息系统的发展。</w:t>
      </w:r>
    </w:p>
    <w:p>
      <w:pPr>
        <w:pStyle w:val="BodyText"/>
        <w:spacing w:line="357" w:lineRule="auto" w:before="31"/>
        <w:ind w:left="213" w:right="209" w:firstLine="420"/>
        <w:jc w:val="both"/>
      </w:pPr>
      <w:r>
        <w:rPr>
          <w:spacing w:val="-1"/>
        </w:rPr>
        <w:t>基于公司在酒店信息管理系统中强大的市场地位，公司将积极发展能够与酒店信息管理系统紧密相关</w:t>
      </w:r>
      <w:r>
        <w:rPr/>
        <w:t> </w:t>
      </w:r>
      <w:r>
        <w:rPr>
          <w:spacing w:val="-1"/>
        </w:rPr>
        <w:t>的或有共同的管理模式和经营特点的其它业务，使得公司的核心竞争力和控制力能够得到适当的延伸并产</w:t>
      </w:r>
      <w:r>
        <w:rPr>
          <w:spacing w:val="-81"/>
        </w:rPr>
        <w:t> </w:t>
      </w:r>
      <w:r>
        <w:rPr>
          <w:spacing w:val="-81"/>
        </w:rPr>
      </w:r>
      <w:r>
        <w:rPr>
          <w:spacing w:val="-1"/>
        </w:rPr>
        <w:t>生一定的协同效应。公司将继续坚定不移地按计划推进畅联业务，使之成为中国最主要的酒店在线分销处</w:t>
      </w:r>
      <w:r>
        <w:rPr>
          <w:spacing w:val="-81"/>
        </w:rPr>
        <w:t> </w:t>
      </w:r>
      <w:r>
        <w:rPr>
          <w:spacing w:val="-81"/>
        </w:rPr>
      </w:r>
      <w:r>
        <w:rPr/>
        <w:t>理平台。</w:t>
      </w:r>
    </w:p>
    <w:p>
      <w:pPr>
        <w:pStyle w:val="Heading3"/>
        <w:spacing w:line="240" w:lineRule="auto" w:before="30"/>
        <w:ind w:left="626" w:right="102"/>
        <w:jc w:val="left"/>
        <w:rPr>
          <w:b w:val="0"/>
          <w:bCs w:val="0"/>
        </w:rPr>
      </w:pPr>
      <w:r>
        <w:rPr/>
        <w:t>3、公司新年度经营计划</w:t>
      </w:r>
      <w:r>
        <w:rPr>
          <w:b w:val="0"/>
          <w:bCs w:val="0"/>
        </w:rPr>
      </w:r>
    </w:p>
    <w:p>
      <w:pPr>
        <w:pStyle w:val="BodyText"/>
        <w:spacing w:line="240" w:lineRule="auto" w:before="134"/>
        <w:ind w:left="625" w:right="102"/>
        <w:jc w:val="left"/>
      </w:pPr>
      <w:r>
        <w:rPr/>
        <w:t>2011年，公司将继续改进内部管理和控制，开始在公司核心业务部门全面推广SHIJICARE，更加关注</w:t>
      </w:r>
    </w:p>
    <w:p>
      <w:pPr>
        <w:spacing w:after="0" w:line="240" w:lineRule="auto"/>
        <w:jc w:val="left"/>
        <w:sectPr>
          <w:pgSz w:w="11910" w:h="16840"/>
          <w:pgMar w:header="851" w:footer="982" w:top="1200" w:bottom="1180" w:left="920" w:right="920"/>
        </w:sectPr>
      </w:pPr>
    </w:p>
    <w:p>
      <w:pPr>
        <w:pStyle w:val="BodyText"/>
        <w:spacing w:line="357" w:lineRule="auto" w:before="32"/>
        <w:ind w:right="170"/>
        <w:jc w:val="left"/>
      </w:pPr>
      <w:r>
        <w:rPr/>
        <w:pict>
          <v:group style="position:absolute;margin-left:55.200001pt;margin-top:2.943948pt;width:484.95pt;height:.1pt;mso-position-horizontal-relative:page;mso-position-vertical-relative:paragraph;z-index:-709672" coordorigin="1104,59" coordsize="9699,2">
            <v:shape style="position:absolute;left:1104;top:59;width:9699;height:2" coordorigin="1104,59" coordsize="9699,0" path="m1104,59l10802,59e" filled="false" stroked="true" strokeweight=".72pt" strokecolor="#000000">
              <v:path arrowok="t"/>
            </v:shape>
            <w10:wrap type="none"/>
          </v:group>
        </w:pict>
      </w:r>
      <w:r>
        <w:rPr/>
        <w:t>员工和客户，实现全员考核和奖惩制度，提高员工和客户满意度。公司将发布新一代酒店信息管理系统， 力争在酒店信息管理系统业务和餐饮信息系统业务上将继续实现增长，加速PGS业务与南京银石业务的整 合，使之产生协同效应，重点突破畅联与国际大型渠道的连接，努力使畅联业务在新年度实现质的飞跃。</w:t>
      </w:r>
    </w:p>
    <w:p>
      <w:pPr>
        <w:spacing w:line="357" w:lineRule="auto" w:before="30"/>
        <w:ind w:left="565" w:right="4799" w:firstLine="1"/>
        <w:jc w:val="left"/>
        <w:rPr>
          <w:rFonts w:ascii="宋体" w:hAnsi="宋体" w:cs="宋体" w:eastAsia="宋体" w:hint="default"/>
          <w:sz w:val="21"/>
          <w:szCs w:val="21"/>
        </w:rPr>
      </w:pPr>
      <w:r>
        <w:rPr>
          <w:rFonts w:ascii="宋体" w:hAnsi="宋体" w:cs="宋体" w:eastAsia="宋体" w:hint="default"/>
          <w:b/>
          <w:bCs/>
          <w:sz w:val="21"/>
          <w:szCs w:val="21"/>
        </w:rPr>
        <w:t>4、年度重大投资计划</w:t>
      </w:r>
      <w:r>
        <w:rPr>
          <w:rFonts w:ascii="宋体" w:hAnsi="宋体" w:cs="宋体" w:eastAsia="宋体" w:hint="default"/>
          <w:b/>
          <w:bCs/>
          <w:spacing w:val="1"/>
          <w:w w:val="99"/>
          <w:sz w:val="21"/>
          <w:szCs w:val="21"/>
        </w:rPr>
        <w:t> </w:t>
      </w:r>
      <w:r>
        <w:rPr>
          <w:rFonts w:ascii="宋体" w:hAnsi="宋体" w:cs="宋体" w:eastAsia="宋体" w:hint="default"/>
          <w:sz w:val="21"/>
          <w:szCs w:val="21"/>
        </w:rPr>
        <w:t>截止2010年12月31日，公司未安排重大投资计划。 </w:t>
      </w:r>
      <w:r>
        <w:rPr>
          <w:rFonts w:ascii="宋体" w:hAnsi="宋体" w:cs="宋体" w:eastAsia="宋体" w:hint="default"/>
          <w:b/>
          <w:bCs/>
          <w:sz w:val="21"/>
          <w:szCs w:val="21"/>
        </w:rPr>
        <w:t>5、资金需求及使用计划</w:t>
      </w:r>
      <w:r>
        <w:rPr>
          <w:rFonts w:ascii="宋体" w:hAnsi="宋体" w:cs="宋体" w:eastAsia="宋体" w:hint="default"/>
          <w:sz w:val="21"/>
          <w:szCs w:val="21"/>
        </w:rPr>
      </w:r>
    </w:p>
    <w:p>
      <w:pPr>
        <w:pStyle w:val="BodyText"/>
        <w:spacing w:line="355" w:lineRule="auto" w:before="31"/>
        <w:ind w:right="211" w:firstLine="420"/>
        <w:jc w:val="both"/>
      </w:pPr>
      <w:r>
        <w:rPr>
          <w:spacing w:val="-1"/>
        </w:rPr>
        <w:t>本公司将结合业务发展规划，根据业务发展的实际情况，合理筹集、安排和使用资金。为实现上述发</w:t>
      </w:r>
      <w:r>
        <w:rPr/>
        <w:t> </w:t>
      </w:r>
      <w:r>
        <w:rPr>
          <w:spacing w:val="-1"/>
        </w:rPr>
        <w:t>展规划所需投资的项目主要为公司2007年发行上市的募集资金投资项目，上述项目的投资资金需求已在发</w:t>
      </w:r>
      <w:r>
        <w:rPr>
          <w:spacing w:val="-81"/>
        </w:rPr>
        <w:t> </w:t>
      </w:r>
      <w:r>
        <w:rPr>
          <w:spacing w:val="-81"/>
        </w:rPr>
      </w:r>
      <w:r>
        <w:rPr/>
        <w:t>行上市时得到基本满足。</w:t>
      </w:r>
    </w:p>
    <w:p>
      <w:pPr>
        <w:spacing w:line="355" w:lineRule="auto" w:before="33"/>
        <w:ind w:left="574" w:right="0" w:hanging="8"/>
        <w:jc w:val="left"/>
        <w:rPr>
          <w:rFonts w:ascii="宋体" w:hAnsi="宋体" w:cs="宋体" w:eastAsia="宋体" w:hint="default"/>
          <w:sz w:val="21"/>
          <w:szCs w:val="21"/>
        </w:rPr>
      </w:pPr>
      <w:r>
        <w:rPr>
          <w:rFonts w:ascii="宋体" w:hAnsi="宋体" w:cs="宋体" w:eastAsia="宋体" w:hint="default"/>
          <w:b/>
          <w:bCs/>
          <w:sz w:val="21"/>
          <w:szCs w:val="21"/>
        </w:rPr>
        <w:t>6、公司未来发展可能面临的风险因素</w:t>
      </w:r>
      <w:r>
        <w:rPr>
          <w:rFonts w:ascii="宋体" w:hAnsi="宋体" w:cs="宋体" w:eastAsia="宋体" w:hint="default"/>
          <w:b/>
          <w:bCs/>
          <w:w w:val="99"/>
          <w:sz w:val="21"/>
          <w:szCs w:val="21"/>
        </w:rPr>
        <w:t> </w:t>
      </w:r>
      <w:r>
        <w:rPr>
          <w:rFonts w:ascii="宋体" w:hAnsi="宋体" w:cs="宋体" w:eastAsia="宋体" w:hint="default"/>
          <w:spacing w:val="-1"/>
          <w:sz w:val="21"/>
          <w:szCs w:val="21"/>
        </w:rPr>
        <w:t>酒店行业的发展有其自身的客观规律，也存在诸多风险因素。一旦我国酒店行业的发展整体放缓，或</w:t>
      </w:r>
    </w:p>
    <w:p>
      <w:pPr>
        <w:pStyle w:val="BodyText"/>
        <w:spacing w:line="355" w:lineRule="auto" w:before="33"/>
        <w:ind w:right="0"/>
        <w:jc w:val="left"/>
      </w:pPr>
      <w:r>
        <w:rPr>
          <w:spacing w:val="-1"/>
        </w:rPr>
        <w:t>者由于某些特殊性事件，如出现大规模流行性疾病等因素，造成酒店行业在一定时期的持续低迷，将会对</w:t>
      </w:r>
      <w:r>
        <w:rPr>
          <w:spacing w:val="-83"/>
        </w:rPr>
        <w:t> </w:t>
      </w:r>
      <w:r>
        <w:rPr>
          <w:spacing w:val="-83"/>
        </w:rPr>
      </w:r>
      <w:r>
        <w:rPr/>
        <w:t>本公司的业务经营产生较大的不利影响。</w:t>
      </w:r>
    </w:p>
    <w:p>
      <w:pPr>
        <w:pStyle w:val="BodyText"/>
        <w:spacing w:line="355" w:lineRule="auto" w:before="33"/>
        <w:ind w:left="574" w:right="0" w:firstLine="2"/>
        <w:jc w:val="left"/>
      </w:pPr>
      <w:r>
        <w:rPr>
          <w:rFonts w:ascii="宋体" w:hAnsi="宋体" w:cs="宋体" w:eastAsia="宋体" w:hint="default"/>
          <w:b/>
          <w:bCs/>
        </w:rPr>
        <w:t>7、政策法规变化</w:t>
      </w:r>
      <w:r>
        <w:rPr>
          <w:rFonts w:ascii="宋体" w:hAnsi="宋体" w:cs="宋体" w:eastAsia="宋体" w:hint="default"/>
          <w:b/>
          <w:bCs/>
          <w:spacing w:val="1"/>
          <w:w w:val="99"/>
        </w:rPr>
        <w:t> </w:t>
      </w:r>
      <w:r>
        <w:rPr>
          <w:spacing w:val="-1"/>
        </w:rPr>
        <w:t>目前国家旅游局已经进入全国旅游业发展“十二五”规划的编制时期，随着我国居民消费升级、旅游</w:t>
      </w:r>
    </w:p>
    <w:p>
      <w:pPr>
        <w:pStyle w:val="BodyText"/>
        <w:spacing w:line="357" w:lineRule="auto" w:before="32"/>
        <w:ind w:right="0"/>
        <w:jc w:val="left"/>
      </w:pPr>
      <w:r>
        <w:rPr>
          <w:spacing w:val="-3"/>
        </w:rPr>
        <w:t>消费大众化、多元化时代的到来，“十二五”时期，我国旅游业处于高速增长的新阶段，国内旅游成为产</w:t>
      </w:r>
      <w:r>
        <w:rPr>
          <w:spacing w:val="-74"/>
        </w:rPr>
        <w:t> </w:t>
      </w:r>
      <w:r>
        <w:rPr>
          <w:spacing w:val="-74"/>
        </w:rPr>
      </w:r>
      <w:r>
        <w:rPr/>
        <w:t>业发展的基础，中国旅游业将进入发展最好的时期。</w:t>
      </w:r>
    </w:p>
    <w:p>
      <w:pPr>
        <w:pStyle w:val="BodyText"/>
        <w:spacing w:line="357" w:lineRule="auto" w:before="30"/>
        <w:ind w:left="574" w:right="0" w:firstLine="2"/>
        <w:jc w:val="left"/>
      </w:pPr>
      <w:r>
        <w:rPr>
          <w:rFonts w:ascii="宋体" w:hAnsi="宋体" w:cs="宋体" w:eastAsia="宋体" w:hint="default"/>
          <w:b/>
          <w:bCs/>
        </w:rPr>
        <w:t>8、并购重组进展</w:t>
      </w:r>
      <w:r>
        <w:rPr>
          <w:rFonts w:ascii="宋体" w:hAnsi="宋体" w:cs="宋体" w:eastAsia="宋体" w:hint="default"/>
          <w:b/>
          <w:bCs/>
          <w:spacing w:val="1"/>
          <w:w w:val="99"/>
        </w:rPr>
        <w:t> </w:t>
      </w:r>
      <w:r>
        <w:rPr>
          <w:spacing w:val="-1"/>
        </w:rPr>
        <w:t>报告期内，经公司第三届董事会2010年第六次临时会议审议通过，以协议价6,000万元收购了赵乃珂、</w:t>
      </w:r>
    </w:p>
    <w:p>
      <w:pPr>
        <w:pStyle w:val="BodyText"/>
        <w:spacing w:line="357" w:lineRule="auto" w:before="30"/>
        <w:ind w:right="0"/>
        <w:jc w:val="left"/>
      </w:pPr>
      <w:r>
        <w:rPr>
          <w:spacing w:val="-1"/>
        </w:rPr>
        <w:t>孙勇坚、张诗中、黄勇合计持有的南京银石计算机系统有限公司100%的股权，本次收购使用的是公司自有</w:t>
      </w:r>
      <w:r>
        <w:rPr>
          <w:spacing w:val="-81"/>
        </w:rPr>
        <w:t> </w:t>
      </w:r>
      <w:r>
        <w:rPr>
          <w:spacing w:val="-81"/>
        </w:rPr>
      </w:r>
      <w:r>
        <w:rPr/>
        <w:t>资金，不构成关联交易和重大重组。</w:t>
      </w:r>
    </w:p>
    <w:p>
      <w:pPr>
        <w:pStyle w:val="BodyText"/>
        <w:spacing w:line="357" w:lineRule="auto" w:before="30"/>
        <w:ind w:right="0" w:firstLine="420"/>
        <w:jc w:val="left"/>
      </w:pPr>
      <w:r>
        <w:rPr/>
        <w:t>经公司第四届董事会2010年第一次临时会议审议通过，以1,575万元收购了上海环迅电子商务有限公 </w:t>
      </w:r>
      <w:r>
        <w:rPr>
          <w:spacing w:val="-1"/>
        </w:rPr>
        <w:t>司所持有的迅付信息科技有限公司15％的股权，本次收购使用的是公司自有资金，不构成关联交易和重大</w:t>
      </w:r>
      <w:r>
        <w:rPr>
          <w:spacing w:val="-81"/>
        </w:rPr>
        <w:t> </w:t>
      </w:r>
      <w:r>
        <w:rPr>
          <w:spacing w:val="-81"/>
        </w:rPr>
      </w:r>
      <w:r>
        <w:rPr/>
        <w:t>重组。</w:t>
      </w:r>
    </w:p>
    <w:p>
      <w:pPr>
        <w:spacing w:line="357" w:lineRule="auto" w:before="30"/>
        <w:ind w:left="576" w:right="3951" w:hanging="3"/>
        <w:jc w:val="left"/>
        <w:rPr>
          <w:rFonts w:ascii="宋体" w:hAnsi="宋体" w:cs="宋体" w:eastAsia="宋体" w:hint="default"/>
          <w:sz w:val="21"/>
          <w:szCs w:val="21"/>
        </w:rPr>
      </w:pPr>
      <w:r>
        <w:rPr>
          <w:rFonts w:ascii="宋体" w:hAnsi="宋体" w:cs="宋体" w:eastAsia="宋体" w:hint="default"/>
          <w:sz w:val="21"/>
          <w:szCs w:val="21"/>
        </w:rPr>
        <w:t>报告期内，公司未发生其他再融资、重大资产重组等事项。 </w:t>
      </w:r>
      <w:r>
        <w:rPr>
          <w:rFonts w:ascii="宋体" w:hAnsi="宋体" w:cs="宋体" w:eastAsia="宋体" w:hint="default"/>
          <w:b/>
          <w:bCs/>
          <w:sz w:val="21"/>
          <w:szCs w:val="21"/>
        </w:rPr>
        <w:t>9、董监高和重要股东变动</w:t>
      </w:r>
      <w:r>
        <w:rPr>
          <w:rFonts w:ascii="宋体" w:hAnsi="宋体" w:cs="宋体" w:eastAsia="宋体" w:hint="default"/>
          <w:sz w:val="21"/>
          <w:szCs w:val="21"/>
        </w:rPr>
      </w:r>
    </w:p>
    <w:p>
      <w:pPr>
        <w:pStyle w:val="BodyText"/>
        <w:spacing w:line="357" w:lineRule="auto" w:before="30"/>
        <w:ind w:right="0" w:firstLine="420"/>
        <w:jc w:val="left"/>
      </w:pPr>
      <w:r>
        <w:rPr>
          <w:spacing w:val="-1"/>
        </w:rPr>
        <w:t>报告期内，公司董事会、监事会完成了换届选举的工作，并聘任王敏敏女士担任公司副总裁，加强了</w:t>
      </w:r>
      <w:r>
        <w:rPr/>
        <w:t> 公司职业化专业化管理团队的建设。详细内容见第四节：公司董事、监事和高级人员变动情况介绍。</w:t>
      </w:r>
    </w:p>
    <w:p>
      <w:pPr>
        <w:spacing w:line="355" w:lineRule="auto" w:before="30"/>
        <w:ind w:left="565" w:right="6059" w:firstLine="10"/>
        <w:jc w:val="left"/>
        <w:rPr>
          <w:rFonts w:ascii="宋体" w:hAnsi="宋体" w:cs="宋体" w:eastAsia="宋体" w:hint="default"/>
          <w:sz w:val="21"/>
          <w:szCs w:val="21"/>
        </w:rPr>
      </w:pPr>
      <w:r>
        <w:rPr>
          <w:rFonts w:ascii="宋体" w:hAnsi="宋体" w:cs="宋体" w:eastAsia="宋体" w:hint="default"/>
          <w:b/>
          <w:bCs/>
          <w:sz w:val="21"/>
          <w:szCs w:val="21"/>
        </w:rPr>
        <w:t>10、控制权变动</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报告期内，公司控制权未发生改变。</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w:t>
      </w:r>
      <w:r>
        <w:rPr>
          <w:spacing w:val="-4"/>
        </w:rPr>
        <w:t> </w:t>
      </w:r>
      <w:r>
        <w:rPr/>
        <w:t>报告期内投资情况</w:t>
      </w:r>
      <w:r>
        <w:rPr>
          <w:b w:val="0"/>
          <w:bCs w:val="0"/>
        </w:rPr>
      </w:r>
    </w:p>
    <w:p>
      <w:pPr>
        <w:spacing w:line="240" w:lineRule="auto" w:before="0"/>
        <w:rPr>
          <w:rFonts w:ascii="宋体" w:hAnsi="宋体" w:cs="宋体" w:eastAsia="宋体" w:hint="default"/>
          <w:b/>
          <w:bCs/>
          <w:sz w:val="20"/>
          <w:szCs w:val="20"/>
        </w:rPr>
      </w:pPr>
    </w:p>
    <w:p>
      <w:pPr>
        <w:pStyle w:val="Heading3"/>
        <w:spacing w:line="482" w:lineRule="auto" w:before="151"/>
        <w:ind w:left="573" w:right="6459"/>
        <w:jc w:val="left"/>
        <w:rPr>
          <w:b w:val="0"/>
          <w:bCs w:val="0"/>
        </w:rPr>
      </w:pPr>
      <w:r>
        <w:rPr/>
        <w:t>（一）募集资金的具体使用情况</w:t>
      </w:r>
      <w:r>
        <w:rPr>
          <w:spacing w:val="1"/>
          <w:w w:val="99"/>
        </w:rPr>
        <w:t> </w:t>
      </w:r>
      <w:r>
        <w:rPr/>
        <w:t>1、报告期内募集资金使用情况</w:t>
      </w:r>
      <w:r>
        <w:rPr>
          <w:b w:val="0"/>
          <w:bCs w:val="0"/>
        </w:rPr>
      </w:r>
    </w:p>
    <w:p>
      <w:pPr>
        <w:spacing w:after="0" w:line="482" w:lineRule="auto"/>
        <w:jc w:val="left"/>
        <w:sectPr>
          <w:pgSz w:w="11910" w:h="16840"/>
          <w:pgMar w:header="851" w:footer="982" w:top="1200" w:bottom="1180" w:left="980" w:right="920"/>
        </w:sectPr>
      </w:pPr>
    </w:p>
    <w:p>
      <w:pPr>
        <w:pStyle w:val="BodyText"/>
        <w:spacing w:line="357" w:lineRule="auto" w:before="32"/>
        <w:ind w:left="608" w:right="0" w:firstLine="525"/>
        <w:jc w:val="left"/>
      </w:pPr>
      <w:r>
        <w:rPr/>
        <w:pict>
          <v:group style="position:absolute;margin-left:55.200001pt;margin-top:2.943948pt;width:484.95pt;height:.1pt;mso-position-horizontal-relative:page;mso-position-vertical-relative:paragraph;z-index:-709648"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
        </w:rPr>
        <w:t>本公司于2007年7月27日、30日成功发行1400万股A股，每股发行价为21.5元，扣除发行费用后实际募</w:t>
      </w:r>
      <w:r>
        <w:rPr/>
        <w:t> 集资金为28,417万元。报告期内，公司严格按照《募集资金管理办法》的规定和要求，对募集资金的存放 和使用进行有效的监督和管理。截至报告期末，募集资金已全部使用完毕，其中，募集资金投资项目投入 </w:t>
      </w:r>
      <w:r>
        <w:rPr>
          <w:rFonts w:ascii="Times New Roman" w:hAnsi="Times New Roman" w:cs="Times New Roman" w:eastAsia="Times New Roman" w:hint="default"/>
        </w:rPr>
        <w:t>19,219.46</w:t>
      </w:r>
      <w:r>
        <w:rPr/>
        <w:t>万元，节余募集资金永久补充流动资金</w:t>
      </w:r>
      <w:r>
        <w:rPr>
          <w:rFonts w:ascii="Times New Roman" w:hAnsi="Times New Roman" w:cs="Times New Roman" w:eastAsia="Times New Roman" w:hint="default"/>
        </w:rPr>
        <w:t>1619.94</w:t>
      </w:r>
      <w:r>
        <w:rPr/>
        <w:t>万元，期末募集资金余额为</w:t>
      </w:r>
      <w:r>
        <w:rPr>
          <w:rFonts w:ascii="Times New Roman" w:hAnsi="Times New Roman" w:cs="Times New Roman" w:eastAsia="Times New Roman" w:hint="default"/>
        </w:rPr>
        <w:t>0</w:t>
      </w:r>
      <w:r>
        <w:rPr/>
        <w:t>万元。</w:t>
      </w:r>
    </w:p>
    <w:p>
      <w:pPr>
        <w:pStyle w:val="BodyText"/>
        <w:spacing w:line="240" w:lineRule="auto" w:before="4"/>
        <w:ind w:left="1133" w:right="0"/>
        <w:jc w:val="left"/>
      </w:pPr>
      <w:r>
        <w:rPr/>
        <w:t>报告期内，募集资金使用情况如下表所示：</w:t>
      </w:r>
    </w:p>
    <w:p>
      <w:pPr>
        <w:spacing w:before="132"/>
        <w:ind w:left="3485" w:right="0" w:firstLine="0"/>
        <w:jc w:val="left"/>
        <w:rPr>
          <w:rFonts w:ascii="黑体" w:hAnsi="黑体" w:cs="黑体" w:eastAsia="黑体" w:hint="default"/>
          <w:sz w:val="21"/>
          <w:szCs w:val="21"/>
        </w:rPr>
      </w:pPr>
      <w:r>
        <w:rPr>
          <w:rFonts w:ascii="宋体" w:hAnsi="宋体" w:cs="宋体" w:eastAsia="宋体" w:hint="default"/>
          <w:b/>
          <w:bCs/>
          <w:sz w:val="21"/>
          <w:szCs w:val="21"/>
        </w:rPr>
        <w:t>石基信息募集资金使用情况表 </w:t>
      </w:r>
      <w:r>
        <w:rPr>
          <w:rFonts w:ascii="宋体" w:hAnsi="宋体" w:cs="宋体" w:eastAsia="宋体" w:hint="default"/>
          <w:sz w:val="21"/>
          <w:szCs w:val="21"/>
        </w:rPr>
        <w:t>（</w:t>
      </w:r>
      <w:r>
        <w:rPr>
          <w:rFonts w:ascii="黑体" w:hAnsi="黑体" w:cs="黑体" w:eastAsia="黑体" w:hint="default"/>
          <w:sz w:val="21"/>
          <w:szCs w:val="21"/>
        </w:rPr>
        <w:t>单位：万元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w:t>
      </w:r>
      <w:r>
        <w:rPr>
          <w:rFonts w:ascii="黑体" w:hAnsi="黑体" w:cs="黑体" w:eastAsia="黑体" w:hint="default"/>
          <w:sz w:val="21"/>
          <w:szCs w:val="21"/>
        </w:rPr>
        <w:t>）</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8"/>
          <w:szCs w:val="18"/>
        </w:rPr>
      </w:pPr>
    </w:p>
    <w:p>
      <w:pPr>
        <w:spacing w:line="235" w:lineRule="exact" w:before="44"/>
        <w:ind w:left="0" w:right="2520" w:firstLine="0"/>
        <w:jc w:val="right"/>
        <w:rPr>
          <w:rFonts w:ascii="宋体" w:hAnsi="宋体" w:cs="宋体" w:eastAsia="宋体" w:hint="default"/>
          <w:sz w:val="18"/>
          <w:szCs w:val="18"/>
        </w:rPr>
      </w:pPr>
      <w:r>
        <w:rPr/>
        <w:pict>
          <v:shape style="position:absolute;margin-left:26.940001pt;margin-top:-90.103973pt;width:541.65pt;height:518.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2"/>
                    <w:gridCol w:w="682"/>
                    <w:gridCol w:w="851"/>
                    <w:gridCol w:w="868"/>
                    <w:gridCol w:w="865"/>
                    <w:gridCol w:w="790"/>
                    <w:gridCol w:w="920"/>
                    <w:gridCol w:w="1073"/>
                    <w:gridCol w:w="964"/>
                    <w:gridCol w:w="90"/>
                    <w:gridCol w:w="636"/>
                    <w:gridCol w:w="757"/>
                    <w:gridCol w:w="509"/>
                    <w:gridCol w:w="492"/>
                  </w:tblGrid>
                  <w:tr>
                    <w:trPr>
                      <w:trHeight w:val="346"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 w:right="0"/>
                          <w:jc w:val="left"/>
                          <w:rPr>
                            <w:rFonts w:ascii="Times New Roman" w:hAnsi="Times New Roman" w:cs="Times New Roman" w:eastAsia="Times New Roman" w:hint="default"/>
                            <w:sz w:val="20"/>
                            <w:szCs w:val="20"/>
                          </w:rPr>
                        </w:pPr>
                        <w:r>
                          <w:rPr>
                            <w:rFonts w:ascii="宋体" w:hAnsi="宋体" w:cs="宋体" w:eastAsia="宋体" w:hint="default"/>
                            <w:sz w:val="18"/>
                            <w:szCs w:val="18"/>
                          </w:rPr>
                          <w:t>募集资金总额：</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z w:val="20"/>
                            <w:szCs w:val="20"/>
                          </w:rPr>
                          <w:t>,417.00</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本年度投入募集资金总额：</w:t>
                        </w:r>
                        <w:r>
                          <w:rPr>
                            <w:rFonts w:ascii="Times New Roman" w:hAnsi="Times New Roman" w:cs="Times New Roman" w:eastAsia="Times New Roman" w:hint="default"/>
                            <w:sz w:val="18"/>
                            <w:szCs w:val="18"/>
                          </w:rPr>
                          <w:t>0.00</w:t>
                        </w:r>
                      </w:p>
                    </w:tc>
                  </w:tr>
                  <w:tr>
                    <w:trPr>
                      <w:trHeight w:val="344"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变更用途的募集资金总额：</w:t>
                        </w:r>
                        <w:r>
                          <w:rPr>
                            <w:rFonts w:ascii="Times New Roman" w:hAnsi="Times New Roman" w:cs="Times New Roman" w:eastAsia="Times New Roman" w:hint="default"/>
                            <w:sz w:val="18"/>
                            <w:szCs w:val="18"/>
                          </w:rPr>
                          <w:t>6,200.00</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已累计投入募集资金总额：</w:t>
                        </w:r>
                        <w:r>
                          <w:rPr>
                            <w:rFonts w:ascii="Times New Roman" w:hAnsi="Times New Roman" w:cs="Times New Roman" w:eastAsia="Times New Roman" w:hint="default"/>
                            <w:sz w:val="18"/>
                            <w:szCs w:val="18"/>
                          </w:rPr>
                          <w:t>19,219.46</w:t>
                        </w:r>
                      </w:p>
                    </w:tc>
                  </w:tr>
                  <w:tr>
                    <w:trPr>
                      <w:trHeight w:val="346"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变更用途的募集资金总额比例：</w:t>
                        </w:r>
                        <w:r>
                          <w:rPr>
                            <w:rFonts w:ascii="Times New Roman" w:hAnsi="Times New Roman" w:cs="Times New Roman" w:eastAsia="Times New Roman" w:hint="default"/>
                            <w:sz w:val="18"/>
                            <w:szCs w:val="18"/>
                          </w:rPr>
                          <w:t>21.82%</w:t>
                        </w:r>
                      </w:p>
                    </w:tc>
                    <w:tc>
                      <w:tcPr>
                        <w:tcW w:w="4520" w:type="dxa"/>
                        <w:gridSpan w:val="7"/>
                        <w:tcBorders>
                          <w:top w:val="single" w:sz="4" w:space="0" w:color="000000"/>
                          <w:left w:val="single" w:sz="4" w:space="0" w:color="000000"/>
                          <w:bottom w:val="single" w:sz="4" w:space="0" w:color="000000"/>
                          <w:right w:val="single" w:sz="4" w:space="0" w:color="000000"/>
                        </w:tcBorders>
                      </w:tcPr>
                      <w:p>
                        <w:pPr/>
                      </w:p>
                    </w:tc>
                  </w:tr>
                  <w:tr>
                    <w:trPr>
                      <w:trHeight w:val="165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37" w:lineRule="auto"/>
                          <w:ind w:left="-1" w:right="-49" w:firstLine="66"/>
                          <w:jc w:val="left"/>
                          <w:rPr>
                            <w:rFonts w:ascii="宋体" w:hAnsi="宋体" w:cs="宋体" w:eastAsia="宋体" w:hint="default"/>
                            <w:sz w:val="18"/>
                            <w:szCs w:val="18"/>
                          </w:rPr>
                        </w:pPr>
                        <w:r>
                          <w:rPr>
                            <w:rFonts w:ascii="宋体" w:hAnsi="宋体" w:cs="宋体" w:eastAsia="宋体" w:hint="default"/>
                            <w:sz w:val="18"/>
                            <w:szCs w:val="18"/>
                          </w:rPr>
                          <w:t>是否已 变更项 </w:t>
                        </w:r>
                        <w:r>
                          <w:rPr>
                            <w:rFonts w:ascii="宋体" w:hAnsi="宋体" w:cs="宋体" w:eastAsia="宋体" w:hint="default"/>
                            <w:spacing w:val="-13"/>
                            <w:sz w:val="18"/>
                            <w:szCs w:val="18"/>
                          </w:rPr>
                          <w:t>目（含部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分变更）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2"/>
                          <w:ind w:left="158" w:right="67"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37" w:lineRule="auto"/>
                          <w:ind w:left="62" w:right="71"/>
                          <w:jc w:val="center"/>
                          <w:rPr>
                            <w:rFonts w:ascii="宋体" w:hAnsi="宋体" w:cs="宋体" w:eastAsia="宋体" w:hint="default"/>
                            <w:sz w:val="18"/>
                            <w:szCs w:val="18"/>
                          </w:rPr>
                        </w:pPr>
                        <w:r>
                          <w:rPr>
                            <w:rFonts w:ascii="宋体" w:hAnsi="宋体" w:cs="宋体" w:eastAsia="宋体" w:hint="default"/>
                            <w:sz w:val="18"/>
                            <w:szCs w:val="18"/>
                          </w:rPr>
                          <w:t>截至期末 承诺投入 金额</w:t>
                        </w:r>
                      </w:p>
                      <w:p>
                        <w:pPr>
                          <w:pStyle w:val="TableParagraph"/>
                          <w:spacing w:line="248" w:lineRule="exact"/>
                          <w:ind w:right="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2"/>
                          <w:ind w:left="115" w:right="32" w:hanging="90"/>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截至期末累 计投入金额</w:t>
                        </w:r>
                      </w:p>
                      <w:p>
                        <w:pPr>
                          <w:pStyle w:val="TableParagraph"/>
                          <w:spacing w:line="248" w:lineRule="exact"/>
                          <w:ind w:right="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9" w:right="80" w:firstLine="7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计入金额与 承诺投入金 </w:t>
                        </w:r>
                        <w:r>
                          <w:rPr>
                            <w:rFonts w:ascii="宋体" w:hAnsi="宋体" w:cs="宋体" w:eastAsia="宋体" w:hint="default"/>
                            <w:spacing w:val="-7"/>
                            <w:sz w:val="18"/>
                            <w:szCs w:val="18"/>
                          </w:rPr>
                          <w:t>额的差额（</w:t>
                        </w:r>
                        <w:r>
                          <w:rPr>
                            <w:rFonts w:ascii="Times New Roman" w:hAnsi="Times New Roman" w:cs="Times New Roman" w:eastAsia="Times New Roman" w:hint="default"/>
                            <w:spacing w:val="-7"/>
                            <w:sz w:val="18"/>
                            <w:szCs w:val="18"/>
                          </w:rPr>
                          <w:t>3</w:t>
                        </w:r>
                      </w:p>
                      <w:p>
                        <w:pPr>
                          <w:pStyle w:val="TableParagraph"/>
                          <w:spacing w:line="233" w:lineRule="exact"/>
                          <w:ind w:left="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58" w:right="30" w:hanging="232"/>
                          <w:jc w:val="left"/>
                          <w:rPr>
                            <w:rFonts w:ascii="宋体" w:hAnsi="宋体" w:cs="宋体" w:eastAsia="宋体" w:hint="default"/>
                            <w:sz w:val="18"/>
                            <w:szCs w:val="18"/>
                          </w:rPr>
                        </w:pPr>
                        <w:r>
                          <w:rPr>
                            <w:rFonts w:ascii="宋体" w:hAnsi="宋体" w:cs="宋体" w:eastAsia="宋体" w:hint="default"/>
                            <w:sz w:val="18"/>
                            <w:szCs w:val="18"/>
                          </w:rPr>
                          <w:t>截至期末投 入进度</w:t>
                        </w:r>
                      </w:p>
                      <w:p>
                        <w:pPr>
                          <w:pStyle w:val="TableParagraph"/>
                          <w:spacing w:line="292" w:lineRule="exact"/>
                          <w:ind w:left="-111"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w:t>
                        </w:r>
                        <w:r>
                          <w:rPr>
                            <w:rFonts w:ascii="宋体" w:hAnsi="宋体" w:cs="宋体" w:eastAsia="宋体" w:hint="default"/>
                            <w:spacing w:val="-53"/>
                            <w:position w:val="-11"/>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p>
                      <w:p>
                        <w:pPr>
                          <w:pStyle w:val="TableParagraph"/>
                          <w:spacing w:line="188"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w:t>
                        </w:r>
                      </w:p>
                    </w:tc>
                    <w:tc>
                      <w:tcPr>
                        <w:tcW w:w="90" w:type="dxa"/>
                        <w:tcBorders>
                          <w:top w:val="single" w:sz="4" w:space="0" w:color="000000"/>
                          <w:left w:val="single" w:sz="4" w:space="0" w:color="000000"/>
                          <w:bottom w:val="single" w:sz="4" w:space="0" w:color="000000"/>
                          <w:right w:val="nil" w:sz="6" w:space="0" w:color="auto"/>
                        </w:tcBorders>
                      </w:tcPr>
                      <w:p>
                        <w:pPr/>
                      </w:p>
                    </w:tc>
                    <w:tc>
                      <w:tcPr>
                        <w:tcW w:w="6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37" w:lineRule="auto"/>
                          <w:ind w:left="4" w:right="85"/>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1"/>
                          <w:ind w:left="14" w:right="10"/>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37" w:lineRule="auto"/>
                          <w:ind w:left="68" w:right="6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1" w:right="0"/>
                          <w:jc w:val="both"/>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7" w:lineRule="auto" w:before="1"/>
                          <w:ind w:left="61" w:right="58"/>
                          <w:jc w:val="both"/>
                          <w:rPr>
                            <w:rFonts w:ascii="宋体" w:hAnsi="宋体" w:cs="宋体" w:eastAsia="宋体" w:hint="default"/>
                            <w:sz w:val="18"/>
                            <w:szCs w:val="18"/>
                          </w:rPr>
                        </w:pPr>
                        <w:r>
                          <w:rPr>
                            <w:rFonts w:ascii="宋体" w:hAnsi="宋体" w:cs="宋体" w:eastAsia="宋体" w:hint="default"/>
                            <w:sz w:val="18"/>
                            <w:szCs w:val="18"/>
                          </w:rPr>
                          <w:t>可行 性是 否发 生重 大变 化</w:t>
                        </w:r>
                      </w:p>
                    </w:tc>
                  </w:tr>
                  <w:tr>
                    <w:trPr>
                      <w:trHeight w:val="66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1"/>
                          <w:ind w:left="10" w:right="41"/>
                          <w:jc w:val="left"/>
                          <w:rPr>
                            <w:rFonts w:ascii="宋体" w:hAnsi="宋体" w:cs="宋体" w:eastAsia="宋体" w:hint="default"/>
                            <w:sz w:val="18"/>
                            <w:szCs w:val="18"/>
                          </w:rPr>
                        </w:pPr>
                        <w:r>
                          <w:rPr>
                            <w:rFonts w:ascii="宋体" w:hAnsi="宋体" w:cs="宋体" w:eastAsia="宋体" w:hint="default"/>
                            <w:sz w:val="18"/>
                            <w:szCs w:val="18"/>
                          </w:rPr>
                          <w:t>客户技术支持与 服务中心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7,380.00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7,380.00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7,380.00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6,464.53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-915.47</w:t>
                        </w:r>
                        <w:r>
                          <w:rPr>
                            <w:rFonts w:ascii="Times New Roman"/>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87.60%</w:t>
                        </w:r>
                      </w:p>
                    </w:tc>
                    <w:tc>
                      <w:tcPr>
                        <w:tcW w:w="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1"/>
                          <w:ind w:left="4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1,666.48</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是</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8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Sunsystems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财务</w:t>
                        </w:r>
                        <w:r>
                          <w:rPr>
                            <w:rFonts w:ascii="宋体" w:hAnsi="宋体" w:cs="宋体" w:eastAsia="宋体" w:hint="default"/>
                            <w:spacing w:val="1"/>
                            <w:sz w:val="18"/>
                            <w:szCs w:val="18"/>
                          </w:rPr>
                          <w:t> </w:t>
                        </w:r>
                        <w:r>
                          <w:rPr>
                            <w:rFonts w:ascii="宋体" w:hAnsi="宋体" w:cs="宋体" w:eastAsia="宋体" w:hint="default"/>
                            <w:sz w:val="18"/>
                            <w:szCs w:val="18"/>
                          </w:rPr>
                          <w:t>系统技术许可项</w:t>
                        </w:r>
                        <w:r>
                          <w:rPr>
                            <w:rFonts w:ascii="宋体" w:hAnsi="宋体" w:cs="宋体" w:eastAsia="宋体" w:hint="default"/>
                            <w:sz w:val="18"/>
                            <w:szCs w:val="18"/>
                          </w:rPr>
                          <w:t> 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6,200.00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6,200.00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6,200.00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7"/>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6,018.95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-181.05</w:t>
                        </w:r>
                        <w:r>
                          <w:rPr>
                            <w:rFonts w:ascii="Times New Roman"/>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97.08%</w:t>
                        </w:r>
                      </w:p>
                    </w:tc>
                    <w:tc>
                      <w:tcPr>
                        <w:tcW w:w="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1"/>
                          <w:ind w:left="4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272.76</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3"/>
                          <w:jc w:val="right"/>
                          <w:rPr>
                            <w:rFonts w:ascii="宋体" w:hAnsi="宋体" w:cs="宋体" w:eastAsia="宋体" w:hint="default"/>
                            <w:sz w:val="18"/>
                            <w:szCs w:val="18"/>
                          </w:rPr>
                        </w:pPr>
                        <w:r>
                          <w:rPr>
                            <w:rFonts w:ascii="宋体" w:hAnsi="宋体" w:cs="宋体" w:eastAsia="宋体" w:hint="default"/>
                            <w:sz w:val="18"/>
                            <w:szCs w:val="18"/>
                          </w:rPr>
                          <w:t>否</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65"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1"/>
                          <w:ind w:left="10" w:right="41"/>
                          <w:jc w:val="left"/>
                          <w:rPr>
                            <w:rFonts w:ascii="宋体" w:hAnsi="宋体" w:cs="宋体" w:eastAsia="宋体" w:hint="default"/>
                            <w:sz w:val="18"/>
                            <w:szCs w:val="18"/>
                          </w:rPr>
                        </w:pPr>
                        <w:r>
                          <w:rPr>
                            <w:rFonts w:ascii="宋体" w:hAnsi="宋体" w:cs="宋体" w:eastAsia="宋体" w:hint="default"/>
                            <w:sz w:val="18"/>
                            <w:szCs w:val="18"/>
                          </w:rPr>
                          <w:t>酒店在线分销处 理平台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6,500.00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6,500.00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6,500.00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6,735.98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235.98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103.63%</w:t>
                        </w:r>
                        <w:r>
                          <w:rPr>
                            <w:rFonts w:ascii="Times New Roman"/>
                            <w:sz w:val="18"/>
                          </w:rPr>
                        </w:r>
                      </w:p>
                    </w:tc>
                    <w:tc>
                      <w:tcPr>
                        <w:tcW w:w="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1"/>
                          <w:ind w:left="4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是</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Times New Roman" w:hAnsi="Times New Roman" w:cs="Times New Roman" w:eastAsia="Times New Roman" w:hint="default"/>
                            <w:sz w:val="18"/>
                            <w:szCs w:val="18"/>
                          </w:rPr>
                        </w:pPr>
                        <w:r>
                          <w:rPr>
                            <w:rFonts w:ascii="Times New Roman"/>
                            <w:sz w:val="18"/>
                          </w:rPr>
                          <w:t>20,080.00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Times New Roman" w:hAnsi="Times New Roman" w:cs="Times New Roman" w:eastAsia="Times New Roman" w:hint="default"/>
                            <w:sz w:val="18"/>
                            <w:szCs w:val="18"/>
                          </w:rPr>
                        </w:pPr>
                        <w:r>
                          <w:rPr>
                            <w:rFonts w:ascii="Times New Roman"/>
                            <w:sz w:val="18"/>
                          </w:rPr>
                          <w:t>20,080.00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20,080.00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Times New Roman" w:hAnsi="Times New Roman" w:cs="Times New Roman" w:eastAsia="Times New Roman" w:hint="default"/>
                            <w:sz w:val="18"/>
                            <w:szCs w:val="18"/>
                          </w:rPr>
                        </w:pPr>
                        <w:r>
                          <w:rPr>
                            <w:rFonts w:ascii="Times New Roman"/>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6"/>
                          <w:jc w:val="right"/>
                          <w:rPr>
                            <w:rFonts w:ascii="Times New Roman" w:hAnsi="Times New Roman" w:cs="Times New Roman" w:eastAsia="Times New Roman" w:hint="default"/>
                            <w:sz w:val="18"/>
                            <w:szCs w:val="18"/>
                          </w:rPr>
                        </w:pPr>
                        <w:r>
                          <w:rPr>
                            <w:rFonts w:ascii="Times New Roman"/>
                            <w:sz w:val="18"/>
                          </w:rPr>
                          <w:t>19,219.46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Times New Roman" w:hAnsi="Times New Roman" w:cs="Times New Roman" w:eastAsia="Times New Roman" w:hint="default"/>
                            <w:sz w:val="18"/>
                            <w:szCs w:val="18"/>
                          </w:rPr>
                        </w:pPr>
                        <w:r>
                          <w:rPr>
                            <w:rFonts w:ascii="Times New Roman"/>
                            <w:sz w:val="18"/>
                          </w:rPr>
                          <w:t>276.46</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月，经公司董事会审议通过，公司以募集资金对</w:t>
                        </w:r>
                      </w:p>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先期投入的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万元自筹资金进行了置换</w:t>
                        </w:r>
                      </w:p>
                    </w:tc>
                  </w:tr>
                  <w:tr>
                    <w:trPr>
                      <w:trHeight w:val="3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25" w:hRule="exact"/>
                    </w:trPr>
                    <w:tc>
                      <w:tcPr>
                        <w:tcW w:w="62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452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公司实收募集资金金额为 </w:t>
                        </w:r>
                        <w:r>
                          <w:rPr>
                            <w:rFonts w:ascii="Times New Roman" w:hAnsi="Times New Roman" w:cs="Times New Roman" w:eastAsia="Times New Roman" w:hint="default"/>
                            <w:sz w:val="18"/>
                            <w:szCs w:val="18"/>
                          </w:rPr>
                          <w:t>28,417.00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万元，计划投资金额</w:t>
                        </w:r>
                      </w:p>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20,080.00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万元，实收募集资金金额高出计划投资金额</w:t>
                        </w:r>
                      </w:p>
                      <w:p>
                        <w:pPr>
                          <w:pStyle w:val="TableParagraph"/>
                          <w:spacing w:line="240" w:lineRule="auto" w:before="5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8,337.00 </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万元。根据募集资金使用的相关规定以及公司</w:t>
                        </w:r>
                        <w:r>
                          <w:rPr>
                            <w:rFonts w:ascii="宋体" w:hAnsi="宋体" w:cs="宋体" w:eastAsia="宋体" w:hint="default"/>
                            <w:sz w:val="18"/>
                            <w:szCs w:val="18"/>
                          </w:rPr>
                        </w:r>
                      </w:p>
                      <w:p>
                        <w:pPr>
                          <w:pStyle w:val="TableParagraph"/>
                          <w:spacing w:line="240" w:lineRule="auto" w:before="51"/>
                          <w:ind w:left="9"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年第一次临时股东大会决议和招股说明书有关内容，</w:t>
                        </w:r>
                      </w:p>
                      <w:p>
                        <w:pPr>
                          <w:pStyle w:val="TableParagraph"/>
                          <w:spacing w:line="240" w:lineRule="auto" w:before="51"/>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月，公司将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8,337.00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万元转入基本户，补充公</w:t>
                        </w:r>
                      </w:p>
                      <w:p>
                        <w:pPr>
                          <w:pStyle w:val="TableParagraph"/>
                          <w:spacing w:line="240" w:lineRule="auto" w:before="7"/>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司流动资金</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经</w:t>
                        </w:r>
                        <w:r>
                          <w:rPr>
                            <w:rFonts w:ascii="宋体" w:hAnsi="宋体" w:cs="宋体" w:eastAsia="宋体" w:hint="default"/>
                            <w:sz w:val="21"/>
                            <w:szCs w:val="21"/>
                          </w:rPr>
                          <w:t>公</w:t>
                        </w:r>
                        <w:r>
                          <w:rPr>
                            <w:rFonts w:ascii="宋体" w:hAnsi="宋体" w:cs="宋体" w:eastAsia="宋体" w:hint="default"/>
                            <w:sz w:val="18"/>
                            <w:szCs w:val="18"/>
                          </w:rPr>
                          <w:t>司第三届董事会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p>
                      <w:p>
                        <w:pPr>
                          <w:pStyle w:val="TableParagraph"/>
                          <w:spacing w:line="288" w:lineRule="auto" w:before="59"/>
                          <w:ind w:left="9" w:right="9"/>
                          <w:jc w:val="left"/>
                          <w:rPr>
                            <w:rFonts w:ascii="宋体" w:hAnsi="宋体" w:cs="宋体" w:eastAsia="宋体" w:hint="default"/>
                            <w:sz w:val="18"/>
                            <w:szCs w:val="18"/>
                          </w:rPr>
                        </w:pPr>
                        <w:r>
                          <w:rPr>
                            <w:rFonts w:ascii="宋体" w:hAnsi="宋体" w:cs="宋体" w:eastAsia="宋体" w:hint="default"/>
                            <w:sz w:val="18"/>
                            <w:szCs w:val="18"/>
                          </w:rPr>
                          <w:t>年第四次临时会议审议通过，将节余募集资金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1,619.94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元用来永久补充公司的流动资金。</w:t>
                        </w:r>
                      </w:p>
                    </w:tc>
                  </w:tr>
                </w:tbl>
                <w:p>
                  <w:pPr/>
                </w:p>
              </w:txbxContent>
            </v:textbox>
            <w10:wrap type="none"/>
          </v:shape>
        </w:pict>
      </w:r>
      <w:r>
        <w:rPr>
          <w:rFonts w:ascii="宋体" w:hAnsi="宋体" w:cs="宋体" w:eastAsia="宋体" w:hint="default"/>
          <w:sz w:val="18"/>
          <w:szCs w:val="18"/>
        </w:rPr>
        <w:t>）</w:t>
      </w:r>
    </w:p>
    <w:p>
      <w:pPr>
        <w:spacing w:line="235" w:lineRule="exact" w:before="0"/>
        <w:ind w:left="0" w:right="25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345" w:lineRule="auto" w:before="35"/>
        <w:ind w:left="713" w:right="0" w:firstLine="43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8"/>
        </w:rPr>
        <w:t>1</w:t>
      </w:r>
      <w:r>
        <w:rPr>
          <w:spacing w:val="-8"/>
        </w:rPr>
        <w:t>．注</w:t>
      </w:r>
      <w:r>
        <w:rPr>
          <w:spacing w:val="-57"/>
        </w:rPr>
        <w:t> </w:t>
      </w:r>
      <w:r>
        <w:rPr>
          <w:rFonts w:ascii="Times New Roman" w:hAnsi="Times New Roman" w:cs="Times New Roman" w:eastAsia="Times New Roman" w:hint="default"/>
          <w:spacing w:val="-7"/>
        </w:rPr>
        <w:t>1</w:t>
      </w:r>
      <w:r>
        <w:rPr>
          <w:spacing w:val="-7"/>
        </w:rPr>
        <w:t>：截止</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日，石基客户技术支持服务中心项目实际投入资金</w:t>
      </w:r>
      <w:r>
        <w:rPr>
          <w:spacing w:val="-56"/>
        </w:rPr>
        <w:t> </w:t>
      </w:r>
      <w:r>
        <w:rPr>
          <w:rFonts w:ascii="Times New Roman" w:hAnsi="Times New Roman" w:cs="Times New Roman" w:eastAsia="Times New Roman" w:hint="default"/>
        </w:rPr>
        <w:t>6,464.53</w:t>
      </w:r>
      <w:r>
        <w:rPr>
          <w:rFonts w:ascii="Times New Roman" w:hAnsi="Times New Roman" w:cs="Times New Roman" w:eastAsia="Times New Roman" w:hint="default"/>
          <w:spacing w:val="-3"/>
        </w:rPr>
        <w:t> </w:t>
      </w:r>
      <w:r>
        <w:rPr/>
        <w:t>万元，</w:t>
      </w:r>
      <w:r>
        <w:rPr>
          <w:w w:val="99"/>
        </w:rPr>
        <w:t> </w:t>
      </w:r>
      <w:r>
        <w:rPr/>
        <w:t>其中用于购置技术服务中心用房</w:t>
      </w:r>
      <w:r>
        <w:rPr>
          <w:spacing w:val="-53"/>
        </w:rPr>
        <w:t> </w:t>
      </w:r>
      <w:r>
        <w:rPr>
          <w:rFonts w:ascii="Times New Roman" w:hAnsi="Times New Roman" w:cs="Times New Roman" w:eastAsia="Times New Roman" w:hint="default"/>
        </w:rPr>
        <w:t>5,006.17</w:t>
      </w:r>
      <w:r>
        <w:rPr>
          <w:rFonts w:ascii="Times New Roman" w:hAnsi="Times New Roman" w:cs="Times New Roman" w:eastAsia="Times New Roman" w:hint="default"/>
          <w:spacing w:val="1"/>
        </w:rPr>
        <w:t> </w:t>
      </w:r>
      <w:r>
        <w:rPr>
          <w:spacing w:val="-4"/>
        </w:rPr>
        <w:t>万元，用于购置电子设备</w:t>
      </w:r>
      <w:r>
        <w:rPr>
          <w:spacing w:val="-53"/>
        </w:rPr>
        <w:t> </w:t>
      </w:r>
      <w:r>
        <w:rPr>
          <w:rFonts w:ascii="Times New Roman" w:hAnsi="Times New Roman" w:cs="Times New Roman" w:eastAsia="Times New Roman" w:hint="default"/>
        </w:rPr>
        <w:t>251.93 </w:t>
      </w:r>
      <w:r>
        <w:rPr>
          <w:spacing w:val="-5"/>
        </w:rPr>
        <w:t>万元，用于购置</w:t>
      </w:r>
      <w:r>
        <w:rPr>
          <w:spacing w:val="-53"/>
        </w:rPr>
        <w:t> </w:t>
      </w:r>
      <w:r>
        <w:rPr>
          <w:rFonts w:ascii="Times New Roman" w:hAnsi="Times New Roman" w:cs="Times New Roman" w:eastAsia="Times New Roman" w:hint="default"/>
        </w:rPr>
        <w:t>PMS</w:t>
      </w:r>
      <w:r>
        <w:rPr>
          <w:rFonts w:ascii="Times New Roman" w:hAnsi="Times New Roman" w:cs="Times New Roman" w:eastAsia="Times New Roman" w:hint="default"/>
          <w:spacing w:val="-4"/>
        </w:rPr>
        <w:t> </w:t>
      </w:r>
      <w:r>
        <w:rPr>
          <w:rFonts w:ascii="Times New Roman" w:hAnsi="Times New Roman" w:cs="Times New Roman" w:eastAsia="Times New Roman" w:hint="default"/>
        </w:rPr>
        <w:t>V7</w:t>
      </w:r>
      <w:r>
        <w:rPr>
          <w:rFonts w:ascii="Times New Roman" w:hAnsi="Times New Roman" w:cs="Times New Roman" w:eastAsia="Times New Roman" w:hint="default"/>
          <w:spacing w:val="1"/>
        </w:rPr>
        <w:t> </w:t>
      </w:r>
      <w:r>
        <w:rPr/>
        <w:t>源代码 许可接口</w:t>
      </w:r>
      <w:r>
        <w:rPr>
          <w:rFonts w:ascii="Times New Roman" w:hAnsi="Times New Roman" w:cs="Times New Roman" w:eastAsia="Times New Roman" w:hint="default"/>
        </w:rPr>
        <w:t>\</w:t>
      </w:r>
      <w:r>
        <w:rPr/>
        <w:t>内核与文档软件</w:t>
      </w:r>
      <w:r>
        <w:rPr>
          <w:spacing w:val="-55"/>
        </w:rPr>
        <w:t> </w:t>
      </w:r>
      <w:r>
        <w:rPr>
          <w:rFonts w:ascii="Times New Roman" w:hAnsi="Times New Roman" w:cs="Times New Roman" w:eastAsia="Times New Roman" w:hint="default"/>
        </w:rPr>
        <w:t>513.68</w:t>
      </w:r>
      <w:r>
        <w:rPr>
          <w:rFonts w:ascii="Times New Roman" w:hAnsi="Times New Roman" w:cs="Times New Roman" w:eastAsia="Times New Roman" w:hint="default"/>
          <w:spacing w:val="-2"/>
        </w:rPr>
        <w:t> </w:t>
      </w:r>
      <w:r>
        <w:rPr/>
        <w:t>万元，用于支付流动资金</w:t>
      </w:r>
      <w:r>
        <w:rPr>
          <w:spacing w:val="-55"/>
        </w:rPr>
        <w:t> </w:t>
      </w:r>
      <w:r>
        <w:rPr>
          <w:rFonts w:ascii="Times New Roman" w:hAnsi="Times New Roman" w:cs="Times New Roman" w:eastAsia="Times New Roman" w:hint="default"/>
        </w:rPr>
        <w:t>692.75</w:t>
      </w:r>
      <w:r>
        <w:rPr>
          <w:rFonts w:ascii="Times New Roman" w:hAnsi="Times New Roman" w:cs="Times New Roman" w:eastAsia="Times New Roman" w:hint="default"/>
          <w:spacing w:val="-2"/>
        </w:rPr>
        <w:t> </w:t>
      </w:r>
      <w:r>
        <w:rPr/>
        <w:t>万元。</w:t>
      </w:r>
    </w:p>
    <w:p>
      <w:pPr>
        <w:spacing w:after="0" w:line="345" w:lineRule="auto"/>
        <w:jc w:val="left"/>
        <w:sectPr>
          <w:pgSz w:w="11910" w:h="16840"/>
          <w:pgMar w:header="851" w:footer="982" w:top="1200" w:bottom="1180" w:left="420" w:right="420"/>
        </w:sectPr>
      </w:pPr>
    </w:p>
    <w:p>
      <w:pPr>
        <w:spacing w:line="240" w:lineRule="auto" w:before="13"/>
        <w:rPr>
          <w:rFonts w:ascii="宋体" w:hAnsi="宋体" w:cs="宋体" w:eastAsia="宋体" w:hint="default"/>
          <w:sz w:val="3"/>
          <w:szCs w:val="3"/>
        </w:rPr>
      </w:pPr>
    </w:p>
    <w:p>
      <w:pPr>
        <w:spacing w:line="20" w:lineRule="exact"/>
        <w:ind w:left="4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5"/>
          <w:szCs w:val="5"/>
        </w:rPr>
      </w:pPr>
    </w:p>
    <w:p>
      <w:pPr>
        <w:pStyle w:val="BodyText"/>
        <w:spacing w:line="345" w:lineRule="auto" w:before="35"/>
        <w:ind w:left="473" w:right="490" w:firstLine="435"/>
        <w:jc w:val="both"/>
      </w:pPr>
      <w:r>
        <w:rPr>
          <w:rFonts w:ascii="Times New Roman" w:hAnsi="Times New Roman" w:cs="Times New Roman" w:eastAsia="Times New Roman" w:hint="default"/>
          <w:spacing w:val="-3"/>
        </w:rPr>
        <w:t>2</w:t>
      </w:r>
      <w:r>
        <w:rPr>
          <w:spacing w:val="-3"/>
        </w:rPr>
        <w:t>．截止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Sunsystems</w:t>
      </w:r>
      <w:r>
        <w:rPr>
          <w:rFonts w:ascii="Times New Roman" w:hAnsi="Times New Roman" w:cs="Times New Roman" w:eastAsia="Times New Roman" w:hint="default"/>
          <w:spacing w:val="-2"/>
        </w:rPr>
        <w:t> </w:t>
      </w:r>
      <w:r>
        <w:rPr/>
        <w:t>财务系统技术许可项目实际投入资金</w:t>
      </w:r>
      <w:r>
        <w:rPr>
          <w:spacing w:val="-55"/>
        </w:rPr>
        <w:t> </w:t>
      </w:r>
      <w:r>
        <w:rPr>
          <w:rFonts w:ascii="Times New Roman" w:hAnsi="Times New Roman" w:cs="Times New Roman" w:eastAsia="Times New Roman" w:hint="default"/>
        </w:rPr>
        <w:t>6,018.95</w:t>
      </w:r>
      <w:r>
        <w:rPr>
          <w:rFonts w:ascii="Times New Roman" w:hAnsi="Times New Roman" w:cs="Times New Roman" w:eastAsia="Times New Roman" w:hint="default"/>
          <w:spacing w:val="-2"/>
        </w:rPr>
        <w:t> </w:t>
      </w:r>
      <w:r>
        <w:rPr>
          <w:spacing w:val="-3"/>
        </w:rPr>
        <w:t>万元，其中用</w:t>
      </w:r>
      <w:r>
        <w:rPr/>
        <w:t> 于购置</w:t>
      </w:r>
      <w:r>
        <w:rPr>
          <w:spacing w:val="-53"/>
        </w:rPr>
        <w:t> </w:t>
      </w:r>
      <w:r>
        <w:rPr>
          <w:rFonts w:ascii="Times New Roman" w:hAnsi="Times New Roman" w:cs="Times New Roman" w:eastAsia="Times New Roman" w:hint="default"/>
        </w:rPr>
        <w:t>Sunsystems </w:t>
      </w:r>
      <w:r>
        <w:rPr/>
        <w:t>财务系统技术许可权</w:t>
      </w:r>
      <w:r>
        <w:rPr>
          <w:spacing w:val="-53"/>
        </w:rPr>
        <w:t> </w:t>
      </w:r>
      <w:r>
        <w:rPr>
          <w:rFonts w:ascii="Times New Roman" w:hAnsi="Times New Roman" w:cs="Times New Roman" w:eastAsia="Times New Roman" w:hint="default"/>
        </w:rPr>
        <w:t>3,614.37</w:t>
      </w:r>
      <w:r>
        <w:rPr>
          <w:rFonts w:ascii="Times New Roman" w:hAnsi="Times New Roman" w:cs="Times New Roman" w:eastAsia="Times New Roman" w:hint="default"/>
          <w:spacing w:val="-1"/>
        </w:rPr>
        <w:t> </w:t>
      </w:r>
      <w:r>
        <w:rPr>
          <w:spacing w:val="-4"/>
        </w:rPr>
        <w:t>万元，用于购置办公用房</w:t>
      </w:r>
      <w:r>
        <w:rPr>
          <w:spacing w:val="-53"/>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1"/>
        </w:rPr>
        <w:t> </w:t>
      </w:r>
      <w:r>
        <w:rPr>
          <w:spacing w:val="-4"/>
        </w:rPr>
        <w:t>万元，用于购置电子设</w:t>
      </w:r>
      <w:r>
        <w:rPr/>
        <w:t> 备</w:t>
      </w:r>
      <w:r>
        <w:rPr>
          <w:spacing w:val="-55"/>
        </w:rPr>
        <w:t> </w:t>
      </w:r>
      <w:r>
        <w:rPr>
          <w:rFonts w:ascii="Times New Roman" w:hAnsi="Times New Roman" w:cs="Times New Roman" w:eastAsia="Times New Roman" w:hint="default"/>
        </w:rPr>
        <w:t>4.58</w:t>
      </w:r>
      <w:r>
        <w:rPr>
          <w:rFonts w:ascii="Times New Roman" w:hAnsi="Times New Roman" w:cs="Times New Roman" w:eastAsia="Times New Roman" w:hint="default"/>
          <w:spacing w:val="-2"/>
        </w:rPr>
        <w:t> </w:t>
      </w:r>
      <w:r>
        <w:rPr/>
        <w:t>万元。</w:t>
      </w:r>
    </w:p>
    <w:p>
      <w:pPr>
        <w:pStyle w:val="BodyText"/>
        <w:spacing w:line="240" w:lineRule="auto" w:before="27"/>
        <w:ind w:left="909" w:right="0"/>
        <w:jc w:val="left"/>
      </w:pPr>
      <w:r>
        <w:rPr>
          <w:rFonts w:ascii="Times New Roman" w:hAnsi="Times New Roman" w:cs="Times New Roman" w:eastAsia="Times New Roman" w:hint="default"/>
          <w:spacing w:val="-4"/>
        </w:rPr>
        <w:t>3</w:t>
      </w:r>
      <w:r>
        <w:rPr>
          <w:spacing w:val="-4"/>
        </w:rPr>
        <w:t>．截止</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日，石基酒店分销在线处理平台项目实际投入资金</w:t>
      </w:r>
      <w:r>
        <w:rPr>
          <w:spacing w:val="-57"/>
        </w:rPr>
        <w:t> </w:t>
      </w:r>
      <w:r>
        <w:rPr>
          <w:rFonts w:ascii="Times New Roman" w:hAnsi="Times New Roman" w:cs="Times New Roman" w:eastAsia="Times New Roman" w:hint="default"/>
        </w:rPr>
        <w:t>6,735.98</w:t>
      </w:r>
      <w:r>
        <w:rPr>
          <w:rFonts w:ascii="Times New Roman" w:hAnsi="Times New Roman" w:cs="Times New Roman" w:eastAsia="Times New Roman" w:hint="default"/>
          <w:spacing w:val="-4"/>
        </w:rPr>
        <w:t> </w:t>
      </w:r>
      <w:r>
        <w:rPr/>
        <w:t>万元，其中用于</w:t>
      </w:r>
    </w:p>
    <w:p>
      <w:pPr>
        <w:pStyle w:val="BodyText"/>
        <w:spacing w:line="240" w:lineRule="auto" w:before="129"/>
        <w:ind w:left="473" w:right="0"/>
        <w:jc w:val="left"/>
        <w:rPr>
          <w:rFonts w:ascii="Times New Roman" w:hAnsi="Times New Roman" w:cs="Times New Roman" w:eastAsia="Times New Roman" w:hint="default"/>
        </w:rPr>
      </w:pPr>
      <w:r>
        <w:rPr/>
        <w:t>购置互联网预定引擎数据库软件</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86</w:t>
      </w:r>
      <w:r>
        <w:rPr>
          <w:rFonts w:ascii="Times New Roman" w:hAnsi="Times New Roman" w:cs="Times New Roman" w:eastAsia="Times New Roman" w:hint="default"/>
          <w:spacing w:val="-1"/>
        </w:rPr>
        <w:t>.</w:t>
      </w:r>
      <w:r>
        <w:rPr>
          <w:rFonts w:ascii="Times New Roman" w:hAnsi="Times New Roman" w:cs="Times New Roman" w:eastAsia="Times New Roman" w:hint="default"/>
        </w:rPr>
        <w:t>88</w:t>
      </w:r>
      <w:r>
        <w:rPr>
          <w:rFonts w:ascii="Times New Roman" w:hAnsi="Times New Roman" w:cs="Times New Roman" w:eastAsia="Times New Roman" w:hint="default"/>
          <w:spacing w:val="-4"/>
        </w:rPr>
        <w:t> </w:t>
      </w:r>
      <w:r>
        <w:rPr/>
        <w:t>万</w:t>
      </w:r>
      <w:r>
        <w:rPr>
          <w:spacing w:val="-2"/>
        </w:rPr>
        <w:t>元</w:t>
      </w:r>
      <w:r>
        <w:rPr>
          <w:spacing w:val="-106"/>
        </w:rPr>
        <w:t>，</w:t>
      </w:r>
      <w:r>
        <w:rPr/>
        <w:t>用于购置办公用房</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4"/>
        </w:rPr>
        <w:t> </w:t>
      </w:r>
      <w:r>
        <w:rPr/>
        <w:t>万元</w:t>
      </w:r>
      <w:r>
        <w:rPr>
          <w:spacing w:val="-105"/>
        </w:rPr>
        <w:t>，</w:t>
      </w:r>
      <w:r>
        <w:rPr/>
        <w:t>用</w:t>
      </w:r>
      <w:r>
        <w:rPr>
          <w:spacing w:val="-2"/>
        </w:rPr>
        <w:t>于</w:t>
      </w:r>
      <w:r>
        <w:rPr/>
        <w:t>购置电子设备</w:t>
      </w:r>
      <w:r>
        <w:rPr>
          <w:spacing w:val="-57"/>
        </w:rPr>
        <w:t> </w:t>
      </w:r>
      <w:r>
        <w:rPr>
          <w:rFonts w:ascii="Times New Roman" w:hAnsi="Times New Roman" w:cs="Times New Roman" w:eastAsia="Times New Roman" w:hint="default"/>
        </w:rPr>
        <w:t>49</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p>
    <w:p>
      <w:pPr>
        <w:pStyle w:val="BodyText"/>
        <w:spacing w:line="240" w:lineRule="auto" w:before="129"/>
        <w:ind w:left="473" w:right="0"/>
        <w:jc w:val="left"/>
      </w:pPr>
      <w:r>
        <w:rPr>
          <w:spacing w:val="-3"/>
        </w:rPr>
        <w:t>万元，用于接口开发、连接及培训费用</w:t>
      </w:r>
      <w:r>
        <w:rPr>
          <w:spacing w:val="-55"/>
        </w:rPr>
        <w:t> </w:t>
      </w:r>
      <w:r>
        <w:rPr>
          <w:rFonts w:ascii="Times New Roman" w:hAnsi="Times New Roman" w:cs="Times New Roman" w:eastAsia="Times New Roman" w:hint="default"/>
        </w:rPr>
        <w:t>834.19</w:t>
      </w:r>
      <w:r>
        <w:rPr>
          <w:rFonts w:ascii="Times New Roman" w:hAnsi="Times New Roman" w:cs="Times New Roman" w:eastAsia="Times New Roman" w:hint="default"/>
          <w:spacing w:val="-3"/>
        </w:rPr>
        <w:t> </w:t>
      </w:r>
      <w:r>
        <w:rPr/>
        <w:t>万元，用于支付研究开发费用</w:t>
      </w:r>
      <w:r>
        <w:rPr>
          <w:spacing w:val="-55"/>
        </w:rPr>
        <w:t> </w:t>
      </w:r>
      <w:r>
        <w:rPr>
          <w:rFonts w:ascii="Times New Roman" w:hAnsi="Times New Roman" w:cs="Times New Roman" w:eastAsia="Times New Roman" w:hint="default"/>
        </w:rPr>
        <w:t>1,823.46</w:t>
      </w:r>
      <w:r>
        <w:rPr>
          <w:rFonts w:ascii="Times New Roman" w:hAnsi="Times New Roman" w:cs="Times New Roman" w:eastAsia="Times New Roman" w:hint="default"/>
          <w:spacing w:val="-2"/>
        </w:rPr>
        <w:t> </w:t>
      </w:r>
      <w:r>
        <w:rPr>
          <w:spacing w:val="-3"/>
        </w:rPr>
        <w:t>万元。该项目计划投</w:t>
      </w:r>
    </w:p>
    <w:p>
      <w:pPr>
        <w:pStyle w:val="BodyText"/>
        <w:spacing w:line="240" w:lineRule="auto" w:before="129"/>
        <w:ind w:left="473" w:right="0"/>
        <w:jc w:val="left"/>
      </w:pPr>
      <w:r>
        <w:rPr/>
        <w:t>入</w:t>
      </w:r>
      <w:r>
        <w:rPr>
          <w:spacing w:val="-55"/>
        </w:rPr>
        <w:t> </w:t>
      </w:r>
      <w:r>
        <w:rPr>
          <w:rFonts w:ascii="Times New Roman" w:hAnsi="Times New Roman" w:cs="Times New Roman" w:eastAsia="Times New Roman" w:hint="default"/>
        </w:rPr>
        <w:t>6,500</w:t>
      </w:r>
      <w:r>
        <w:rPr>
          <w:rFonts w:ascii="Times New Roman" w:hAnsi="Times New Roman" w:cs="Times New Roman" w:eastAsia="Times New Roman" w:hint="default"/>
          <w:spacing w:val="-2"/>
        </w:rPr>
        <w:t> </w:t>
      </w:r>
      <w:r>
        <w:rPr/>
        <w:t>万元，实际投入超过计划投资部份系用募集资金存款利息投入。</w:t>
      </w:r>
    </w:p>
    <w:p>
      <w:pPr>
        <w:pStyle w:val="BodyText"/>
        <w:spacing w:line="362" w:lineRule="auto" w:before="129"/>
        <w:ind w:left="473" w:right="484" w:firstLine="435"/>
        <w:jc w:val="both"/>
      </w:pPr>
      <w:r>
        <w:rPr>
          <w:rFonts w:ascii="Times New Roman" w:hAnsi="Times New Roman" w:cs="Times New Roman" w:eastAsia="Times New Roman" w:hint="default"/>
        </w:rPr>
        <w:t>4</w:t>
      </w:r>
      <w:r>
        <w:rPr/>
        <w:t>．石基客户技术支持与服务中心已于</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日开始投入使用，主要由公司全资子公司北海石 </w:t>
      </w:r>
      <w:r>
        <w:rPr>
          <w:spacing w:val="-1"/>
        </w:rPr>
        <w:t>基信息技术有限公司进行客户技术支持与服务中心日常运营与核算工作。由于北海石基信息技术有限公司</w:t>
      </w:r>
      <w:r>
        <w:rPr>
          <w:spacing w:val="-81"/>
        </w:rPr>
        <w:t> </w:t>
      </w:r>
      <w:r>
        <w:rPr>
          <w:spacing w:val="-81"/>
        </w:rPr>
      </w:r>
      <w:r>
        <w:rPr>
          <w:spacing w:val="-1"/>
        </w:rPr>
        <w:t>同时还在承担着部分项目集成及软件销售工作，故无法对该项目的效益进行单独核算。根据公司招股说明</w:t>
      </w:r>
      <w:r>
        <w:rPr>
          <w:spacing w:val="-81"/>
        </w:rPr>
        <w:t> </w:t>
      </w:r>
      <w:r>
        <w:rPr>
          <w:spacing w:val="-81"/>
        </w:rPr>
      </w:r>
      <w:r>
        <w:rPr>
          <w:spacing w:val="3"/>
        </w:rPr>
        <w:t>书及该项目建议书作出的投资效益预计，石基客户技术支持服务中心项目建成达产的第三年可实现收入</w:t>
      </w:r>
      <w:r>
        <w:rPr>
          <w:spacing w:val="-78"/>
        </w:rPr>
        <w:t> </w:t>
      </w:r>
      <w:r>
        <w:rPr>
          <w:spacing w:val="-78"/>
        </w:rPr>
      </w:r>
      <w:r>
        <w:rPr>
          <w:rFonts w:ascii="Times New Roman" w:hAnsi="Times New Roman" w:cs="Times New Roman" w:eastAsia="Times New Roman" w:hint="default"/>
        </w:rPr>
        <w:t>4,600.00</w:t>
      </w:r>
      <w:r>
        <w:rPr>
          <w:rFonts w:ascii="Times New Roman" w:hAnsi="Times New Roman" w:cs="Times New Roman" w:eastAsia="Times New Roman" w:hint="default"/>
          <w:spacing w:val="-6"/>
        </w:rPr>
        <w:t> </w:t>
      </w:r>
      <w:r>
        <w:rPr/>
        <w:t>万元，扣除预计的成本及税金</w:t>
      </w:r>
      <w:r>
        <w:rPr>
          <w:spacing w:val="-60"/>
        </w:rPr>
        <w:t> </w:t>
      </w:r>
      <w:r>
        <w:rPr>
          <w:rFonts w:ascii="Times New Roman" w:hAnsi="Times New Roman" w:cs="Times New Roman" w:eastAsia="Times New Roman" w:hint="default"/>
        </w:rPr>
        <w:t>3,031.37</w:t>
      </w:r>
      <w:r>
        <w:rPr>
          <w:rFonts w:ascii="Times New Roman" w:hAnsi="Times New Roman" w:cs="Times New Roman" w:eastAsia="Times New Roman" w:hint="default"/>
          <w:spacing w:val="-8"/>
        </w:rPr>
        <w:t> </w:t>
      </w:r>
      <w:r>
        <w:rPr/>
        <w:t>万元后，可实现净利润为</w:t>
      </w:r>
      <w:r>
        <w:rPr>
          <w:spacing w:val="-60"/>
        </w:rPr>
        <w:t> </w:t>
      </w:r>
      <w:r>
        <w:rPr>
          <w:rFonts w:ascii="Times New Roman" w:hAnsi="Times New Roman" w:cs="Times New Roman" w:eastAsia="Times New Roman" w:hint="default"/>
        </w:rPr>
        <w:t>1,568.63</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年度北海石</w:t>
      </w:r>
    </w:p>
    <w:p>
      <w:pPr>
        <w:pStyle w:val="BodyText"/>
        <w:spacing w:line="360" w:lineRule="auto" w:before="10"/>
        <w:ind w:left="473" w:right="490"/>
        <w:jc w:val="both"/>
      </w:pPr>
      <w:r>
        <w:rPr/>
        <w:t>基信息技术有限公司实现维护收入</w:t>
      </w:r>
      <w:r>
        <w:rPr>
          <w:spacing w:val="-34"/>
        </w:rPr>
        <w:t> </w:t>
      </w:r>
      <w:r>
        <w:rPr>
          <w:rFonts w:ascii="Times New Roman" w:hAnsi="Times New Roman" w:cs="Times New Roman" w:eastAsia="Times New Roman" w:hint="default"/>
        </w:rPr>
        <w:t>5,632.18</w:t>
      </w:r>
      <w:r>
        <w:rPr>
          <w:rFonts w:ascii="Times New Roman" w:hAnsi="Times New Roman" w:cs="Times New Roman" w:eastAsia="Times New Roman" w:hint="default"/>
          <w:spacing w:val="19"/>
        </w:rPr>
        <w:t> </w:t>
      </w:r>
      <w:r>
        <w:rPr/>
        <w:t>万元，由于公司</w:t>
      </w:r>
      <w:r>
        <w:rPr>
          <w:spacing w:val="-3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年度对该募集资金项目的投资具体内容 </w:t>
      </w:r>
      <w:r>
        <w:rPr>
          <w:spacing w:val="-1"/>
        </w:rPr>
        <w:t>进行了调整，将原投资于电脑硬件的投入增加为投资房产，另外客户技术支持与服务中心主要由北海石基</w:t>
      </w:r>
      <w:r>
        <w:rPr>
          <w:spacing w:val="-81"/>
        </w:rPr>
        <w:t> </w:t>
      </w:r>
      <w:r>
        <w:rPr>
          <w:spacing w:val="-81"/>
        </w:rPr>
      </w:r>
      <w:r>
        <w:rPr>
          <w:spacing w:val="-1"/>
        </w:rPr>
        <w:t>信息技术有限公司负责运营，使得折旧、人工及税金均较招股说明书的预计大幅度下降，故按此计算该项</w:t>
      </w:r>
      <w:r>
        <w:rPr>
          <w:spacing w:val="-83"/>
        </w:rPr>
        <w:t> </w:t>
      </w:r>
      <w:r>
        <w:rPr>
          <w:spacing w:val="-83"/>
        </w:rPr>
      </w:r>
      <w:r>
        <w:rPr/>
        <w:t>目</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年度实现的效益达到了预计效益。</w:t>
      </w:r>
    </w:p>
    <w:p>
      <w:pPr>
        <w:pStyle w:val="BodyText"/>
        <w:spacing w:line="240" w:lineRule="auto" w:before="13"/>
        <w:ind w:left="908" w:right="0"/>
        <w:jc w:val="left"/>
      </w:pPr>
      <w:r>
        <w:rPr>
          <w:rFonts w:ascii="Times New Roman" w:hAnsi="Times New Roman" w:cs="Times New Roman" w:eastAsia="Times New Roman" w:hint="default"/>
        </w:rPr>
        <w:t>Sunsystems</w:t>
      </w:r>
      <w:r>
        <w:rPr>
          <w:rFonts w:ascii="Times New Roman" w:hAnsi="Times New Roman" w:cs="Times New Roman" w:eastAsia="Times New Roman" w:hint="default"/>
          <w:spacing w:val="10"/>
        </w:rPr>
        <w:t> </w:t>
      </w:r>
      <w:r>
        <w:rPr/>
        <w:t>财务系统技术许可项目于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日正式运营，公司未对该项目净利润单独核算，</w:t>
      </w:r>
    </w:p>
    <w:p>
      <w:pPr>
        <w:pStyle w:val="BodyText"/>
        <w:spacing w:line="240" w:lineRule="auto" w:before="129"/>
        <w:ind w:left="473" w:right="0"/>
        <w:jc w:val="left"/>
      </w:pPr>
      <w:r>
        <w:rPr/>
        <w:t>根据项目可行性研究报告中预计</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年度可实现收入</w:t>
      </w:r>
      <w:r>
        <w:rPr>
          <w:spacing w:val="-50"/>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2"/>
        </w:rPr>
        <w:t> </w:t>
      </w:r>
      <w:r>
        <w:rPr/>
        <w:t>万元，净利润</w:t>
      </w:r>
      <w:r>
        <w:rPr>
          <w:spacing w:val="-50"/>
        </w:rPr>
        <w:t> </w:t>
      </w:r>
      <w:r>
        <w:rPr>
          <w:rFonts w:ascii="Times New Roman" w:hAnsi="Times New Roman" w:cs="Times New Roman" w:eastAsia="Times New Roman" w:hint="default"/>
        </w:rPr>
        <w:t>1,361.55</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年实际</w:t>
      </w:r>
    </w:p>
    <w:p>
      <w:pPr>
        <w:pStyle w:val="BodyText"/>
        <w:spacing w:line="352" w:lineRule="auto" w:before="129"/>
        <w:ind w:left="473" w:right="0"/>
        <w:jc w:val="left"/>
      </w:pPr>
      <w:r>
        <w:rPr/>
        <w:t>实现收入 </w:t>
      </w:r>
      <w:r>
        <w:rPr>
          <w:rFonts w:ascii="Times New Roman" w:hAnsi="Times New Roman" w:cs="Times New Roman" w:eastAsia="Times New Roman" w:hint="default"/>
        </w:rPr>
        <w:t>1,123.75 </w:t>
      </w:r>
      <w:r>
        <w:rPr/>
        <w:t>万元，项目的实际投入与预计的大致相当，故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年度的效益未达到预计效益。主要 </w:t>
      </w:r>
      <w:r>
        <w:rPr>
          <w:spacing w:val="-6"/>
        </w:rPr>
        <w:t>原因是：由于</w:t>
      </w:r>
      <w:r>
        <w:rPr>
          <w:spacing w:val="-62"/>
        </w:rPr>
        <w:t> </w:t>
      </w:r>
      <w:r>
        <w:rPr>
          <w:rFonts w:ascii="Times New Roman" w:hAnsi="Times New Roman" w:cs="Times New Roman" w:eastAsia="Times New Roman" w:hint="default"/>
        </w:rPr>
        <w:t>Sunsystems</w:t>
      </w:r>
      <w:r>
        <w:rPr>
          <w:rFonts w:ascii="Times New Roman" w:hAnsi="Times New Roman" w:cs="Times New Roman" w:eastAsia="Times New Roman" w:hint="default"/>
          <w:spacing w:val="-9"/>
        </w:rPr>
        <w:t> </w:t>
      </w:r>
      <w:r>
        <w:rPr/>
        <w:t>财务系统是国际上目前最先进的酒店财务管理系统，其售价较其他财务系统要高 </w:t>
      </w:r>
      <w:r>
        <w:rPr>
          <w:spacing w:val="-3"/>
        </w:rPr>
        <w:t>很多，由于</w:t>
      </w:r>
      <w:r>
        <w:rPr>
          <w:spacing w:val="-71"/>
        </w:rPr>
        <w:t> </w:t>
      </w:r>
      <w:r>
        <w:rPr/>
        <w:t>2009</w:t>
      </w:r>
      <w:r>
        <w:rPr>
          <w:spacing w:val="-70"/>
        </w:rPr>
        <w:t> </w:t>
      </w:r>
      <w:r>
        <w:rPr/>
        <w:t>年度国际金融危机对酒店业的冲击，公司很多客户受影响较大，出于预算和成本的考虑，</w:t>
      </w:r>
      <w:r>
        <w:rPr>
          <w:spacing w:val="-1"/>
        </w:rPr>
        <w:t> </w:t>
      </w:r>
      <w:r>
        <w:rPr/>
        <w:t>推迟了采购或更新软件的计划，使得该项目未能完成预期的销售。</w:t>
      </w:r>
    </w:p>
    <w:p>
      <w:pPr>
        <w:pStyle w:val="BodyText"/>
        <w:spacing w:line="345" w:lineRule="auto" w:before="46"/>
        <w:ind w:left="886" w:right="0" w:firstLine="21"/>
        <w:jc w:val="left"/>
      </w:pPr>
      <w:r>
        <w:rPr/>
        <w:t>酒店在线分销处理平台</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日正式运营，截止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日，该项目尚未产生收益。 实现效益的计算口径、计算方法与承诺效益的计算口径、计算方法一致。</w:t>
      </w:r>
    </w:p>
    <w:p>
      <w:pPr>
        <w:spacing w:line="240" w:lineRule="auto" w:before="6"/>
        <w:rPr>
          <w:rFonts w:ascii="宋体" w:hAnsi="宋体" w:cs="宋体" w:eastAsia="宋体" w:hint="default"/>
          <w:sz w:val="20"/>
          <w:szCs w:val="20"/>
        </w:rPr>
      </w:pPr>
    </w:p>
    <w:p>
      <w:pPr>
        <w:pStyle w:val="Heading3"/>
        <w:spacing w:line="240" w:lineRule="auto"/>
        <w:ind w:left="886" w:right="0"/>
        <w:jc w:val="left"/>
        <w:rPr>
          <w:b w:val="0"/>
          <w:bCs w:val="0"/>
        </w:rPr>
      </w:pPr>
      <w:r>
        <w:rPr/>
        <w:t>2、募集资金投资项目变更情况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9" w:type="dxa"/>
        <w:tblLayout w:type="fixed"/>
        <w:tblCellMar>
          <w:top w:w="0" w:type="dxa"/>
          <w:left w:w="0" w:type="dxa"/>
          <w:bottom w:w="0" w:type="dxa"/>
          <w:right w:w="0" w:type="dxa"/>
        </w:tblCellMar>
        <w:tblLook w:val="01E0"/>
      </w:tblPr>
      <w:tblGrid>
        <w:gridCol w:w="1660"/>
        <w:gridCol w:w="1301"/>
        <w:gridCol w:w="780"/>
        <w:gridCol w:w="832"/>
        <w:gridCol w:w="780"/>
        <w:gridCol w:w="780"/>
        <w:gridCol w:w="780"/>
        <w:gridCol w:w="1488"/>
        <w:gridCol w:w="720"/>
        <w:gridCol w:w="457"/>
        <w:gridCol w:w="791"/>
      </w:tblGrid>
      <w:tr>
        <w:trPr>
          <w:trHeight w:val="1177"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对应的原项目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3" w:right="24"/>
              <w:jc w:val="center"/>
              <w:rPr>
                <w:rFonts w:ascii="宋体" w:hAnsi="宋体" w:cs="宋体" w:eastAsia="宋体" w:hint="default"/>
                <w:sz w:val="18"/>
                <w:szCs w:val="18"/>
              </w:rPr>
            </w:pPr>
            <w:r>
              <w:rPr>
                <w:rFonts w:ascii="宋体" w:hAnsi="宋体" w:cs="宋体" w:eastAsia="宋体" w:hint="default"/>
                <w:sz w:val="18"/>
                <w:szCs w:val="18"/>
              </w:rPr>
              <w:t>变更后项 目拟投入 募集资金 总额</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00"/>
              <w:ind w:left="50" w:right="4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计划累计 投资金额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23" w:right="24"/>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9"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实际累计 投入金额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52"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投资进度 </w:t>
            </w:r>
            <w:r>
              <w:rPr>
                <w:rFonts w:ascii="Times New Roman" w:hAnsi="Times New Roman" w:cs="Times New Roman" w:eastAsia="Times New Roman" w:hint="default"/>
                <w:sz w:val="18"/>
                <w:szCs w:val="18"/>
              </w:rPr>
              <w:t>(%)(3)=( 2)/(1)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97" w:right="108"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83" w:right="84"/>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3" w:right="32" w:firstLine="9"/>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变更后的</w:t>
            </w:r>
          </w:p>
          <w:p>
            <w:pPr>
              <w:pStyle w:val="TableParagraph"/>
              <w:spacing w:line="237" w:lineRule="auto"/>
              <w:ind w:left="29" w:right="2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78"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Sunsystems </w:t>
            </w:r>
            <w:r>
              <w:rPr>
                <w:rFonts w:ascii="Times New Roman" w:hAnsi="Times New Roman" w:cs="Times New Roman" w:eastAsia="Times New Roman" w:hint="default"/>
                <w:spacing w:val="21"/>
                <w:sz w:val="18"/>
                <w:szCs w:val="18"/>
              </w:rPr>
              <w:t> </w:t>
            </w:r>
            <w:r>
              <w:rPr>
                <w:rFonts w:ascii="宋体" w:hAnsi="宋体" w:cs="宋体" w:eastAsia="宋体" w:hint="default"/>
                <w:spacing w:val="18"/>
                <w:sz w:val="18"/>
                <w:szCs w:val="18"/>
              </w:rPr>
              <w:t>财务系</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统技术许可项目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石基多用途数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据中心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6,200.00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6,200.00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6,018.95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97.08%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272.76</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8"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6,200.00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z w:val="18"/>
              </w:rPr>
              <w:t>6,200.00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6,018.95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97.08%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right="1"/>
              <w:jc w:val="center"/>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right="1"/>
              <w:jc w:val="center"/>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left="169" w:right="0"/>
              <w:jc w:val="left"/>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right="0"/>
              <w:jc w:val="center"/>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r>
      <w:tr>
        <w:trPr>
          <w:trHeight w:val="1410"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04" w:right="20" w:hanging="82"/>
              <w:jc w:val="left"/>
              <w:rPr>
                <w:rFonts w:ascii="宋体" w:hAnsi="宋体" w:cs="宋体" w:eastAsia="宋体" w:hint="default"/>
                <w:sz w:val="18"/>
                <w:szCs w:val="18"/>
              </w:rPr>
            </w:pPr>
            <w:r>
              <w:rPr>
                <w:rFonts w:ascii="宋体" w:hAnsi="宋体" w:cs="宋体" w:eastAsia="宋体" w:hint="default"/>
                <w:spacing w:val="-2"/>
                <w:sz w:val="18"/>
                <w:szCs w:val="18"/>
              </w:rPr>
              <w:t>变更原因、决策程序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及信息披露情况说 明（分具体项目）</w:t>
            </w:r>
          </w:p>
        </w:tc>
        <w:tc>
          <w:tcPr>
            <w:tcW w:w="87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变更原因：1、公司业务结构发生了较大变化，对“多用途数据中心项目”建设要求不再迫切。公司原来业务全</w:t>
            </w:r>
          </w:p>
          <w:p>
            <w:pPr>
              <w:pStyle w:val="TableParagraph"/>
              <w:spacing w:line="237" w:lineRule="auto"/>
              <w:ind w:left="23" w:right="32"/>
              <w:jc w:val="left"/>
              <w:rPr>
                <w:rFonts w:ascii="宋体" w:hAnsi="宋体" w:cs="宋体" w:eastAsia="宋体" w:hint="default"/>
                <w:sz w:val="18"/>
                <w:szCs w:val="18"/>
              </w:rPr>
            </w:pPr>
            <w:r>
              <w:rPr>
                <w:rFonts w:ascii="宋体" w:hAnsi="宋体" w:cs="宋体" w:eastAsia="宋体" w:hint="default"/>
                <w:sz w:val="18"/>
                <w:szCs w:val="18"/>
              </w:rPr>
              <w:t>部集中于高档酒店，希望通过建立多用途数据中心以</w:t>
            </w:r>
            <w:r>
              <w:rPr>
                <w:rFonts w:ascii="宋体" w:hAnsi="宋体" w:cs="宋体" w:eastAsia="宋体" w:hint="default"/>
                <w:spacing w:val="-46"/>
                <w:sz w:val="18"/>
                <w:szCs w:val="18"/>
              </w:rPr>
              <w:t> </w:t>
            </w:r>
            <w:r>
              <w:rPr>
                <w:rFonts w:ascii="宋体" w:hAnsi="宋体" w:cs="宋体" w:eastAsia="宋体" w:hint="default"/>
                <w:sz w:val="18"/>
                <w:szCs w:val="18"/>
              </w:rPr>
              <w:t>ASP</w:t>
            </w:r>
            <w:r>
              <w:rPr>
                <w:rFonts w:ascii="宋体" w:hAnsi="宋体" w:cs="宋体" w:eastAsia="宋体" w:hint="default"/>
                <w:spacing w:val="-46"/>
                <w:sz w:val="18"/>
                <w:szCs w:val="18"/>
              </w:rPr>
              <w:t> </w:t>
            </w:r>
            <w:r>
              <w:rPr>
                <w:rFonts w:ascii="宋体" w:hAnsi="宋体" w:cs="宋体" w:eastAsia="宋体" w:hint="default"/>
                <w:sz w:val="18"/>
                <w:szCs w:val="18"/>
              </w:rPr>
              <w:t>模式切入较低星级酒店领域。目前，公司通过控股杭</w:t>
            </w:r>
            <w:r>
              <w:rPr>
                <w:rFonts w:ascii="宋体" w:hAnsi="宋体" w:cs="宋体" w:eastAsia="宋体" w:hint="default"/>
                <w:sz w:val="18"/>
                <w:szCs w:val="18"/>
              </w:rPr>
              <w:t> 州西软科技有限公司，已成功地介入较低星级酒店领域并取得国内领先地位，公司用户已全面覆盖高、中、低 档酒店领域。 </w:t>
            </w:r>
            <w:r>
              <w:rPr>
                <w:rFonts w:ascii="宋体" w:hAnsi="宋体" w:cs="宋体" w:eastAsia="宋体" w:hint="default"/>
                <w:spacing w:val="-2"/>
                <w:sz w:val="18"/>
                <w:szCs w:val="18"/>
              </w:rPr>
              <w:t>2、公司业务创新的战略重点转移至“石基酒店分销在线处理平台”项目，“多用途数据中心项目”的</w:t>
            </w:r>
            <w:r>
              <w:rPr>
                <w:rFonts w:ascii="宋体" w:hAnsi="宋体" w:cs="宋体" w:eastAsia="宋体" w:hint="default"/>
                <w:spacing w:val="-46"/>
                <w:sz w:val="18"/>
                <w:szCs w:val="18"/>
              </w:rPr>
              <w:t> </w:t>
            </w:r>
            <w:r>
              <w:rPr>
                <w:rFonts w:ascii="宋体" w:hAnsi="宋体" w:cs="宋体" w:eastAsia="宋体" w:hint="default"/>
                <w:sz w:val="18"/>
                <w:szCs w:val="18"/>
              </w:rPr>
              <w:t>ASP</w:t>
            </w:r>
            <w:r>
              <w:rPr>
                <w:rFonts w:ascii="宋体" w:hAnsi="宋体" w:cs="宋体" w:eastAsia="宋体" w:hint="default"/>
                <w:spacing w:val="-46"/>
                <w:sz w:val="18"/>
                <w:szCs w:val="18"/>
              </w:rPr>
              <w:t> </w:t>
            </w:r>
            <w:r>
              <w:rPr>
                <w:rFonts w:ascii="宋体" w:hAnsi="宋体" w:cs="宋体" w:eastAsia="宋体" w:hint="default"/>
                <w:sz w:val="18"/>
                <w:szCs w:val="18"/>
              </w:rPr>
              <w:t>创新</w:t>
            </w:r>
            <w:r>
              <w:rPr>
                <w:rFonts w:ascii="宋体" w:hAnsi="宋体" w:cs="宋体" w:eastAsia="宋体" w:hint="default"/>
                <w:sz w:val="18"/>
                <w:szCs w:val="18"/>
              </w:rPr>
              <w:t> 业务宜暂缓实施。由于技术与市场的变化及公司业务的发展，公司目前已确立“石基酒店分销在线处理平台”</w:t>
            </w:r>
          </w:p>
        </w:tc>
      </w:tr>
    </w:tbl>
    <w:p>
      <w:pPr>
        <w:spacing w:after="0" w:line="237" w:lineRule="auto"/>
        <w:jc w:val="left"/>
        <w:rPr>
          <w:rFonts w:ascii="宋体" w:hAnsi="宋体" w:cs="宋体" w:eastAsia="宋体" w:hint="default"/>
          <w:sz w:val="18"/>
          <w:szCs w:val="18"/>
        </w:rPr>
        <w:sectPr>
          <w:pgSz w:w="11910" w:h="16840"/>
          <w:pgMar w:header="851" w:footer="982" w:top="1200" w:bottom="1180" w:left="660" w:right="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0" w:right="98" w:firstLine="0"/>
        <w:jc w:val="right"/>
        <w:rPr>
          <w:rFonts w:ascii="宋体" w:hAnsi="宋体" w:cs="宋体" w:eastAsia="宋体" w:hint="default"/>
          <w:sz w:val="18"/>
          <w:szCs w:val="18"/>
        </w:rPr>
      </w:pPr>
      <w:r>
        <w:rPr/>
        <w:pict>
          <v:shape style="position:absolute;margin-left:38.459999pt;margin-top:-46.361877pt;width:519.15pt;height:131.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0"/>
                    <w:gridCol w:w="8708"/>
                  </w:tblGrid>
                  <w:tr>
                    <w:trPr>
                      <w:trHeight w:val="1417" w:hRule="exact"/>
                    </w:trPr>
                    <w:tc>
                      <w:tcPr>
                        <w:tcW w:w="1660" w:type="dxa"/>
                        <w:tcBorders>
                          <w:top w:val="single" w:sz="10" w:space="0" w:color="000000"/>
                          <w:left w:val="single" w:sz="4" w:space="0" w:color="000000"/>
                          <w:bottom w:val="single" w:sz="4" w:space="0" w:color="000000"/>
                          <w:right w:val="single" w:sz="4" w:space="0" w:color="000000"/>
                        </w:tcBorders>
                      </w:tcPr>
                      <w:p>
                        <w:pPr/>
                      </w:p>
                    </w:tc>
                    <w:tc>
                      <w:tcPr>
                        <w:tcW w:w="8708"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项目为公司近几年内业务发展的战略重点，公司应集中资源确保战略项目的创新。</w:t>
                        </w:r>
                      </w:p>
                      <w:p>
                        <w:pPr>
                          <w:pStyle w:val="TableParagraph"/>
                          <w:spacing w:line="237" w:lineRule="auto" w:before="1"/>
                          <w:ind w:left="23" w:right="32"/>
                          <w:jc w:val="left"/>
                          <w:rPr>
                            <w:rFonts w:ascii="宋体" w:hAnsi="宋体" w:cs="宋体" w:eastAsia="宋体" w:hint="default"/>
                            <w:sz w:val="18"/>
                            <w:szCs w:val="18"/>
                          </w:rPr>
                        </w:pPr>
                        <w:r>
                          <w:rPr>
                            <w:rFonts w:ascii="宋体" w:hAnsi="宋体" w:cs="宋体" w:eastAsia="宋体" w:hint="default"/>
                            <w:spacing w:val="-6"/>
                            <w:sz w:val="18"/>
                            <w:szCs w:val="18"/>
                          </w:rPr>
                          <w:t>3、“多用途数据中心项目”中的</w:t>
                        </w:r>
                        <w:r>
                          <w:rPr>
                            <w:rFonts w:ascii="宋体" w:hAnsi="宋体" w:cs="宋体" w:eastAsia="宋体" w:hint="default"/>
                            <w:spacing w:val="-46"/>
                            <w:sz w:val="18"/>
                            <w:szCs w:val="18"/>
                          </w:rPr>
                          <w:t> </w:t>
                        </w:r>
                        <w:r>
                          <w:rPr>
                            <w:rFonts w:ascii="宋体" w:hAnsi="宋体" w:cs="宋体" w:eastAsia="宋体" w:hint="default"/>
                            <w:sz w:val="18"/>
                            <w:szCs w:val="18"/>
                          </w:rPr>
                          <w:t>ASP</w:t>
                        </w:r>
                        <w:r>
                          <w:rPr>
                            <w:rFonts w:ascii="宋体" w:hAnsi="宋体" w:cs="宋体" w:eastAsia="宋体" w:hint="default"/>
                            <w:spacing w:val="-46"/>
                            <w:sz w:val="18"/>
                            <w:szCs w:val="18"/>
                          </w:rPr>
                          <w:t> </w:t>
                        </w:r>
                        <w:r>
                          <w:rPr>
                            <w:rFonts w:ascii="宋体" w:hAnsi="宋体" w:cs="宋体" w:eastAsia="宋体" w:hint="default"/>
                            <w:sz w:val="18"/>
                            <w:szCs w:val="18"/>
                          </w:rPr>
                          <w:t>业务推广时机尚未完全成熟。从公司近年来对该业务的市场导入情况、及</w:t>
                        </w:r>
                        <w:r>
                          <w:rPr>
                            <w:rFonts w:ascii="宋体" w:hAnsi="宋体" w:cs="宋体" w:eastAsia="宋体" w:hint="default"/>
                            <w:sz w:val="18"/>
                            <w:szCs w:val="18"/>
                          </w:rPr>
                          <w:t> 从有关同行公司推广此项业务的情况来看，目前，大范围推进此项业务的市场条件尚未完全成熟。 决策程序：经公司第三届董事会</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年第三次临时会议、2008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年第二次临时股东大会决议通过。</w:t>
                        </w:r>
                        <w:r>
                          <w:rPr>
                            <w:rFonts w:ascii="宋体" w:hAnsi="宋体" w:cs="宋体" w:eastAsia="宋体" w:hint="default"/>
                            <w:sz w:val="18"/>
                            <w:szCs w:val="18"/>
                          </w:rPr>
                          <w:t> </w:t>
                        </w:r>
                        <w:r>
                          <w:rPr>
                            <w:rFonts w:ascii="宋体" w:hAnsi="宋体" w:cs="宋体" w:eastAsia="宋体" w:hint="default"/>
                            <w:spacing w:val="-4"/>
                            <w:sz w:val="18"/>
                            <w:szCs w:val="18"/>
                          </w:rPr>
                          <w:t>信息披露情况：关于变更募集资金投资项目的相关公告刊登于</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28"/>
                            <w:sz w:val="18"/>
                            <w:szCs w:val="18"/>
                          </w:rPr>
                          <w:t>日的《中国证券报》、《证券时报》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巨潮咨询网上，公告编号：2008-32、2008-35</w:t>
                        </w:r>
                      </w:p>
                    </w:tc>
                  </w:tr>
                  <w:tr>
                    <w:trPr>
                      <w:trHeight w:val="478"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未达到计划进度原</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因（分具体项目）</w:t>
                        </w:r>
                      </w:p>
                    </w:tc>
                    <w:tc>
                      <w:tcPr>
                        <w:tcW w:w="8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变更后的项目可行</w:t>
                        </w:r>
                      </w:p>
                      <w:p>
                        <w:pPr>
                          <w:pStyle w:val="TableParagraph"/>
                          <w:spacing w:line="232" w:lineRule="exact" w:before="24"/>
                          <w:ind w:left="464" w:right="103" w:hanging="360"/>
                          <w:jc w:val="left"/>
                          <w:rPr>
                            <w:rFonts w:ascii="宋体" w:hAnsi="宋体" w:cs="宋体" w:eastAsia="宋体" w:hint="default"/>
                            <w:sz w:val="18"/>
                            <w:szCs w:val="18"/>
                          </w:rPr>
                        </w:pPr>
                        <w:r>
                          <w:rPr>
                            <w:rFonts w:ascii="宋体" w:hAnsi="宋体" w:cs="宋体" w:eastAsia="宋体" w:hint="default"/>
                            <w:sz w:val="18"/>
                            <w:szCs w:val="18"/>
                          </w:rPr>
                          <w:t>性发生重大变化的 情况说明</w:t>
                        </w:r>
                      </w:p>
                    </w:tc>
                    <w:tc>
                      <w:tcPr>
                        <w:tcW w:w="8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357" w:lineRule="auto" w:before="35"/>
        <w:ind w:left="885" w:right="490" w:firstLine="1"/>
        <w:jc w:val="left"/>
        <w:rPr>
          <w:rFonts w:ascii="宋体" w:hAnsi="宋体" w:cs="宋体" w:eastAsia="宋体" w:hint="default"/>
          <w:sz w:val="21"/>
          <w:szCs w:val="21"/>
        </w:rPr>
      </w:pPr>
      <w:r>
        <w:rPr>
          <w:rFonts w:ascii="宋体" w:hAnsi="宋体" w:cs="宋体" w:eastAsia="宋体" w:hint="default"/>
          <w:b/>
          <w:bCs/>
          <w:sz w:val="21"/>
          <w:szCs w:val="21"/>
        </w:rPr>
        <w:t>3、会计师事务所对募集资金使用情况的专项审核意见</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武汉众环会计师事务所有限责任公司出具了众环专字（</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085</w:t>
      </w:r>
      <w:r>
        <w:rPr>
          <w:rFonts w:ascii="宋体" w:hAnsi="宋体" w:cs="宋体" w:eastAsia="宋体" w:hint="default"/>
          <w:spacing w:val="-1"/>
          <w:sz w:val="21"/>
          <w:szCs w:val="21"/>
        </w:rPr>
        <w:t>号《的鉴证报告》，认为：公司募</w:t>
      </w:r>
    </w:p>
    <w:p>
      <w:pPr>
        <w:pStyle w:val="BodyText"/>
        <w:spacing w:line="355" w:lineRule="auto" w:before="3"/>
        <w:ind w:left="474" w:right="490"/>
        <w:jc w:val="left"/>
      </w:pPr>
      <w:r>
        <w:rPr>
          <w:spacing w:val="-1"/>
        </w:rPr>
        <w:t>资专项说明的编制符合《深圳证券交易所中小企业板块上市公司特别规定》及《中小企业板上市公司募集</w:t>
      </w:r>
      <w:r>
        <w:rPr>
          <w:spacing w:val="-83"/>
        </w:rPr>
        <w:t> </w:t>
      </w:r>
      <w:r>
        <w:rPr>
          <w:spacing w:val="-83"/>
        </w:rPr>
      </w:r>
      <w:r>
        <w:rPr/>
        <w:t>资金管理细则》的规定，在所有重大方面如实反映了贵公司截至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日止募集资金的使用情况。</w:t>
      </w:r>
    </w:p>
    <w:p>
      <w:pPr>
        <w:pStyle w:val="Heading3"/>
        <w:spacing w:line="550" w:lineRule="atLeast" w:before="11"/>
        <w:ind w:left="894" w:right="2290" w:hanging="8"/>
        <w:jc w:val="left"/>
        <w:rPr>
          <w:b w:val="0"/>
          <w:bCs w:val="0"/>
        </w:rPr>
      </w:pPr>
      <w:r>
        <w:rPr/>
        <w:t>（二）报告期内非募集资金投资情况</w:t>
      </w:r>
      <w:r>
        <w:rPr>
          <w:w w:val="99"/>
        </w:rPr>
        <w:t> </w:t>
      </w:r>
      <w:r>
        <w:rPr>
          <w:w w:val="95"/>
        </w:rPr>
        <w:t>1、投资6000万元收购南京银石计算机系统有限公司100%的股权</w:t>
      </w:r>
      <w:r>
        <w:rPr>
          <w:b w:val="0"/>
          <w:bCs w:val="0"/>
        </w:rPr>
      </w:r>
    </w:p>
    <w:p>
      <w:pPr>
        <w:pStyle w:val="BodyText"/>
        <w:spacing w:line="240" w:lineRule="auto" w:before="134"/>
        <w:ind w:left="894" w:right="49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日，经公司第三届董事会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次临时会议审议通过，公司与赵乃珂、孙勇坚、</w:t>
      </w:r>
    </w:p>
    <w:p>
      <w:pPr>
        <w:pStyle w:val="BodyText"/>
        <w:spacing w:line="240" w:lineRule="auto" w:before="117"/>
        <w:ind w:left="474" w:right="490"/>
        <w:jc w:val="left"/>
      </w:pPr>
      <w:r>
        <w:rPr/>
        <w:t>张诗中、黄勇四名自然人于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日签署了《南京银石计算机系统有限公司（以下简称“南京银</w:t>
      </w:r>
    </w:p>
    <w:p>
      <w:pPr>
        <w:pStyle w:val="BodyText"/>
        <w:spacing w:line="336" w:lineRule="auto" w:before="118"/>
        <w:ind w:left="473" w:right="490"/>
        <w:jc w:val="left"/>
      </w:pPr>
      <w:r>
        <w:rPr>
          <w:spacing w:val="-15"/>
        </w:rPr>
        <w:t>石”）股权转让框架协议》，</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4"/>
        </w:rPr>
        <w:t> </w:t>
      </w:r>
      <w:r>
        <w:rPr>
          <w:spacing w:val="-6"/>
        </w:rPr>
        <w:t>日签署了《南京银石计算机系统有限公司股权转让协议》，以人</w:t>
      </w:r>
      <w:r>
        <w:rPr/>
        <w:t> 民币</w:t>
      </w:r>
      <w:r>
        <w:rPr>
          <w:spacing w:val="-5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万元收购赵乃珂、孙勇坚、张诗中、黄勇四名自然人持有的南京银石</w:t>
      </w:r>
      <w:r>
        <w:rPr>
          <w:spacing w:val="-55"/>
        </w:rPr>
        <w:t> </w:t>
      </w:r>
      <w:r>
        <w:rPr>
          <w:rFonts w:ascii="Times New Roman" w:hAnsi="Times New Roman" w:cs="Times New Roman" w:eastAsia="Times New Roman" w:hint="default"/>
        </w:rPr>
        <w:t>100%</w:t>
      </w:r>
      <w:r>
        <w:rPr/>
        <w:t>的股权。</w:t>
      </w:r>
    </w:p>
    <w:p>
      <w:pPr>
        <w:pStyle w:val="BodyText"/>
        <w:spacing w:line="336" w:lineRule="auto" w:before="25"/>
        <w:ind w:left="473" w:right="518" w:firstLine="420"/>
        <w:jc w:val="left"/>
      </w:pPr>
      <w:r>
        <w:rPr/>
        <w:t>截至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日，以上股权转让事宜已经完成工商变更登记，变更后企业法人营业执照注册号 为：</w:t>
      </w:r>
      <w:r>
        <w:rPr>
          <w:rFonts w:ascii="Times New Roman" w:hAnsi="Times New Roman" w:cs="Times New Roman" w:eastAsia="Times New Roman" w:hint="default"/>
        </w:rPr>
        <w:t>320103000123596</w:t>
      </w:r>
      <w:r>
        <w:rPr/>
        <w:t>，法定代表人为赖德源。</w:t>
      </w:r>
    </w:p>
    <w:p>
      <w:pPr>
        <w:pStyle w:val="BodyText"/>
        <w:spacing w:line="240" w:lineRule="auto" w:before="24"/>
        <w:ind w:left="893" w:right="0"/>
        <w:jc w:val="left"/>
      </w:pPr>
      <w:r>
        <w:rPr/>
        <w:t>详见公司于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日刊登</w:t>
      </w:r>
      <w:r>
        <w:rPr>
          <w:spacing w:val="-10"/>
        </w:rPr>
        <w:t>于</w:t>
      </w:r>
      <w:r>
        <w:rPr/>
        <w:t>《中国证券报</w:t>
      </w:r>
      <w:r>
        <w:rPr>
          <w:spacing w:val="-106"/>
        </w:rPr>
        <w:t>》</w:t>
      </w:r>
      <w:r>
        <w:rPr>
          <w:spacing w:val="-115"/>
        </w:rPr>
        <w:t>、</w:t>
      </w:r>
      <w:r>
        <w:rPr/>
        <w:t>《证券时报</w:t>
      </w:r>
      <w:r>
        <w:rPr>
          <w:spacing w:val="-10"/>
        </w:rPr>
        <w:t>》</w:t>
      </w:r>
      <w:r>
        <w:rPr/>
        <w:t>及巨潮资讯</w:t>
      </w:r>
      <w:r>
        <w:rPr>
          <w:spacing w:val="-10"/>
        </w:rPr>
        <w:t>网</w:t>
      </w:r>
      <w:r>
        <w:rPr/>
        <w:t>（</w:t>
      </w:r>
      <w:hyperlink r:id="rId11">
        <w:r>
          <w:rPr>
            <w:rFonts w:ascii="Times New Roman" w:hAnsi="Times New Roman" w:cs="Times New Roman" w:eastAsia="Times New Roman" w:hint="default"/>
            <w:spacing w:val="-1"/>
            <w:w w:val="99"/>
          </w:rPr>
          <w:t>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.cnin</w:t>
        </w:r>
        <w:r>
          <w:rPr>
            <w:rFonts w:ascii="Times New Roman" w:hAnsi="Times New Roman" w:cs="Times New Roman" w:eastAsia="Times New Roman" w:hint="default"/>
            <w:spacing w:val="-2"/>
            <w:w w:val="99"/>
          </w:rPr>
          <w:t>f</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hyperlink>
      <w:r>
        <w:rPr>
          <w:w w:val="99"/>
        </w:rPr>
        <w:t>）</w:t>
      </w:r>
      <w:r>
        <w:rPr/>
      </w:r>
    </w:p>
    <w:p>
      <w:pPr>
        <w:pStyle w:val="BodyText"/>
        <w:spacing w:line="240" w:lineRule="auto" w:before="118"/>
        <w:ind w:left="473" w:right="0"/>
        <w:jc w:val="left"/>
      </w:pPr>
      <w:r>
        <w:rPr/>
        <w:t>的《关于签署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的公告</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3</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日、</w:t>
      </w:r>
    </w:p>
    <w:p>
      <w:pPr>
        <w:pStyle w:val="BodyText"/>
        <w:spacing w:line="240" w:lineRule="auto" w:before="117"/>
        <w:ind w:left="473" w:right="0"/>
        <w:jc w:val="left"/>
      </w:pP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  </w:t>
      </w:r>
      <w:r>
        <w:rPr/>
        <w:t>日、</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2"/>
        </w:rPr>
        <w:t> </w:t>
      </w:r>
      <w:r>
        <w:rPr/>
        <w:t>日披露的《关于签署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进展公告》</w:t>
      </w:r>
    </w:p>
    <w:p>
      <w:pPr>
        <w:pStyle w:val="BodyText"/>
        <w:spacing w:line="240" w:lineRule="auto" w:before="118"/>
        <w:ind w:left="473" w:right="0"/>
        <w:jc w:val="left"/>
      </w:pPr>
      <w:r>
        <w:rPr>
          <w:spacing w:val="2"/>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0-3</w:t>
      </w:r>
      <w:r>
        <w:rPr>
          <w:rFonts w:ascii="Times New Roman" w:hAnsi="Times New Roman" w:cs="Times New Roman" w:eastAsia="Times New Roman" w:hint="default"/>
          <w:spacing w:val="2"/>
        </w:rPr>
        <w:t>4</w:t>
      </w:r>
      <w:r>
        <w:rPr>
          <w:spacing w:val="-103"/>
        </w:rPr>
        <w:t>）</w:t>
      </w:r>
      <w:r>
        <w:rPr>
          <w:spacing w:val="-104"/>
        </w:rPr>
        <w:t>、</w:t>
      </w:r>
      <w:r>
        <w:rPr>
          <w:spacing w:val="2"/>
        </w:rPr>
        <w:t>《关</w:t>
      </w:r>
      <w:r>
        <w:rPr>
          <w:spacing w:val="3"/>
        </w:rPr>
        <w:t>于</w:t>
      </w:r>
      <w:r>
        <w:rPr>
          <w:spacing w:val="2"/>
        </w:rPr>
        <w:t>签署</w:t>
      </w:r>
      <w:r>
        <w:rPr>
          <w:rFonts w:ascii="Times New Roman" w:hAnsi="Times New Roman" w:cs="Times New Roman" w:eastAsia="Times New Roman" w:hint="default"/>
          <w:spacing w:val="4"/>
        </w:rPr>
        <w:t>&lt;</w:t>
      </w:r>
      <w:r>
        <w:rPr>
          <w:spacing w:val="2"/>
        </w:rPr>
        <w:t>南京</w:t>
      </w:r>
      <w:r>
        <w:rPr>
          <w:spacing w:val="3"/>
        </w:rPr>
        <w:t>银</w:t>
      </w:r>
      <w:r>
        <w:rPr>
          <w:spacing w:val="2"/>
        </w:rPr>
        <w:t>石</w:t>
      </w:r>
      <w:r>
        <w:rPr>
          <w:spacing w:val="3"/>
        </w:rPr>
        <w:t>计</w:t>
      </w:r>
      <w:r>
        <w:rPr>
          <w:spacing w:val="2"/>
        </w:rPr>
        <w:t>算机</w:t>
      </w:r>
      <w:r>
        <w:rPr>
          <w:spacing w:val="3"/>
        </w:rPr>
        <w:t>系</w:t>
      </w:r>
      <w:r>
        <w:rPr>
          <w:spacing w:val="2"/>
        </w:rPr>
        <w:t>统</w:t>
      </w:r>
      <w:r>
        <w:rPr>
          <w:spacing w:val="3"/>
        </w:rPr>
        <w:t>有</w:t>
      </w:r>
      <w:r>
        <w:rPr>
          <w:spacing w:val="2"/>
        </w:rPr>
        <w:t>限公</w:t>
      </w:r>
      <w:r>
        <w:rPr>
          <w:spacing w:val="3"/>
        </w:rPr>
        <w:t>司</w:t>
      </w:r>
      <w:r>
        <w:rPr>
          <w:spacing w:val="2"/>
        </w:rPr>
        <w:t>股</w:t>
      </w:r>
      <w:r>
        <w:rPr>
          <w:spacing w:val="3"/>
        </w:rPr>
        <w:t>权</w:t>
      </w:r>
      <w:r>
        <w:rPr>
          <w:spacing w:val="2"/>
        </w:rPr>
        <w:t>转让</w:t>
      </w:r>
      <w:r>
        <w:rPr>
          <w:spacing w:val="3"/>
        </w:rPr>
        <w:t>框</w:t>
      </w:r>
      <w:r>
        <w:rPr>
          <w:spacing w:val="2"/>
        </w:rPr>
        <w:t>架</w:t>
      </w:r>
      <w:r>
        <w:rPr>
          <w:spacing w:val="3"/>
        </w:rPr>
        <w:t>协</w:t>
      </w:r>
      <w:r>
        <w:rPr>
          <w:spacing w:val="2"/>
        </w:rPr>
        <w:t>议</w:t>
      </w:r>
      <w:r>
        <w:rPr>
          <w:rFonts w:ascii="Times New Roman" w:hAnsi="Times New Roman" w:cs="Times New Roman" w:eastAsia="Times New Roman" w:hint="default"/>
          <w:spacing w:val="2"/>
        </w:rPr>
        <w:t>&gt;</w:t>
      </w:r>
      <w:r>
        <w:rPr>
          <w:spacing w:val="2"/>
        </w:rPr>
        <w:t>的</w:t>
      </w:r>
      <w:r>
        <w:rPr>
          <w:spacing w:val="3"/>
        </w:rPr>
        <w:t>进</w:t>
      </w:r>
      <w:r>
        <w:rPr>
          <w:spacing w:val="2"/>
        </w:rPr>
        <w:t>展</w:t>
      </w:r>
      <w:r>
        <w:rPr>
          <w:spacing w:val="3"/>
        </w:rPr>
        <w:t>补</w:t>
      </w:r>
      <w:r>
        <w:rPr>
          <w:spacing w:val="2"/>
        </w:rPr>
        <w:t>充公告</w:t>
      </w:r>
      <w:r>
        <w:rPr>
          <w:spacing w:val="-101"/>
        </w:rPr>
        <w:t>》</w:t>
      </w:r>
      <w:r>
        <w:rPr>
          <w:spacing w:val="2"/>
        </w:rPr>
        <w:t>（</w:t>
      </w:r>
      <w:r>
        <w:rPr>
          <w:rFonts w:ascii="Times New Roman" w:hAnsi="Times New Roman" w:cs="Times New Roman" w:eastAsia="Times New Roman" w:hint="default"/>
        </w:rPr>
        <w:t>2010-3</w:t>
      </w:r>
      <w:r>
        <w:rPr>
          <w:rFonts w:ascii="Times New Roman" w:hAnsi="Times New Roman" w:cs="Times New Roman" w:eastAsia="Times New Roman" w:hint="default"/>
          <w:spacing w:val="2"/>
        </w:rPr>
        <w:t>5</w:t>
      </w:r>
      <w:r>
        <w:rPr>
          <w:spacing w:val="-103"/>
        </w:rPr>
        <w:t>）</w:t>
      </w:r>
      <w:r>
        <w:rPr/>
        <w:t>、</w:t>
      </w:r>
    </w:p>
    <w:p>
      <w:pPr>
        <w:spacing w:line="338" w:lineRule="auto" w:before="117"/>
        <w:ind w:left="893" w:right="2290" w:hanging="421"/>
        <w:jc w:val="left"/>
        <w:rPr>
          <w:rFonts w:ascii="宋体" w:hAnsi="宋体" w:cs="宋体" w:eastAsia="宋体" w:hint="default"/>
          <w:sz w:val="21"/>
          <w:szCs w:val="21"/>
        </w:rPr>
      </w:pPr>
      <w:r>
        <w:rPr>
          <w:rFonts w:ascii="宋体" w:hAnsi="宋体" w:cs="宋体" w:eastAsia="宋体" w:hint="default"/>
          <w:spacing w:val="-5"/>
          <w:sz w:val="21"/>
          <w:szCs w:val="21"/>
        </w:rPr>
        <w:t>《关于签署</w:t>
      </w:r>
      <w:r>
        <w:rPr>
          <w:rFonts w:ascii="Times New Roman" w:hAnsi="Times New Roman" w:cs="Times New Roman" w:eastAsia="Times New Roman" w:hint="default"/>
          <w:spacing w:val="-5"/>
          <w:sz w:val="21"/>
          <w:szCs w:val="21"/>
        </w:rPr>
        <w:t>&lt;</w:t>
      </w:r>
      <w:r>
        <w:rPr>
          <w:rFonts w:ascii="宋体" w:hAnsi="宋体" w:cs="宋体" w:eastAsia="宋体" w:hint="default"/>
          <w:spacing w:val="-5"/>
          <w:sz w:val="21"/>
          <w:szCs w:val="21"/>
        </w:rPr>
        <w:t>南京银石计算机系统有限公司股权转让框架协议</w:t>
      </w:r>
      <w:r>
        <w:rPr>
          <w:rFonts w:ascii="Times New Roman" w:hAnsi="Times New Roman" w:cs="Times New Roman" w:eastAsia="Times New Roman" w:hint="default"/>
          <w:spacing w:val="-5"/>
          <w:sz w:val="21"/>
          <w:szCs w:val="21"/>
        </w:rPr>
        <w:t>&gt;</w:t>
      </w:r>
      <w:r>
        <w:rPr>
          <w:rFonts w:ascii="宋体" w:hAnsi="宋体" w:cs="宋体" w:eastAsia="宋体" w:hint="default"/>
          <w:spacing w:val="-5"/>
          <w:sz w:val="21"/>
          <w:szCs w:val="21"/>
        </w:rPr>
        <w:t>进展公告》（</w:t>
      </w:r>
      <w:r>
        <w:rPr>
          <w:rFonts w:ascii="Times New Roman" w:hAnsi="Times New Roman" w:cs="Times New Roman" w:eastAsia="Times New Roman" w:hint="default"/>
          <w:spacing w:val="-5"/>
          <w:sz w:val="21"/>
          <w:szCs w:val="21"/>
        </w:rPr>
        <w:t>2010-36</w:t>
      </w:r>
      <w:r>
        <w:rPr>
          <w:rFonts w:ascii="宋体" w:hAnsi="宋体" w:cs="宋体" w:eastAsia="宋体" w:hint="default"/>
          <w:spacing w:val="-5"/>
          <w:sz w:val="21"/>
          <w:szCs w:val="21"/>
        </w:rPr>
        <w:t>）。</w:t>
      </w:r>
      <w:r>
        <w:rPr>
          <w:rFonts w:ascii="宋体" w:hAnsi="宋体" w:cs="宋体" w:eastAsia="宋体" w:hint="default"/>
          <w:sz w:val="21"/>
          <w:szCs w:val="21"/>
        </w:rPr>
        <w:t> </w:t>
      </w:r>
      <w:r>
        <w:rPr>
          <w:rFonts w:ascii="宋体" w:hAnsi="宋体" w:cs="宋体" w:eastAsia="宋体" w:hint="default"/>
          <w:b/>
          <w:bCs/>
          <w:sz w:val="21"/>
          <w:szCs w:val="21"/>
        </w:rPr>
        <w:t>2、投资2500万元向南京银石计算机系统有限公司增加注册资本</w:t>
      </w:r>
      <w:r>
        <w:rPr>
          <w:rFonts w:ascii="宋体" w:hAnsi="宋体" w:cs="宋体" w:eastAsia="宋体" w:hint="default"/>
          <w:sz w:val="21"/>
          <w:szCs w:val="21"/>
        </w:rPr>
      </w:r>
    </w:p>
    <w:p>
      <w:pPr>
        <w:pStyle w:val="BodyText"/>
        <w:spacing w:line="350" w:lineRule="auto" w:before="47"/>
        <w:ind w:left="473" w:right="425" w:firstLine="420"/>
        <w:jc w:val="left"/>
      </w:pPr>
      <w:r>
        <w:rPr>
          <w:spacing w:val="-1"/>
        </w:rPr>
        <w:t>2010年8月，经公司第三届董事会第十三次会议审议通过，公司以自有资金向南京银石增资2500万元，</w:t>
      </w:r>
      <w:r>
        <w:rPr/>
        <w:t> 用于补充其经营所需流动资金。本次增资完成后，南京银石注册资本变更为3000万元，公司持有其100%的</w:t>
      </w:r>
      <w:r>
        <w:rPr>
          <w:spacing w:val="-1"/>
        </w:rPr>
        <w:t> </w:t>
      </w:r>
      <w:r>
        <w:rPr/>
        <w:t>股权。详细内容查看公司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日刊登于《中国证券报》、《证券时报》及巨潮资讯网的《关于向 </w:t>
      </w:r>
      <w:r>
        <w:rPr>
          <w:spacing w:val="-7"/>
        </w:rPr>
        <w:t>全资子公司南京银石计算机系统有限公司增资的公告》（2010-41）。</w:t>
      </w:r>
    </w:p>
    <w:p>
      <w:pPr>
        <w:pStyle w:val="Heading3"/>
        <w:spacing w:line="240" w:lineRule="auto" w:before="38"/>
        <w:ind w:left="893" w:right="490"/>
        <w:jc w:val="left"/>
        <w:rPr>
          <w:b w:val="0"/>
          <w:bCs w:val="0"/>
        </w:rPr>
      </w:pPr>
      <w:r>
        <w:rPr/>
        <w:t>3、投资1575万元收购迅付科技信息技术有限公司15%的股权</w:t>
      </w:r>
      <w:r>
        <w:rPr>
          <w:b w:val="0"/>
          <w:bCs w:val="0"/>
        </w:rPr>
      </w:r>
    </w:p>
    <w:p>
      <w:pPr>
        <w:pStyle w:val="BodyText"/>
        <w:spacing w:line="240" w:lineRule="auto" w:before="133"/>
        <w:ind w:left="893" w:right="490"/>
        <w:jc w:val="left"/>
      </w:pPr>
      <w:r>
        <w:rPr/>
        <w:t>2010</w:t>
      </w:r>
      <w:r>
        <w:rPr>
          <w:spacing w:val="-47"/>
        </w:rPr>
        <w:t> </w:t>
      </w:r>
      <w:r>
        <w:rPr/>
        <w:t>年</w:t>
      </w:r>
      <w:r>
        <w:rPr>
          <w:spacing w:val="-47"/>
        </w:rPr>
        <w:t> </w:t>
      </w:r>
      <w:r>
        <w:rPr/>
        <w:t>11</w:t>
      </w:r>
      <w:r>
        <w:rPr>
          <w:spacing w:val="-47"/>
        </w:rPr>
        <w:t> </w:t>
      </w:r>
      <w:r>
        <w:rPr/>
        <w:t>月</w:t>
      </w:r>
      <w:r>
        <w:rPr>
          <w:spacing w:val="-47"/>
        </w:rPr>
        <w:t> </w:t>
      </w:r>
      <w:r>
        <w:rPr/>
        <w:t>24</w:t>
      </w:r>
      <w:r>
        <w:rPr>
          <w:spacing w:val="-46"/>
        </w:rPr>
        <w:t> </w:t>
      </w:r>
      <w:r>
        <w:rPr>
          <w:spacing w:val="-3"/>
        </w:rPr>
        <w:t>日，公司与上海环迅电子商务有限公司（以下简称“上海环迅”）签署了股权转让协</w:t>
      </w:r>
    </w:p>
    <w:p>
      <w:pPr>
        <w:pStyle w:val="BodyText"/>
        <w:spacing w:line="240" w:lineRule="auto" w:before="134"/>
        <w:ind w:left="473" w:right="490"/>
        <w:jc w:val="left"/>
      </w:pPr>
      <w:r>
        <w:rPr/>
        <w:t>议，以</w:t>
      </w:r>
      <w:r>
        <w:rPr>
          <w:spacing w:val="-67"/>
        </w:rPr>
        <w:t> </w:t>
      </w:r>
      <w:r>
        <w:rPr/>
        <w:t>1,575</w:t>
      </w:r>
      <w:r>
        <w:rPr>
          <w:spacing w:val="-67"/>
        </w:rPr>
        <w:t> </w:t>
      </w:r>
      <w:r>
        <w:rPr/>
        <w:t>万元收购其所持有的迅付信息科技有限公司（以下简称“上海迅付”）15％的股权，公司本</w:t>
      </w:r>
    </w:p>
    <w:p>
      <w:pPr>
        <w:pStyle w:val="BodyText"/>
        <w:spacing w:line="240" w:lineRule="auto" w:before="133"/>
        <w:ind w:left="473" w:right="490"/>
        <w:jc w:val="left"/>
      </w:pPr>
      <w:r>
        <w:rPr/>
        <w:t>次对外投资使用的是公司自有资金，不构成关联交易及重大重组。该项投资经公司第四届董事会 2010</w:t>
      </w:r>
      <w:r>
        <w:rPr>
          <w:spacing w:val="-24"/>
        </w:rPr>
        <w:t> </w:t>
      </w:r>
      <w:r>
        <w:rPr/>
        <w:t>年</w:t>
      </w:r>
    </w:p>
    <w:p>
      <w:pPr>
        <w:pStyle w:val="BodyText"/>
        <w:spacing w:line="240" w:lineRule="auto" w:before="133"/>
        <w:ind w:left="473" w:right="490"/>
        <w:jc w:val="left"/>
      </w:pPr>
      <w:r>
        <w:rPr/>
        <w:t>第一次临时会议审议通过，详细内容查看公司</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t>日刊登于《中国证券报》、《证券时报》</w:t>
      </w:r>
    </w:p>
    <w:p>
      <w:pPr>
        <w:pStyle w:val="BodyText"/>
        <w:spacing w:line="240" w:lineRule="auto" w:before="118"/>
        <w:ind w:left="473" w:right="490"/>
        <w:jc w:val="left"/>
      </w:pPr>
      <w:r>
        <w:rPr>
          <w:spacing w:val="-1"/>
        </w:rPr>
        <w:t>及巨潮资讯网的《第四届董事</w:t>
      </w:r>
      <w:r>
        <w:rPr/>
        <w:t>会</w:t>
      </w:r>
      <w:r>
        <w:rPr>
          <w:spacing w:val="-53"/>
        </w:rPr>
        <w:t> </w:t>
      </w:r>
      <w:r>
        <w:rPr>
          <w:spacing w:val="-1"/>
        </w:rPr>
        <w:t>201</w:t>
      </w:r>
      <w:r>
        <w:rPr/>
        <w:t>0</w:t>
      </w:r>
      <w:r>
        <w:rPr>
          <w:spacing w:val="-52"/>
        </w:rPr>
        <w:t> </w:t>
      </w:r>
      <w:r>
        <w:rPr>
          <w:spacing w:val="-1"/>
        </w:rPr>
        <w:t>年第一次</w:t>
      </w:r>
      <w:r>
        <w:rPr>
          <w:spacing w:val="-2"/>
        </w:rPr>
        <w:t>临</w:t>
      </w:r>
      <w:r>
        <w:rPr>
          <w:spacing w:val="-1"/>
        </w:rPr>
        <w:t>时会议决议公告</w:t>
      </w:r>
      <w:r>
        <w:rPr>
          <w:spacing w:val="-104"/>
        </w:rPr>
        <w:t>》</w:t>
      </w:r>
      <w:r>
        <w:rPr>
          <w:spacing w:val="-1"/>
        </w:rPr>
        <w:t>（2</w:t>
      </w:r>
      <w:r>
        <w:rPr/>
        <w:t>0</w:t>
      </w:r>
      <w:r>
        <w:rPr>
          <w:spacing w:val="-1"/>
        </w:rPr>
        <w:t>10</w:t>
      </w:r>
      <w:r>
        <w:rPr/>
        <w:t>-</w:t>
      </w:r>
      <w:r>
        <w:rPr>
          <w:spacing w:val="-1"/>
        </w:rPr>
        <w:t>5</w:t>
      </w:r>
      <w:r>
        <w:rPr/>
        <w:t>1</w:t>
      </w:r>
      <w:r>
        <w:rPr>
          <w:spacing w:val="-104"/>
        </w:rPr>
        <w:t>）</w:t>
      </w:r>
      <w:r>
        <w:rPr/>
        <w:t>。</w:t>
      </w:r>
    </w:p>
    <w:p>
      <w:pPr>
        <w:spacing w:after="0" w:line="240" w:lineRule="auto"/>
        <w:jc w:val="left"/>
        <w:sectPr>
          <w:pgSz w:w="11910" w:h="16840"/>
          <w:pgMar w:header="851" w:footer="982" w:top="1200" w:bottom="1180" w:left="660" w:right="600"/>
        </w:sectPr>
      </w:pPr>
    </w:p>
    <w:p>
      <w:pPr>
        <w:pStyle w:val="Heading3"/>
        <w:spacing w:line="240" w:lineRule="auto" w:before="33"/>
        <w:ind w:right="0"/>
        <w:jc w:val="left"/>
        <w:rPr>
          <w:b w:val="0"/>
          <w:bCs w:val="0"/>
        </w:rPr>
      </w:pPr>
      <w:r>
        <w:rPr/>
        <w:pict>
          <v:group style="position:absolute;margin-left:55.200001pt;margin-top:2.93395pt;width:484.95pt;height:.1pt;mso-position-horizontal-relative:page;mso-position-vertical-relative:paragraph;z-index:-709552" coordorigin="1104,59" coordsize="9699,2">
            <v:shape style="position:absolute;left:1104;top:59;width:9699;height:2" coordorigin="1104,59" coordsize="9699,0" path="m1104,59l10802,59e" filled="false" stroked="true" strokeweight=".72pt" strokecolor="#000000">
              <v:path arrowok="t"/>
            </v:shape>
            <w10:wrap type="none"/>
          </v:group>
        </w:pict>
      </w:r>
      <w:r>
        <w:rPr/>
        <w:t>五、</w:t>
      </w:r>
      <w:r>
        <w:rPr>
          <w:spacing w:val="-5"/>
        </w:rPr>
        <w:t> </w:t>
      </w:r>
      <w:r>
        <w:rPr/>
        <w:t>报告期财务会计报告审计情况</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153" w:right="0" w:firstLine="420"/>
        <w:jc w:val="left"/>
      </w:pPr>
      <w:r>
        <w:rPr>
          <w:spacing w:val="-1"/>
        </w:rPr>
        <w:t>武汉众环会计师事务所对本公司2010年度财务报告出具了标准无保留意见的审计报告。2010年度，本</w:t>
      </w:r>
      <w:r>
        <w:rPr/>
        <w:t> 公司未做出会计政策、会计估计变更情况。</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六、</w:t>
      </w:r>
      <w:r>
        <w:rPr>
          <w:spacing w:val="-4"/>
        </w:rPr>
        <w:t> </w:t>
      </w:r>
      <w:r>
        <w:rPr/>
        <w:t>董事会日常工作情况</w:t>
      </w:r>
      <w:r>
        <w:rPr>
          <w:b w:val="0"/>
          <w:bCs w:val="0"/>
        </w:rPr>
      </w:r>
    </w:p>
    <w:p>
      <w:pPr>
        <w:spacing w:line="680" w:lineRule="atLeast" w:before="7"/>
        <w:ind w:left="573" w:right="0" w:hanging="8"/>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董事会的会议情况及决议内容</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报告期内，本公司董事会共召开十二次会议，会议的通知、召开、表决程序以及会议的提案、议案等</w:t>
      </w:r>
    </w:p>
    <w:p>
      <w:pPr>
        <w:pStyle w:val="BodyText"/>
        <w:spacing w:line="355" w:lineRule="auto" w:before="134"/>
        <w:ind w:left="573" w:right="0" w:hanging="420"/>
        <w:jc w:val="left"/>
      </w:pPr>
      <w:r>
        <w:rPr/>
        <w:t>符合《公司法》、《公司章程》、《董事会议事规则》等法律、法规的规定和监管部门的规范要求。 </w:t>
      </w:r>
      <w:r>
        <w:rPr>
          <w:spacing w:val="-1"/>
        </w:rPr>
        <w:t>1、公司于2010年1月22日以通讯表决的方式召开了第三届董事会2010年第一次临时会议，审议通过了</w:t>
      </w:r>
    </w:p>
    <w:p>
      <w:pPr>
        <w:pStyle w:val="BodyText"/>
        <w:spacing w:line="355" w:lineRule="auto" w:before="33"/>
        <w:ind w:left="153" w:right="276"/>
        <w:jc w:val="left"/>
      </w:pPr>
      <w:r>
        <w:rPr/>
        <w:t>关于修订《股票期权激励计划（草案）修订案》的议案，该次会议决议公告刊登于2010年1月23日的《中 国证券报》、《证券时报》及巨潮资讯网</w:t>
      </w:r>
      <w:r>
        <w:rPr>
          <w:spacing w:val="-27"/>
        </w:rPr>
        <w:t> </w:t>
      </w:r>
      <w:r>
        <w:rPr/>
        <w:t>(www.cninfo.com.cn)。</w:t>
      </w:r>
    </w:p>
    <w:p>
      <w:pPr>
        <w:pStyle w:val="BodyText"/>
        <w:spacing w:line="355" w:lineRule="auto" w:before="33"/>
        <w:ind w:left="153" w:right="0" w:firstLine="420"/>
        <w:jc w:val="left"/>
      </w:pPr>
      <w:r>
        <w:rPr>
          <w:spacing w:val="-1"/>
        </w:rPr>
        <w:t>2、公司于2010年2月12日以现场表决的方式召开了第三届董事会第十一次会议，审议通过了《关于确</w:t>
      </w:r>
      <w:r>
        <w:rPr/>
        <w:t> </w:t>
      </w:r>
      <w:r>
        <w:rPr>
          <w:spacing w:val="-3"/>
        </w:rPr>
        <w:t>定股票期权激励计划授予相关事项的议案》，该次会议决议公告刊登于2010年2月22日的《中国证券报》、</w:t>
      </w:r>
    </w:p>
    <w:p>
      <w:pPr>
        <w:pStyle w:val="BodyText"/>
        <w:spacing w:line="357" w:lineRule="auto" w:before="32"/>
        <w:ind w:left="573" w:right="0" w:hanging="420"/>
        <w:jc w:val="left"/>
      </w:pPr>
      <w:r>
        <w:rPr/>
        <w:t>《证券时报》及巨潮资讯网</w:t>
      </w:r>
      <w:r>
        <w:rPr>
          <w:spacing w:val="-2"/>
        </w:rPr>
        <w:t> </w:t>
      </w:r>
      <w:r>
        <w:rPr/>
        <w:t>(www.cninfo.com.cn)。</w:t>
      </w:r>
      <w:r>
        <w:rPr/>
        <w:t> </w:t>
      </w:r>
      <w:r>
        <w:rPr>
          <w:spacing w:val="-1"/>
        </w:rPr>
        <w:t>3、公司于2010年2月25日以通讯表决的方式召开了第三届董事会2010年第二次临时会议，审议通过了</w:t>
      </w:r>
    </w:p>
    <w:p>
      <w:pPr>
        <w:pStyle w:val="BodyText"/>
        <w:spacing w:line="357" w:lineRule="auto" w:before="30"/>
        <w:ind w:left="153" w:right="0"/>
        <w:jc w:val="left"/>
      </w:pPr>
      <w:r>
        <w:rPr>
          <w:spacing w:val="-3"/>
        </w:rPr>
        <w:t>《关于签署公司与Micros关于&lt;技术许可与代理协议&gt;的第四次补充协议的议案》，该次会议决议公告刊登</w:t>
      </w:r>
      <w:r>
        <w:rPr>
          <w:spacing w:val="-65"/>
        </w:rPr>
        <w:t> </w:t>
      </w:r>
      <w:r>
        <w:rPr>
          <w:spacing w:val="-65"/>
        </w:rPr>
      </w:r>
      <w:r>
        <w:rPr/>
        <w:t>于2010年2月26日的《中国证券报》、《证券时报》及巨潮资讯网</w:t>
      </w:r>
      <w:r>
        <w:rPr>
          <w:spacing w:val="-6"/>
        </w:rPr>
        <w:t> </w:t>
      </w:r>
      <w:r>
        <w:rPr/>
        <w:t>(www.cninfo.com.cn)。</w:t>
      </w:r>
    </w:p>
    <w:p>
      <w:pPr>
        <w:pStyle w:val="BodyText"/>
        <w:spacing w:line="357" w:lineRule="auto" w:before="30"/>
        <w:ind w:left="153" w:right="0" w:firstLine="420"/>
        <w:jc w:val="left"/>
      </w:pPr>
      <w:r>
        <w:rPr>
          <w:spacing w:val="-1"/>
        </w:rPr>
        <w:t>4、公司于2010年4月13日以现场表决的方式召开了第三届董事会第十二次会议，审议通过了《2009年</w:t>
      </w:r>
      <w:r>
        <w:rPr/>
        <w:t> </w:t>
      </w:r>
      <w:r>
        <w:rPr>
          <w:spacing w:val="-5"/>
        </w:rPr>
        <w:t>年度报告及摘要》、《2009年度董事会工作报告》等13项议案，该次会议决议公告刊登于2010年4月15日的</w:t>
      </w:r>
    </w:p>
    <w:p>
      <w:pPr>
        <w:pStyle w:val="BodyText"/>
        <w:spacing w:line="355" w:lineRule="auto" w:before="30"/>
        <w:ind w:left="573" w:right="0" w:hanging="420"/>
        <w:jc w:val="left"/>
      </w:pPr>
      <w:r>
        <w:rPr/>
        <w:t>《中国证券报》、《证券时报》及巨潮资讯网 (www.cninfo.com.cn)。 </w:t>
      </w:r>
      <w:r>
        <w:rPr>
          <w:spacing w:val="-1"/>
        </w:rPr>
        <w:t>5、公司于2010年4月27日以通讯表决的方式召开了第三届董事会2010年第三次临时会议，审议通过了</w:t>
      </w:r>
    </w:p>
    <w:p>
      <w:pPr>
        <w:pStyle w:val="BodyText"/>
        <w:spacing w:line="355" w:lineRule="auto" w:before="33"/>
        <w:ind w:left="153" w:right="92"/>
        <w:jc w:val="left"/>
      </w:pPr>
      <w:r>
        <w:rPr>
          <w:spacing w:val="-7"/>
        </w:rPr>
        <w:t>《2010年第一季度报告正文及全文》、《关于核销哈尔滨国际会展体育中心有限公司坏账的议案》，该次会</w:t>
      </w:r>
      <w:r>
        <w:rPr>
          <w:spacing w:val="-83"/>
        </w:rPr>
        <w:t> </w:t>
      </w:r>
      <w:r>
        <w:rPr>
          <w:spacing w:val="-83"/>
        </w:rPr>
      </w:r>
      <w:r>
        <w:rPr/>
        <w:t>议决议公告刊登于2010年4月28日的《中国证券报》、《证券时报》及巨潮资讯网</w:t>
      </w:r>
      <w:r>
        <w:rPr>
          <w:spacing w:val="-26"/>
        </w:rPr>
        <w:t> </w:t>
      </w:r>
      <w:r>
        <w:rPr/>
        <w:t>(www.cninfo.com.cn)。</w:t>
      </w:r>
    </w:p>
    <w:p>
      <w:pPr>
        <w:pStyle w:val="BodyText"/>
        <w:spacing w:line="240" w:lineRule="auto" w:before="33"/>
        <w:ind w:left="573" w:right="0"/>
        <w:jc w:val="left"/>
      </w:pPr>
      <w:r>
        <w:rPr/>
        <w:t>6、公司于2010年5月28日以通讯表决的方式召开了第三届董事会2010年第四次临时会议，审议通过了</w:t>
      </w:r>
    </w:p>
    <w:p>
      <w:pPr>
        <w:pStyle w:val="BodyText"/>
        <w:spacing w:line="357" w:lineRule="auto" w:before="133"/>
        <w:ind w:left="153" w:right="0"/>
        <w:jc w:val="left"/>
      </w:pPr>
      <w:r>
        <w:rPr>
          <w:spacing w:val="-3"/>
        </w:rPr>
        <w:t>《关于首次公开发行股票节余募集资金永久保存流动资金的议案》，该次会议决议公告刊登于2010年5月29</w:t>
      </w:r>
      <w:r>
        <w:rPr>
          <w:spacing w:val="-86"/>
        </w:rPr>
        <w:t> </w:t>
      </w:r>
      <w:r>
        <w:rPr>
          <w:spacing w:val="-86"/>
        </w:rPr>
      </w:r>
      <w:r>
        <w:rPr/>
        <w:t>日的《中国证券报》、《证券时报》及巨潮资讯网</w:t>
      </w:r>
      <w:r>
        <w:rPr>
          <w:spacing w:val="-31"/>
        </w:rPr>
        <w:t> </w:t>
      </w:r>
      <w:r>
        <w:rPr/>
        <w:t>(www.cninfo.com.cn)。</w:t>
      </w:r>
    </w:p>
    <w:p>
      <w:pPr>
        <w:pStyle w:val="BodyText"/>
        <w:spacing w:line="240" w:lineRule="auto" w:before="30"/>
        <w:ind w:left="573" w:right="0"/>
        <w:jc w:val="left"/>
      </w:pPr>
      <w:r>
        <w:rPr/>
        <w:t>7、公司于2010年6月22日以通讯表决的方式召开了第三届董事会2010年第五次临时会议，审议通过了</w:t>
      </w:r>
    </w:p>
    <w:p>
      <w:pPr>
        <w:pStyle w:val="BodyText"/>
        <w:spacing w:line="357" w:lineRule="auto" w:before="133"/>
        <w:ind w:left="153" w:right="0"/>
        <w:jc w:val="left"/>
      </w:pPr>
      <w:r>
        <w:rPr>
          <w:spacing w:val="-3"/>
        </w:rPr>
        <w:t>《关于撤销北京中长石基信息技术股份有限公司软件分公司的议案》，该次会议决议公告刊登于2010年6月</w:t>
      </w:r>
      <w:r>
        <w:rPr>
          <w:spacing w:val="-88"/>
        </w:rPr>
        <w:t> </w:t>
      </w:r>
      <w:r>
        <w:rPr>
          <w:spacing w:val="-88"/>
        </w:rPr>
      </w:r>
      <w:r>
        <w:rPr/>
        <w:t>23日的《中国证券报》、《证券时报》及巨潮资讯网</w:t>
      </w:r>
      <w:r>
        <w:rPr>
          <w:spacing w:val="-1"/>
        </w:rPr>
        <w:t> </w:t>
      </w:r>
      <w:r>
        <w:rPr/>
        <w:t>(www.cninfo.com.cn)。</w:t>
      </w:r>
    </w:p>
    <w:p>
      <w:pPr>
        <w:pStyle w:val="BodyText"/>
        <w:spacing w:line="240" w:lineRule="auto" w:before="30"/>
        <w:ind w:left="573" w:right="0"/>
        <w:jc w:val="left"/>
      </w:pPr>
      <w:r>
        <w:rPr/>
        <w:t>8、公司于2010年7月2日以通讯表决的方式召开了第三届董事会2010年第六次临时会议，审议通过了</w:t>
      </w:r>
    </w:p>
    <w:p>
      <w:pPr>
        <w:pStyle w:val="BodyText"/>
        <w:spacing w:line="355" w:lineRule="auto" w:before="134"/>
        <w:ind w:left="153" w:right="0"/>
        <w:jc w:val="left"/>
      </w:pPr>
      <w:r>
        <w:rPr>
          <w:spacing w:val="-3"/>
        </w:rPr>
        <w:t>《关于签署&lt;南京银石计算机系统有限公司股权转让框架协议&gt;的议案》，该次会议决议公告刊登于2010年7</w:t>
      </w:r>
      <w:r>
        <w:rPr>
          <w:spacing w:val="-85"/>
        </w:rPr>
        <w:t> </w:t>
      </w:r>
      <w:r>
        <w:rPr>
          <w:spacing w:val="-85"/>
        </w:rPr>
      </w:r>
      <w:r>
        <w:rPr/>
        <w:t>月3日的《中国证券报》、《证券时报》及巨潮资讯网</w:t>
      </w:r>
      <w:r>
        <w:rPr>
          <w:spacing w:val="-32"/>
        </w:rPr>
        <w:t> </w:t>
      </w:r>
      <w:r>
        <w:rPr/>
        <w:t>(www.cninfo.com.cn)。</w:t>
      </w:r>
    </w:p>
    <w:p>
      <w:pPr>
        <w:pStyle w:val="BodyText"/>
        <w:spacing w:line="240" w:lineRule="auto" w:before="33"/>
        <w:ind w:left="573" w:right="0"/>
        <w:jc w:val="left"/>
      </w:pPr>
      <w:r>
        <w:rPr/>
        <w:t>9、公司于2010年8月19日以现场表决的方式召开了第三届董事会第十三次会议，审议通过了《2010年</w:t>
      </w:r>
    </w:p>
    <w:p>
      <w:pPr>
        <w:spacing w:after="0" w:line="240" w:lineRule="auto"/>
        <w:jc w:val="left"/>
        <w:sectPr>
          <w:pgSz w:w="11910" w:h="16840"/>
          <w:pgMar w:header="851" w:footer="982" w:top="1200" w:bottom="1180" w:left="980" w:right="920"/>
        </w:sectPr>
      </w:pPr>
    </w:p>
    <w:p>
      <w:pPr>
        <w:pStyle w:val="BodyText"/>
        <w:spacing w:line="355" w:lineRule="auto" w:before="32"/>
        <w:ind w:left="153" w:right="201"/>
        <w:jc w:val="left"/>
      </w:pPr>
      <w:r>
        <w:rPr/>
        <w:pict>
          <v:group style="position:absolute;margin-left:55.200001pt;margin-top:2.943948pt;width:484.95pt;height:.1pt;mso-position-horizontal-relative:page;mso-position-vertical-relative:paragraph;z-index:-709528"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9"/>
        </w:rPr>
        <w:t>半年度报告全文及摘要》、《关于调整股票期权行权价格的议案》等三项议案，该次会议决议公告刊登于2010</w:t>
      </w:r>
      <w:r>
        <w:rPr>
          <w:spacing w:val="-99"/>
        </w:rPr>
        <w:t> </w:t>
      </w:r>
      <w:r>
        <w:rPr>
          <w:spacing w:val="-99"/>
        </w:rPr>
      </w:r>
      <w:r>
        <w:rPr/>
        <w:t>年8月23日的《中国证券报》、《证券时报》及巨潮资讯网</w:t>
      </w:r>
      <w:r>
        <w:rPr>
          <w:spacing w:val="-4"/>
        </w:rPr>
        <w:t> </w:t>
      </w:r>
      <w:r>
        <w:rPr/>
        <w:t>(www.cninfo.com.cn)。</w:t>
      </w:r>
    </w:p>
    <w:p>
      <w:pPr>
        <w:pStyle w:val="BodyText"/>
        <w:spacing w:line="357" w:lineRule="auto" w:before="33"/>
        <w:ind w:left="153" w:right="0" w:firstLine="420"/>
        <w:jc w:val="left"/>
      </w:pPr>
      <w:r>
        <w:rPr>
          <w:spacing w:val="-1"/>
        </w:rPr>
        <w:t>10、公司于2010年10月28日以通讯表决的方式召开了第三届董事会2010年第七次临时会议，审议通过</w:t>
      </w:r>
      <w:r>
        <w:rPr/>
        <w:t> </w:t>
      </w:r>
      <w:r>
        <w:rPr>
          <w:spacing w:val="-5"/>
        </w:rPr>
        <w:t>了《2010年第三季度报告正文及全文》、《关于修订&lt;公司章程&gt;的议案》等4项议案，该次会议决议公告刊</w:t>
      </w:r>
      <w:r>
        <w:rPr>
          <w:spacing w:val="-75"/>
        </w:rPr>
        <w:t> </w:t>
      </w:r>
      <w:r>
        <w:rPr>
          <w:spacing w:val="-75"/>
        </w:rPr>
      </w:r>
      <w:r>
        <w:rPr/>
        <w:t>登于2010年10月29日的《中国证券报》、《证券时报》及巨潮资讯网</w:t>
      </w:r>
      <w:r>
        <w:rPr>
          <w:spacing w:val="-4"/>
        </w:rPr>
        <w:t> </w:t>
      </w:r>
      <w:r>
        <w:rPr/>
        <w:t>(www.cninfo.com.cn)。</w:t>
      </w:r>
    </w:p>
    <w:p>
      <w:pPr>
        <w:pStyle w:val="BodyText"/>
        <w:spacing w:line="357" w:lineRule="auto" w:before="30"/>
        <w:ind w:left="153" w:right="0" w:firstLine="420"/>
        <w:jc w:val="left"/>
      </w:pPr>
      <w:r>
        <w:rPr>
          <w:spacing w:val="-1"/>
        </w:rPr>
        <w:t>11、公司于2010年11月15日以现场表决的方式召开了第四届董事会第一次会议，审议通过了《关于选</w:t>
      </w:r>
      <w:r>
        <w:rPr/>
        <w:t> </w:t>
      </w:r>
      <w:r>
        <w:rPr>
          <w:spacing w:val="-5"/>
        </w:rPr>
        <w:t>举第四届董事会董事长的议案》、《关于选举董事会专业委员会成员的议案》等4项议案，该次会议决议公</w:t>
      </w:r>
      <w:r>
        <w:rPr>
          <w:spacing w:val="-84"/>
        </w:rPr>
        <w:t> </w:t>
      </w:r>
      <w:r>
        <w:rPr>
          <w:spacing w:val="-84"/>
        </w:rPr>
      </w:r>
      <w:r>
        <w:rPr/>
        <w:t>告刊登于2010年11月16日的《中国证券报》、《证券时报》及巨潮资讯网</w:t>
      </w:r>
      <w:r>
        <w:rPr>
          <w:spacing w:val="-53"/>
        </w:rPr>
        <w:t> </w:t>
      </w:r>
      <w:r>
        <w:rPr/>
        <w:t>(www.cninfo.com.cn)。</w:t>
      </w:r>
    </w:p>
    <w:p>
      <w:pPr>
        <w:pStyle w:val="BodyText"/>
        <w:spacing w:line="357" w:lineRule="auto" w:before="30"/>
        <w:ind w:left="153" w:right="0" w:firstLine="420"/>
        <w:jc w:val="left"/>
      </w:pPr>
      <w:r>
        <w:rPr>
          <w:spacing w:val="-1"/>
        </w:rPr>
        <w:t>12、公司于2010年11月24日以通讯表决的方式召开了第四届董事会2010年第一次临时会议，审议通过</w:t>
      </w:r>
      <w:r>
        <w:rPr/>
        <w:t> </w:t>
      </w:r>
      <w:r>
        <w:rPr>
          <w:spacing w:val="-3"/>
        </w:rPr>
        <w:t>了《关于签署&lt;上海迅付科技有限公司股权转让框架协议&gt;的议案》，该次会议决议公告刊登于2010年11月</w:t>
      </w:r>
      <w:r>
        <w:rPr>
          <w:spacing w:val="-66"/>
        </w:rPr>
        <w:t> </w:t>
      </w:r>
      <w:r>
        <w:rPr>
          <w:spacing w:val="-66"/>
        </w:rPr>
      </w:r>
      <w:r>
        <w:rPr/>
        <w:t>25日的《中国证券报》、《证券时报》及巨潮资讯网</w:t>
      </w:r>
      <w:r>
        <w:rPr>
          <w:spacing w:val="-1"/>
        </w:rPr>
        <w:t> </w:t>
      </w:r>
      <w:r>
        <w:rPr/>
        <w:t>(www.cninfo.com.cn)。</w:t>
      </w:r>
    </w:p>
    <w:p>
      <w:pPr>
        <w:spacing w:line="688" w:lineRule="exact" w:before="7"/>
        <w:ind w:left="574" w:right="0" w:hanging="8"/>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董事会对股东大会决议的执行情况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报告期内，董事会根据《公司法》等有关法律、法规的规定，严格遵守《公司章程》规定的权限，忠</w:t>
      </w:r>
    </w:p>
    <w:p>
      <w:pPr>
        <w:pStyle w:val="BodyText"/>
        <w:spacing w:line="357" w:lineRule="auto" w:before="25"/>
        <w:ind w:left="574" w:right="5775" w:hanging="420"/>
        <w:jc w:val="left"/>
      </w:pPr>
      <w:r>
        <w:rPr/>
        <w:t>实、有效的执行股东大会各项决议。 1、2009</w:t>
      </w:r>
      <w:r>
        <w:rPr>
          <w:spacing w:val="-71"/>
        </w:rPr>
        <w:t> </w:t>
      </w:r>
      <w:r>
        <w:rPr/>
        <w:t>年度利润分配方案的执行情况</w:t>
      </w:r>
    </w:p>
    <w:p>
      <w:pPr>
        <w:pStyle w:val="BodyText"/>
        <w:spacing w:line="240" w:lineRule="auto" w:before="30"/>
        <w:ind w:left="574" w:right="0"/>
        <w:jc w:val="left"/>
      </w:pPr>
      <w:r>
        <w:rPr/>
        <w:t>根据公司</w:t>
      </w:r>
      <w:r>
        <w:rPr>
          <w:spacing w:val="-25"/>
        </w:rPr>
        <w:t> </w:t>
      </w:r>
      <w:r>
        <w:rPr/>
        <w:t>2009</w:t>
      </w:r>
      <w:r>
        <w:rPr>
          <w:spacing w:val="-24"/>
        </w:rPr>
        <w:t> </w:t>
      </w:r>
      <w:r>
        <w:rPr/>
        <w:t>年度股东大会决议，公司</w:t>
      </w:r>
      <w:r>
        <w:rPr>
          <w:spacing w:val="-25"/>
        </w:rPr>
        <w:t> </w:t>
      </w:r>
      <w:r>
        <w:rPr/>
        <w:t>2009</w:t>
      </w:r>
      <w:r>
        <w:rPr>
          <w:spacing w:val="-24"/>
        </w:rPr>
        <w:t> </w:t>
      </w:r>
      <w:r>
        <w:rPr/>
        <w:t>年度利润分配方案为：以</w:t>
      </w:r>
      <w:r>
        <w:rPr>
          <w:spacing w:val="-25"/>
        </w:rPr>
        <w:t> </w:t>
      </w:r>
      <w:r>
        <w:rPr/>
        <w:t>2009</w:t>
      </w:r>
      <w:r>
        <w:rPr>
          <w:spacing w:val="-24"/>
        </w:rPr>
        <w:t> </w:t>
      </w:r>
      <w:r>
        <w:rPr/>
        <w:t>年</w:t>
      </w:r>
      <w:r>
        <w:rPr>
          <w:spacing w:val="-25"/>
        </w:rPr>
        <w:t> </w:t>
      </w:r>
      <w:r>
        <w:rPr/>
        <w:t>12</w:t>
      </w:r>
      <w:r>
        <w:rPr>
          <w:spacing w:val="-26"/>
        </w:rPr>
        <w:t> </w:t>
      </w:r>
      <w:r>
        <w:rPr/>
        <w:t>月</w:t>
      </w:r>
      <w:r>
        <w:rPr>
          <w:spacing w:val="-25"/>
        </w:rPr>
        <w:t> </w:t>
      </w:r>
      <w:r>
        <w:rPr/>
        <w:t>31</w:t>
      </w:r>
      <w:r>
        <w:rPr>
          <w:spacing w:val="-24"/>
        </w:rPr>
        <w:t> </w:t>
      </w:r>
      <w:r>
        <w:rPr/>
        <w:t>日总股本</w:t>
      </w:r>
    </w:p>
    <w:p>
      <w:pPr>
        <w:pStyle w:val="BodyText"/>
        <w:spacing w:line="240" w:lineRule="auto" w:before="134"/>
        <w:ind w:right="0"/>
        <w:jc w:val="left"/>
      </w:pPr>
      <w:r>
        <w:rPr/>
        <w:t>224,000,000</w:t>
      </w:r>
      <w:r>
        <w:rPr>
          <w:spacing w:val="-56"/>
        </w:rPr>
        <w:t> </w:t>
      </w:r>
      <w:r>
        <w:rPr>
          <w:spacing w:val="-3"/>
        </w:rPr>
        <w:t>为基数，向全体股东按每</w:t>
      </w:r>
      <w:r>
        <w:rPr>
          <w:spacing w:val="-56"/>
        </w:rPr>
        <w:t> </w:t>
      </w:r>
      <w:r>
        <w:rPr/>
        <w:t>10</w:t>
      </w:r>
      <w:r>
        <w:rPr>
          <w:spacing w:val="-55"/>
        </w:rPr>
        <w:t> </w:t>
      </w:r>
      <w:r>
        <w:rPr/>
        <w:t>股派发现金股利人民币</w:t>
      </w:r>
      <w:r>
        <w:rPr>
          <w:spacing w:val="-56"/>
        </w:rPr>
        <w:t> </w:t>
      </w:r>
      <w:r>
        <w:rPr/>
        <w:t>3</w:t>
      </w:r>
      <w:r>
        <w:rPr>
          <w:spacing w:val="-55"/>
        </w:rPr>
        <w:t> </w:t>
      </w:r>
      <w:r>
        <w:rPr>
          <w:spacing w:val="-7"/>
        </w:rPr>
        <w:t>元（含税），共计派发</w:t>
      </w:r>
      <w:r>
        <w:rPr>
          <w:spacing w:val="-56"/>
        </w:rPr>
        <w:t> </w:t>
      </w:r>
      <w:r>
        <w:rPr/>
        <w:t>67,200,000</w:t>
      </w:r>
      <w:r>
        <w:rPr>
          <w:spacing w:val="-55"/>
        </w:rPr>
        <w:t> </w:t>
      </w:r>
      <w:r>
        <w:rPr/>
        <w:t>元，</w:t>
      </w:r>
    </w:p>
    <w:p>
      <w:pPr>
        <w:pStyle w:val="BodyText"/>
        <w:spacing w:line="240" w:lineRule="auto" w:before="133"/>
        <w:ind w:right="0"/>
        <w:jc w:val="left"/>
      </w:pPr>
      <w:r>
        <w:rPr/>
        <w:t>剩余未分配利润</w:t>
      </w:r>
      <w:r>
        <w:rPr>
          <w:spacing w:val="-67"/>
        </w:rPr>
        <w:t> </w:t>
      </w:r>
      <w:r>
        <w:rPr/>
        <w:t>312,126,457.17</w:t>
      </w:r>
      <w:r>
        <w:rPr>
          <w:spacing w:val="-67"/>
        </w:rPr>
        <w:t> </w:t>
      </w:r>
      <w:r>
        <w:rPr/>
        <w:t>结转至下一年度。</w:t>
      </w:r>
    </w:p>
    <w:p>
      <w:pPr>
        <w:pStyle w:val="BodyText"/>
        <w:spacing w:line="240" w:lineRule="auto" w:before="133"/>
        <w:ind w:left="574" w:right="0"/>
        <w:jc w:val="left"/>
      </w:pPr>
      <w:r>
        <w:rPr/>
        <w:t>公司于</w:t>
      </w:r>
      <w:r>
        <w:rPr>
          <w:spacing w:val="-60"/>
        </w:rPr>
        <w:t> </w:t>
      </w:r>
      <w:r>
        <w:rPr/>
        <w:t>2010</w:t>
      </w:r>
      <w:r>
        <w:rPr>
          <w:spacing w:val="-60"/>
        </w:rPr>
        <w:t> </w:t>
      </w:r>
      <w:r>
        <w:rPr/>
        <w:t>年</w:t>
      </w:r>
      <w:r>
        <w:rPr>
          <w:spacing w:val="-60"/>
        </w:rPr>
        <w:t> </w:t>
      </w:r>
      <w:r>
        <w:rPr/>
        <w:t>5</w:t>
      </w:r>
      <w:r>
        <w:rPr>
          <w:spacing w:val="-59"/>
        </w:rPr>
        <w:t> </w:t>
      </w:r>
      <w:r>
        <w:rPr/>
        <w:t>月</w:t>
      </w:r>
      <w:r>
        <w:rPr>
          <w:spacing w:val="-61"/>
        </w:rPr>
        <w:t> </w:t>
      </w:r>
      <w:r>
        <w:rPr/>
        <w:t>17</w:t>
      </w:r>
      <w:r>
        <w:rPr>
          <w:spacing w:val="-59"/>
        </w:rPr>
        <w:t> </w:t>
      </w:r>
      <w:r>
        <w:rPr/>
        <w:t>日在《中国证券报》、《证券时报》及巨潮资讯网</w:t>
      </w:r>
      <w:r>
        <w:rPr>
          <w:spacing w:val="-13"/>
        </w:rPr>
        <w:t> </w:t>
      </w:r>
      <w:r>
        <w:rPr/>
        <w:t>(www.cninfo.com.cn)上刊</w:t>
      </w:r>
    </w:p>
    <w:p>
      <w:pPr>
        <w:pStyle w:val="BodyText"/>
        <w:spacing w:line="240" w:lineRule="auto" w:before="134"/>
        <w:ind w:right="0"/>
        <w:jc w:val="left"/>
      </w:pPr>
      <w:r>
        <w:rPr/>
        <w:t>登</w:t>
      </w:r>
      <w:r>
        <w:rPr>
          <w:spacing w:val="-26"/>
        </w:rPr>
        <w:t>了</w:t>
      </w:r>
      <w:r>
        <w:rPr/>
        <w:t>《2009</w:t>
      </w:r>
      <w:r>
        <w:rPr>
          <w:spacing w:val="-53"/>
        </w:rPr>
        <w:t> </w:t>
      </w:r>
      <w:r>
        <w:rPr/>
        <w:t>年度权益分派实施公告</w:t>
      </w:r>
      <w:r>
        <w:rPr>
          <w:spacing w:val="-106"/>
        </w:rPr>
        <w:t>》</w:t>
      </w:r>
      <w:r>
        <w:rPr>
          <w:spacing w:val="-26"/>
        </w:rPr>
        <w:t>，</w:t>
      </w:r>
      <w:r>
        <w:rPr>
          <w:spacing w:val="-1"/>
        </w:rPr>
        <w:t>股权登记日</w:t>
      </w:r>
      <w:r>
        <w:rPr/>
        <w:t>为</w:t>
      </w:r>
      <w:r>
        <w:rPr>
          <w:spacing w:val="-53"/>
        </w:rPr>
        <w:t> </w:t>
      </w:r>
      <w:r>
        <w:rPr>
          <w:spacing w:val="-1"/>
        </w:rPr>
        <w:t>201</w:t>
      </w:r>
      <w:r>
        <w:rPr/>
        <w:t>0</w:t>
      </w:r>
      <w:r>
        <w:rPr>
          <w:spacing w:val="-52"/>
        </w:rPr>
        <w:t> </w:t>
      </w:r>
      <w:r>
        <w:rPr/>
        <w:t>年</w:t>
      </w:r>
      <w:r>
        <w:rPr>
          <w:spacing w:val="-54"/>
        </w:rPr>
        <w:t> </w:t>
      </w:r>
      <w:r>
        <w:rPr/>
        <w:t>5</w:t>
      </w:r>
      <w:r>
        <w:rPr>
          <w:spacing w:val="-52"/>
        </w:rPr>
        <w:t> </w:t>
      </w:r>
      <w:r>
        <w:rPr/>
        <w:t>月</w:t>
      </w:r>
      <w:r>
        <w:rPr>
          <w:spacing w:val="-54"/>
        </w:rPr>
        <w:t> </w:t>
      </w:r>
      <w:r>
        <w:rPr/>
        <w:t>24</w:t>
      </w:r>
      <w:r>
        <w:rPr>
          <w:spacing w:val="-52"/>
        </w:rPr>
        <w:t> </w:t>
      </w:r>
      <w:r>
        <w:rPr/>
        <w:t>日</w:t>
      </w:r>
      <w:r>
        <w:rPr>
          <w:spacing w:val="-27"/>
        </w:rPr>
        <w:t>，</w:t>
      </w:r>
      <w:r>
        <w:rPr>
          <w:spacing w:val="-1"/>
        </w:rPr>
        <w:t>除权除息日</w:t>
      </w:r>
      <w:r>
        <w:rPr/>
        <w:t>为</w:t>
      </w:r>
      <w:r>
        <w:rPr>
          <w:spacing w:val="-53"/>
        </w:rPr>
        <w:t> </w:t>
      </w:r>
      <w:r>
        <w:rPr>
          <w:spacing w:val="-1"/>
        </w:rPr>
        <w:t>201</w:t>
      </w:r>
      <w:r>
        <w:rPr/>
        <w:t>0</w:t>
      </w:r>
      <w:r>
        <w:rPr>
          <w:spacing w:val="-52"/>
        </w:rPr>
        <w:t> </w:t>
      </w:r>
      <w:r>
        <w:rPr/>
        <w:t>年</w:t>
      </w:r>
      <w:r>
        <w:rPr>
          <w:spacing w:val="-54"/>
        </w:rPr>
        <w:t> </w:t>
      </w:r>
      <w:r>
        <w:rPr/>
        <w:t>5</w:t>
      </w:r>
      <w:r>
        <w:rPr>
          <w:spacing w:val="-53"/>
        </w:rPr>
        <w:t> </w:t>
      </w:r>
      <w:r>
        <w:rPr/>
        <w:t>月</w:t>
      </w:r>
      <w:r>
        <w:rPr>
          <w:spacing w:val="-53"/>
        </w:rPr>
        <w:t> </w:t>
      </w:r>
      <w:r>
        <w:rPr>
          <w:spacing w:val="-1"/>
        </w:rPr>
        <w:t>2</w:t>
      </w:r>
      <w:r>
        <w:rPr/>
        <w:t>5</w:t>
      </w:r>
      <w:r>
        <w:rPr>
          <w:spacing w:val="-52"/>
        </w:rPr>
        <w:t> </w:t>
      </w:r>
      <w:r>
        <w:rPr>
          <w:spacing w:val="1"/>
        </w:rPr>
        <w:t>日</w:t>
      </w:r>
      <w:r>
        <w:rPr/>
        <w:t>。</w:t>
      </w:r>
    </w:p>
    <w:p>
      <w:pPr>
        <w:spacing w:line="240" w:lineRule="auto" w:before="0"/>
        <w:rPr>
          <w:rFonts w:ascii="宋体" w:hAnsi="宋体" w:cs="宋体" w:eastAsia="宋体" w:hint="default"/>
          <w:sz w:val="20"/>
          <w:szCs w:val="20"/>
        </w:rPr>
      </w:pPr>
    </w:p>
    <w:p>
      <w:pPr>
        <w:pStyle w:val="Heading3"/>
        <w:spacing w:line="240" w:lineRule="auto" w:before="152"/>
        <w:ind w:left="567" w:right="0"/>
        <w:jc w:val="left"/>
        <w:rPr>
          <w:b w:val="0"/>
          <w:bCs w:val="0"/>
        </w:rPr>
      </w:pPr>
      <w:r>
        <w:rPr/>
        <w:t>（三）董事会审计委员会履职情况汇总报告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right="192" w:firstLine="420"/>
        <w:jc w:val="left"/>
      </w:pPr>
      <w:r>
        <w:rPr/>
        <w:t>公司董事会审计委员会由</w:t>
      </w:r>
      <w:r>
        <w:rPr>
          <w:spacing w:val="-64"/>
        </w:rPr>
        <w:t> </w:t>
      </w:r>
      <w:r>
        <w:rPr/>
        <w:t>3</w:t>
      </w:r>
      <w:r>
        <w:rPr>
          <w:spacing w:val="-63"/>
        </w:rPr>
        <w:t> </w:t>
      </w:r>
      <w:r>
        <w:rPr/>
        <w:t>名董事组成，其中两名为公司独立董事，主席由具有专业会计背景的独立</w:t>
      </w:r>
      <w:r>
        <w:rPr/>
        <w:t> 董事担任。</w:t>
      </w:r>
    </w:p>
    <w:p>
      <w:pPr>
        <w:pStyle w:val="BodyText"/>
        <w:spacing w:line="357" w:lineRule="auto" w:before="30"/>
        <w:ind w:right="0" w:firstLine="420"/>
        <w:jc w:val="left"/>
      </w:pPr>
      <w:r>
        <w:rPr>
          <w:spacing w:val="-1"/>
        </w:rPr>
        <w:t>根据中国证监会、深圳证券交易所及公司《董事会审计委员会工作细则》，公司董事会审计委员会本</w:t>
      </w:r>
      <w:r>
        <w:rPr>
          <w:spacing w:val="2"/>
        </w:rPr>
        <w:t> </w:t>
      </w:r>
      <w:r>
        <w:rPr>
          <w:spacing w:val="-1"/>
        </w:rPr>
        <w:t>着勤勉尽责的原则，2010</w:t>
      </w:r>
      <w:r>
        <w:rPr>
          <w:spacing w:val="-29"/>
        </w:rPr>
        <w:t> </w:t>
      </w:r>
      <w:r>
        <w:rPr>
          <w:spacing w:val="-2"/>
        </w:rPr>
        <w:t>年年度报告期间及报告期内，履行了以下工作职责：</w:t>
      </w:r>
      <w:r>
        <w:rPr/>
      </w:r>
    </w:p>
    <w:p>
      <w:pPr>
        <w:pStyle w:val="BodyText"/>
        <w:spacing w:line="240" w:lineRule="auto" w:before="30"/>
        <w:ind w:left="574" w:right="0"/>
        <w:jc w:val="left"/>
      </w:pPr>
      <w:r>
        <w:rPr/>
        <w:t>1、与年审注册会计师沟通</w:t>
      </w:r>
      <w:r>
        <w:rPr>
          <w:spacing w:val="-65"/>
        </w:rPr>
        <w:t> </w:t>
      </w:r>
      <w:r>
        <w:rPr/>
        <w:t>2010</w:t>
      </w:r>
      <w:r>
        <w:rPr>
          <w:spacing w:val="-65"/>
        </w:rPr>
        <w:t> </w:t>
      </w:r>
      <w:r>
        <w:rPr/>
        <w:t>年度审计工作计划</w:t>
      </w:r>
    </w:p>
    <w:p>
      <w:pPr>
        <w:pStyle w:val="BodyText"/>
        <w:spacing w:line="357" w:lineRule="auto" w:before="133"/>
        <w:ind w:right="209" w:firstLine="420"/>
        <w:jc w:val="both"/>
      </w:pPr>
      <w:r>
        <w:rPr/>
        <w:t>2011</w:t>
      </w:r>
      <w:r>
        <w:rPr>
          <w:spacing w:val="-49"/>
        </w:rPr>
        <w:t> </w:t>
      </w:r>
      <w:r>
        <w:rPr/>
        <w:t>年</w:t>
      </w:r>
      <w:r>
        <w:rPr>
          <w:spacing w:val="-50"/>
        </w:rPr>
        <w:t> </w:t>
      </w:r>
      <w:r>
        <w:rPr/>
        <w:t>1</w:t>
      </w:r>
      <w:r>
        <w:rPr>
          <w:spacing w:val="-49"/>
        </w:rPr>
        <w:t> </w:t>
      </w:r>
      <w:r>
        <w:rPr/>
        <w:t>月</w:t>
      </w:r>
      <w:r>
        <w:rPr>
          <w:spacing w:val="-50"/>
        </w:rPr>
        <w:t> </w:t>
      </w:r>
      <w:r>
        <w:rPr/>
        <w:t>7</w:t>
      </w:r>
      <w:r>
        <w:rPr>
          <w:spacing w:val="-49"/>
        </w:rPr>
        <w:t> </w:t>
      </w:r>
      <w:r>
        <w:rPr/>
        <w:t>日，公司董事会审计委员会召开了</w:t>
      </w:r>
      <w:r>
        <w:rPr>
          <w:spacing w:val="-50"/>
        </w:rPr>
        <w:t> </w:t>
      </w:r>
      <w:r>
        <w:rPr/>
        <w:t>2010</w:t>
      </w:r>
      <w:r>
        <w:rPr>
          <w:spacing w:val="-49"/>
        </w:rPr>
        <w:t> </w:t>
      </w:r>
      <w:r>
        <w:rPr/>
        <w:t>年年报工作第一次工作会议，会计师向审计委</w:t>
      </w:r>
      <w:r>
        <w:rPr/>
        <w:t> </w:t>
      </w:r>
      <w:r>
        <w:rPr>
          <w:spacing w:val="-1"/>
        </w:rPr>
        <w:t>员会汇报了审计计划、人员安排和预审情况，审计委员会委员就预审中的问题、审计过程中需要注意的问</w:t>
      </w:r>
      <w:r>
        <w:rPr>
          <w:spacing w:val="-83"/>
        </w:rPr>
        <w:t> </w:t>
      </w:r>
      <w:r>
        <w:rPr>
          <w:spacing w:val="-83"/>
        </w:rPr>
      </w:r>
      <w:r>
        <w:rPr/>
        <w:t>题等事项与会计师进行了沟通，并要求会计师按照计划完成年报审计工作。</w:t>
      </w:r>
    </w:p>
    <w:p>
      <w:pPr>
        <w:pStyle w:val="BodyText"/>
        <w:spacing w:line="240" w:lineRule="auto" w:before="31"/>
        <w:ind w:left="574" w:right="0"/>
        <w:jc w:val="left"/>
      </w:pPr>
      <w:r>
        <w:rPr/>
        <w:t>2、审计进场前审阅公司编制的财务会计报表</w:t>
      </w:r>
    </w:p>
    <w:p>
      <w:pPr>
        <w:pStyle w:val="BodyText"/>
        <w:spacing w:line="357" w:lineRule="auto" w:before="133"/>
        <w:ind w:right="198" w:firstLine="420"/>
        <w:jc w:val="left"/>
      </w:pPr>
      <w:r>
        <w:rPr/>
        <w:t>2011</w:t>
      </w:r>
      <w:r>
        <w:rPr>
          <w:spacing w:val="-47"/>
        </w:rPr>
        <w:t> </w:t>
      </w:r>
      <w:r>
        <w:rPr/>
        <w:t>年</w:t>
      </w:r>
      <w:r>
        <w:rPr>
          <w:spacing w:val="-49"/>
        </w:rPr>
        <w:t> </w:t>
      </w:r>
      <w:r>
        <w:rPr/>
        <w:t>1</w:t>
      </w:r>
      <w:r>
        <w:rPr>
          <w:spacing w:val="-47"/>
        </w:rPr>
        <w:t> </w:t>
      </w:r>
      <w:r>
        <w:rPr/>
        <w:t>月，董事会审计委员会认真审阅了公司管理层提交的未经审计的</w:t>
      </w:r>
      <w:r>
        <w:rPr>
          <w:spacing w:val="-48"/>
        </w:rPr>
        <w:t> </w:t>
      </w:r>
      <w:r>
        <w:rPr/>
        <w:t>2010</w:t>
      </w:r>
      <w:r>
        <w:rPr>
          <w:spacing w:val="-47"/>
        </w:rPr>
        <w:t> </w:t>
      </w:r>
      <w:r>
        <w:rPr/>
        <w:t>年度财务报表，经与</w:t>
      </w:r>
      <w:r>
        <w:rPr/>
        <w:t> 公司管理层就有关资料进行询问交流后，发表意见如下：</w:t>
      </w:r>
    </w:p>
    <w:p>
      <w:pPr>
        <w:spacing w:after="0" w:line="357" w:lineRule="auto"/>
        <w:jc w:val="left"/>
        <w:sectPr>
          <w:pgSz w:w="11910" w:h="16840"/>
          <w:pgMar w:header="851" w:footer="982" w:top="1200" w:bottom="1180" w:left="980" w:right="920"/>
        </w:sectPr>
      </w:pPr>
    </w:p>
    <w:p>
      <w:pPr>
        <w:pStyle w:val="BodyText"/>
        <w:spacing w:line="355" w:lineRule="auto" w:before="32"/>
        <w:ind w:right="0" w:firstLine="420"/>
        <w:jc w:val="left"/>
      </w:pPr>
      <w:r>
        <w:rPr/>
        <w:pict>
          <v:group style="position:absolute;margin-left:55.200001pt;margin-top:2.943948pt;width:484.95pt;height:.1pt;mso-position-horizontal-relative:page;mso-position-vertical-relative:paragraph;z-index:-709504" coordorigin="1104,59" coordsize="9699,2">
            <v:shape style="position:absolute;left:1104;top:59;width:9699;height:2" coordorigin="1104,59" coordsize="9699,0" path="m1104,59l10802,59e" filled="false" stroked="true" strokeweight=".72pt" strokecolor="#000000">
              <v:path arrowok="t"/>
            </v:shape>
            <w10:wrap type="none"/>
          </v:group>
        </w:pict>
      </w:r>
      <w:r>
        <w:rPr/>
        <w:t>公司财务会计报表依照公司新企业会计准则、会计政策、企业会计制度以及财政部发布的有关规定要 求，未发现重大错报和漏报情况，所包含的信息能从重大方面反映出公司</w:t>
      </w:r>
      <w:r>
        <w:rPr>
          <w:spacing w:val="-87"/>
        </w:rPr>
        <w:t> </w:t>
      </w:r>
      <w:r>
        <w:rPr/>
        <w:t>2010</w:t>
      </w:r>
      <w:r>
        <w:rPr>
          <w:spacing w:val="-86"/>
        </w:rPr>
        <w:t> </w:t>
      </w:r>
      <w:r>
        <w:rPr/>
        <w:t>年度财务状况和经营成果，</w:t>
      </w:r>
    </w:p>
    <w:p>
      <w:pPr>
        <w:pStyle w:val="BodyText"/>
        <w:spacing w:line="355" w:lineRule="auto" w:before="33"/>
        <w:ind w:left="574" w:right="0" w:hanging="420"/>
        <w:jc w:val="left"/>
      </w:pPr>
      <w:r>
        <w:rPr/>
        <w:t>同意以此财务报表为基础，展开</w:t>
      </w:r>
      <w:r>
        <w:rPr>
          <w:spacing w:val="-54"/>
        </w:rPr>
        <w:t> </w:t>
      </w:r>
      <w:r>
        <w:rPr/>
        <w:t>2010</w:t>
      </w:r>
      <w:r>
        <w:rPr>
          <w:spacing w:val="-53"/>
        </w:rPr>
        <w:t> </w:t>
      </w:r>
      <w:r>
        <w:rPr/>
        <w:t>年年度报告审计工作。</w:t>
      </w:r>
      <w:r>
        <w:rPr>
          <w:spacing w:val="-1"/>
        </w:rPr>
        <w:t> 基于本次财务报表的审阅时间距离审计报告出具日尚有一段时间，提请公司财务部及审计机构关注公</w:t>
      </w:r>
    </w:p>
    <w:p>
      <w:pPr>
        <w:pStyle w:val="BodyText"/>
        <w:spacing w:line="355" w:lineRule="auto" w:before="33"/>
        <w:ind w:right="0"/>
        <w:jc w:val="left"/>
      </w:pPr>
      <w:r>
        <w:rPr>
          <w:spacing w:val="-1"/>
        </w:rPr>
        <w:t>司内部财务控制制度的执行情况，以保证财务报表的公允性、真实性及完整性，提高公司财务信息披露质</w:t>
      </w:r>
      <w:r>
        <w:rPr>
          <w:spacing w:val="-83"/>
        </w:rPr>
        <w:t> </w:t>
      </w:r>
      <w:r>
        <w:rPr>
          <w:spacing w:val="-83"/>
        </w:rPr>
      </w:r>
      <w:r>
        <w:rPr/>
        <w:t>量。</w:t>
      </w:r>
    </w:p>
    <w:p>
      <w:pPr>
        <w:pStyle w:val="BodyText"/>
        <w:spacing w:line="355" w:lineRule="auto" w:before="33"/>
        <w:ind w:left="574" w:right="0"/>
        <w:jc w:val="left"/>
      </w:pPr>
      <w:r>
        <w:rPr/>
        <w:t>3、审计期间保持与会计师事务所的沟通并审阅经初步审计后的财务报表 公司年审注册会计师进场后，董事会审计委员会与年审注册会计师于</w:t>
      </w:r>
      <w:r>
        <w:rPr>
          <w:spacing w:val="-64"/>
        </w:rPr>
        <w:t> </w:t>
      </w:r>
      <w:r>
        <w:rPr/>
        <w:t>2011</w:t>
      </w:r>
      <w:r>
        <w:rPr>
          <w:spacing w:val="-63"/>
        </w:rPr>
        <w:t> </w:t>
      </w:r>
      <w:r>
        <w:rPr/>
        <w:t>年</w:t>
      </w:r>
      <w:r>
        <w:rPr>
          <w:spacing w:val="-65"/>
        </w:rPr>
        <w:t> </w:t>
      </w:r>
      <w:r>
        <w:rPr/>
        <w:t>2</w:t>
      </w:r>
      <w:r>
        <w:rPr>
          <w:spacing w:val="-63"/>
        </w:rPr>
        <w:t> </w:t>
      </w:r>
      <w:r>
        <w:rPr/>
        <w:t>月</w:t>
      </w:r>
      <w:r>
        <w:rPr>
          <w:spacing w:val="-65"/>
        </w:rPr>
        <w:t> </w:t>
      </w:r>
      <w:r>
        <w:rPr/>
        <w:t>18</w:t>
      </w:r>
      <w:r>
        <w:rPr>
          <w:spacing w:val="-63"/>
        </w:rPr>
        <w:t> </w:t>
      </w:r>
      <w:r>
        <w:rPr/>
        <w:t>日召开了第二次</w:t>
      </w:r>
    </w:p>
    <w:p>
      <w:pPr>
        <w:pStyle w:val="BodyText"/>
        <w:spacing w:line="357" w:lineRule="auto" w:before="32"/>
        <w:ind w:right="209"/>
        <w:jc w:val="both"/>
      </w:pPr>
      <w:r>
        <w:rPr>
          <w:spacing w:val="-1"/>
        </w:rPr>
        <w:t>年度报告工作会议，注册会计师向审计委员会汇报了审计中的调整事项，审计委员会就审计过程中发现的</w:t>
      </w:r>
      <w:r>
        <w:rPr>
          <w:spacing w:val="-81"/>
        </w:rPr>
        <w:t> </w:t>
      </w:r>
      <w:r>
        <w:rPr>
          <w:spacing w:val="-81"/>
        </w:rPr>
      </w:r>
      <w:r>
        <w:rPr>
          <w:spacing w:val="-1"/>
        </w:rPr>
        <w:t>问题、审计调整事项以及审计进度进行了沟通和交流，并认真审阅了经武汉众环会计师事务所初步审计的</w:t>
      </w:r>
      <w:r>
        <w:rPr>
          <w:spacing w:val="-81"/>
        </w:rPr>
        <w:t> </w:t>
      </w:r>
      <w:r>
        <w:rPr>
          <w:spacing w:val="-81"/>
        </w:rPr>
      </w:r>
      <w:r>
        <w:rPr/>
        <w:t>2010</w:t>
      </w:r>
      <w:r>
        <w:rPr>
          <w:spacing w:val="-54"/>
        </w:rPr>
        <w:t> </w:t>
      </w:r>
      <w:r>
        <w:rPr/>
        <w:t>年度财务报告，发表如下审核意见：</w:t>
      </w:r>
    </w:p>
    <w:p>
      <w:pPr>
        <w:pStyle w:val="BodyText"/>
        <w:spacing w:line="357" w:lineRule="auto" w:before="31"/>
        <w:ind w:right="209" w:firstLine="420"/>
        <w:jc w:val="both"/>
      </w:pPr>
      <w:r>
        <w:rPr>
          <w:spacing w:val="-1"/>
        </w:rPr>
        <w:t>保持原有的审议意见，并认为公司已严格按照新企业会计准则处理了资产负债日期后事项，公司财务</w:t>
      </w:r>
      <w:r>
        <w:rPr/>
        <w:t> </w:t>
      </w:r>
      <w:r>
        <w:rPr>
          <w:spacing w:val="-1"/>
        </w:rPr>
        <w:t>报表已经按照新企业会计准则及公司有关财务制度的规定编制，同意年审注册会计师对公司财务会计报表</w:t>
      </w:r>
      <w:r>
        <w:rPr>
          <w:spacing w:val="-81"/>
        </w:rPr>
        <w:t> </w:t>
      </w:r>
      <w:r>
        <w:rPr>
          <w:spacing w:val="-81"/>
        </w:rPr>
      </w:r>
      <w:r>
        <w:rPr/>
        <w:t>出具的初步审计报告，并以该审计报告为基础制作公司 2010</w:t>
      </w:r>
      <w:r>
        <w:rPr>
          <w:spacing w:val="-25"/>
        </w:rPr>
        <w:t> </w:t>
      </w:r>
      <w:r>
        <w:rPr/>
        <w:t>年度报告和摘要，同时请审计项目组按照审</w:t>
      </w:r>
    </w:p>
    <w:p>
      <w:pPr>
        <w:pStyle w:val="BodyText"/>
        <w:spacing w:line="240" w:lineRule="auto" w:before="30"/>
        <w:ind w:right="0"/>
        <w:jc w:val="both"/>
      </w:pPr>
      <w:r>
        <w:rPr/>
        <w:t>计计划尽快完成审计工作，以保证公司</w:t>
      </w:r>
      <w:r>
        <w:rPr>
          <w:spacing w:val="-68"/>
        </w:rPr>
        <w:t> </w:t>
      </w:r>
      <w:r>
        <w:rPr/>
        <w:t>2010</w:t>
      </w:r>
      <w:r>
        <w:rPr>
          <w:spacing w:val="-68"/>
        </w:rPr>
        <w:t> </w:t>
      </w:r>
      <w:r>
        <w:rPr/>
        <w:t>年年度报告如期披露。</w:t>
      </w:r>
    </w:p>
    <w:p>
      <w:pPr>
        <w:pStyle w:val="BodyText"/>
        <w:spacing w:line="240" w:lineRule="auto" w:before="133"/>
        <w:ind w:left="574" w:right="0"/>
        <w:jc w:val="left"/>
      </w:pPr>
      <w:r>
        <w:rPr/>
        <w:t>4、审阅公司</w:t>
      </w:r>
      <w:r>
        <w:rPr>
          <w:spacing w:val="-55"/>
        </w:rPr>
        <w:t> </w:t>
      </w:r>
      <w:r>
        <w:rPr/>
        <w:t>2010</w:t>
      </w:r>
      <w:r>
        <w:rPr>
          <w:spacing w:val="-53"/>
        </w:rPr>
        <w:t> </w:t>
      </w:r>
      <w:r>
        <w:rPr/>
        <w:t>年度审计报告</w:t>
      </w:r>
    </w:p>
    <w:p>
      <w:pPr>
        <w:pStyle w:val="BodyText"/>
        <w:spacing w:line="240" w:lineRule="auto" w:before="134"/>
        <w:ind w:left="574" w:right="0"/>
        <w:jc w:val="left"/>
      </w:pPr>
      <w:r>
        <w:rPr/>
        <w:t>2011</w:t>
      </w:r>
      <w:r>
        <w:rPr>
          <w:spacing w:val="-46"/>
        </w:rPr>
        <w:t> </w:t>
      </w:r>
      <w:r>
        <w:rPr/>
        <w:t>年</w:t>
      </w:r>
      <w:r>
        <w:rPr>
          <w:spacing w:val="-46"/>
        </w:rPr>
        <w:t> </w:t>
      </w:r>
      <w:r>
        <w:rPr/>
        <w:t>3</w:t>
      </w:r>
      <w:r>
        <w:rPr>
          <w:spacing w:val="-46"/>
        </w:rPr>
        <w:t> </w:t>
      </w:r>
      <w:r>
        <w:rPr/>
        <w:t>月</w:t>
      </w:r>
      <w:r>
        <w:rPr>
          <w:spacing w:val="-47"/>
        </w:rPr>
        <w:t> </w:t>
      </w:r>
      <w:r>
        <w:rPr/>
        <w:t>1</w:t>
      </w:r>
      <w:r>
        <w:rPr>
          <w:spacing w:val="-45"/>
        </w:rPr>
        <w:t> </w:t>
      </w:r>
      <w:r>
        <w:rPr>
          <w:spacing w:val="-3"/>
        </w:rPr>
        <w:t>日，董事会审计委员会召开了年报工作第三次工作会议，认真审阅了经武汉众环会计师</w:t>
      </w:r>
    </w:p>
    <w:p>
      <w:pPr>
        <w:pStyle w:val="BodyText"/>
        <w:spacing w:line="240" w:lineRule="auto" w:before="133"/>
        <w:ind w:right="0"/>
        <w:jc w:val="both"/>
      </w:pPr>
      <w:r>
        <w:rPr/>
        <w:t>事务所出具的</w:t>
      </w:r>
      <w:r>
        <w:rPr>
          <w:spacing w:val="-68"/>
        </w:rPr>
        <w:t> </w:t>
      </w:r>
      <w:r>
        <w:rPr/>
        <w:t>2010</w:t>
      </w:r>
      <w:r>
        <w:rPr>
          <w:spacing w:val="-67"/>
        </w:rPr>
        <w:t> </w:t>
      </w:r>
      <w:r>
        <w:rPr/>
        <w:t>年年度审计报告，同时审议通过了以下决议：</w:t>
      </w:r>
    </w:p>
    <w:p>
      <w:pPr>
        <w:pStyle w:val="BodyText"/>
        <w:spacing w:line="240" w:lineRule="auto" w:before="134"/>
        <w:ind w:left="574" w:right="0"/>
        <w:jc w:val="left"/>
      </w:pPr>
      <w:r>
        <w:rPr/>
        <w:t>（1）审议通过石基信息</w:t>
      </w:r>
      <w:r>
        <w:rPr>
          <w:spacing w:val="-73"/>
        </w:rPr>
        <w:t> </w:t>
      </w:r>
      <w:r>
        <w:rPr/>
        <w:t>2010</w:t>
      </w:r>
      <w:r>
        <w:rPr>
          <w:spacing w:val="-73"/>
        </w:rPr>
        <w:t> </w:t>
      </w:r>
      <w:r>
        <w:rPr/>
        <w:t>年度审计报告，提交董事会审议，并发表如下审阅意见：</w:t>
      </w:r>
    </w:p>
    <w:p>
      <w:pPr>
        <w:pStyle w:val="BodyText"/>
        <w:spacing w:line="240" w:lineRule="auto" w:before="133"/>
        <w:ind w:left="574" w:right="0"/>
        <w:jc w:val="left"/>
      </w:pPr>
      <w:r>
        <w:rPr/>
        <w:t>武汉众环会计师事务所有限责任公司出具的 2010</w:t>
      </w:r>
      <w:r>
        <w:rPr>
          <w:spacing w:val="-25"/>
        </w:rPr>
        <w:t> </w:t>
      </w:r>
      <w:r>
        <w:rPr/>
        <w:t>年年度审计报告严格按照新企业会计准则及公司有</w:t>
      </w:r>
    </w:p>
    <w:p>
      <w:pPr>
        <w:pStyle w:val="BodyText"/>
        <w:spacing w:line="240" w:lineRule="auto" w:before="134"/>
        <w:ind w:right="0"/>
        <w:jc w:val="both"/>
      </w:pPr>
      <w:r>
        <w:rPr/>
        <w:t>关财务制度的规定编制，公允地反映了公司 2010</w:t>
      </w:r>
      <w:r>
        <w:rPr>
          <w:spacing w:val="-25"/>
        </w:rPr>
        <w:t> </w:t>
      </w:r>
      <w:r>
        <w:rPr/>
        <w:t>年度的财务状况和经营成果，同意以该审计报告为基础</w:t>
      </w:r>
    </w:p>
    <w:p>
      <w:pPr>
        <w:pStyle w:val="BodyText"/>
        <w:spacing w:line="240" w:lineRule="auto" w:before="133"/>
        <w:ind w:right="0"/>
        <w:jc w:val="both"/>
      </w:pPr>
      <w:r>
        <w:rPr/>
        <w:t>制作公司</w:t>
      </w:r>
      <w:r>
        <w:rPr>
          <w:spacing w:val="-61"/>
        </w:rPr>
        <w:t> </w:t>
      </w:r>
      <w:r>
        <w:rPr/>
        <w:t>2010</w:t>
      </w:r>
      <w:r>
        <w:rPr>
          <w:spacing w:val="-60"/>
        </w:rPr>
        <w:t> </w:t>
      </w:r>
      <w:r>
        <w:rPr/>
        <w:t>年度报告和摘要。</w:t>
      </w:r>
    </w:p>
    <w:p>
      <w:pPr>
        <w:pStyle w:val="BodyText"/>
        <w:spacing w:line="240" w:lineRule="auto" w:before="133"/>
        <w:ind w:left="574" w:right="0"/>
        <w:jc w:val="left"/>
      </w:pPr>
      <w:r>
        <w:rPr/>
        <w:t>（2）审议</w:t>
      </w:r>
      <w:r>
        <w:rPr>
          <w:spacing w:val="-2"/>
        </w:rPr>
        <w:t>通</w:t>
      </w:r>
      <w:r>
        <w:rPr/>
        <w:t>过了《关于武汉众环会计师事务所从事本年度审计工作的总结报告</w:t>
      </w:r>
      <w:r>
        <w:rPr>
          <w:spacing w:val="-105"/>
        </w:rPr>
        <w:t>》</w:t>
      </w:r>
      <w:r>
        <w:rPr/>
        <w:t>；</w:t>
      </w:r>
    </w:p>
    <w:p>
      <w:pPr>
        <w:pStyle w:val="BodyText"/>
        <w:spacing w:line="357" w:lineRule="auto" w:before="134"/>
        <w:ind w:left="573" w:right="0"/>
        <w:jc w:val="left"/>
      </w:pPr>
      <w:r>
        <w:rPr>
          <w:spacing w:val="-1"/>
        </w:rPr>
        <w:t>（3）审议通过了《关于续聘</w:t>
      </w:r>
      <w:r>
        <w:rPr>
          <w:spacing w:val="-53"/>
        </w:rPr>
        <w:t> </w:t>
      </w:r>
      <w:r>
        <w:rPr>
          <w:spacing w:val="-1"/>
        </w:rPr>
        <w:t>2011</w:t>
      </w:r>
      <w:r>
        <w:rPr>
          <w:spacing w:val="-52"/>
        </w:rPr>
        <w:t> </w:t>
      </w:r>
      <w:r>
        <w:rPr>
          <w:spacing w:val="-6"/>
        </w:rPr>
        <w:t>年度审计机构的议案》，并提交董事会审议。</w:t>
      </w:r>
      <w:r>
        <w:rPr>
          <w:spacing w:val="-101"/>
        </w:rPr>
        <w:t> </w:t>
      </w:r>
      <w:r>
        <w:rPr>
          <w:spacing w:val="-101"/>
        </w:rPr>
      </w:r>
      <w:r>
        <w:rPr/>
        <w:t>5、报告期内董事会审计委员会其他履职情况</w:t>
      </w:r>
      <w:r>
        <w:rPr/>
        <w:t> </w:t>
      </w:r>
      <w:r>
        <w:rPr>
          <w:spacing w:val="-1"/>
        </w:rPr>
        <w:t>报告期内，董事会审计委员会在公司内审部的协助下，定期检查公司财务状况，通过召开会议的形式</w:t>
      </w:r>
    </w:p>
    <w:p>
      <w:pPr>
        <w:pStyle w:val="BodyText"/>
        <w:spacing w:line="357" w:lineRule="auto" w:before="30"/>
        <w:ind w:left="153" w:right="196"/>
        <w:jc w:val="left"/>
      </w:pPr>
      <w:r>
        <w:rPr/>
        <w:t>审核了公司 2010</w:t>
      </w:r>
      <w:r>
        <w:rPr>
          <w:spacing w:val="-25"/>
        </w:rPr>
        <w:t> </w:t>
      </w:r>
      <w:r>
        <w:rPr/>
        <w:t>年第一季度报告、半年度报告、第三季度报告以及聘任内审部人员的事项，并出具了审</w:t>
      </w:r>
      <w:r>
        <w:rPr/>
        <w:t> 核意见。</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（三）董事会薪酬委员会履职情况汇总报告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573" w:right="0"/>
        <w:jc w:val="left"/>
      </w:pPr>
      <w:r>
        <w:rPr/>
        <w:t>董事会薪酬委员会成员由</w:t>
      </w:r>
      <w:r>
        <w:rPr>
          <w:spacing w:val="-54"/>
        </w:rPr>
        <w:t> </w:t>
      </w:r>
      <w:r>
        <w:rPr/>
        <w:t>3</w:t>
      </w:r>
      <w:r>
        <w:rPr>
          <w:spacing w:val="-53"/>
        </w:rPr>
        <w:t> </w:t>
      </w:r>
      <w:r>
        <w:rPr/>
        <w:t>名董事组成，其中两名为公司独立董事，主席由独立董事担任。</w:t>
      </w:r>
      <w:r>
        <w:rPr/>
        <w:t> </w:t>
      </w:r>
      <w:r>
        <w:rPr>
          <w:spacing w:val="-1"/>
        </w:rPr>
        <w:t>根据中国证监会、深圳证券交易所有关规定及公司《董事会薪酬委员会工作细则》，公司董事会薪酬</w:t>
      </w:r>
      <w:r>
        <w:rPr/>
      </w:r>
    </w:p>
    <w:p>
      <w:pPr>
        <w:pStyle w:val="BodyText"/>
        <w:spacing w:line="240" w:lineRule="auto" w:before="30"/>
        <w:ind w:left="153" w:right="0"/>
        <w:jc w:val="both"/>
      </w:pPr>
      <w:r>
        <w:rPr/>
        <w:t>委员会本着勤勉尽责的原则，2010</w:t>
      </w:r>
      <w:r>
        <w:rPr>
          <w:spacing w:val="-53"/>
        </w:rPr>
        <w:t> </w:t>
      </w:r>
      <w:r>
        <w:rPr/>
        <w:t>年度履行了以下工作职责：</w:t>
      </w:r>
    </w:p>
    <w:p>
      <w:pPr>
        <w:pStyle w:val="BodyText"/>
        <w:spacing w:line="410" w:lineRule="exact" w:before="50"/>
        <w:ind w:left="153" w:right="204" w:firstLine="420"/>
        <w:jc w:val="left"/>
      </w:pPr>
      <w:r>
        <w:rPr/>
        <w:t>1、2010</w:t>
      </w:r>
      <w:r>
        <w:rPr>
          <w:spacing w:val="-49"/>
        </w:rPr>
        <w:t> </w:t>
      </w:r>
      <w:r>
        <w:rPr/>
        <w:t>年</w:t>
      </w:r>
      <w:r>
        <w:rPr>
          <w:spacing w:val="-50"/>
        </w:rPr>
        <w:t> </w:t>
      </w:r>
      <w:r>
        <w:rPr/>
        <w:t>2</w:t>
      </w:r>
      <w:r>
        <w:rPr>
          <w:spacing w:val="-51"/>
        </w:rPr>
        <w:t> </w:t>
      </w:r>
      <w:r>
        <w:rPr/>
        <w:t>月</w:t>
      </w:r>
      <w:r>
        <w:rPr>
          <w:spacing w:val="-50"/>
        </w:rPr>
        <w:t> </w:t>
      </w:r>
      <w:r>
        <w:rPr/>
        <w:t>12</w:t>
      </w:r>
      <w:r>
        <w:rPr>
          <w:spacing w:val="-49"/>
        </w:rPr>
        <w:t> </w:t>
      </w:r>
      <w:r>
        <w:rPr/>
        <w:t>日，董事会薪酬委员会召开了</w:t>
      </w:r>
      <w:r>
        <w:rPr>
          <w:spacing w:val="-50"/>
        </w:rPr>
        <w:t> </w:t>
      </w:r>
      <w:r>
        <w:rPr/>
        <w:t>2010</w:t>
      </w:r>
      <w:r>
        <w:rPr>
          <w:spacing w:val="-49"/>
        </w:rPr>
        <w:t> </w:t>
      </w:r>
      <w:r>
        <w:rPr/>
        <w:t>年第一次会议，审议并通过了公司《关于确定</w:t>
      </w:r>
      <w:r>
        <w:rPr/>
        <w:t> </w:t>
      </w:r>
      <w:r>
        <w:rPr>
          <w:spacing w:val="-4"/>
        </w:rPr>
        <w:t>股票期权激励计划授予相关事项的议案》，提交董事会审议；</w:t>
      </w:r>
    </w:p>
    <w:p>
      <w:pPr>
        <w:spacing w:after="0" w:line="410" w:lineRule="exact"/>
        <w:jc w:val="left"/>
        <w:sectPr>
          <w:pgSz w:w="11910" w:h="16840"/>
          <w:pgMar w:header="851" w:footer="982" w:top="1200" w:bottom="1180" w:left="980" w:right="920"/>
        </w:sectPr>
      </w:pPr>
    </w:p>
    <w:p>
      <w:pPr>
        <w:pStyle w:val="BodyText"/>
        <w:spacing w:line="240" w:lineRule="auto" w:before="32"/>
        <w:ind w:left="574" w:right="0"/>
        <w:jc w:val="left"/>
      </w:pPr>
      <w:r>
        <w:rPr/>
        <w:pict>
          <v:group style="position:absolute;margin-left:55.200001pt;margin-top:2.943948pt;width:484.95pt;height:.1pt;mso-position-horizontal-relative:page;mso-position-vertical-relative:paragraph;z-index:-709480" coordorigin="1104,59" coordsize="9699,2">
            <v:shape style="position:absolute;left:1104;top:59;width:9699;height:2" coordorigin="1104,59" coordsize="9699,0" path="m1104,59l10802,59e" filled="false" stroked="true" strokeweight=".72pt" strokecolor="#000000">
              <v:path arrowok="t"/>
            </v:shape>
            <w10:wrap type="none"/>
          </v:group>
        </w:pict>
      </w:r>
      <w:r>
        <w:rPr/>
        <w:t>2、董事会薪酬委员会于</w:t>
      </w:r>
      <w:r>
        <w:rPr>
          <w:spacing w:val="-44"/>
        </w:rPr>
        <w:t> </w:t>
      </w:r>
      <w:r>
        <w:rPr/>
        <w:t>2011</w:t>
      </w:r>
      <w:r>
        <w:rPr>
          <w:spacing w:val="-44"/>
        </w:rPr>
        <w:t> </w:t>
      </w:r>
      <w:r>
        <w:rPr/>
        <w:t>年</w:t>
      </w:r>
      <w:r>
        <w:rPr>
          <w:spacing w:val="-44"/>
        </w:rPr>
        <w:t> </w:t>
      </w:r>
      <w:r>
        <w:rPr/>
        <w:t>1</w:t>
      </w:r>
      <w:r>
        <w:rPr>
          <w:spacing w:val="-44"/>
        </w:rPr>
        <w:t> </w:t>
      </w:r>
      <w:r>
        <w:rPr/>
        <w:t>月</w:t>
      </w:r>
      <w:r>
        <w:rPr>
          <w:spacing w:val="-44"/>
        </w:rPr>
        <w:t> </w:t>
      </w:r>
      <w:r>
        <w:rPr/>
        <w:t>7</w:t>
      </w:r>
      <w:r>
        <w:rPr>
          <w:spacing w:val="-44"/>
        </w:rPr>
        <w:t> </w:t>
      </w:r>
      <w:r>
        <w:rPr/>
        <w:t>日召开了</w:t>
      </w:r>
      <w:r>
        <w:rPr>
          <w:spacing w:val="-44"/>
        </w:rPr>
        <w:t> </w:t>
      </w:r>
      <w:r>
        <w:rPr/>
        <w:t>2010</w:t>
      </w:r>
      <w:r>
        <w:rPr>
          <w:spacing w:val="-44"/>
        </w:rPr>
        <w:t> </w:t>
      </w:r>
      <w:r>
        <w:rPr/>
        <w:t>年年报工作第一次会议，听取了公司管理层就</w:t>
      </w:r>
    </w:p>
    <w:p>
      <w:pPr>
        <w:pStyle w:val="BodyText"/>
        <w:spacing w:line="240" w:lineRule="auto" w:before="133"/>
        <w:ind w:right="0"/>
        <w:jc w:val="both"/>
      </w:pPr>
      <w:r>
        <w:rPr/>
        <w:t>2010</w:t>
      </w:r>
      <w:r>
        <w:rPr>
          <w:spacing w:val="-44"/>
        </w:rPr>
        <w:t> </w:t>
      </w:r>
      <w:r>
        <w:rPr>
          <w:spacing w:val="-2"/>
        </w:rPr>
        <w:t>年主要业务经营情况和经营目标完成情况的汇报，并依据公司董事、监事及高管人员的岗位职责，对</w:t>
      </w:r>
    </w:p>
    <w:p>
      <w:pPr>
        <w:pStyle w:val="BodyText"/>
        <w:spacing w:line="355" w:lineRule="auto" w:before="134"/>
        <w:ind w:left="574" w:right="0" w:hanging="420"/>
        <w:jc w:val="left"/>
      </w:pPr>
      <w:r>
        <w:rPr/>
        <w:t>公司董事、监事及高管人员</w:t>
      </w:r>
      <w:r>
        <w:rPr>
          <w:spacing w:val="-54"/>
        </w:rPr>
        <w:t> </w:t>
      </w:r>
      <w:r>
        <w:rPr/>
        <w:t>2010</w:t>
      </w:r>
      <w:r>
        <w:rPr>
          <w:spacing w:val="-53"/>
        </w:rPr>
        <w:t> </w:t>
      </w:r>
      <w:r>
        <w:rPr/>
        <w:t>年度薪酬进行了审核，并出具如下审核意见：</w:t>
      </w:r>
      <w:r>
        <w:rPr>
          <w:spacing w:val="-1"/>
        </w:rPr>
        <w:t> 报告期内，公司管理层超额完成了董事会制定的经营业绩目标，石基信息董事、监事及高管人员薪酬</w:t>
      </w:r>
    </w:p>
    <w:p>
      <w:pPr>
        <w:pStyle w:val="BodyText"/>
        <w:spacing w:line="355" w:lineRule="auto" w:before="33"/>
        <w:ind w:right="149"/>
        <w:jc w:val="both"/>
      </w:pPr>
      <w:r>
        <w:rPr/>
        <w:t>收入执行了股东大会、董事会批准的有关规定，公司 2010</w:t>
      </w:r>
      <w:r>
        <w:rPr>
          <w:spacing w:val="-23"/>
        </w:rPr>
        <w:t> </w:t>
      </w:r>
      <w:r>
        <w:rPr/>
        <w:t>年年度报告中披露的有关董事、监事及高管人</w:t>
      </w:r>
      <w:r>
        <w:rPr/>
        <w:t> 员薪酬收入情况真实、客观。</w:t>
      </w:r>
    </w:p>
    <w:p>
      <w:pPr>
        <w:spacing w:line="240" w:lineRule="auto" w:before="0"/>
        <w:rPr>
          <w:rFonts w:ascii="宋体" w:hAnsi="宋体" w:cs="宋体" w:eastAsia="宋体" w:hint="default"/>
          <w:sz w:val="24"/>
          <w:szCs w:val="24"/>
        </w:rPr>
      </w:pPr>
    </w:p>
    <w:p>
      <w:pPr>
        <w:pStyle w:val="Heading3"/>
        <w:spacing w:line="240" w:lineRule="auto"/>
        <w:ind w:right="3476"/>
        <w:jc w:val="left"/>
        <w:rPr>
          <w:b w:val="0"/>
          <w:bCs w:val="0"/>
        </w:rPr>
      </w:pPr>
      <w:r>
        <w:rPr/>
        <w:t>（四）董事会提名委员会履职情况汇总报告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574" w:right="0"/>
        <w:jc w:val="left"/>
      </w:pPr>
      <w:r>
        <w:rPr/>
        <w:t>董事会提名委员会成员由</w:t>
      </w:r>
      <w:r>
        <w:rPr>
          <w:spacing w:val="-54"/>
        </w:rPr>
        <w:t> </w:t>
      </w:r>
      <w:r>
        <w:rPr/>
        <w:t>3</w:t>
      </w:r>
      <w:r>
        <w:rPr>
          <w:spacing w:val="-53"/>
        </w:rPr>
        <w:t> </w:t>
      </w:r>
      <w:r>
        <w:rPr/>
        <w:t>名董事组成，其中两名为公司独立董事，主席由独立董事担任。</w:t>
      </w:r>
      <w:r>
        <w:rPr/>
        <w:t> </w:t>
      </w:r>
      <w:r>
        <w:rPr>
          <w:spacing w:val="-1"/>
        </w:rPr>
        <w:t>根据中国证监会、深圳证券交易所有关规定及公司《董事会提名委员会工作细则》，公司董事会提名</w:t>
      </w:r>
      <w:r>
        <w:rPr/>
      </w:r>
    </w:p>
    <w:p>
      <w:pPr>
        <w:pStyle w:val="BodyText"/>
        <w:spacing w:line="240" w:lineRule="auto" w:before="32"/>
        <w:ind w:right="0"/>
        <w:jc w:val="both"/>
      </w:pPr>
      <w:r>
        <w:rPr/>
        <w:t>委员会本着勤勉尽责的原则，2010</w:t>
      </w:r>
      <w:r>
        <w:rPr>
          <w:spacing w:val="-53"/>
        </w:rPr>
        <w:t> </w:t>
      </w:r>
      <w:r>
        <w:rPr/>
        <w:t>年度履行了以下工作职责：</w:t>
      </w:r>
    </w:p>
    <w:p>
      <w:pPr>
        <w:pStyle w:val="BodyText"/>
        <w:spacing w:line="355" w:lineRule="auto" w:before="134"/>
        <w:ind w:right="142" w:firstLine="420"/>
        <w:jc w:val="left"/>
      </w:pPr>
      <w:r>
        <w:rPr>
          <w:spacing w:val="-5"/>
        </w:rPr>
        <w:t>1、2010</w:t>
      </w:r>
      <w:r>
        <w:rPr>
          <w:spacing w:val="-55"/>
        </w:rPr>
        <w:t> </w:t>
      </w:r>
      <w:r>
        <w:rPr/>
        <w:t>年</w:t>
      </w:r>
      <w:r>
        <w:rPr>
          <w:spacing w:val="-55"/>
        </w:rPr>
        <w:t> </w:t>
      </w:r>
      <w:r>
        <w:rPr/>
        <w:t>11</w:t>
      </w:r>
      <w:r>
        <w:rPr>
          <w:spacing w:val="-54"/>
        </w:rPr>
        <w:t> </w:t>
      </w:r>
      <w:r>
        <w:rPr/>
        <w:t>月</w:t>
      </w:r>
      <w:r>
        <w:rPr>
          <w:spacing w:val="-56"/>
        </w:rPr>
        <w:t> </w:t>
      </w:r>
      <w:r>
        <w:rPr/>
        <w:t>15</w:t>
      </w:r>
      <w:r>
        <w:rPr>
          <w:spacing w:val="-54"/>
        </w:rPr>
        <w:t> </w:t>
      </w:r>
      <w:r>
        <w:rPr>
          <w:spacing w:val="-3"/>
        </w:rPr>
        <w:t>日，董事会提名委员会召开了</w:t>
      </w:r>
      <w:r>
        <w:rPr>
          <w:spacing w:val="-55"/>
        </w:rPr>
        <w:t> </w:t>
      </w:r>
      <w:r>
        <w:rPr/>
        <w:t>2010</w:t>
      </w:r>
      <w:r>
        <w:rPr>
          <w:spacing w:val="-54"/>
        </w:rPr>
        <w:t> </w:t>
      </w:r>
      <w:r>
        <w:rPr/>
        <w:t>年第一次会议，对公司高级管理人员候选人的</w:t>
      </w:r>
      <w:r>
        <w:rPr/>
        <w:t> 相关资料进行了审查，并出具了如下审核意见：</w:t>
      </w:r>
    </w:p>
    <w:p>
      <w:pPr>
        <w:pStyle w:val="BodyText"/>
        <w:spacing w:line="355" w:lineRule="auto" w:before="33"/>
        <w:ind w:right="0" w:firstLine="420"/>
        <w:jc w:val="left"/>
      </w:pPr>
      <w:r>
        <w:rPr>
          <w:spacing w:val="-1"/>
        </w:rPr>
        <w:t>根据《公司章程》及《董事会提名委员会工作细则》的有关规定，董事会提名委员会对石基信息高级</w:t>
      </w:r>
      <w:r>
        <w:rPr/>
        <w:t> 管理人员候选人的相关资料进行了审查，提名委员会认为：</w:t>
      </w:r>
    </w:p>
    <w:p>
      <w:pPr>
        <w:pStyle w:val="BodyText"/>
        <w:spacing w:line="240" w:lineRule="auto" w:before="33"/>
        <w:ind w:left="574" w:right="3476"/>
        <w:jc w:val="left"/>
      </w:pPr>
      <w:r>
        <w:rPr/>
        <w:t>（1）李仲初先生具备行使公司总裁的相关任职条件；</w:t>
      </w:r>
    </w:p>
    <w:p>
      <w:pPr>
        <w:pStyle w:val="BodyText"/>
        <w:spacing w:line="240" w:lineRule="auto" w:before="133"/>
        <w:ind w:left="574" w:right="172"/>
        <w:jc w:val="left"/>
      </w:pPr>
      <w:r>
        <w:rPr/>
        <w:t>（2）赖德源先生具备行使公司副总裁、财务总监职权的相关任职条件；</w:t>
      </w:r>
    </w:p>
    <w:p>
      <w:pPr>
        <w:pStyle w:val="BodyText"/>
        <w:spacing w:line="240" w:lineRule="auto" w:before="134"/>
        <w:ind w:left="574" w:right="3476"/>
        <w:jc w:val="left"/>
      </w:pPr>
      <w:r>
        <w:rPr/>
        <w:t>（3）罗志明先生具备行使公司副总裁职权的相关任职条件；</w:t>
      </w:r>
    </w:p>
    <w:p>
      <w:pPr>
        <w:pStyle w:val="BodyText"/>
        <w:spacing w:line="240" w:lineRule="auto" w:before="133"/>
        <w:ind w:left="574" w:right="3476"/>
        <w:jc w:val="left"/>
      </w:pPr>
      <w:r>
        <w:rPr/>
        <w:t>（4）关东玉先生具备行使公司副总裁职权的相关任职条件。</w:t>
      </w:r>
    </w:p>
    <w:p>
      <w:pPr>
        <w:pStyle w:val="BodyText"/>
        <w:spacing w:line="357" w:lineRule="auto" w:before="133"/>
        <w:ind w:left="566" w:right="748" w:firstLine="7"/>
        <w:jc w:val="left"/>
      </w:pPr>
      <w:r>
        <w:rPr/>
        <w:t>（5）郭洁女士具备行使公司董事会秘书职权的相关任职条件。 我们作为第四届董事会提名委员会委员，建议公司董事会聘任以上人员为公司高级管理人员。</w:t>
      </w:r>
    </w:p>
    <w:p>
      <w:pPr>
        <w:spacing w:line="240" w:lineRule="auto" w:before="10"/>
        <w:rPr>
          <w:rFonts w:ascii="宋体" w:hAnsi="宋体" w:cs="宋体" w:eastAsia="宋体" w:hint="default"/>
          <w:sz w:val="23"/>
          <w:szCs w:val="23"/>
        </w:rPr>
      </w:pPr>
    </w:p>
    <w:p>
      <w:pPr>
        <w:pStyle w:val="Heading3"/>
        <w:spacing w:line="240" w:lineRule="auto"/>
        <w:ind w:right="3476"/>
        <w:jc w:val="left"/>
        <w:rPr>
          <w:b w:val="0"/>
          <w:bCs w:val="0"/>
        </w:rPr>
      </w:pPr>
      <w:r>
        <w:rPr/>
        <w:t>七、</w:t>
      </w:r>
      <w:r>
        <w:rPr>
          <w:spacing w:val="-6"/>
        </w:rPr>
        <w:t> </w:t>
      </w:r>
      <w:r>
        <w:rPr/>
        <w:t>2010年度利润分配预案</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574" w:right="0"/>
        <w:jc w:val="left"/>
      </w:pPr>
      <w:r>
        <w:rPr/>
        <w:t>经武汉众环会计师事务有限责任公司审计</w:t>
      </w:r>
      <w:r>
        <w:rPr>
          <w:spacing w:val="-105"/>
        </w:rPr>
        <w:t>，</w:t>
      </w:r>
      <w:r>
        <w:rPr/>
        <w:t>公司</w:t>
      </w:r>
      <w:r>
        <w:rPr>
          <w:spacing w:val="-78"/>
        </w:rPr>
        <w:t> </w:t>
      </w:r>
      <w:r>
        <w:rPr/>
        <w:t>2010</w:t>
      </w:r>
      <w:r>
        <w:rPr>
          <w:spacing w:val="-77"/>
        </w:rPr>
        <w:t> </w:t>
      </w:r>
      <w:r>
        <w:rPr/>
        <w:t>年度</w:t>
      </w:r>
      <w:r>
        <w:rPr>
          <w:spacing w:val="-2"/>
        </w:rPr>
        <w:t>归</w:t>
      </w:r>
      <w:r>
        <w:rPr/>
        <w:t>属于母公司股东净利润为</w:t>
      </w:r>
      <w:r>
        <w:rPr>
          <w:spacing w:val="-78"/>
        </w:rPr>
        <w:t> </w:t>
      </w:r>
      <w:r>
        <w:rPr/>
        <w:t>21</w:t>
      </w:r>
      <w:r>
        <w:rPr>
          <w:spacing w:val="-2"/>
        </w:rPr>
        <w:t>3</w:t>
      </w:r>
      <w:r>
        <w:rPr/>
        <w:t>,897,872.25</w:t>
      </w:r>
    </w:p>
    <w:p>
      <w:pPr>
        <w:pStyle w:val="BodyText"/>
        <w:spacing w:line="240" w:lineRule="auto" w:before="134"/>
        <w:ind w:left="153" w:right="0"/>
        <w:jc w:val="both"/>
      </w:pPr>
      <w:r>
        <w:rPr>
          <w:spacing w:val="-3"/>
        </w:rPr>
        <w:t>元，加上年初未分配利润</w:t>
      </w:r>
      <w:r>
        <w:rPr>
          <w:spacing w:val="-55"/>
        </w:rPr>
        <w:t> </w:t>
      </w:r>
      <w:r>
        <w:rPr/>
        <w:t>379,326,457.17</w:t>
      </w:r>
      <w:r>
        <w:rPr>
          <w:spacing w:val="-4"/>
        </w:rPr>
        <w:t> </w:t>
      </w:r>
      <w:r>
        <w:rPr>
          <w:spacing w:val="-5"/>
        </w:rPr>
        <w:t>元，扣除支付</w:t>
      </w:r>
      <w:r>
        <w:rPr>
          <w:spacing w:val="-55"/>
        </w:rPr>
        <w:t> </w:t>
      </w:r>
      <w:r>
        <w:rPr/>
        <w:t>2009</w:t>
      </w:r>
      <w:r>
        <w:rPr>
          <w:spacing w:val="-54"/>
        </w:rPr>
        <w:t> </w:t>
      </w:r>
      <w:r>
        <w:rPr/>
        <w:t>年度股东现金红利</w:t>
      </w:r>
      <w:r>
        <w:rPr>
          <w:spacing w:val="-55"/>
        </w:rPr>
        <w:t> </w:t>
      </w:r>
      <w:r>
        <w:rPr/>
        <w:t>67,200,000.00</w:t>
      </w:r>
      <w:r>
        <w:rPr>
          <w:spacing w:val="-54"/>
        </w:rPr>
        <w:t> </w:t>
      </w:r>
      <w:r>
        <w:rPr>
          <w:spacing w:val="-7"/>
        </w:rPr>
        <w:t>元、本年</w:t>
      </w:r>
    </w:p>
    <w:p>
      <w:pPr>
        <w:pStyle w:val="BodyText"/>
        <w:spacing w:line="240" w:lineRule="auto" w:before="133"/>
        <w:ind w:left="153" w:right="0"/>
        <w:jc w:val="both"/>
      </w:pPr>
      <w:r>
        <w:rPr/>
        <w:t>度提取的盈余公积</w:t>
      </w:r>
      <w:r>
        <w:rPr>
          <w:spacing w:val="-58"/>
        </w:rPr>
        <w:t> </w:t>
      </w:r>
      <w:r>
        <w:rPr/>
        <w:t>13,932,122.05</w:t>
      </w:r>
      <w:r>
        <w:rPr>
          <w:spacing w:val="-57"/>
        </w:rPr>
        <w:t> </w:t>
      </w:r>
      <w:r>
        <w:rPr/>
        <w:t>元，本年度可供全体股东分配的利润为</w:t>
      </w:r>
      <w:r>
        <w:rPr>
          <w:spacing w:val="-58"/>
        </w:rPr>
        <w:t> </w:t>
      </w:r>
      <w:r>
        <w:rPr/>
        <w:t>512,092,207.37</w:t>
      </w:r>
      <w:r>
        <w:rPr>
          <w:spacing w:val="-57"/>
        </w:rPr>
        <w:t> </w:t>
      </w:r>
      <w:r>
        <w:rPr/>
        <w:t>元。</w:t>
      </w:r>
    </w:p>
    <w:p>
      <w:pPr>
        <w:pStyle w:val="BodyText"/>
        <w:spacing w:line="240" w:lineRule="auto" w:before="134"/>
        <w:ind w:left="573" w:right="0"/>
        <w:jc w:val="left"/>
      </w:pPr>
      <w:r>
        <w:rPr/>
        <w:t>公司拟以</w:t>
      </w:r>
      <w:r>
        <w:rPr>
          <w:spacing w:val="-57"/>
        </w:rPr>
        <w:t> </w:t>
      </w:r>
      <w:r>
        <w:rPr/>
        <w:t>2010</w:t>
      </w:r>
      <w:r>
        <w:rPr>
          <w:spacing w:val="-56"/>
        </w:rPr>
        <w:t> </w:t>
      </w:r>
      <w:r>
        <w:rPr/>
        <w:t>年</w:t>
      </w:r>
      <w:r>
        <w:rPr>
          <w:spacing w:val="-57"/>
        </w:rPr>
        <w:t> </w:t>
      </w:r>
      <w:r>
        <w:rPr/>
        <w:t>12</w:t>
      </w:r>
      <w:r>
        <w:rPr>
          <w:spacing w:val="-57"/>
        </w:rPr>
        <w:t> </w:t>
      </w:r>
      <w:r>
        <w:rPr/>
        <w:t>月</w:t>
      </w:r>
      <w:r>
        <w:rPr>
          <w:spacing w:val="-57"/>
        </w:rPr>
        <w:t> </w:t>
      </w:r>
      <w:r>
        <w:rPr/>
        <w:t>31</w:t>
      </w:r>
      <w:r>
        <w:rPr>
          <w:spacing w:val="-57"/>
        </w:rPr>
        <w:t> </w:t>
      </w:r>
      <w:r>
        <w:rPr/>
        <w:t>日总股本</w:t>
      </w:r>
      <w:r>
        <w:rPr>
          <w:spacing w:val="-57"/>
        </w:rPr>
        <w:t> </w:t>
      </w:r>
      <w:r>
        <w:rPr/>
        <w:t>224,000,000</w:t>
      </w:r>
      <w:r>
        <w:rPr>
          <w:spacing w:val="-56"/>
        </w:rPr>
        <w:t> </w:t>
      </w:r>
      <w:r>
        <w:rPr>
          <w:spacing w:val="-3"/>
        </w:rPr>
        <w:t>为基数，向全体股东按每</w:t>
      </w:r>
      <w:r>
        <w:rPr>
          <w:spacing w:val="-57"/>
        </w:rPr>
        <w:t> </w:t>
      </w:r>
      <w:r>
        <w:rPr/>
        <w:t>10</w:t>
      </w:r>
      <w:r>
        <w:rPr>
          <w:spacing w:val="-56"/>
        </w:rPr>
        <w:t> </w:t>
      </w:r>
      <w:r>
        <w:rPr/>
        <w:t>股派发现金股利人民币</w:t>
      </w:r>
    </w:p>
    <w:p>
      <w:pPr>
        <w:pStyle w:val="BodyText"/>
        <w:spacing w:line="240" w:lineRule="auto" w:before="133"/>
        <w:ind w:left="153" w:right="0"/>
        <w:jc w:val="both"/>
      </w:pPr>
      <w:r>
        <w:rPr/>
        <w:t>1</w:t>
      </w:r>
      <w:r>
        <w:rPr>
          <w:spacing w:val="-52"/>
        </w:rPr>
        <w:t> </w:t>
      </w:r>
      <w:r>
        <w:rPr>
          <w:spacing w:val="-20"/>
        </w:rPr>
        <w:t>元</w:t>
      </w:r>
      <w:r>
        <w:rPr/>
        <w:t>（含税</w:t>
      </w:r>
      <w:r>
        <w:rPr>
          <w:spacing w:val="-106"/>
        </w:rPr>
        <w:t>）</w:t>
      </w:r>
      <w:r>
        <w:rPr>
          <w:spacing w:val="-20"/>
        </w:rPr>
        <w:t>，</w:t>
      </w:r>
      <w:r>
        <w:rPr>
          <w:spacing w:val="-1"/>
        </w:rPr>
        <w:t>共计派</w:t>
      </w:r>
      <w:r>
        <w:rPr/>
        <w:t>发</w:t>
      </w:r>
      <w:r>
        <w:rPr>
          <w:spacing w:val="-53"/>
        </w:rPr>
        <w:t> </w:t>
      </w:r>
      <w:r>
        <w:rPr>
          <w:spacing w:val="-1"/>
        </w:rPr>
        <w:t>22,400,00</w:t>
      </w:r>
      <w:r>
        <w:rPr/>
        <w:t>0</w:t>
      </w:r>
      <w:r>
        <w:rPr>
          <w:spacing w:val="-52"/>
        </w:rPr>
        <w:t> </w:t>
      </w:r>
      <w:r>
        <w:rPr>
          <w:spacing w:val="-2"/>
        </w:rPr>
        <w:t>元</w:t>
      </w:r>
      <w:r>
        <w:rPr>
          <w:spacing w:val="-20"/>
        </w:rPr>
        <w:t>，</w:t>
      </w:r>
      <w:r>
        <w:rPr>
          <w:spacing w:val="-1"/>
        </w:rPr>
        <w:t>剩余未分配利</w:t>
      </w:r>
      <w:r>
        <w:rPr/>
        <w:t>润</w:t>
      </w:r>
      <w:r>
        <w:rPr>
          <w:spacing w:val="-53"/>
        </w:rPr>
        <w:t> </w:t>
      </w:r>
      <w:r>
        <w:rPr>
          <w:spacing w:val="-1"/>
        </w:rPr>
        <w:t>489,692,207.3</w:t>
      </w:r>
      <w:r>
        <w:rPr/>
        <w:t>7</w:t>
      </w:r>
      <w:r>
        <w:rPr>
          <w:spacing w:val="-52"/>
        </w:rPr>
        <w:t> </w:t>
      </w:r>
      <w:r>
        <w:rPr>
          <w:spacing w:val="-2"/>
        </w:rPr>
        <w:t>结</w:t>
      </w:r>
      <w:r>
        <w:rPr>
          <w:spacing w:val="-1"/>
        </w:rPr>
        <w:t>转至下一年度</w:t>
      </w:r>
      <w:r>
        <w:rPr>
          <w:spacing w:val="-20"/>
        </w:rPr>
        <w:t>。</w:t>
      </w:r>
      <w:r>
        <w:rPr>
          <w:spacing w:val="-1"/>
        </w:rPr>
        <w:t>本年度进</w:t>
      </w:r>
      <w:r>
        <w:rPr>
          <w:spacing w:val="1"/>
        </w:rPr>
        <w:t>行</w:t>
      </w:r>
      <w:r>
        <w:rPr/>
        <w:t>资</w:t>
      </w:r>
    </w:p>
    <w:p>
      <w:pPr>
        <w:pStyle w:val="BodyText"/>
        <w:spacing w:line="357" w:lineRule="auto" w:before="133"/>
        <w:ind w:left="153" w:right="130"/>
        <w:jc w:val="both"/>
      </w:pPr>
      <w:r>
        <w:rPr/>
        <w:t>本公积金转增股本，以</w:t>
      </w:r>
      <w:r>
        <w:rPr>
          <w:spacing w:val="-56"/>
        </w:rPr>
        <w:t> </w:t>
      </w:r>
      <w:r>
        <w:rPr/>
        <w:t>2010</w:t>
      </w:r>
      <w:r>
        <w:rPr>
          <w:spacing w:val="-56"/>
        </w:rPr>
        <w:t> </w:t>
      </w:r>
      <w:r>
        <w:rPr/>
        <w:t>年</w:t>
      </w:r>
      <w:r>
        <w:rPr>
          <w:spacing w:val="-57"/>
        </w:rPr>
        <w:t> </w:t>
      </w:r>
      <w:r>
        <w:rPr/>
        <w:t>12</w:t>
      </w:r>
      <w:r>
        <w:rPr>
          <w:spacing w:val="-56"/>
        </w:rPr>
        <w:t> </w:t>
      </w:r>
      <w:r>
        <w:rPr/>
        <w:t>月</w:t>
      </w:r>
      <w:r>
        <w:rPr>
          <w:spacing w:val="-57"/>
        </w:rPr>
        <w:t> </w:t>
      </w:r>
      <w:r>
        <w:rPr/>
        <w:t>31</w:t>
      </w:r>
      <w:r>
        <w:rPr>
          <w:spacing w:val="-56"/>
        </w:rPr>
        <w:t> </w:t>
      </w:r>
      <w:r>
        <w:rPr/>
        <w:t>日总股本</w:t>
      </w:r>
      <w:r>
        <w:rPr>
          <w:spacing w:val="-57"/>
        </w:rPr>
        <w:t> </w:t>
      </w:r>
      <w:r>
        <w:rPr/>
        <w:t>224,000,000</w:t>
      </w:r>
      <w:r>
        <w:rPr>
          <w:spacing w:val="-56"/>
        </w:rPr>
        <w:t> </w:t>
      </w:r>
      <w:r>
        <w:rPr/>
        <w:t>为基数，向全体股东每</w:t>
      </w:r>
      <w:r>
        <w:rPr>
          <w:spacing w:val="-56"/>
        </w:rPr>
        <w:t> </w:t>
      </w:r>
      <w:r>
        <w:rPr/>
        <w:t>10</w:t>
      </w:r>
      <w:r>
        <w:rPr>
          <w:spacing w:val="-56"/>
        </w:rPr>
        <w:t> </w:t>
      </w:r>
      <w:r>
        <w:rPr/>
        <w:t>股转增</w:t>
      </w:r>
      <w:r>
        <w:rPr>
          <w:spacing w:val="-57"/>
        </w:rPr>
        <w:t> </w:t>
      </w:r>
      <w:r>
        <w:rPr/>
        <w:t>3.8</w:t>
      </w:r>
      <w:r>
        <w:rPr>
          <w:spacing w:val="-56"/>
        </w:rPr>
        <w:t> </w:t>
      </w:r>
      <w:r>
        <w:rPr/>
        <w:t>股，</w:t>
      </w:r>
      <w:r>
        <w:rPr/>
        <w:t> 合计转增股本</w:t>
      </w:r>
      <w:r>
        <w:rPr>
          <w:spacing w:val="-64"/>
        </w:rPr>
        <w:t> </w:t>
      </w:r>
      <w:r>
        <w:rPr/>
        <w:t>85,120,000,资本公积由</w:t>
      </w:r>
      <w:r>
        <w:rPr>
          <w:spacing w:val="-64"/>
        </w:rPr>
        <w:t> </w:t>
      </w:r>
      <w:r>
        <w:rPr/>
        <w:t>93,864,464.15</w:t>
      </w:r>
      <w:r>
        <w:rPr>
          <w:spacing w:val="-63"/>
        </w:rPr>
        <w:t> </w:t>
      </w:r>
      <w:r>
        <w:rPr/>
        <w:t>减少到</w:t>
      </w:r>
      <w:r>
        <w:rPr>
          <w:spacing w:val="-65"/>
        </w:rPr>
        <w:t> </w:t>
      </w:r>
      <w:r>
        <w:rPr/>
        <w:t>8，744，464.15。此项利润分配预案需提交</w:t>
      </w:r>
      <w:r>
        <w:rPr/>
        <w:t> 公司</w:t>
      </w:r>
      <w:r>
        <w:rPr>
          <w:spacing w:val="-61"/>
        </w:rPr>
        <w:t> </w:t>
      </w:r>
      <w:r>
        <w:rPr/>
        <w:t>2010</w:t>
      </w:r>
      <w:r>
        <w:rPr>
          <w:spacing w:val="-60"/>
        </w:rPr>
        <w:t> </w:t>
      </w:r>
      <w:r>
        <w:rPr/>
        <w:t>年年度股东大会审议。</w:t>
      </w:r>
    </w:p>
    <w:p>
      <w:pPr>
        <w:pStyle w:val="BodyText"/>
        <w:spacing w:line="240" w:lineRule="auto" w:before="31"/>
        <w:ind w:left="573" w:right="3476"/>
        <w:jc w:val="left"/>
      </w:pPr>
      <w:r>
        <w:rPr/>
        <w:t>公司前三年现金分红情况如下：</w:t>
      </w:r>
    </w:p>
    <w:p>
      <w:pPr>
        <w:spacing w:line="240" w:lineRule="auto" w:before="9"/>
        <w:rPr>
          <w:rFonts w:ascii="宋体" w:hAnsi="宋体" w:cs="宋体" w:eastAsia="宋体"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2628"/>
        <w:gridCol w:w="2340"/>
        <w:gridCol w:w="2340"/>
        <w:gridCol w:w="2340"/>
      </w:tblGrid>
      <w:tr>
        <w:trPr>
          <w:trHeight w:val="281"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556"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是否进行利润分配（填否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需说明详细原因）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851" w:footer="982" w:top="1200" w:bottom="1180" w:left="980" w:right="980"/>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28"/>
        <w:gridCol w:w="2340"/>
        <w:gridCol w:w="2340"/>
        <w:gridCol w:w="2340"/>
      </w:tblGrid>
      <w:tr>
        <w:trPr>
          <w:trHeight w:val="834" w:hRule="exact"/>
        </w:trPr>
        <w:tc>
          <w:tcPr>
            <w:tcW w:w="2628" w:type="dxa"/>
            <w:tcBorders>
              <w:top w:val="single" w:sz="10"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利润分配方式</w:t>
            </w:r>
          </w:p>
        </w:tc>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派发现金股利</w:t>
            </w:r>
          </w:p>
        </w:tc>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pacing w:val="2"/>
                <w:sz w:val="21"/>
                <w:szCs w:val="21"/>
              </w:rPr>
              <w:t>派发现金股利，同</w:t>
            </w:r>
            <w:r>
              <w:rPr>
                <w:rFonts w:ascii="宋体" w:hAnsi="宋体" w:cs="宋体" w:eastAsia="宋体" w:hint="default"/>
                <w:sz w:val="21"/>
                <w:szCs w:val="21"/>
              </w:rPr>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2"/>
                <w:sz w:val="21"/>
                <w:szCs w:val="21"/>
              </w:rPr>
              <w:t>时公积金转增股本（每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股转增股</w:t>
            </w:r>
            <w:r>
              <w:rPr>
                <w:rFonts w:ascii="宋体" w:hAnsi="宋体" w:cs="宋体" w:eastAsia="宋体" w:hint="default"/>
                <w:spacing w:val="-55"/>
                <w:sz w:val="21"/>
                <w:szCs w:val="21"/>
              </w:rPr>
              <w:t> </w:t>
            </w:r>
            <w:r>
              <w:rPr>
                <w:rFonts w:ascii="宋体" w:hAnsi="宋体" w:cs="宋体" w:eastAsia="宋体" w:hint="default"/>
                <w:sz w:val="21"/>
                <w:szCs w:val="21"/>
              </w:rPr>
              <w:t>10）</w:t>
            </w:r>
          </w:p>
        </w:tc>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pacing w:val="2"/>
                <w:sz w:val="21"/>
                <w:szCs w:val="21"/>
              </w:rPr>
              <w:t>派发现金股利，同</w:t>
            </w:r>
            <w:r>
              <w:rPr>
                <w:rFonts w:ascii="宋体" w:hAnsi="宋体" w:cs="宋体" w:eastAsia="宋体" w:hint="default"/>
                <w:sz w:val="21"/>
                <w:szCs w:val="21"/>
              </w:rPr>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2"/>
                <w:sz w:val="21"/>
                <w:szCs w:val="21"/>
              </w:rPr>
              <w:t>时公积金转增股本（每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股转增股</w:t>
            </w:r>
            <w:r>
              <w:rPr>
                <w:rFonts w:ascii="宋体" w:hAnsi="宋体" w:cs="宋体" w:eastAsia="宋体" w:hint="default"/>
                <w:spacing w:val="-55"/>
                <w:sz w:val="21"/>
                <w:szCs w:val="21"/>
              </w:rPr>
              <w:t> </w:t>
            </w:r>
            <w:r>
              <w:rPr>
                <w:rFonts w:ascii="宋体" w:hAnsi="宋体" w:cs="宋体" w:eastAsia="宋体" w:hint="default"/>
                <w:sz w:val="21"/>
                <w:szCs w:val="21"/>
              </w:rPr>
              <w:t>10）</w:t>
            </w:r>
          </w:p>
        </w:tc>
      </w:tr>
      <w:tr>
        <w:trPr>
          <w:trHeight w:val="2189"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现金分红情况</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根据 2009</w:t>
            </w:r>
            <w:r>
              <w:rPr>
                <w:rFonts w:ascii="宋体" w:hAnsi="宋体" w:cs="宋体" w:eastAsia="宋体" w:hint="default"/>
                <w:spacing w:val="12"/>
                <w:sz w:val="21"/>
                <w:szCs w:val="21"/>
              </w:rPr>
              <w:t> </w:t>
            </w:r>
            <w:r>
              <w:rPr>
                <w:rFonts w:ascii="宋体" w:hAnsi="宋体" w:cs="宋体" w:eastAsia="宋体" w:hint="default"/>
                <w:spacing w:val="2"/>
                <w:sz w:val="21"/>
                <w:szCs w:val="21"/>
              </w:rPr>
              <w:t>年年度</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股东大会决议，以</w:t>
            </w:r>
            <w:r>
              <w:rPr>
                <w:rFonts w:ascii="宋体" w:hAnsi="宋体" w:cs="宋体" w:eastAsia="宋体" w:hint="default"/>
                <w:spacing w:val="-50"/>
                <w:sz w:val="21"/>
                <w:szCs w:val="21"/>
              </w:rPr>
              <w:t> </w:t>
            </w:r>
            <w:r>
              <w:rPr>
                <w:rFonts w:ascii="宋体" w:hAnsi="宋体" w:cs="宋体" w:eastAsia="宋体" w:hint="default"/>
                <w:sz w:val="21"/>
                <w:szCs w:val="21"/>
              </w:rPr>
              <w:t>2009</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 12 月 31</w:t>
            </w:r>
            <w:r>
              <w:rPr>
                <w:rFonts w:ascii="宋体" w:hAnsi="宋体" w:cs="宋体" w:eastAsia="宋体" w:hint="default"/>
                <w:spacing w:val="9"/>
                <w:sz w:val="21"/>
                <w:szCs w:val="21"/>
              </w:rPr>
              <w:t> </w:t>
            </w:r>
            <w:r>
              <w:rPr>
                <w:rFonts w:ascii="宋体" w:hAnsi="宋体" w:cs="宋体" w:eastAsia="宋体" w:hint="default"/>
                <w:spacing w:val="3"/>
                <w:sz w:val="21"/>
                <w:szCs w:val="21"/>
              </w:rPr>
              <w:t>日总股本</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224,00</w:t>
            </w:r>
            <w:r>
              <w:rPr>
                <w:rFonts w:ascii="宋体" w:hAnsi="宋体" w:cs="宋体" w:eastAsia="宋体" w:hint="default"/>
                <w:spacing w:val="-48"/>
                <w:sz w:val="21"/>
                <w:szCs w:val="21"/>
              </w:rPr>
              <w:t> </w:t>
            </w:r>
            <w:r>
              <w:rPr>
                <w:rFonts w:ascii="宋体" w:hAnsi="宋体" w:cs="宋体" w:eastAsia="宋体" w:hint="default"/>
                <w:spacing w:val="-5"/>
                <w:sz w:val="21"/>
                <w:szCs w:val="21"/>
              </w:rPr>
              <w:t>万股为基数，向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全体股东每 10</w:t>
            </w:r>
            <w:r>
              <w:rPr>
                <w:rFonts w:ascii="宋体" w:hAnsi="宋体" w:cs="宋体" w:eastAsia="宋体" w:hint="default"/>
                <w:spacing w:val="18"/>
                <w:sz w:val="21"/>
                <w:szCs w:val="21"/>
              </w:rPr>
              <w:t> </w:t>
            </w:r>
            <w:r>
              <w:rPr>
                <w:rFonts w:ascii="宋体" w:hAnsi="宋体" w:cs="宋体" w:eastAsia="宋体" w:hint="default"/>
                <w:sz w:val="21"/>
                <w:szCs w:val="21"/>
              </w:rPr>
              <w:t>股派发</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15"/>
                <w:sz w:val="21"/>
                <w:szCs w:val="21"/>
              </w:rPr>
              <w:t>现金股利人民币</w:t>
            </w:r>
            <w:r>
              <w:rPr>
                <w:rFonts w:ascii="宋体" w:hAnsi="宋体" w:cs="宋体" w:eastAsia="宋体" w:hint="default"/>
                <w:spacing w:val="21"/>
                <w:sz w:val="21"/>
                <w:szCs w:val="21"/>
              </w:rPr>
              <w:t> </w:t>
            </w:r>
            <w:r>
              <w:rPr>
                <w:rFonts w:ascii="宋体" w:hAnsi="宋体" w:cs="宋体" w:eastAsia="宋体" w:hint="default"/>
                <w:sz w:val="21"/>
                <w:szCs w:val="21"/>
              </w:rPr>
              <w:t>3.00</w:t>
            </w:r>
            <w:r>
              <w:rPr>
                <w:rFonts w:ascii="宋体" w:hAnsi="宋体" w:cs="宋体" w:eastAsia="宋体" w:hint="default"/>
                <w:sz w:val="21"/>
                <w:szCs w:val="21"/>
              </w:rPr>
              <w:t> </w:t>
            </w:r>
            <w:r>
              <w:rPr>
                <w:rFonts w:ascii="宋体" w:hAnsi="宋体" w:cs="宋体" w:eastAsia="宋体" w:hint="default"/>
                <w:spacing w:val="2"/>
                <w:sz w:val="21"/>
                <w:szCs w:val="21"/>
              </w:rPr>
              <w:t>元（含税），共计派发</w:t>
            </w:r>
            <w:r>
              <w:rPr>
                <w:rFonts w:ascii="宋体" w:hAnsi="宋体" w:cs="宋体" w:eastAsia="宋体" w:hint="default"/>
                <w:spacing w:val="2"/>
                <w:sz w:val="21"/>
                <w:szCs w:val="21"/>
              </w:rPr>
              <w:t> </w:t>
            </w:r>
            <w:r>
              <w:rPr>
                <w:rFonts w:ascii="宋体" w:hAnsi="宋体" w:cs="宋体" w:eastAsia="宋体" w:hint="default"/>
                <w:sz w:val="21"/>
                <w:szCs w:val="21"/>
              </w:rPr>
              <w:t>现金红利</w:t>
            </w:r>
            <w:r>
              <w:rPr>
                <w:rFonts w:ascii="宋体" w:hAnsi="宋体" w:cs="宋体" w:eastAsia="宋体" w:hint="default"/>
                <w:spacing w:val="-53"/>
                <w:sz w:val="21"/>
                <w:szCs w:val="21"/>
              </w:rPr>
              <w:t> </w:t>
            </w:r>
            <w:r>
              <w:rPr>
                <w:rFonts w:ascii="宋体" w:hAnsi="宋体" w:cs="宋体" w:eastAsia="宋体" w:hint="default"/>
                <w:sz w:val="21"/>
                <w:szCs w:val="21"/>
              </w:rPr>
              <w:t>6,720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根据 2008</w:t>
            </w:r>
            <w:r>
              <w:rPr>
                <w:rFonts w:ascii="宋体" w:hAnsi="宋体" w:cs="宋体" w:eastAsia="宋体" w:hint="default"/>
                <w:spacing w:val="12"/>
                <w:sz w:val="21"/>
                <w:szCs w:val="21"/>
              </w:rPr>
              <w:t> </w:t>
            </w:r>
            <w:r>
              <w:rPr>
                <w:rFonts w:ascii="宋体" w:hAnsi="宋体" w:cs="宋体" w:eastAsia="宋体" w:hint="default"/>
                <w:spacing w:val="2"/>
                <w:sz w:val="21"/>
                <w:szCs w:val="21"/>
              </w:rPr>
              <w:t>年年度</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股东大会决议，以</w:t>
            </w:r>
            <w:r>
              <w:rPr>
                <w:rFonts w:ascii="宋体" w:hAnsi="宋体" w:cs="宋体" w:eastAsia="宋体" w:hint="default"/>
                <w:spacing w:val="-50"/>
                <w:sz w:val="21"/>
                <w:szCs w:val="21"/>
              </w:rPr>
              <w:t> </w:t>
            </w:r>
            <w:r>
              <w:rPr>
                <w:rFonts w:ascii="宋体" w:hAnsi="宋体" w:cs="宋体" w:eastAsia="宋体" w:hint="default"/>
                <w:sz w:val="21"/>
                <w:szCs w:val="21"/>
              </w:rPr>
              <w:t>2008</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 12 月 31</w:t>
            </w:r>
            <w:r>
              <w:rPr>
                <w:rFonts w:ascii="宋体" w:hAnsi="宋体" w:cs="宋体" w:eastAsia="宋体" w:hint="default"/>
                <w:spacing w:val="9"/>
                <w:sz w:val="21"/>
                <w:szCs w:val="21"/>
              </w:rPr>
              <w:t> </w:t>
            </w:r>
            <w:r>
              <w:rPr>
                <w:rFonts w:ascii="宋体" w:hAnsi="宋体" w:cs="宋体" w:eastAsia="宋体" w:hint="default"/>
                <w:spacing w:val="3"/>
                <w:sz w:val="21"/>
                <w:szCs w:val="21"/>
              </w:rPr>
              <w:t>日总股本</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112,00</w:t>
            </w:r>
            <w:r>
              <w:rPr>
                <w:rFonts w:ascii="宋体" w:hAnsi="宋体" w:cs="宋体" w:eastAsia="宋体" w:hint="default"/>
                <w:spacing w:val="-48"/>
                <w:sz w:val="21"/>
                <w:szCs w:val="21"/>
              </w:rPr>
              <w:t> </w:t>
            </w:r>
            <w:r>
              <w:rPr>
                <w:rFonts w:ascii="宋体" w:hAnsi="宋体" w:cs="宋体" w:eastAsia="宋体" w:hint="default"/>
                <w:spacing w:val="-5"/>
                <w:sz w:val="21"/>
                <w:szCs w:val="21"/>
              </w:rPr>
              <w:t>万股为基数，向</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全体股东每 10</w:t>
            </w:r>
            <w:r>
              <w:rPr>
                <w:rFonts w:ascii="宋体" w:hAnsi="宋体" w:cs="宋体" w:eastAsia="宋体" w:hint="default"/>
                <w:spacing w:val="18"/>
                <w:sz w:val="21"/>
                <w:szCs w:val="21"/>
              </w:rPr>
              <w:t> </w:t>
            </w:r>
            <w:r>
              <w:rPr>
                <w:rFonts w:ascii="宋体" w:hAnsi="宋体" w:cs="宋体" w:eastAsia="宋体" w:hint="default"/>
                <w:sz w:val="21"/>
                <w:szCs w:val="21"/>
              </w:rPr>
              <w:t>股派发</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15"/>
                <w:sz w:val="21"/>
                <w:szCs w:val="21"/>
              </w:rPr>
              <w:t>现金股利人民币</w:t>
            </w:r>
            <w:r>
              <w:rPr>
                <w:rFonts w:ascii="宋体" w:hAnsi="宋体" w:cs="宋体" w:eastAsia="宋体" w:hint="default"/>
                <w:spacing w:val="21"/>
                <w:sz w:val="21"/>
                <w:szCs w:val="21"/>
              </w:rPr>
              <w:t> </w:t>
            </w:r>
            <w:r>
              <w:rPr>
                <w:rFonts w:ascii="宋体" w:hAnsi="宋体" w:cs="宋体" w:eastAsia="宋体" w:hint="default"/>
                <w:sz w:val="21"/>
                <w:szCs w:val="21"/>
              </w:rPr>
              <w:t>3.00</w:t>
            </w:r>
            <w:r>
              <w:rPr>
                <w:rFonts w:ascii="宋体" w:hAnsi="宋体" w:cs="宋体" w:eastAsia="宋体" w:hint="default"/>
                <w:sz w:val="21"/>
                <w:szCs w:val="21"/>
              </w:rPr>
              <w:t> </w:t>
            </w:r>
            <w:r>
              <w:rPr>
                <w:rFonts w:ascii="宋体" w:hAnsi="宋体" w:cs="宋体" w:eastAsia="宋体" w:hint="default"/>
                <w:spacing w:val="2"/>
                <w:sz w:val="21"/>
                <w:szCs w:val="21"/>
              </w:rPr>
              <w:t>元（含税），共计派发</w:t>
            </w:r>
            <w:r>
              <w:rPr>
                <w:rFonts w:ascii="宋体" w:hAnsi="宋体" w:cs="宋体" w:eastAsia="宋体" w:hint="default"/>
                <w:spacing w:val="2"/>
                <w:sz w:val="21"/>
                <w:szCs w:val="21"/>
              </w:rPr>
              <w:t> </w:t>
            </w:r>
            <w:r>
              <w:rPr>
                <w:rFonts w:ascii="宋体" w:hAnsi="宋体" w:cs="宋体" w:eastAsia="宋体" w:hint="default"/>
                <w:sz w:val="21"/>
                <w:szCs w:val="21"/>
              </w:rPr>
              <w:t>现金红利</w:t>
            </w:r>
            <w:r>
              <w:rPr>
                <w:rFonts w:ascii="宋体" w:hAnsi="宋体" w:cs="宋体" w:eastAsia="宋体" w:hint="default"/>
                <w:spacing w:val="-53"/>
                <w:sz w:val="21"/>
                <w:szCs w:val="21"/>
              </w:rPr>
              <w:t> </w:t>
            </w:r>
            <w:r>
              <w:rPr>
                <w:rFonts w:ascii="宋体" w:hAnsi="宋体" w:cs="宋体" w:eastAsia="宋体" w:hint="default"/>
                <w:sz w:val="21"/>
                <w:szCs w:val="21"/>
              </w:rPr>
              <w:t>3,360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根据 2007</w:t>
            </w:r>
            <w:r>
              <w:rPr>
                <w:rFonts w:ascii="宋体" w:hAnsi="宋体" w:cs="宋体" w:eastAsia="宋体" w:hint="default"/>
                <w:spacing w:val="12"/>
                <w:sz w:val="21"/>
                <w:szCs w:val="21"/>
              </w:rPr>
              <w:t> </w:t>
            </w:r>
            <w:r>
              <w:rPr>
                <w:rFonts w:ascii="宋体" w:hAnsi="宋体" w:cs="宋体" w:eastAsia="宋体" w:hint="default"/>
                <w:spacing w:val="2"/>
                <w:sz w:val="21"/>
                <w:szCs w:val="21"/>
              </w:rPr>
              <w:t>年年度</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股东大会决议，以</w:t>
            </w:r>
            <w:r>
              <w:rPr>
                <w:rFonts w:ascii="宋体" w:hAnsi="宋体" w:cs="宋体" w:eastAsia="宋体" w:hint="default"/>
                <w:spacing w:val="-50"/>
                <w:sz w:val="21"/>
                <w:szCs w:val="21"/>
              </w:rPr>
              <w:t> </w:t>
            </w:r>
            <w:r>
              <w:rPr>
                <w:rFonts w:ascii="宋体" w:hAnsi="宋体" w:cs="宋体" w:eastAsia="宋体" w:hint="default"/>
                <w:sz w:val="21"/>
                <w:szCs w:val="21"/>
              </w:rPr>
              <w:t>2007</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 12 月 31</w:t>
            </w:r>
            <w:r>
              <w:rPr>
                <w:rFonts w:ascii="宋体" w:hAnsi="宋体" w:cs="宋体" w:eastAsia="宋体" w:hint="default"/>
                <w:spacing w:val="9"/>
                <w:sz w:val="21"/>
                <w:szCs w:val="21"/>
              </w:rPr>
              <w:t> </w:t>
            </w:r>
            <w:r>
              <w:rPr>
                <w:rFonts w:ascii="宋体" w:hAnsi="宋体" w:cs="宋体" w:eastAsia="宋体" w:hint="default"/>
                <w:spacing w:val="3"/>
                <w:sz w:val="21"/>
                <w:szCs w:val="21"/>
              </w:rPr>
              <w:t>日总股本</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56,00</w:t>
            </w:r>
            <w:r>
              <w:rPr>
                <w:rFonts w:ascii="宋体" w:hAnsi="宋体" w:cs="宋体" w:eastAsia="宋体" w:hint="default"/>
                <w:spacing w:val="7"/>
                <w:sz w:val="21"/>
                <w:szCs w:val="21"/>
              </w:rPr>
              <w:t> </w:t>
            </w:r>
            <w:r>
              <w:rPr>
                <w:rFonts w:ascii="宋体" w:hAnsi="宋体" w:cs="宋体" w:eastAsia="宋体" w:hint="default"/>
                <w:spacing w:val="2"/>
                <w:sz w:val="21"/>
                <w:szCs w:val="21"/>
              </w:rPr>
              <w:t>万股为基数，向</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全体股东每 10</w:t>
            </w:r>
            <w:r>
              <w:rPr>
                <w:rFonts w:ascii="宋体" w:hAnsi="宋体" w:cs="宋体" w:eastAsia="宋体" w:hint="default"/>
                <w:spacing w:val="18"/>
                <w:sz w:val="21"/>
                <w:szCs w:val="21"/>
              </w:rPr>
              <w:t> </w:t>
            </w:r>
            <w:r>
              <w:rPr>
                <w:rFonts w:ascii="宋体" w:hAnsi="宋体" w:cs="宋体" w:eastAsia="宋体" w:hint="default"/>
                <w:sz w:val="21"/>
                <w:szCs w:val="21"/>
              </w:rPr>
              <w:t>股派发</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15"/>
                <w:sz w:val="21"/>
                <w:szCs w:val="21"/>
              </w:rPr>
              <w:t>现金股利人民币</w:t>
            </w:r>
            <w:r>
              <w:rPr>
                <w:rFonts w:ascii="宋体" w:hAnsi="宋体" w:cs="宋体" w:eastAsia="宋体" w:hint="default"/>
                <w:spacing w:val="21"/>
                <w:sz w:val="21"/>
                <w:szCs w:val="21"/>
              </w:rPr>
              <w:t> </w:t>
            </w:r>
            <w:r>
              <w:rPr>
                <w:rFonts w:ascii="宋体" w:hAnsi="宋体" w:cs="宋体" w:eastAsia="宋体" w:hint="default"/>
                <w:sz w:val="21"/>
                <w:szCs w:val="21"/>
              </w:rPr>
              <w:t>5.00</w:t>
            </w:r>
            <w:r>
              <w:rPr>
                <w:rFonts w:ascii="宋体" w:hAnsi="宋体" w:cs="宋体" w:eastAsia="宋体" w:hint="default"/>
                <w:sz w:val="21"/>
                <w:szCs w:val="21"/>
              </w:rPr>
              <w:t> </w:t>
            </w:r>
            <w:r>
              <w:rPr>
                <w:rFonts w:ascii="宋体" w:hAnsi="宋体" w:cs="宋体" w:eastAsia="宋体" w:hint="default"/>
                <w:spacing w:val="2"/>
                <w:sz w:val="21"/>
                <w:szCs w:val="21"/>
              </w:rPr>
              <w:t>元（含税），共计派发</w:t>
            </w:r>
            <w:r>
              <w:rPr>
                <w:rFonts w:ascii="宋体" w:hAnsi="宋体" w:cs="宋体" w:eastAsia="宋体" w:hint="default"/>
                <w:spacing w:val="2"/>
                <w:sz w:val="21"/>
                <w:szCs w:val="21"/>
              </w:rPr>
              <w:t> </w:t>
            </w:r>
            <w:r>
              <w:rPr>
                <w:rFonts w:ascii="宋体" w:hAnsi="宋体" w:cs="宋体" w:eastAsia="宋体" w:hint="default"/>
                <w:sz w:val="21"/>
                <w:szCs w:val="21"/>
              </w:rPr>
              <w:t>现金红利</w:t>
            </w:r>
            <w:r>
              <w:rPr>
                <w:rFonts w:ascii="宋体" w:hAnsi="宋体" w:cs="宋体" w:eastAsia="宋体" w:hint="default"/>
                <w:spacing w:val="-53"/>
                <w:sz w:val="21"/>
                <w:szCs w:val="21"/>
              </w:rPr>
              <w:t> </w:t>
            </w:r>
            <w:r>
              <w:rPr>
                <w:rFonts w:ascii="宋体" w:hAnsi="宋体" w:cs="宋体" w:eastAsia="宋体" w:hint="default"/>
                <w:sz w:val="21"/>
                <w:szCs w:val="21"/>
              </w:rPr>
              <w:t>2,800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827"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2" w:lineRule="exact" w:before="26"/>
              <w:ind w:left="259" w:right="257"/>
              <w:jc w:val="center"/>
              <w:rPr>
                <w:rFonts w:ascii="Times New Roman" w:hAnsi="Times New Roman" w:cs="Times New Roman" w:eastAsia="Times New Roman" w:hint="default"/>
                <w:sz w:val="21"/>
                <w:szCs w:val="21"/>
              </w:rPr>
            </w:pPr>
            <w:r>
              <w:rPr>
                <w:rFonts w:ascii="宋体" w:hAnsi="宋体" w:cs="宋体" w:eastAsia="宋体" w:hint="default"/>
                <w:sz w:val="21"/>
                <w:szCs w:val="21"/>
              </w:rPr>
              <w:t>公司股东的净利润的比 率</w:t>
            </w:r>
            <w:r>
              <w:rPr>
                <w:rFonts w:ascii="Times New Roman" w:hAnsi="Times New Roman" w:cs="Times New Roman" w:eastAsia="Times New Roman"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51.04%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23.63%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27.65%</w:t>
            </w:r>
          </w:p>
        </w:tc>
      </w:tr>
      <w:tr>
        <w:trPr>
          <w:trHeight w:val="302"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6,720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3,360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2,800</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35"/>
        <w:ind w:left="526" w:right="101"/>
        <w:jc w:val="left"/>
        <w:rPr>
          <w:b w:val="0"/>
          <w:bCs w:val="0"/>
        </w:rPr>
      </w:pPr>
      <w:r>
        <w:rPr/>
        <w:t>八、</w:t>
      </w:r>
      <w:r>
        <w:rPr>
          <w:spacing w:val="-4"/>
        </w:rPr>
        <w:t> </w:t>
      </w:r>
      <w:r>
        <w:rPr/>
        <w:t>其他需要披露的事项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526" w:right="101"/>
        <w:jc w:val="left"/>
        <w:rPr>
          <w:b w:val="0"/>
          <w:bCs w:val="0"/>
        </w:rPr>
      </w:pPr>
      <w:r>
        <w:rPr/>
        <w:t>（一）投资者关系管理工作</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2"/>
        <w:ind w:left="534" w:right="101"/>
        <w:jc w:val="left"/>
      </w:pPr>
      <w:r>
        <w:rPr/>
        <w:t>公司董事会秘书为投资者关系管理负责人，公司证券部负责投资者关系管理的日常事务。 </w:t>
      </w:r>
      <w:r>
        <w:rPr>
          <w:spacing w:val="-1"/>
        </w:rPr>
        <w:t>2010年度，公司按照中国证监会、深圳证券交易所及公司内部有关制度的规定，积极开展投资者关系</w:t>
      </w:r>
    </w:p>
    <w:p>
      <w:pPr>
        <w:pStyle w:val="BodyText"/>
        <w:spacing w:line="357" w:lineRule="auto" w:before="32"/>
        <w:ind w:left="114" w:right="101"/>
        <w:jc w:val="left"/>
      </w:pPr>
      <w:r>
        <w:rPr/>
        <w:t>管理工作，以年报说明会、投资者见面会、热线电话、投资者关系互动平台等多种形式与广大投资者进行 </w:t>
      </w:r>
      <w:r>
        <w:rPr>
          <w:spacing w:val="-3"/>
        </w:rPr>
        <w:t>联系与沟通，关注各类媒体关于公司的相关报道。同时，积极做好投资者关系活动档案的建立和保管工作，</w:t>
      </w:r>
      <w:r>
        <w:rPr>
          <w:spacing w:val="-90"/>
        </w:rPr>
        <w:t> </w:t>
      </w:r>
      <w:r>
        <w:rPr>
          <w:spacing w:val="-90"/>
        </w:rPr>
      </w:r>
      <w:r>
        <w:rPr/>
        <w:t>合理、妥善地安排个人投资者、机构投资者、行业分析师等相关人员到公司进行调研，并将调研纪要报深</w:t>
      </w:r>
      <w:r>
        <w:rPr/>
        <w:t> 圳证券交易所备案，同时切实做好相关信息的保密工作。</w:t>
      </w:r>
    </w:p>
    <w:p>
      <w:pPr>
        <w:pStyle w:val="BodyText"/>
        <w:spacing w:line="357" w:lineRule="auto" w:before="30"/>
        <w:ind w:left="114" w:right="209" w:firstLine="420"/>
        <w:jc w:val="both"/>
      </w:pPr>
      <w:r>
        <w:rPr>
          <w:spacing w:val="-1"/>
        </w:rPr>
        <w:t>公司把投资者关系管理作为一项长期、持续的工作来开展，不断学习先进的投资者关系管理经验，以</w:t>
      </w:r>
      <w:r>
        <w:rPr/>
        <w:t> </w:t>
      </w:r>
      <w:r>
        <w:rPr>
          <w:spacing w:val="-1"/>
        </w:rPr>
        <w:t>更好的方式和途径使广大投资者能够平等地获取公司经营管理、未来发展等情况，力求维护与投资者的良</w:t>
      </w:r>
      <w:r>
        <w:rPr>
          <w:spacing w:val="-81"/>
        </w:rPr>
        <w:t> </w:t>
      </w:r>
      <w:r>
        <w:rPr>
          <w:spacing w:val="-81"/>
        </w:rPr>
      </w:r>
      <w:r>
        <w:rPr/>
        <w:t>好互动关系，树立公司在资本市场的良好形象。</w:t>
      </w:r>
    </w:p>
    <w:p>
      <w:pPr>
        <w:pStyle w:val="BodyText"/>
        <w:spacing w:line="688" w:lineRule="exact" w:before="6"/>
        <w:ind w:left="525" w:right="101" w:firstLine="1"/>
        <w:jc w:val="left"/>
      </w:pPr>
      <w:r>
        <w:rPr>
          <w:rFonts w:ascii="宋体" w:hAnsi="宋体" w:cs="宋体" w:eastAsia="宋体" w:hint="default"/>
          <w:b/>
          <w:bCs/>
        </w:rPr>
        <w:t>（二）公司信息披露媒体</w:t>
      </w:r>
      <w:r>
        <w:rPr>
          <w:rFonts w:ascii="宋体" w:hAnsi="宋体" w:cs="宋体" w:eastAsia="宋体" w:hint="default"/>
          <w:b/>
          <w:bCs/>
          <w:w w:val="99"/>
        </w:rPr>
        <w:t> </w:t>
      </w:r>
      <w:r>
        <w:rPr>
          <w:spacing w:val="-9"/>
        </w:rPr>
        <w:t>报告期内，公司指定信息披露媒体为《中国证券报》、《证券时报》和巨潮资讯网(www.cninfo.com.cn)，</w:t>
      </w:r>
      <w:r>
        <w:rPr/>
      </w:r>
    </w:p>
    <w:p>
      <w:pPr>
        <w:pStyle w:val="BodyText"/>
        <w:spacing w:line="240" w:lineRule="auto" w:before="25"/>
        <w:ind w:left="114" w:right="101"/>
        <w:jc w:val="left"/>
      </w:pPr>
      <w:r>
        <w:rPr/>
        <w:t>未发生变更。</w:t>
      </w:r>
    </w:p>
    <w:p>
      <w:pPr>
        <w:spacing w:after="0" w:line="240" w:lineRule="auto"/>
        <w:jc w:val="left"/>
        <w:sectPr>
          <w:pgSz w:w="11910" w:h="16840"/>
          <w:pgMar w:header="851" w:footer="982" w:top="1200" w:bottom="1180" w:left="1020" w:right="920"/>
        </w:sectPr>
      </w:pPr>
    </w:p>
    <w:p>
      <w:pPr>
        <w:pStyle w:val="Heading1"/>
        <w:spacing w:line="240" w:lineRule="auto" w:before="21"/>
        <w:ind w:left="3480" w:right="3537"/>
        <w:jc w:val="center"/>
        <w:rPr>
          <w:b w:val="0"/>
          <w:bCs w:val="0"/>
        </w:rPr>
      </w:pPr>
      <w:r>
        <w:rPr/>
        <w:pict>
          <v:group style="position:absolute;margin-left:55.200001pt;margin-top:2.94186pt;width:484.95pt;height:.1pt;mso-position-horizontal-relative:page;mso-position-vertical-relative:paragraph;z-index:-709456" coordorigin="1104,59" coordsize="9699,2">
            <v:shape style="position:absolute;left:1104;top:59;width:9699;height:2" coordorigin="1104,59" coordsize="9699,0" path="m1104,59l10802,59e" filled="false" stroked="true" strokeweight=".72pt" strokecolor="#000000">
              <v:path arrowok="t"/>
            </v:shape>
            <w10:wrap type="none"/>
          </v:group>
        </w:pict>
      </w:r>
      <w:bookmarkStart w:name="_bookmark7" w:id="8"/>
      <w:bookmarkEnd w:id="8"/>
      <w:r>
        <w:rPr>
          <w:b w:val="0"/>
          <w:bCs w:val="0"/>
        </w:rPr>
      </w:r>
      <w:r>
        <w:rPr/>
        <w:t>第八节</w:t>
      </w:r>
      <w:r>
        <w:rPr>
          <w:spacing w:val="-5"/>
        </w:rPr>
        <w:t> </w:t>
      </w:r>
      <w:r>
        <w:rPr/>
        <w:t>监事会工作报告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right="0"/>
        <w:jc w:val="left"/>
        <w:rPr>
          <w:b w:val="0"/>
          <w:bCs w:val="0"/>
        </w:rPr>
      </w:pPr>
      <w:r>
        <w:rPr/>
        <w:t>一、监事会的工作情况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3" w:right="0"/>
        <w:jc w:val="left"/>
      </w:pPr>
      <w:r>
        <w:rPr/>
        <w:t>报告期内，公司监事会共召开了</w:t>
      </w:r>
      <w:r>
        <w:rPr>
          <w:spacing w:val="-53"/>
        </w:rPr>
        <w:t> </w:t>
      </w:r>
      <w:r>
        <w:rPr/>
        <w:t>8</w:t>
      </w:r>
      <w:r>
        <w:rPr>
          <w:spacing w:val="-53"/>
        </w:rPr>
        <w:t> </w:t>
      </w:r>
      <w:r>
        <w:rPr/>
        <w:t>次会议，各次会议情况如下：</w:t>
      </w:r>
    </w:p>
    <w:p>
      <w:pPr>
        <w:pStyle w:val="BodyText"/>
        <w:spacing w:line="357" w:lineRule="auto" w:before="133"/>
        <w:ind w:left="153" w:right="208" w:firstLine="420"/>
        <w:jc w:val="both"/>
      </w:pPr>
      <w:r>
        <w:rPr/>
        <w:t>（一）2010</w:t>
      </w:r>
      <w:r>
        <w:rPr>
          <w:spacing w:val="-48"/>
        </w:rPr>
        <w:t> </w:t>
      </w:r>
      <w:r>
        <w:rPr/>
        <w:t>年</w:t>
      </w:r>
      <w:r>
        <w:rPr>
          <w:spacing w:val="-48"/>
        </w:rPr>
        <w:t> </w:t>
      </w:r>
      <w:r>
        <w:rPr/>
        <w:t>1</w:t>
      </w:r>
      <w:r>
        <w:rPr>
          <w:spacing w:val="-47"/>
        </w:rPr>
        <w:t> </w:t>
      </w:r>
      <w:r>
        <w:rPr/>
        <w:t>月</w:t>
      </w:r>
      <w:r>
        <w:rPr>
          <w:spacing w:val="-49"/>
        </w:rPr>
        <w:t> </w:t>
      </w:r>
      <w:r>
        <w:rPr/>
        <w:t>22</w:t>
      </w:r>
      <w:r>
        <w:rPr>
          <w:spacing w:val="-47"/>
        </w:rPr>
        <w:t> </w:t>
      </w:r>
      <w:r>
        <w:rPr/>
        <w:t>日，公司第三届监事会第十四次会议在公司会议室召开，会议审议通过了《关</w:t>
      </w:r>
      <w:r>
        <w:rPr/>
        <w:t> </w:t>
      </w:r>
      <w:r>
        <w:rPr>
          <w:spacing w:val="-1"/>
        </w:rPr>
        <w:t>于修订公司股票期权激励计划（草案）的议案》，并对《北京中长石基信息技术股份有限公司股票期权激</w:t>
      </w:r>
      <w:r>
        <w:rPr>
          <w:spacing w:val="-94"/>
        </w:rPr>
        <w:t> </w:t>
      </w:r>
      <w:r>
        <w:rPr>
          <w:spacing w:val="-94"/>
        </w:rPr>
      </w:r>
      <w:r>
        <w:rPr>
          <w:spacing w:val="-5"/>
        </w:rPr>
        <w:t>励计划（草案）修订案》发表了审核意见，《第三届监事会第十四次会议决议公告》刊登于</w:t>
      </w:r>
      <w:r>
        <w:rPr>
          <w:spacing w:val="-53"/>
        </w:rPr>
        <w:t> </w:t>
      </w:r>
      <w:r>
        <w:rPr>
          <w:spacing w:val="-1"/>
        </w:rPr>
        <w:t>2010</w:t>
      </w:r>
      <w:r>
        <w:rPr>
          <w:spacing w:val="-52"/>
        </w:rPr>
        <w:t> </w:t>
      </w:r>
      <w:r>
        <w:rPr/>
        <w:t>年</w:t>
      </w:r>
      <w:r>
        <w:rPr>
          <w:spacing w:val="-54"/>
        </w:rPr>
        <w:t> </w:t>
      </w:r>
      <w:r>
        <w:rPr/>
        <w:t>1</w:t>
      </w:r>
      <w:r>
        <w:rPr>
          <w:spacing w:val="-52"/>
        </w:rPr>
        <w:t> </w:t>
      </w:r>
      <w:r>
        <w:rPr/>
        <w:t>月</w:t>
      </w:r>
      <w:r>
        <w:rPr>
          <w:spacing w:val="-54"/>
        </w:rPr>
        <w:t> </w:t>
      </w:r>
      <w:r>
        <w:rPr/>
        <w:t>23</w:t>
      </w:r>
      <w:r>
        <w:rPr/>
        <w:t> 日的《中国证券报》、《证券时报》及巨潮资讯网</w:t>
      </w:r>
      <w:r>
        <w:rPr>
          <w:spacing w:val="-31"/>
        </w:rPr>
        <w:t> </w:t>
      </w:r>
      <w:r>
        <w:rPr/>
        <w:t>(www.cninfo.com.cn)。</w:t>
      </w:r>
    </w:p>
    <w:p>
      <w:pPr>
        <w:pStyle w:val="BodyText"/>
        <w:spacing w:line="357" w:lineRule="auto" w:before="30"/>
        <w:ind w:left="153" w:right="209" w:firstLine="420"/>
        <w:jc w:val="both"/>
      </w:pPr>
      <w:r>
        <w:rPr/>
        <w:t>（二）2010</w:t>
      </w:r>
      <w:r>
        <w:rPr>
          <w:spacing w:val="-48"/>
        </w:rPr>
        <w:t> </w:t>
      </w:r>
      <w:r>
        <w:rPr/>
        <w:t>年</w:t>
      </w:r>
      <w:r>
        <w:rPr>
          <w:spacing w:val="-48"/>
        </w:rPr>
        <w:t> </w:t>
      </w:r>
      <w:r>
        <w:rPr/>
        <w:t>2</w:t>
      </w:r>
      <w:r>
        <w:rPr>
          <w:spacing w:val="-47"/>
        </w:rPr>
        <w:t> </w:t>
      </w:r>
      <w:r>
        <w:rPr/>
        <w:t>月</w:t>
      </w:r>
      <w:r>
        <w:rPr>
          <w:spacing w:val="-49"/>
        </w:rPr>
        <w:t> </w:t>
      </w:r>
      <w:r>
        <w:rPr/>
        <w:t>12</w:t>
      </w:r>
      <w:r>
        <w:rPr>
          <w:spacing w:val="-47"/>
        </w:rPr>
        <w:t> </w:t>
      </w:r>
      <w:r>
        <w:rPr/>
        <w:t>日，公司第三届监事会第十五次会议在公司会议室召开，会议审议通过了《关</w:t>
      </w:r>
      <w:r>
        <w:rPr/>
        <w:t> </w:t>
      </w:r>
      <w:r>
        <w:rPr>
          <w:spacing w:val="-5"/>
        </w:rPr>
        <w:t>于确定股票期权激励计划授予相关事项的议案》，并对股票期权激励对象名单发表了审核意见，《第三届监</w:t>
      </w:r>
      <w:r>
        <w:rPr/>
        <w:t> 事会第十五次会议决议公告》刊登于</w:t>
      </w:r>
      <w:r>
        <w:rPr>
          <w:spacing w:val="-22"/>
        </w:rPr>
        <w:t> </w:t>
      </w:r>
      <w:r>
        <w:rPr/>
        <w:t>2010</w:t>
      </w:r>
      <w:r>
        <w:rPr>
          <w:spacing w:val="-22"/>
        </w:rPr>
        <w:t> </w:t>
      </w:r>
      <w:r>
        <w:rPr/>
        <w:t>年</w:t>
      </w:r>
      <w:r>
        <w:rPr>
          <w:spacing w:val="-24"/>
        </w:rPr>
        <w:t> </w:t>
      </w:r>
      <w:r>
        <w:rPr/>
        <w:t>2</w:t>
      </w:r>
      <w:r>
        <w:rPr>
          <w:spacing w:val="-22"/>
        </w:rPr>
        <w:t> </w:t>
      </w:r>
      <w:r>
        <w:rPr/>
        <w:t>月</w:t>
      </w:r>
      <w:r>
        <w:rPr>
          <w:spacing w:val="-22"/>
        </w:rPr>
        <w:t> </w:t>
      </w:r>
      <w:r>
        <w:rPr/>
        <w:t>22</w:t>
      </w:r>
      <w:r>
        <w:rPr>
          <w:spacing w:val="-22"/>
        </w:rPr>
        <w:t> </w:t>
      </w:r>
      <w:r>
        <w:rPr/>
        <w:t>日的《中国证券报》、《证券时报》及巨潮资讯网</w:t>
      </w:r>
      <w:r>
        <w:rPr/>
        <w:t> (www.cninfo.com.cn)。</w:t>
      </w:r>
    </w:p>
    <w:p>
      <w:pPr>
        <w:pStyle w:val="BodyText"/>
        <w:spacing w:line="357" w:lineRule="auto" w:before="31"/>
        <w:ind w:left="153" w:right="210" w:firstLine="420"/>
        <w:jc w:val="both"/>
      </w:pPr>
      <w:r>
        <w:rPr>
          <w:spacing w:val="-8"/>
        </w:rPr>
        <w:t>（三）2010</w:t>
      </w:r>
      <w:r>
        <w:rPr>
          <w:spacing w:val="-50"/>
        </w:rPr>
        <w:t> </w:t>
      </w:r>
      <w:r>
        <w:rPr/>
        <w:t>年</w:t>
      </w:r>
      <w:r>
        <w:rPr>
          <w:spacing w:val="-50"/>
        </w:rPr>
        <w:t> </w:t>
      </w:r>
      <w:r>
        <w:rPr/>
        <w:t>4</w:t>
      </w:r>
      <w:r>
        <w:rPr>
          <w:spacing w:val="-49"/>
        </w:rPr>
        <w:t> </w:t>
      </w:r>
      <w:r>
        <w:rPr/>
        <w:t>月</w:t>
      </w:r>
      <w:r>
        <w:rPr>
          <w:spacing w:val="-51"/>
        </w:rPr>
        <w:t> </w:t>
      </w:r>
      <w:r>
        <w:rPr/>
        <w:t>13</w:t>
      </w:r>
      <w:r>
        <w:rPr>
          <w:spacing w:val="-49"/>
        </w:rPr>
        <w:t> </w:t>
      </w:r>
      <w:r>
        <w:rPr>
          <w:spacing w:val="-5"/>
        </w:rPr>
        <w:t>日，公司第三届监事会第十六次会议在公司会议室召开，会议审议通过了《2009</w:t>
      </w:r>
      <w:r>
        <w:rPr>
          <w:spacing w:val="-1"/>
        </w:rPr>
        <w:t> </w:t>
      </w:r>
      <w:r>
        <w:rPr>
          <w:spacing w:val="-15"/>
        </w:rPr>
        <w:t>年年度报告及摘要》、《2009</w:t>
      </w:r>
      <w:r>
        <w:rPr>
          <w:spacing w:val="-36"/>
        </w:rPr>
        <w:t> </w:t>
      </w:r>
      <w:r>
        <w:rPr>
          <w:spacing w:val="-1"/>
        </w:rPr>
        <w:t>年度监事会工作报告》等</w:t>
      </w:r>
      <w:r>
        <w:rPr>
          <w:spacing w:val="-36"/>
        </w:rPr>
        <w:t> </w:t>
      </w:r>
      <w:r>
        <w:rPr/>
        <w:t>6</w:t>
      </w:r>
      <w:r>
        <w:rPr>
          <w:spacing w:val="-36"/>
        </w:rPr>
        <w:t> </w:t>
      </w:r>
      <w:r>
        <w:rPr>
          <w:spacing w:val="-5"/>
        </w:rPr>
        <w:t>项议案，《第三届监事会第十六次会议决议公告》</w:t>
      </w:r>
      <w:r>
        <w:rPr>
          <w:spacing w:val="-103"/>
        </w:rPr>
        <w:t> </w:t>
      </w:r>
      <w:r>
        <w:rPr>
          <w:spacing w:val="-103"/>
        </w:rPr>
      </w:r>
      <w:r>
        <w:rPr/>
        <w:t>刊登于</w:t>
      </w:r>
      <w:r>
        <w:rPr>
          <w:spacing w:val="-59"/>
        </w:rPr>
        <w:t> </w:t>
      </w:r>
      <w:r>
        <w:rPr/>
        <w:t>2010</w:t>
      </w:r>
      <w:r>
        <w:rPr>
          <w:spacing w:val="-59"/>
        </w:rPr>
        <w:t> </w:t>
      </w:r>
      <w:r>
        <w:rPr/>
        <w:t>年</w:t>
      </w:r>
      <w:r>
        <w:rPr>
          <w:spacing w:val="-59"/>
        </w:rPr>
        <w:t> </w:t>
      </w:r>
      <w:r>
        <w:rPr/>
        <w:t>4</w:t>
      </w:r>
      <w:r>
        <w:rPr>
          <w:spacing w:val="-58"/>
        </w:rPr>
        <w:t> </w:t>
      </w:r>
      <w:r>
        <w:rPr/>
        <w:t>月</w:t>
      </w:r>
      <w:r>
        <w:rPr>
          <w:spacing w:val="-60"/>
        </w:rPr>
        <w:t> </w:t>
      </w:r>
      <w:r>
        <w:rPr/>
        <w:t>15</w:t>
      </w:r>
      <w:r>
        <w:rPr>
          <w:spacing w:val="-58"/>
        </w:rPr>
        <w:t> </w:t>
      </w:r>
      <w:r>
        <w:rPr/>
        <w:t>日的《中国证券报》、《证券时报》及巨潮资讯网</w:t>
      </w:r>
      <w:r>
        <w:rPr>
          <w:spacing w:val="-12"/>
        </w:rPr>
        <w:t> </w:t>
      </w:r>
      <w:r>
        <w:rPr/>
        <w:t>(www.cninfo.com.cn)。</w:t>
      </w:r>
    </w:p>
    <w:p>
      <w:pPr>
        <w:pStyle w:val="BodyText"/>
        <w:spacing w:line="357" w:lineRule="auto" w:before="30"/>
        <w:ind w:left="153" w:right="210" w:firstLine="420"/>
        <w:jc w:val="both"/>
      </w:pPr>
      <w:r>
        <w:rPr>
          <w:spacing w:val="-8"/>
        </w:rPr>
        <w:t>（四）2010</w:t>
      </w:r>
      <w:r>
        <w:rPr>
          <w:spacing w:val="-50"/>
        </w:rPr>
        <w:t> </w:t>
      </w:r>
      <w:r>
        <w:rPr/>
        <w:t>年</w:t>
      </w:r>
      <w:r>
        <w:rPr>
          <w:spacing w:val="-50"/>
        </w:rPr>
        <w:t> </w:t>
      </w:r>
      <w:r>
        <w:rPr/>
        <w:t>4</w:t>
      </w:r>
      <w:r>
        <w:rPr>
          <w:spacing w:val="-49"/>
        </w:rPr>
        <w:t> </w:t>
      </w:r>
      <w:r>
        <w:rPr/>
        <w:t>月</w:t>
      </w:r>
      <w:r>
        <w:rPr>
          <w:spacing w:val="-51"/>
        </w:rPr>
        <w:t> </w:t>
      </w:r>
      <w:r>
        <w:rPr/>
        <w:t>27</w:t>
      </w:r>
      <w:r>
        <w:rPr>
          <w:spacing w:val="-49"/>
        </w:rPr>
        <w:t> </w:t>
      </w:r>
      <w:r>
        <w:rPr>
          <w:spacing w:val="-5"/>
        </w:rPr>
        <w:t>日，公司第三届监事会第十七次会议在公司会议室召开，会议审议通过了《2010</w:t>
      </w:r>
      <w:r>
        <w:rPr>
          <w:spacing w:val="-1"/>
        </w:rPr>
        <w:t> </w:t>
      </w:r>
      <w:r>
        <w:rPr>
          <w:spacing w:val="-10"/>
        </w:rPr>
        <w:t>年第一季度报告全文及正文》、《关于核销哈尔滨国际会展体育中心有限公司坏账的议案》，《第三届监事会</w:t>
      </w:r>
      <w:r>
        <w:rPr>
          <w:spacing w:val="-71"/>
        </w:rPr>
        <w:t> </w:t>
      </w:r>
      <w:r>
        <w:rPr>
          <w:spacing w:val="-71"/>
        </w:rPr>
      </w:r>
      <w:r>
        <w:rPr>
          <w:spacing w:val="6"/>
        </w:rPr>
        <w:t>第十七次会议决议公告》刊登于 </w:t>
      </w:r>
      <w:r>
        <w:rPr/>
        <w:t>2010 年 4 月 28</w:t>
      </w:r>
      <w:r>
        <w:rPr>
          <w:spacing w:val="56"/>
        </w:rPr>
        <w:t> </w:t>
      </w:r>
      <w:r>
        <w:rPr>
          <w:spacing w:val="6"/>
        </w:rPr>
        <w:t>日的《中国证券报》、《证券时报》及巨潮资讯网</w:t>
      </w:r>
      <w:r>
        <w:rPr/>
        <w:t> (www.cninfo.com.cn)。</w:t>
      </w:r>
    </w:p>
    <w:p>
      <w:pPr>
        <w:pStyle w:val="BodyText"/>
        <w:spacing w:line="357" w:lineRule="auto" w:before="31"/>
        <w:ind w:left="153" w:right="209" w:firstLine="420"/>
        <w:jc w:val="both"/>
      </w:pPr>
      <w:r>
        <w:rPr/>
        <w:t>（五）2010</w:t>
      </w:r>
      <w:r>
        <w:rPr>
          <w:spacing w:val="-48"/>
        </w:rPr>
        <w:t> </w:t>
      </w:r>
      <w:r>
        <w:rPr/>
        <w:t>年</w:t>
      </w:r>
      <w:r>
        <w:rPr>
          <w:spacing w:val="-48"/>
        </w:rPr>
        <w:t> </w:t>
      </w:r>
      <w:r>
        <w:rPr/>
        <w:t>5</w:t>
      </w:r>
      <w:r>
        <w:rPr>
          <w:spacing w:val="-47"/>
        </w:rPr>
        <w:t> </w:t>
      </w:r>
      <w:r>
        <w:rPr/>
        <w:t>月</w:t>
      </w:r>
      <w:r>
        <w:rPr>
          <w:spacing w:val="-49"/>
        </w:rPr>
        <w:t> </w:t>
      </w:r>
      <w:r>
        <w:rPr/>
        <w:t>28</w:t>
      </w:r>
      <w:r>
        <w:rPr>
          <w:spacing w:val="-47"/>
        </w:rPr>
        <w:t> </w:t>
      </w:r>
      <w:r>
        <w:rPr/>
        <w:t>日，公司第三届监事会第十八次会议在公司会议室召开，会议审议通过了《关</w:t>
      </w:r>
      <w:r>
        <w:rPr/>
        <w:t> </w:t>
      </w:r>
      <w:r>
        <w:rPr>
          <w:spacing w:val="-6"/>
        </w:rPr>
        <w:t>于首次公开发行股票节余募集资金永久补充流动资金的议案》，并对该事项发表了审核意见，《第三届监事</w:t>
      </w:r>
      <w:r>
        <w:rPr>
          <w:spacing w:val="-59"/>
        </w:rPr>
        <w:t> </w:t>
      </w:r>
      <w:r>
        <w:rPr>
          <w:spacing w:val="-59"/>
        </w:rPr>
      </w:r>
      <w:r>
        <w:rPr/>
        <w:t>会第十八次会议决议公告》刊登于</w:t>
      </w:r>
      <w:r>
        <w:rPr>
          <w:spacing w:val="9"/>
        </w:rPr>
        <w:t> </w:t>
      </w:r>
      <w:r>
        <w:rPr/>
        <w:t>2010</w:t>
      </w:r>
      <w:r>
        <w:rPr>
          <w:spacing w:val="11"/>
        </w:rPr>
        <w:t> </w:t>
      </w:r>
      <w:r>
        <w:rPr/>
        <w:t>年</w:t>
      </w:r>
      <w:r>
        <w:rPr>
          <w:spacing w:val="10"/>
        </w:rPr>
        <w:t> </w:t>
      </w:r>
      <w:r>
        <w:rPr/>
        <w:t>5</w:t>
      </w:r>
      <w:r>
        <w:rPr>
          <w:spacing w:val="10"/>
        </w:rPr>
        <w:t> </w:t>
      </w:r>
      <w:r>
        <w:rPr/>
        <w:t>月</w:t>
      </w:r>
      <w:r>
        <w:rPr>
          <w:spacing w:val="10"/>
        </w:rPr>
        <w:t> </w:t>
      </w:r>
      <w:r>
        <w:rPr/>
        <w:t>29</w:t>
      </w:r>
      <w:r>
        <w:rPr>
          <w:spacing w:val="11"/>
        </w:rPr>
        <w:t> </w:t>
      </w:r>
      <w:r>
        <w:rPr/>
        <w:t>日的《中国证券报》、《证券时报》及巨潮资讯网</w:t>
      </w:r>
      <w:r>
        <w:rPr>
          <w:spacing w:val="-103"/>
        </w:rPr>
        <w:t> </w:t>
      </w:r>
      <w:r>
        <w:rPr>
          <w:spacing w:val="-103"/>
        </w:rPr>
      </w:r>
      <w:r>
        <w:rPr/>
        <w:t>(www.cninfo.com.cn)。</w:t>
      </w:r>
    </w:p>
    <w:p>
      <w:pPr>
        <w:pStyle w:val="BodyText"/>
        <w:spacing w:line="355" w:lineRule="auto" w:before="31"/>
        <w:ind w:left="153" w:right="210" w:firstLine="420"/>
        <w:jc w:val="both"/>
      </w:pPr>
      <w:r>
        <w:rPr>
          <w:spacing w:val="-8"/>
        </w:rPr>
        <w:t>（六）2010</w:t>
      </w:r>
      <w:r>
        <w:rPr>
          <w:spacing w:val="-50"/>
        </w:rPr>
        <w:t> </w:t>
      </w:r>
      <w:r>
        <w:rPr/>
        <w:t>年</w:t>
      </w:r>
      <w:r>
        <w:rPr>
          <w:spacing w:val="-50"/>
        </w:rPr>
        <w:t> </w:t>
      </w:r>
      <w:r>
        <w:rPr/>
        <w:t>8</w:t>
      </w:r>
      <w:r>
        <w:rPr>
          <w:spacing w:val="-49"/>
        </w:rPr>
        <w:t> </w:t>
      </w:r>
      <w:r>
        <w:rPr/>
        <w:t>月</w:t>
      </w:r>
      <w:r>
        <w:rPr>
          <w:spacing w:val="-51"/>
        </w:rPr>
        <w:t> </w:t>
      </w:r>
      <w:r>
        <w:rPr/>
        <w:t>19</w:t>
      </w:r>
      <w:r>
        <w:rPr>
          <w:spacing w:val="-49"/>
        </w:rPr>
        <w:t> </w:t>
      </w:r>
      <w:r>
        <w:rPr>
          <w:spacing w:val="-5"/>
        </w:rPr>
        <w:t>日，公司第三届监事会第十九次会议在公司会议室召开，会议审议通过了《2010</w:t>
      </w:r>
      <w:r>
        <w:rPr>
          <w:spacing w:val="-1"/>
        </w:rPr>
        <w:t> </w:t>
      </w:r>
      <w:r>
        <w:rPr>
          <w:spacing w:val="-6"/>
        </w:rPr>
        <w:t>年半年度报告及摘要》，并发表了审核意见。</w:t>
      </w:r>
    </w:p>
    <w:p>
      <w:pPr>
        <w:pStyle w:val="BodyText"/>
        <w:spacing w:line="357" w:lineRule="auto" w:before="32"/>
        <w:ind w:right="209" w:firstLine="419"/>
        <w:jc w:val="both"/>
      </w:pPr>
      <w:r>
        <w:rPr>
          <w:spacing w:val="-11"/>
        </w:rPr>
        <w:t>（七）2010</w:t>
      </w:r>
      <w:r>
        <w:rPr>
          <w:spacing w:val="-52"/>
        </w:rPr>
        <w:t> </w:t>
      </w:r>
      <w:r>
        <w:rPr/>
        <w:t>年</w:t>
      </w:r>
      <w:r>
        <w:rPr>
          <w:spacing w:val="-52"/>
        </w:rPr>
        <w:t> </w:t>
      </w:r>
      <w:r>
        <w:rPr/>
        <w:t>10</w:t>
      </w:r>
      <w:r>
        <w:rPr>
          <w:spacing w:val="-51"/>
        </w:rPr>
        <w:t> </w:t>
      </w:r>
      <w:r>
        <w:rPr/>
        <w:t>月</w:t>
      </w:r>
      <w:r>
        <w:rPr>
          <w:spacing w:val="-52"/>
        </w:rPr>
        <w:t> </w:t>
      </w:r>
      <w:r>
        <w:rPr/>
        <w:t>28</w:t>
      </w:r>
      <w:r>
        <w:rPr>
          <w:spacing w:val="-52"/>
        </w:rPr>
        <w:t> </w:t>
      </w:r>
      <w:r>
        <w:rPr>
          <w:spacing w:val="-6"/>
        </w:rPr>
        <w:t>日，公司第三届监事会第二十次会议在公司会议室召开，会议审议通过了《2010</w:t>
      </w:r>
      <w:r>
        <w:rPr/>
        <w:t> </w:t>
      </w:r>
      <w:r>
        <w:rPr>
          <w:spacing w:val="-10"/>
        </w:rPr>
        <w:t>年第三季度报告全文及正文》、《关于监事会换届选举的议案》，《第三届监事会第二十次会议决议公告》刊</w:t>
      </w:r>
      <w:r>
        <w:rPr>
          <w:spacing w:val="-71"/>
        </w:rPr>
        <w:t> </w:t>
      </w:r>
      <w:r>
        <w:rPr>
          <w:spacing w:val="-71"/>
        </w:rPr>
      </w:r>
      <w:r>
        <w:rPr/>
        <w:t>登于</w:t>
      </w:r>
      <w:r>
        <w:rPr>
          <w:spacing w:val="-59"/>
        </w:rPr>
        <w:t> </w:t>
      </w:r>
      <w:r>
        <w:rPr/>
        <w:t>2010</w:t>
      </w:r>
      <w:r>
        <w:rPr>
          <w:spacing w:val="-58"/>
        </w:rPr>
        <w:t> </w:t>
      </w:r>
      <w:r>
        <w:rPr/>
        <w:t>年</w:t>
      </w:r>
      <w:r>
        <w:rPr>
          <w:spacing w:val="-60"/>
        </w:rPr>
        <w:t> </w:t>
      </w:r>
      <w:r>
        <w:rPr/>
        <w:t>10</w:t>
      </w:r>
      <w:r>
        <w:rPr>
          <w:spacing w:val="-59"/>
        </w:rPr>
        <w:t> </w:t>
      </w:r>
      <w:r>
        <w:rPr/>
        <w:t>月</w:t>
      </w:r>
      <w:r>
        <w:rPr>
          <w:spacing w:val="-59"/>
        </w:rPr>
        <w:t> </w:t>
      </w:r>
      <w:r>
        <w:rPr/>
        <w:t>29</w:t>
      </w:r>
      <w:r>
        <w:rPr>
          <w:spacing w:val="-58"/>
        </w:rPr>
        <w:t> </w:t>
      </w:r>
      <w:r>
        <w:rPr/>
        <w:t>日的《中国证券报》、《证券时报》及巨潮资讯网</w:t>
      </w:r>
      <w:r>
        <w:rPr>
          <w:spacing w:val="-13"/>
        </w:rPr>
        <w:t> </w:t>
      </w:r>
      <w:r>
        <w:rPr/>
        <w:t>(www.cninfo.com.cn)。</w:t>
      </w:r>
    </w:p>
    <w:p>
      <w:pPr>
        <w:pStyle w:val="BodyText"/>
        <w:spacing w:line="240" w:lineRule="auto" w:before="31"/>
        <w:ind w:left="574" w:right="0"/>
        <w:jc w:val="left"/>
      </w:pPr>
      <w:r>
        <w:rPr>
          <w:spacing w:val="-4"/>
        </w:rPr>
        <w:t>（八）2010</w:t>
      </w:r>
      <w:r>
        <w:rPr>
          <w:spacing w:val="-50"/>
        </w:rPr>
        <w:t> </w:t>
      </w:r>
      <w:r>
        <w:rPr/>
        <w:t>年</w:t>
      </w:r>
      <w:r>
        <w:rPr>
          <w:spacing w:val="-50"/>
        </w:rPr>
        <w:t> </w:t>
      </w:r>
      <w:r>
        <w:rPr/>
        <w:t>11</w:t>
      </w:r>
      <w:r>
        <w:rPr>
          <w:spacing w:val="-49"/>
        </w:rPr>
        <w:t> </w:t>
      </w:r>
      <w:r>
        <w:rPr/>
        <w:t>月</w:t>
      </w:r>
      <w:r>
        <w:rPr>
          <w:spacing w:val="-50"/>
        </w:rPr>
        <w:t> </w:t>
      </w:r>
      <w:r>
        <w:rPr/>
        <w:t>15</w:t>
      </w:r>
      <w:r>
        <w:rPr>
          <w:spacing w:val="-50"/>
        </w:rPr>
        <w:t> </w:t>
      </w:r>
      <w:r>
        <w:rPr>
          <w:spacing w:val="-3"/>
        </w:rPr>
        <w:t>日，公司第四届监事会第一会议在公司会议室召开，会议审议通过了《关于选</w:t>
      </w:r>
    </w:p>
    <w:p>
      <w:pPr>
        <w:pStyle w:val="BodyText"/>
        <w:spacing w:line="240" w:lineRule="auto" w:before="133"/>
        <w:ind w:right="0"/>
        <w:jc w:val="left"/>
      </w:pPr>
      <w:r>
        <w:rPr/>
        <w:t>举监事会主席的议案</w:t>
      </w:r>
      <w:r>
        <w:rPr>
          <w:spacing w:val="-105"/>
        </w:rPr>
        <w:t>》</w:t>
      </w:r>
      <w:r>
        <w:rPr>
          <w:spacing w:val="-162"/>
        </w:rPr>
        <w:t>，</w:t>
      </w:r>
      <w:r>
        <w:rPr>
          <w:spacing w:val="-2"/>
        </w:rPr>
        <w:t>《</w:t>
      </w:r>
      <w:r>
        <w:rPr/>
        <w:t>第四届监事会第一次会议决议公告</w:t>
      </w:r>
      <w:r>
        <w:rPr>
          <w:spacing w:val="-58"/>
        </w:rPr>
        <w:t>》</w:t>
      </w:r>
      <w:r>
        <w:rPr>
          <w:spacing w:val="-1"/>
        </w:rPr>
        <w:t>刊登</w:t>
      </w:r>
      <w:r>
        <w:rPr/>
        <w:t>于</w:t>
      </w:r>
      <w:r>
        <w:rPr>
          <w:spacing w:val="-53"/>
        </w:rPr>
        <w:t> </w:t>
      </w:r>
      <w:r>
        <w:rPr/>
        <w:t>2</w:t>
      </w:r>
      <w:r>
        <w:rPr>
          <w:spacing w:val="-1"/>
        </w:rPr>
        <w:t>01</w:t>
      </w:r>
      <w:r>
        <w:rPr/>
        <w:t>0</w:t>
      </w:r>
      <w:r>
        <w:rPr>
          <w:spacing w:val="-53"/>
        </w:rPr>
        <w:t> </w:t>
      </w:r>
      <w:r>
        <w:rPr/>
        <w:t>年</w:t>
      </w:r>
      <w:r>
        <w:rPr>
          <w:spacing w:val="-53"/>
        </w:rPr>
        <w:t> </w:t>
      </w:r>
      <w:r>
        <w:rPr>
          <w:spacing w:val="-1"/>
        </w:rPr>
        <w:t>1</w:t>
      </w:r>
      <w:r>
        <w:rPr/>
        <w:t>1</w:t>
      </w:r>
      <w:r>
        <w:rPr>
          <w:spacing w:val="-52"/>
        </w:rPr>
        <w:t> </w:t>
      </w:r>
      <w:r>
        <w:rPr/>
        <w:t>月</w:t>
      </w:r>
      <w:r>
        <w:rPr>
          <w:spacing w:val="-53"/>
        </w:rPr>
        <w:t> </w:t>
      </w:r>
      <w:r>
        <w:rPr>
          <w:spacing w:val="-1"/>
        </w:rPr>
        <w:t>1</w:t>
      </w:r>
      <w:r>
        <w:rPr/>
        <w:t>6</w:t>
      </w:r>
      <w:r>
        <w:rPr>
          <w:spacing w:val="-53"/>
        </w:rPr>
        <w:t> </w:t>
      </w:r>
      <w:r>
        <w:rPr>
          <w:spacing w:val="-1"/>
        </w:rPr>
        <w:t>日</w:t>
      </w:r>
      <w:r>
        <w:rPr>
          <w:spacing w:val="-58"/>
        </w:rPr>
        <w:t>的</w:t>
      </w:r>
      <w:r>
        <w:rPr/>
        <w:t>《中国证券报</w:t>
      </w:r>
      <w:r>
        <w:rPr>
          <w:spacing w:val="-58"/>
        </w:rPr>
        <w:t>》</w:t>
      </w:r>
      <w:r>
        <w:rPr/>
        <w:t>、</w:t>
      </w:r>
    </w:p>
    <w:p>
      <w:pPr>
        <w:spacing w:line="602" w:lineRule="auto" w:before="134"/>
        <w:ind w:left="567" w:right="4160" w:hanging="413"/>
        <w:jc w:val="left"/>
        <w:rPr>
          <w:rFonts w:ascii="宋体" w:hAnsi="宋体" w:cs="宋体" w:eastAsia="宋体" w:hint="default"/>
          <w:sz w:val="21"/>
          <w:szCs w:val="21"/>
        </w:rPr>
      </w:pPr>
      <w:r>
        <w:rPr>
          <w:rFonts w:ascii="宋体" w:hAnsi="宋体" w:cs="宋体" w:eastAsia="宋体" w:hint="default"/>
          <w:sz w:val="21"/>
          <w:szCs w:val="21"/>
        </w:rPr>
        <w:t>《证券时报》及巨潮资讯网</w:t>
      </w:r>
      <w:r>
        <w:rPr>
          <w:rFonts w:ascii="宋体" w:hAnsi="宋体" w:cs="宋体" w:eastAsia="宋体" w:hint="default"/>
          <w:spacing w:val="-18"/>
          <w:sz w:val="21"/>
          <w:szCs w:val="21"/>
        </w:rPr>
        <w:t> </w:t>
      </w:r>
      <w:r>
        <w:rPr>
          <w:rFonts w:ascii="宋体" w:hAnsi="宋体" w:cs="宋体" w:eastAsia="宋体" w:hint="default"/>
          <w:sz w:val="21"/>
          <w:szCs w:val="21"/>
        </w:rPr>
        <w:t>(www.cninfo.com.cn)。</w:t>
      </w:r>
      <w:r>
        <w:rPr>
          <w:rFonts w:ascii="宋体" w:hAnsi="宋体" w:cs="宋体" w:eastAsia="宋体" w:hint="default"/>
          <w:sz w:val="21"/>
          <w:szCs w:val="21"/>
        </w:rPr>
        <w:t> </w:t>
      </w:r>
      <w:r>
        <w:rPr>
          <w:rFonts w:ascii="宋体" w:hAnsi="宋体" w:cs="宋体" w:eastAsia="宋体" w:hint="default"/>
          <w:b/>
          <w:bCs/>
          <w:sz w:val="21"/>
          <w:szCs w:val="21"/>
        </w:rPr>
        <w:t>二、监事会对有关事项的独立意见</w:t>
      </w:r>
      <w:r>
        <w:rPr>
          <w:rFonts w:ascii="宋体" w:hAnsi="宋体" w:cs="宋体" w:eastAsia="宋体" w:hint="default"/>
          <w:sz w:val="21"/>
          <w:szCs w:val="21"/>
        </w:rPr>
      </w:r>
    </w:p>
    <w:p>
      <w:pPr>
        <w:pStyle w:val="BodyText"/>
        <w:spacing w:line="240" w:lineRule="auto" w:before="95"/>
        <w:ind w:left="574" w:right="0"/>
        <w:jc w:val="left"/>
      </w:pPr>
      <w:r>
        <w:rPr/>
        <w:t>报告期内，本公司监事会按照《公司法》、《公司章程》的相关规定，认真开展监督工作，对报告期</w:t>
      </w:r>
    </w:p>
    <w:p>
      <w:pPr>
        <w:spacing w:after="0" w:line="240" w:lineRule="auto"/>
        <w:jc w:val="left"/>
        <w:sectPr>
          <w:pgSz w:w="11910" w:h="16840"/>
          <w:pgMar w:header="851" w:footer="982" w:top="1200" w:bottom="1180" w:left="980" w:right="920"/>
        </w:sectPr>
      </w:pPr>
    </w:p>
    <w:p>
      <w:pPr>
        <w:pStyle w:val="BodyText"/>
        <w:spacing w:line="240" w:lineRule="auto" w:before="32"/>
        <w:ind w:right="0"/>
        <w:jc w:val="both"/>
      </w:pPr>
      <w:r>
        <w:rPr/>
        <w:pict>
          <v:group style="position:absolute;margin-left:55.200001pt;margin-top:2.943948pt;width:484.95pt;height:.1pt;mso-position-horizontal-relative:page;mso-position-vertical-relative:paragraph;z-index:-709432" coordorigin="1104,59" coordsize="9699,2">
            <v:shape style="position:absolute;left:1104;top:59;width:9699;height:2" coordorigin="1104,59" coordsize="9699,0" path="m1104,59l10802,59e" filled="false" stroked="true" strokeweight=".72pt" strokecolor="#000000">
              <v:path arrowok="t"/>
            </v:shape>
            <w10:wrap type="none"/>
          </v:group>
        </w:pict>
      </w:r>
      <w:r>
        <w:rPr/>
        <w:t>内的有关情况发表如下独立意见：</w:t>
      </w:r>
    </w:p>
    <w:p>
      <w:pPr>
        <w:spacing w:line="680" w:lineRule="atLeast" w:before="9"/>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（一）公司依法运作情况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报告期内，公司依照《公司法》和《公司章程》及有关政策法规规范运作，不存在违法违规经营。公</w:t>
      </w:r>
    </w:p>
    <w:p>
      <w:pPr>
        <w:pStyle w:val="BodyText"/>
        <w:spacing w:line="357" w:lineRule="auto" w:before="134"/>
        <w:ind w:right="209"/>
        <w:jc w:val="both"/>
      </w:pPr>
      <w:r>
        <w:rPr>
          <w:spacing w:val="-1"/>
        </w:rPr>
        <w:t>司进一步健全和完善了内部控制制度，各项决策程序合法，董事会运作规范、决策合理，认真执行股东大</w:t>
      </w:r>
      <w:r>
        <w:rPr>
          <w:spacing w:val="-86"/>
        </w:rPr>
        <w:t> </w:t>
      </w:r>
      <w:r>
        <w:rPr>
          <w:spacing w:val="-86"/>
        </w:rPr>
      </w:r>
      <w:r>
        <w:rPr>
          <w:spacing w:val="-1"/>
        </w:rPr>
        <w:t>会的各项决议。公司董事及高级管理人员在履行公司职务时遵守国家法律法规、公司章程和内部制度的规</w:t>
      </w:r>
      <w:r>
        <w:rPr>
          <w:spacing w:val="-81"/>
        </w:rPr>
        <w:t> </w:t>
      </w:r>
      <w:r>
        <w:rPr>
          <w:spacing w:val="-81"/>
        </w:rPr>
      </w:r>
      <w:r>
        <w:rPr/>
        <w:t>定，没有出现违反法律、法规、公司章程或损害公司利益的行为。</w:t>
      </w:r>
    </w:p>
    <w:p>
      <w:pPr>
        <w:spacing w:line="688" w:lineRule="exact" w:before="6"/>
        <w:ind w:left="574" w:right="0" w:hanging="8"/>
        <w:jc w:val="left"/>
        <w:rPr>
          <w:rFonts w:ascii="宋体" w:hAnsi="宋体" w:cs="宋体" w:eastAsia="宋体" w:hint="default"/>
          <w:sz w:val="21"/>
          <w:szCs w:val="21"/>
        </w:rPr>
      </w:pPr>
      <w:r>
        <w:rPr>
          <w:rFonts w:ascii="宋体" w:hAnsi="宋体" w:cs="宋体" w:eastAsia="宋体" w:hint="default"/>
          <w:b/>
          <w:bCs/>
          <w:sz w:val="21"/>
          <w:szCs w:val="21"/>
        </w:rPr>
        <w:t>（二）检查公司财务情况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报告期内，公司监事会对公司财务状况实施了有效的监督和检查，认为公司的财务体系完善、制度健</w:t>
      </w:r>
    </w:p>
    <w:p>
      <w:pPr>
        <w:pStyle w:val="BodyText"/>
        <w:spacing w:line="357" w:lineRule="auto" w:before="26"/>
        <w:ind w:right="188"/>
        <w:jc w:val="both"/>
      </w:pPr>
      <w:r>
        <w:rPr/>
        <w:t>全；财务状况良好，资产质量优良，收入、费用和利润的确认与计量真实准确；公司定期财务报告真实、 </w:t>
      </w:r>
      <w:r>
        <w:rPr>
          <w:spacing w:val="-1"/>
        </w:rPr>
        <w:t>客观、完整地反映了公司的财务状况、经营成果和现金流量情况，不存在虚假记载、误导性陈述或者重大</w:t>
      </w:r>
      <w:r>
        <w:rPr>
          <w:spacing w:val="-86"/>
        </w:rPr>
        <w:t> </w:t>
      </w:r>
      <w:r>
        <w:rPr>
          <w:spacing w:val="-86"/>
        </w:rPr>
      </w:r>
      <w:r>
        <w:rPr/>
        <w:t>遗漏。</w:t>
      </w:r>
    </w:p>
    <w:p>
      <w:pPr>
        <w:spacing w:line="688" w:lineRule="exact" w:before="6"/>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（三）募集资金的使用和管理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报告期内，公司严格按照《中小板上市公司募集资金管理细则》及公司《募集资金管理制度》管理和</w:t>
      </w:r>
    </w:p>
    <w:p>
      <w:pPr>
        <w:pStyle w:val="BodyText"/>
        <w:spacing w:line="355" w:lineRule="auto" w:before="26"/>
        <w:ind w:right="209"/>
        <w:jc w:val="both"/>
      </w:pPr>
      <w:r>
        <w:rPr/>
        <w:t>使用募集资金，公司董事会编制的《募集资金 2010</w:t>
      </w:r>
      <w:r>
        <w:rPr>
          <w:spacing w:val="-25"/>
        </w:rPr>
        <w:t> </w:t>
      </w:r>
      <w:r>
        <w:rPr/>
        <w:t>年度存放与使用情况的专项报告》及会计师事务所出</w:t>
      </w:r>
      <w:r>
        <w:rPr/>
        <w:t> </w:t>
      </w:r>
      <w:r>
        <w:rPr>
          <w:spacing w:val="-1"/>
        </w:rPr>
        <w:t>具的专项鉴证报告与公司募集资金的实际使用情况相符。募集资金的实际使用取向合法、合规，未发现违</w:t>
      </w:r>
      <w:r>
        <w:rPr>
          <w:spacing w:val="-83"/>
        </w:rPr>
        <w:t> </w:t>
      </w:r>
      <w:r>
        <w:rPr>
          <w:spacing w:val="-83"/>
        </w:rPr>
      </w:r>
      <w:r>
        <w:rPr/>
        <w:t>反法律、法规及损害股东利益的行为。</w:t>
      </w:r>
    </w:p>
    <w:p>
      <w:pPr>
        <w:pStyle w:val="BodyText"/>
        <w:spacing w:line="240" w:lineRule="auto" w:before="33"/>
        <w:ind w:left="574" w:right="0"/>
        <w:jc w:val="left"/>
      </w:pPr>
      <w:r>
        <w:rPr/>
        <w:t>截至报告期末，募集资金已全部使用完毕，其中，募集资金投资项目投入 </w:t>
      </w:r>
      <w:r>
        <w:rPr>
          <w:rFonts w:ascii="Times New Roman" w:hAnsi="Times New Roman" w:cs="Times New Roman" w:eastAsia="Times New Roman" w:hint="default"/>
        </w:rPr>
        <w:t>19,219.46</w:t>
      </w:r>
      <w:r>
        <w:rPr>
          <w:rFonts w:ascii="Times New Roman" w:hAnsi="Times New Roman" w:cs="Times New Roman" w:eastAsia="Times New Roman" w:hint="default"/>
          <w:spacing w:val="24"/>
        </w:rPr>
        <w:t> </w:t>
      </w:r>
      <w:r>
        <w:rPr/>
        <w:t>万元，节余募集</w:t>
      </w:r>
    </w:p>
    <w:p>
      <w:pPr>
        <w:pStyle w:val="BodyText"/>
        <w:spacing w:line="240" w:lineRule="auto" w:before="117"/>
        <w:ind w:left="153" w:right="0"/>
        <w:jc w:val="both"/>
      </w:pPr>
      <w:r>
        <w:rPr/>
        <w:t>资金永久补充流动资金</w:t>
      </w:r>
      <w:r>
        <w:rPr>
          <w:spacing w:val="-55"/>
        </w:rPr>
        <w:t> </w:t>
      </w:r>
      <w:r>
        <w:rPr>
          <w:rFonts w:ascii="Times New Roman" w:hAnsi="Times New Roman" w:cs="Times New Roman" w:eastAsia="Times New Roman" w:hint="default"/>
        </w:rPr>
        <w:t>1619.94</w:t>
      </w:r>
      <w:r>
        <w:rPr>
          <w:rFonts w:ascii="Times New Roman" w:hAnsi="Times New Roman" w:cs="Times New Roman" w:eastAsia="Times New Roman" w:hint="default"/>
          <w:spacing w:val="-1"/>
        </w:rPr>
        <w:t> </w:t>
      </w:r>
      <w:r>
        <w:rPr/>
        <w:t>万元，期末募集资金余额为</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p>
    <w:p>
      <w:pPr>
        <w:pStyle w:val="Heading3"/>
        <w:spacing w:line="688" w:lineRule="exact" w:before="94"/>
        <w:ind w:left="573" w:right="3738" w:hanging="8"/>
        <w:jc w:val="left"/>
        <w:rPr>
          <w:b w:val="0"/>
          <w:bCs w:val="0"/>
        </w:rPr>
      </w:pPr>
      <w:r>
        <w:rPr/>
        <w:t>（四）公司收购、出售资产的核查</w:t>
      </w:r>
      <w:r>
        <w:rPr>
          <w:w w:val="99"/>
        </w:rPr>
        <w:t> </w:t>
      </w:r>
      <w:r>
        <w:rPr>
          <w:w w:val="95"/>
        </w:rPr>
        <w:t>1、投资6000万元收购南京银石计算机系统有限公司100%的股权</w:t>
      </w:r>
      <w:r>
        <w:rPr>
          <w:b w:val="0"/>
          <w:bCs w:val="0"/>
        </w:rPr>
      </w:r>
    </w:p>
    <w:p>
      <w:pPr>
        <w:pStyle w:val="BodyText"/>
        <w:spacing w:line="240" w:lineRule="auto" w:before="25"/>
        <w:ind w:left="57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日，经公司第三届董事会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次临时会议审议通过，公司与赵乃珂、孙勇坚、</w:t>
      </w:r>
    </w:p>
    <w:p>
      <w:pPr>
        <w:pStyle w:val="BodyText"/>
        <w:spacing w:line="240" w:lineRule="auto" w:before="118"/>
        <w:ind w:left="153" w:right="0"/>
        <w:jc w:val="both"/>
      </w:pPr>
      <w:r>
        <w:rPr/>
        <w:t>张诗中、黄勇四名自然人于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日签署了《南京银石计算机系统有限公司（以下简称“南京银</w:t>
      </w:r>
    </w:p>
    <w:p>
      <w:pPr>
        <w:pStyle w:val="BodyText"/>
        <w:spacing w:line="338" w:lineRule="auto" w:before="117"/>
        <w:ind w:left="153" w:right="211"/>
        <w:jc w:val="both"/>
      </w:pPr>
      <w:r>
        <w:rPr>
          <w:spacing w:val="-15"/>
        </w:rPr>
        <w:t>石”）股权转让框架协议》，</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4"/>
        </w:rPr>
        <w:t> </w:t>
      </w:r>
      <w:r>
        <w:rPr>
          <w:spacing w:val="-6"/>
        </w:rPr>
        <w:t>日签署了《南京银石计算机系统有限公司股权转让协议》，以人</w:t>
      </w:r>
      <w:r>
        <w:rPr/>
        <w:t> 民币</w:t>
      </w:r>
      <w:r>
        <w:rPr>
          <w:spacing w:val="-5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万元收购赵乃珂、孙勇坚、张诗中、黄勇四名自然人持有的南京银石</w:t>
      </w:r>
      <w:r>
        <w:rPr>
          <w:spacing w:val="-55"/>
        </w:rPr>
        <w:t> </w:t>
      </w:r>
      <w:r>
        <w:rPr>
          <w:rFonts w:ascii="Times New Roman" w:hAnsi="Times New Roman" w:cs="Times New Roman" w:eastAsia="Times New Roman" w:hint="default"/>
        </w:rPr>
        <w:t>100%</w:t>
      </w:r>
      <w:r>
        <w:rPr/>
        <w:t>的股权。</w:t>
      </w:r>
    </w:p>
    <w:p>
      <w:pPr>
        <w:pStyle w:val="BodyText"/>
        <w:spacing w:line="336" w:lineRule="auto" w:before="22"/>
        <w:ind w:left="153" w:right="198" w:firstLine="420"/>
        <w:jc w:val="left"/>
      </w:pPr>
      <w:r>
        <w:rPr/>
        <w:t>截至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日，以上股权转让事宜已经完成工商变更登记，变更后企业法人营业执照注册号 为：</w:t>
      </w:r>
      <w:r>
        <w:rPr>
          <w:rFonts w:ascii="Times New Roman" w:hAnsi="Times New Roman" w:cs="Times New Roman" w:eastAsia="Times New Roman" w:hint="default"/>
        </w:rPr>
        <w:t>320103000123596</w:t>
      </w:r>
      <w:r>
        <w:rPr/>
        <w:t>，法定代表人为赖德源。</w:t>
      </w:r>
    </w:p>
    <w:p>
      <w:pPr>
        <w:pStyle w:val="BodyText"/>
        <w:spacing w:line="240" w:lineRule="auto" w:before="25"/>
        <w:ind w:left="573" w:right="0"/>
        <w:jc w:val="left"/>
      </w:pPr>
      <w:r>
        <w:rPr/>
        <w:t>详见公司于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日刊登</w:t>
      </w:r>
      <w:r>
        <w:rPr>
          <w:spacing w:val="-10"/>
        </w:rPr>
        <w:t>于</w:t>
      </w:r>
      <w:r>
        <w:rPr/>
        <w:t>《中国证券报</w:t>
      </w:r>
      <w:r>
        <w:rPr>
          <w:spacing w:val="-106"/>
        </w:rPr>
        <w:t>》</w:t>
      </w:r>
      <w:r>
        <w:rPr>
          <w:spacing w:val="-115"/>
        </w:rPr>
        <w:t>、</w:t>
      </w:r>
      <w:r>
        <w:rPr/>
        <w:t>《证券时报</w:t>
      </w:r>
      <w:r>
        <w:rPr>
          <w:spacing w:val="-10"/>
        </w:rPr>
        <w:t>》</w:t>
      </w:r>
      <w:r>
        <w:rPr/>
        <w:t>及巨潮资讯</w:t>
      </w:r>
      <w:r>
        <w:rPr>
          <w:spacing w:val="-10"/>
        </w:rPr>
        <w:t>网</w:t>
      </w:r>
      <w:r>
        <w:rPr/>
        <w:t>（</w:t>
      </w:r>
      <w:hyperlink r:id="rId11">
        <w:r>
          <w:rPr>
            <w:rFonts w:ascii="Times New Roman" w:hAnsi="Times New Roman" w:cs="Times New Roman" w:eastAsia="Times New Roman" w:hint="default"/>
            <w:spacing w:val="-1"/>
            <w:w w:val="99"/>
          </w:rPr>
          <w:t>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.cnin</w:t>
        </w:r>
        <w:r>
          <w:rPr>
            <w:rFonts w:ascii="Times New Roman" w:hAnsi="Times New Roman" w:cs="Times New Roman" w:eastAsia="Times New Roman" w:hint="default"/>
            <w:spacing w:val="-2"/>
            <w:w w:val="99"/>
          </w:rPr>
          <w:t>f</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hyperlink>
      <w:r>
        <w:rPr>
          <w:w w:val="99"/>
        </w:rPr>
        <w:t>）</w:t>
      </w:r>
      <w:r>
        <w:rPr/>
      </w:r>
    </w:p>
    <w:p>
      <w:pPr>
        <w:pStyle w:val="BodyText"/>
        <w:spacing w:line="240" w:lineRule="auto" w:before="117"/>
        <w:ind w:left="153" w:right="0"/>
        <w:jc w:val="both"/>
      </w:pPr>
      <w:r>
        <w:rPr/>
        <w:t>的《关于签署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的公告</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3</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日、</w:t>
      </w:r>
    </w:p>
    <w:p>
      <w:pPr>
        <w:pStyle w:val="BodyText"/>
        <w:spacing w:line="240" w:lineRule="auto" w:before="118"/>
        <w:ind w:left="153" w:right="0"/>
        <w:jc w:val="both"/>
      </w:pP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  </w:t>
      </w:r>
      <w:r>
        <w:rPr/>
        <w:t>日、</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2"/>
        </w:rPr>
        <w:t> </w:t>
      </w:r>
      <w:r>
        <w:rPr/>
        <w:t>日披露的《关于签署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进展公告》</w:t>
      </w:r>
    </w:p>
    <w:p>
      <w:pPr>
        <w:pStyle w:val="BodyText"/>
        <w:spacing w:line="240" w:lineRule="auto" w:before="117"/>
        <w:ind w:left="153" w:right="0"/>
        <w:jc w:val="both"/>
      </w:pPr>
      <w:r>
        <w:rPr>
          <w:spacing w:val="2"/>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0-3</w:t>
      </w:r>
      <w:r>
        <w:rPr>
          <w:rFonts w:ascii="Times New Roman" w:hAnsi="Times New Roman" w:cs="Times New Roman" w:eastAsia="Times New Roman" w:hint="default"/>
          <w:spacing w:val="2"/>
        </w:rPr>
        <w:t>4</w:t>
      </w:r>
      <w:r>
        <w:rPr>
          <w:spacing w:val="-103"/>
        </w:rPr>
        <w:t>）</w:t>
      </w:r>
      <w:r>
        <w:rPr>
          <w:spacing w:val="-104"/>
        </w:rPr>
        <w:t>、</w:t>
      </w:r>
      <w:r>
        <w:rPr>
          <w:spacing w:val="2"/>
        </w:rPr>
        <w:t>《关</w:t>
      </w:r>
      <w:r>
        <w:rPr>
          <w:spacing w:val="3"/>
        </w:rPr>
        <w:t>于</w:t>
      </w:r>
      <w:r>
        <w:rPr>
          <w:spacing w:val="2"/>
        </w:rPr>
        <w:t>签署</w:t>
      </w:r>
      <w:r>
        <w:rPr>
          <w:rFonts w:ascii="Times New Roman" w:hAnsi="Times New Roman" w:cs="Times New Roman" w:eastAsia="Times New Roman" w:hint="default"/>
          <w:spacing w:val="4"/>
        </w:rPr>
        <w:t>&lt;</w:t>
      </w:r>
      <w:r>
        <w:rPr>
          <w:spacing w:val="2"/>
        </w:rPr>
        <w:t>南京</w:t>
      </w:r>
      <w:r>
        <w:rPr>
          <w:spacing w:val="3"/>
        </w:rPr>
        <w:t>银</w:t>
      </w:r>
      <w:r>
        <w:rPr>
          <w:spacing w:val="2"/>
        </w:rPr>
        <w:t>石</w:t>
      </w:r>
      <w:r>
        <w:rPr>
          <w:spacing w:val="3"/>
        </w:rPr>
        <w:t>计</w:t>
      </w:r>
      <w:r>
        <w:rPr>
          <w:spacing w:val="2"/>
        </w:rPr>
        <w:t>算机</w:t>
      </w:r>
      <w:r>
        <w:rPr>
          <w:spacing w:val="3"/>
        </w:rPr>
        <w:t>系</w:t>
      </w:r>
      <w:r>
        <w:rPr>
          <w:spacing w:val="2"/>
        </w:rPr>
        <w:t>统</w:t>
      </w:r>
      <w:r>
        <w:rPr>
          <w:spacing w:val="3"/>
        </w:rPr>
        <w:t>有</w:t>
      </w:r>
      <w:r>
        <w:rPr>
          <w:spacing w:val="2"/>
        </w:rPr>
        <w:t>限公</w:t>
      </w:r>
      <w:r>
        <w:rPr>
          <w:spacing w:val="3"/>
        </w:rPr>
        <w:t>司</w:t>
      </w:r>
      <w:r>
        <w:rPr>
          <w:spacing w:val="2"/>
        </w:rPr>
        <w:t>股</w:t>
      </w:r>
      <w:r>
        <w:rPr>
          <w:spacing w:val="3"/>
        </w:rPr>
        <w:t>权</w:t>
      </w:r>
      <w:r>
        <w:rPr>
          <w:spacing w:val="2"/>
        </w:rPr>
        <w:t>转让</w:t>
      </w:r>
      <w:r>
        <w:rPr>
          <w:spacing w:val="3"/>
        </w:rPr>
        <w:t>框</w:t>
      </w:r>
      <w:r>
        <w:rPr>
          <w:spacing w:val="2"/>
        </w:rPr>
        <w:t>架</w:t>
      </w:r>
      <w:r>
        <w:rPr>
          <w:spacing w:val="3"/>
        </w:rPr>
        <w:t>协</w:t>
      </w:r>
      <w:r>
        <w:rPr>
          <w:spacing w:val="2"/>
        </w:rPr>
        <w:t>议</w:t>
      </w:r>
      <w:r>
        <w:rPr>
          <w:rFonts w:ascii="Times New Roman" w:hAnsi="Times New Roman" w:cs="Times New Roman" w:eastAsia="Times New Roman" w:hint="default"/>
          <w:spacing w:val="2"/>
        </w:rPr>
        <w:t>&gt;</w:t>
      </w:r>
      <w:r>
        <w:rPr>
          <w:spacing w:val="2"/>
        </w:rPr>
        <w:t>的</w:t>
      </w:r>
      <w:r>
        <w:rPr>
          <w:spacing w:val="3"/>
        </w:rPr>
        <w:t>进</w:t>
      </w:r>
      <w:r>
        <w:rPr>
          <w:spacing w:val="2"/>
        </w:rPr>
        <w:t>展</w:t>
      </w:r>
      <w:r>
        <w:rPr>
          <w:spacing w:val="3"/>
        </w:rPr>
        <w:t>补</w:t>
      </w:r>
      <w:r>
        <w:rPr>
          <w:spacing w:val="2"/>
        </w:rPr>
        <w:t>充公告</w:t>
      </w:r>
      <w:r>
        <w:rPr>
          <w:spacing w:val="-101"/>
        </w:rPr>
        <w:t>》</w:t>
      </w:r>
      <w:r>
        <w:rPr>
          <w:spacing w:val="2"/>
        </w:rPr>
        <w:t>（</w:t>
      </w:r>
      <w:r>
        <w:rPr>
          <w:rFonts w:ascii="Times New Roman" w:hAnsi="Times New Roman" w:cs="Times New Roman" w:eastAsia="Times New Roman" w:hint="default"/>
        </w:rPr>
        <w:t>2010-3</w:t>
      </w:r>
      <w:r>
        <w:rPr>
          <w:rFonts w:ascii="Times New Roman" w:hAnsi="Times New Roman" w:cs="Times New Roman" w:eastAsia="Times New Roman" w:hint="default"/>
          <w:spacing w:val="2"/>
        </w:rPr>
        <w:t>5</w:t>
      </w:r>
      <w:r>
        <w:rPr>
          <w:spacing w:val="-103"/>
        </w:rPr>
        <w:t>）</w:t>
      </w:r>
      <w:r>
        <w:rPr/>
        <w:t>、</w:t>
      </w:r>
    </w:p>
    <w:p>
      <w:pPr>
        <w:spacing w:after="0" w:line="240" w:lineRule="auto"/>
        <w:jc w:val="both"/>
        <w:sectPr>
          <w:pgSz w:w="11910" w:h="16840"/>
          <w:pgMar w:header="851" w:footer="982" w:top="1200" w:bottom="1180" w:left="980" w:right="920"/>
        </w:sectPr>
      </w:pPr>
    </w:p>
    <w:p>
      <w:pPr>
        <w:spacing w:line="336" w:lineRule="auto" w:before="32"/>
        <w:ind w:left="574" w:right="1909" w:hanging="421"/>
        <w:jc w:val="left"/>
        <w:rPr>
          <w:rFonts w:ascii="宋体" w:hAnsi="宋体" w:cs="宋体" w:eastAsia="宋体" w:hint="default"/>
          <w:sz w:val="21"/>
          <w:szCs w:val="21"/>
        </w:rPr>
      </w:pPr>
      <w:r>
        <w:rPr/>
        <w:pict>
          <v:group style="position:absolute;margin-left:55.200001pt;margin-top:2.943948pt;width:484.95pt;height:.1pt;mso-position-horizontal-relative:page;mso-position-vertical-relative:paragraph;z-index:-709408" coordorigin="1104,59" coordsize="9699,2">
            <v:shape style="position:absolute;left:1104;top:59;width:9699;height:2" coordorigin="1104,59" coordsize="9699,0" path="m1104,59l10802,59e" filled="false" stroked="true" strokeweight=".72pt" strokecolor="#000000">
              <v:path arrowok="t"/>
            </v:shape>
            <w10:wrap type="none"/>
          </v:group>
        </w:pict>
      </w:r>
      <w:r>
        <w:rPr>
          <w:rFonts w:ascii="宋体" w:hAnsi="宋体" w:cs="宋体" w:eastAsia="宋体" w:hint="default"/>
          <w:spacing w:val="-5"/>
          <w:sz w:val="21"/>
          <w:szCs w:val="21"/>
        </w:rPr>
        <w:t>《关于签署</w:t>
      </w:r>
      <w:r>
        <w:rPr>
          <w:rFonts w:ascii="Times New Roman" w:hAnsi="Times New Roman" w:cs="Times New Roman" w:eastAsia="Times New Roman" w:hint="default"/>
          <w:spacing w:val="-5"/>
          <w:sz w:val="21"/>
          <w:szCs w:val="21"/>
        </w:rPr>
        <w:t>&lt;</w:t>
      </w:r>
      <w:r>
        <w:rPr>
          <w:rFonts w:ascii="宋体" w:hAnsi="宋体" w:cs="宋体" w:eastAsia="宋体" w:hint="default"/>
          <w:spacing w:val="-5"/>
          <w:sz w:val="21"/>
          <w:szCs w:val="21"/>
        </w:rPr>
        <w:t>南京银石计算机系统有限公司股权转让框架协议</w:t>
      </w:r>
      <w:r>
        <w:rPr>
          <w:rFonts w:ascii="Times New Roman" w:hAnsi="Times New Roman" w:cs="Times New Roman" w:eastAsia="Times New Roman" w:hint="default"/>
          <w:spacing w:val="-5"/>
          <w:sz w:val="21"/>
          <w:szCs w:val="21"/>
        </w:rPr>
        <w:t>&gt;</w:t>
      </w:r>
      <w:r>
        <w:rPr>
          <w:rFonts w:ascii="宋体" w:hAnsi="宋体" w:cs="宋体" w:eastAsia="宋体" w:hint="default"/>
          <w:spacing w:val="-5"/>
          <w:sz w:val="21"/>
          <w:szCs w:val="21"/>
        </w:rPr>
        <w:t>进展公告》（</w:t>
      </w:r>
      <w:r>
        <w:rPr>
          <w:rFonts w:ascii="Times New Roman" w:hAnsi="Times New Roman" w:cs="Times New Roman" w:eastAsia="Times New Roman" w:hint="default"/>
          <w:spacing w:val="-5"/>
          <w:sz w:val="21"/>
          <w:szCs w:val="21"/>
        </w:rPr>
        <w:t>2010-36</w:t>
      </w:r>
      <w:r>
        <w:rPr>
          <w:rFonts w:ascii="宋体" w:hAnsi="宋体" w:cs="宋体" w:eastAsia="宋体" w:hint="default"/>
          <w:spacing w:val="-5"/>
          <w:sz w:val="21"/>
          <w:szCs w:val="21"/>
        </w:rPr>
        <w:t>）。</w:t>
      </w:r>
      <w:r>
        <w:rPr>
          <w:rFonts w:ascii="宋体" w:hAnsi="宋体" w:cs="宋体" w:eastAsia="宋体" w:hint="default"/>
          <w:sz w:val="21"/>
          <w:szCs w:val="21"/>
        </w:rPr>
        <w:t> </w:t>
      </w:r>
      <w:r>
        <w:rPr>
          <w:rFonts w:ascii="宋体" w:hAnsi="宋体" w:cs="宋体" w:eastAsia="宋体" w:hint="default"/>
          <w:b/>
          <w:bCs/>
          <w:sz w:val="21"/>
          <w:szCs w:val="21"/>
        </w:rPr>
        <w:t>2、投资1575万元收购迅付科技信息技术有限公司15%的股权</w:t>
      </w:r>
      <w:r>
        <w:rPr>
          <w:rFonts w:ascii="宋体" w:hAnsi="宋体" w:cs="宋体" w:eastAsia="宋体" w:hint="default"/>
          <w:sz w:val="21"/>
          <w:szCs w:val="21"/>
        </w:rPr>
      </w:r>
    </w:p>
    <w:p>
      <w:pPr>
        <w:pStyle w:val="BodyText"/>
        <w:spacing w:line="240" w:lineRule="auto" w:before="50"/>
        <w:ind w:left="574" w:right="0"/>
        <w:jc w:val="left"/>
      </w:pPr>
      <w:r>
        <w:rPr/>
        <w:t>2010</w:t>
      </w:r>
      <w:r>
        <w:rPr>
          <w:spacing w:val="-47"/>
        </w:rPr>
        <w:t> </w:t>
      </w:r>
      <w:r>
        <w:rPr/>
        <w:t>年</w:t>
      </w:r>
      <w:r>
        <w:rPr>
          <w:spacing w:val="-47"/>
        </w:rPr>
        <w:t> </w:t>
      </w:r>
      <w:r>
        <w:rPr/>
        <w:t>11</w:t>
      </w:r>
      <w:r>
        <w:rPr>
          <w:spacing w:val="-47"/>
        </w:rPr>
        <w:t> </w:t>
      </w:r>
      <w:r>
        <w:rPr/>
        <w:t>月</w:t>
      </w:r>
      <w:r>
        <w:rPr>
          <w:spacing w:val="-47"/>
        </w:rPr>
        <w:t> </w:t>
      </w:r>
      <w:r>
        <w:rPr/>
        <w:t>24</w:t>
      </w:r>
      <w:r>
        <w:rPr>
          <w:spacing w:val="-46"/>
        </w:rPr>
        <w:t> </w:t>
      </w:r>
      <w:r>
        <w:rPr>
          <w:spacing w:val="-3"/>
        </w:rPr>
        <w:t>日，公司与上海环迅电子商务有限公司（以下简称“上海环迅”）签署了股权转让协</w:t>
      </w:r>
    </w:p>
    <w:p>
      <w:pPr>
        <w:pStyle w:val="BodyText"/>
        <w:spacing w:line="240" w:lineRule="auto" w:before="133"/>
        <w:ind w:right="0"/>
        <w:jc w:val="left"/>
      </w:pPr>
      <w:r>
        <w:rPr/>
        <w:t>议，以</w:t>
      </w:r>
      <w:r>
        <w:rPr>
          <w:spacing w:val="-67"/>
        </w:rPr>
        <w:t> </w:t>
      </w:r>
      <w:r>
        <w:rPr/>
        <w:t>1,575</w:t>
      </w:r>
      <w:r>
        <w:rPr>
          <w:spacing w:val="-67"/>
        </w:rPr>
        <w:t> </w:t>
      </w:r>
      <w:r>
        <w:rPr/>
        <w:t>万元收购其所持有的迅付信息科技有限公司（以下简称“上海迅付”）15％的股权，公司本</w:t>
      </w:r>
    </w:p>
    <w:p>
      <w:pPr>
        <w:pStyle w:val="BodyText"/>
        <w:spacing w:line="240" w:lineRule="auto" w:before="134"/>
        <w:ind w:right="0"/>
        <w:jc w:val="left"/>
      </w:pPr>
      <w:r>
        <w:rPr/>
        <w:t>次对外投资使用的是公司自有资金，不构成关联交易及重大重组。该项投资经公司第四届董事会 2010</w:t>
      </w:r>
      <w:r>
        <w:rPr>
          <w:spacing w:val="-24"/>
        </w:rPr>
        <w:t> </w:t>
      </w:r>
      <w:r>
        <w:rPr/>
        <w:t>年</w:t>
      </w:r>
    </w:p>
    <w:p>
      <w:pPr>
        <w:pStyle w:val="BodyText"/>
        <w:spacing w:line="240" w:lineRule="auto" w:before="133"/>
        <w:ind w:right="0"/>
        <w:jc w:val="left"/>
      </w:pPr>
      <w:r>
        <w:rPr/>
        <w:t>第一次临时会议审议通过，详细内容查看公司</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t>日刊登于《中国证券报》、《证券时报》</w:t>
      </w:r>
    </w:p>
    <w:p>
      <w:pPr>
        <w:pStyle w:val="BodyText"/>
        <w:spacing w:line="355" w:lineRule="auto" w:before="118"/>
        <w:ind w:left="574" w:right="172" w:hanging="420"/>
        <w:jc w:val="left"/>
      </w:pPr>
      <w:r>
        <w:rPr>
          <w:spacing w:val="-1"/>
        </w:rPr>
        <w:t>及巨潮资讯网的《第四届董事会</w:t>
      </w:r>
      <w:r>
        <w:rPr>
          <w:spacing w:val="-51"/>
        </w:rPr>
        <w:t> </w:t>
      </w:r>
      <w:r>
        <w:rPr>
          <w:spacing w:val="-1"/>
        </w:rPr>
        <w:t>2010</w:t>
      </w:r>
      <w:r>
        <w:rPr>
          <w:spacing w:val="-50"/>
        </w:rPr>
        <w:t> </w:t>
      </w:r>
      <w:r>
        <w:rPr>
          <w:spacing w:val="-10"/>
        </w:rPr>
        <w:t>年第一次临时会议决议公告》（2010-51）。</w:t>
      </w:r>
      <w:r>
        <w:rPr/>
        <w:t> 报告期内，公司未发生其他收购、出售资产的事项。</w:t>
      </w:r>
    </w:p>
    <w:p>
      <w:pPr>
        <w:spacing w:line="240" w:lineRule="auto" w:before="12"/>
        <w:rPr>
          <w:rFonts w:ascii="宋体" w:hAnsi="宋体" w:cs="宋体" w:eastAsia="宋体" w:hint="default"/>
          <w:sz w:val="23"/>
          <w:szCs w:val="23"/>
        </w:rPr>
      </w:pPr>
    </w:p>
    <w:p>
      <w:pPr>
        <w:spacing w:line="600" w:lineRule="auto" w:before="0"/>
        <w:ind w:left="574" w:right="6200" w:hanging="8"/>
        <w:jc w:val="left"/>
        <w:rPr>
          <w:rFonts w:ascii="宋体" w:hAnsi="宋体" w:cs="宋体" w:eastAsia="宋体" w:hint="default"/>
          <w:sz w:val="21"/>
          <w:szCs w:val="21"/>
        </w:rPr>
      </w:pPr>
      <w:r>
        <w:rPr>
          <w:rFonts w:ascii="宋体" w:hAnsi="宋体" w:cs="宋体" w:eastAsia="宋体" w:hint="default"/>
          <w:b/>
          <w:bCs/>
          <w:sz w:val="21"/>
          <w:szCs w:val="21"/>
        </w:rPr>
        <w:t>（五）检查公司关联交易的情况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报告期内，公司未发生关联交易。</w:t>
      </w:r>
    </w:p>
    <w:p>
      <w:pPr>
        <w:spacing w:after="0" w:line="600" w:lineRule="auto"/>
        <w:jc w:val="left"/>
        <w:rPr>
          <w:rFonts w:ascii="宋体" w:hAnsi="宋体" w:cs="宋体" w:eastAsia="宋体" w:hint="default"/>
          <w:sz w:val="21"/>
          <w:szCs w:val="21"/>
        </w:rPr>
        <w:sectPr>
          <w:pgSz w:w="11910" w:h="16840"/>
          <w:pgMar w:header="851" w:footer="982" w:top="1200" w:bottom="1180" w:left="980" w:right="98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left="3479" w:right="3537"/>
        <w:jc w:val="center"/>
        <w:rPr>
          <w:b w:val="0"/>
          <w:bCs w:val="0"/>
        </w:rPr>
      </w:pPr>
      <w:bookmarkStart w:name="_bookmark8" w:id="9"/>
      <w:bookmarkEnd w:id="9"/>
      <w:r>
        <w:rPr>
          <w:b w:val="0"/>
          <w:bCs w:val="0"/>
        </w:rPr>
      </w:r>
      <w:r>
        <w:rPr/>
        <w:t>第九节</w:t>
      </w:r>
      <w:r>
        <w:rPr>
          <w:spacing w:val="-4"/>
        </w:rPr>
        <w:t> </w:t>
      </w:r>
      <w:r>
        <w:rPr/>
        <w:t>重要事项</w:t>
      </w:r>
      <w:r>
        <w:rPr>
          <w:b w:val="0"/>
          <w:bCs w:val="0"/>
        </w:rPr>
      </w:r>
    </w:p>
    <w:p>
      <w:pPr>
        <w:spacing w:line="240" w:lineRule="auto" w:before="12"/>
        <w:rPr>
          <w:rFonts w:ascii="宋体" w:hAnsi="宋体" w:cs="宋体" w:eastAsia="宋体" w:hint="default"/>
          <w:b/>
          <w:bCs/>
          <w:sz w:val="35"/>
          <w:szCs w:val="35"/>
        </w:rPr>
      </w:pPr>
    </w:p>
    <w:p>
      <w:pPr>
        <w:pStyle w:val="Heading3"/>
        <w:spacing w:line="600" w:lineRule="auto"/>
        <w:ind w:right="1007"/>
        <w:jc w:val="left"/>
        <w:rPr>
          <w:b w:val="0"/>
          <w:bCs w:val="0"/>
        </w:rPr>
      </w:pPr>
      <w:r>
        <w:rPr/>
        <w:t>一、报告期内，公司无重大诉讼、仲裁事项。</w:t>
      </w:r>
      <w:r>
        <w:rPr>
          <w:w w:val="99"/>
        </w:rPr>
        <w:t> </w:t>
      </w:r>
      <w:r>
        <w:rPr/>
        <w:t>二、报告期内，未发生破产重整等相关事项。</w:t>
      </w:r>
      <w:r>
        <w:rPr>
          <w:w w:val="99"/>
        </w:rPr>
        <w:t> </w:t>
      </w:r>
      <w:r>
        <w:rPr>
          <w:w w:val="95"/>
        </w:rPr>
        <w:t>三、报告期内，公司未参股商业银行、证券公司、保险公司、信托公司和期货公司等事项。</w:t>
      </w:r>
      <w:r>
        <w:rPr>
          <w:spacing w:val="96"/>
          <w:w w:val="95"/>
        </w:rPr>
        <w:t> </w:t>
      </w:r>
      <w:r>
        <w:rPr>
          <w:spacing w:val="96"/>
          <w:w w:val="95"/>
        </w:rPr>
      </w:r>
      <w:r>
        <w:rPr/>
        <w:t>四、报告期内，公司收购及出售资产、企业合并事项。</w:t>
      </w:r>
      <w:r>
        <w:rPr>
          <w:b w:val="0"/>
          <w:bCs w:val="0"/>
        </w:rPr>
      </w:r>
    </w:p>
    <w:p>
      <w:pPr>
        <w:pStyle w:val="Heading3"/>
        <w:spacing w:line="240" w:lineRule="auto" w:before="99"/>
        <w:ind w:left="574" w:right="0"/>
        <w:jc w:val="left"/>
        <w:rPr>
          <w:b w:val="0"/>
          <w:bCs w:val="0"/>
        </w:rPr>
      </w:pPr>
      <w:r>
        <w:rPr/>
        <w:t>（一）投资6000万元收购南京银石计算机系统有限公司100%的股权</w:t>
      </w:r>
      <w:r>
        <w:rPr>
          <w:b w:val="0"/>
          <w:bCs w:val="0"/>
        </w:rPr>
      </w:r>
    </w:p>
    <w:p>
      <w:pPr>
        <w:pStyle w:val="BodyText"/>
        <w:spacing w:line="240" w:lineRule="auto" w:before="133"/>
        <w:ind w:left="574"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日，经公司第三届董事会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次临时会议审议通过，公司与赵乃珂、孙勇坚、</w:t>
      </w:r>
    </w:p>
    <w:p>
      <w:pPr>
        <w:pStyle w:val="BodyText"/>
        <w:spacing w:line="240" w:lineRule="auto" w:before="117"/>
        <w:ind w:right="0"/>
        <w:jc w:val="left"/>
      </w:pPr>
      <w:r>
        <w:rPr/>
        <w:t>张诗中、黄勇四名自然人于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日签署了《南京银石计算机系统有限公司（以下简称“南京银</w:t>
      </w:r>
    </w:p>
    <w:p>
      <w:pPr>
        <w:pStyle w:val="BodyText"/>
        <w:spacing w:line="336" w:lineRule="auto" w:before="118"/>
        <w:ind w:left="153" w:right="0"/>
        <w:jc w:val="left"/>
      </w:pPr>
      <w:r>
        <w:rPr>
          <w:spacing w:val="-15"/>
        </w:rPr>
        <w:t>石”）股权转让框架协议》，</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4"/>
        </w:rPr>
        <w:t> </w:t>
      </w:r>
      <w:r>
        <w:rPr>
          <w:spacing w:val="-6"/>
        </w:rPr>
        <w:t>日签署了《南京银石计算机系统有限公司股权转让协议》，以人</w:t>
      </w:r>
      <w:r>
        <w:rPr/>
        <w:t> 民币</w:t>
      </w:r>
      <w:r>
        <w:rPr>
          <w:spacing w:val="-5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万元收购赵乃珂、孙勇坚、张诗中、黄勇四名自然人持有的南京银石</w:t>
      </w:r>
      <w:r>
        <w:rPr>
          <w:spacing w:val="-55"/>
        </w:rPr>
        <w:t> </w:t>
      </w:r>
      <w:r>
        <w:rPr>
          <w:rFonts w:ascii="Times New Roman" w:hAnsi="Times New Roman" w:cs="Times New Roman" w:eastAsia="Times New Roman" w:hint="default"/>
        </w:rPr>
        <w:t>100%</w:t>
      </w:r>
      <w:r>
        <w:rPr/>
        <w:t>的股权。</w:t>
      </w:r>
    </w:p>
    <w:p>
      <w:pPr>
        <w:pStyle w:val="BodyText"/>
        <w:spacing w:line="336" w:lineRule="auto" w:before="25"/>
        <w:ind w:left="153" w:right="198" w:firstLine="420"/>
        <w:jc w:val="left"/>
      </w:pPr>
      <w:r>
        <w:rPr/>
        <w:t>截至</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日，以上股权转让事宜已经完成工商变更登记，变更后企业法人营业执照注册号 为：</w:t>
      </w:r>
      <w:r>
        <w:rPr>
          <w:rFonts w:ascii="Times New Roman" w:hAnsi="Times New Roman" w:cs="Times New Roman" w:eastAsia="Times New Roman" w:hint="default"/>
        </w:rPr>
        <w:t>320103000123596</w:t>
      </w:r>
      <w:r>
        <w:rPr/>
        <w:t>，法定代表人为赖德源。</w:t>
      </w:r>
    </w:p>
    <w:p>
      <w:pPr>
        <w:pStyle w:val="BodyText"/>
        <w:spacing w:line="240" w:lineRule="auto" w:before="25"/>
        <w:ind w:left="573" w:right="0"/>
        <w:jc w:val="left"/>
      </w:pPr>
      <w:r>
        <w:rPr/>
        <w:t>详见公司于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日刊登</w:t>
      </w:r>
      <w:r>
        <w:rPr>
          <w:spacing w:val="-10"/>
        </w:rPr>
        <w:t>于</w:t>
      </w:r>
      <w:r>
        <w:rPr/>
        <w:t>《中国证券报</w:t>
      </w:r>
      <w:r>
        <w:rPr>
          <w:spacing w:val="-106"/>
        </w:rPr>
        <w:t>》</w:t>
      </w:r>
      <w:r>
        <w:rPr>
          <w:spacing w:val="-115"/>
        </w:rPr>
        <w:t>、</w:t>
      </w:r>
      <w:r>
        <w:rPr/>
        <w:t>《证券时报</w:t>
      </w:r>
      <w:r>
        <w:rPr>
          <w:spacing w:val="-10"/>
        </w:rPr>
        <w:t>》</w:t>
      </w:r>
      <w:r>
        <w:rPr/>
        <w:t>及巨潮资讯</w:t>
      </w:r>
      <w:r>
        <w:rPr>
          <w:spacing w:val="-10"/>
        </w:rPr>
        <w:t>网</w:t>
      </w:r>
      <w:r>
        <w:rPr/>
        <w:t>（</w:t>
      </w:r>
      <w:hyperlink r:id="rId11">
        <w:r>
          <w:rPr>
            <w:rFonts w:ascii="Times New Roman" w:hAnsi="Times New Roman" w:cs="Times New Roman" w:eastAsia="Times New Roman" w:hint="default"/>
            <w:spacing w:val="-1"/>
            <w:w w:val="99"/>
          </w:rPr>
          <w:t>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w w:val="99"/>
          </w:rPr>
          <w:t>.cnin</w:t>
        </w:r>
        <w:r>
          <w:rPr>
            <w:rFonts w:ascii="Times New Roman" w:hAnsi="Times New Roman" w:cs="Times New Roman" w:eastAsia="Times New Roman" w:hint="default"/>
            <w:spacing w:val="-2"/>
            <w:w w:val="99"/>
          </w:rPr>
          <w:t>f</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o</w:t>
        </w:r>
        <w:r>
          <w:rPr>
            <w:rFonts w:ascii="Times New Roman" w:hAnsi="Times New Roman" w:cs="Times New Roman" w:eastAsia="Times New Roman" w:hint="default"/>
            <w:spacing w:val="-3"/>
            <w:w w:val="99"/>
          </w:rPr>
          <w:t>m</w:t>
        </w:r>
        <w:r>
          <w:rPr>
            <w:rFonts w:ascii="Times New Roman" w:hAnsi="Times New Roman" w:cs="Times New Roman" w:eastAsia="Times New Roman" w:hint="default"/>
            <w:w w:val="99"/>
          </w:rPr>
          <w:t>.c</w:t>
        </w:r>
        <w:r>
          <w:rPr>
            <w:rFonts w:ascii="Times New Roman" w:hAnsi="Times New Roman" w:cs="Times New Roman" w:eastAsia="Times New Roman" w:hint="default"/>
            <w:spacing w:val="1"/>
            <w:w w:val="99"/>
          </w:rPr>
          <w:t>n</w:t>
        </w:r>
      </w:hyperlink>
      <w:r>
        <w:rPr>
          <w:w w:val="99"/>
        </w:rPr>
        <w:t>）</w:t>
      </w:r>
      <w:r>
        <w:rPr/>
      </w:r>
    </w:p>
    <w:p>
      <w:pPr>
        <w:pStyle w:val="BodyText"/>
        <w:spacing w:line="240" w:lineRule="auto" w:before="117"/>
        <w:ind w:left="153" w:right="0"/>
        <w:jc w:val="left"/>
      </w:pPr>
      <w:r>
        <w:rPr/>
        <w:t>的《关于签署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的公告</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3</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日、</w:t>
      </w:r>
    </w:p>
    <w:p>
      <w:pPr>
        <w:pStyle w:val="BodyText"/>
        <w:spacing w:line="240" w:lineRule="auto" w:before="117"/>
        <w:ind w:left="153" w:right="0"/>
        <w:jc w:val="left"/>
      </w:pP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  </w:t>
      </w:r>
      <w:r>
        <w:rPr/>
        <w:t>日、</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2"/>
        </w:rPr>
        <w:t> </w:t>
      </w:r>
      <w:r>
        <w:rPr/>
        <w:t>日披露的《关于签署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进展公告》</w:t>
      </w:r>
    </w:p>
    <w:p>
      <w:pPr>
        <w:pStyle w:val="BodyText"/>
        <w:spacing w:line="240" w:lineRule="auto" w:before="118"/>
        <w:ind w:left="153" w:right="0"/>
        <w:jc w:val="left"/>
      </w:pPr>
      <w:r>
        <w:rPr>
          <w:spacing w:val="2"/>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0-3</w:t>
      </w:r>
      <w:r>
        <w:rPr>
          <w:rFonts w:ascii="Times New Roman" w:hAnsi="Times New Roman" w:cs="Times New Roman" w:eastAsia="Times New Roman" w:hint="default"/>
          <w:spacing w:val="2"/>
        </w:rPr>
        <w:t>4</w:t>
      </w:r>
      <w:r>
        <w:rPr>
          <w:spacing w:val="-103"/>
        </w:rPr>
        <w:t>）</w:t>
      </w:r>
      <w:r>
        <w:rPr>
          <w:spacing w:val="-104"/>
        </w:rPr>
        <w:t>、</w:t>
      </w:r>
      <w:r>
        <w:rPr>
          <w:spacing w:val="2"/>
        </w:rPr>
        <w:t>《关</w:t>
      </w:r>
      <w:r>
        <w:rPr>
          <w:spacing w:val="3"/>
        </w:rPr>
        <w:t>于</w:t>
      </w:r>
      <w:r>
        <w:rPr>
          <w:spacing w:val="2"/>
        </w:rPr>
        <w:t>签署</w:t>
      </w:r>
      <w:r>
        <w:rPr>
          <w:rFonts w:ascii="Times New Roman" w:hAnsi="Times New Roman" w:cs="Times New Roman" w:eastAsia="Times New Roman" w:hint="default"/>
          <w:spacing w:val="4"/>
        </w:rPr>
        <w:t>&lt;</w:t>
      </w:r>
      <w:r>
        <w:rPr>
          <w:spacing w:val="2"/>
        </w:rPr>
        <w:t>南京</w:t>
      </w:r>
      <w:r>
        <w:rPr>
          <w:spacing w:val="3"/>
        </w:rPr>
        <w:t>银</w:t>
      </w:r>
      <w:r>
        <w:rPr>
          <w:spacing w:val="2"/>
        </w:rPr>
        <w:t>石</w:t>
      </w:r>
      <w:r>
        <w:rPr>
          <w:spacing w:val="3"/>
        </w:rPr>
        <w:t>计</w:t>
      </w:r>
      <w:r>
        <w:rPr>
          <w:spacing w:val="2"/>
        </w:rPr>
        <w:t>算机</w:t>
      </w:r>
      <w:r>
        <w:rPr>
          <w:spacing w:val="3"/>
        </w:rPr>
        <w:t>系</w:t>
      </w:r>
      <w:r>
        <w:rPr>
          <w:spacing w:val="2"/>
        </w:rPr>
        <w:t>统</w:t>
      </w:r>
      <w:r>
        <w:rPr>
          <w:spacing w:val="3"/>
        </w:rPr>
        <w:t>有</w:t>
      </w:r>
      <w:r>
        <w:rPr>
          <w:spacing w:val="2"/>
        </w:rPr>
        <w:t>限公</w:t>
      </w:r>
      <w:r>
        <w:rPr>
          <w:spacing w:val="3"/>
        </w:rPr>
        <w:t>司</w:t>
      </w:r>
      <w:r>
        <w:rPr>
          <w:spacing w:val="2"/>
        </w:rPr>
        <w:t>股</w:t>
      </w:r>
      <w:r>
        <w:rPr>
          <w:spacing w:val="3"/>
        </w:rPr>
        <w:t>权</w:t>
      </w:r>
      <w:r>
        <w:rPr>
          <w:spacing w:val="2"/>
        </w:rPr>
        <w:t>转让</w:t>
      </w:r>
      <w:r>
        <w:rPr>
          <w:spacing w:val="3"/>
        </w:rPr>
        <w:t>框</w:t>
      </w:r>
      <w:r>
        <w:rPr>
          <w:spacing w:val="2"/>
        </w:rPr>
        <w:t>架</w:t>
      </w:r>
      <w:r>
        <w:rPr>
          <w:spacing w:val="3"/>
        </w:rPr>
        <w:t>协</w:t>
      </w:r>
      <w:r>
        <w:rPr>
          <w:spacing w:val="2"/>
        </w:rPr>
        <w:t>议</w:t>
      </w:r>
      <w:r>
        <w:rPr>
          <w:rFonts w:ascii="Times New Roman" w:hAnsi="Times New Roman" w:cs="Times New Roman" w:eastAsia="Times New Roman" w:hint="default"/>
          <w:spacing w:val="2"/>
        </w:rPr>
        <w:t>&gt;</w:t>
      </w:r>
      <w:r>
        <w:rPr>
          <w:spacing w:val="2"/>
        </w:rPr>
        <w:t>的</w:t>
      </w:r>
      <w:r>
        <w:rPr>
          <w:spacing w:val="3"/>
        </w:rPr>
        <w:t>进</w:t>
      </w:r>
      <w:r>
        <w:rPr>
          <w:spacing w:val="2"/>
        </w:rPr>
        <w:t>展</w:t>
      </w:r>
      <w:r>
        <w:rPr>
          <w:spacing w:val="3"/>
        </w:rPr>
        <w:t>补</w:t>
      </w:r>
      <w:r>
        <w:rPr>
          <w:spacing w:val="2"/>
        </w:rPr>
        <w:t>充公告</w:t>
      </w:r>
      <w:r>
        <w:rPr>
          <w:spacing w:val="-101"/>
        </w:rPr>
        <w:t>》</w:t>
      </w:r>
      <w:r>
        <w:rPr>
          <w:spacing w:val="2"/>
        </w:rPr>
        <w:t>（</w:t>
      </w:r>
      <w:r>
        <w:rPr>
          <w:rFonts w:ascii="Times New Roman" w:hAnsi="Times New Roman" w:cs="Times New Roman" w:eastAsia="Times New Roman" w:hint="default"/>
        </w:rPr>
        <w:t>2010-3</w:t>
      </w:r>
      <w:r>
        <w:rPr>
          <w:rFonts w:ascii="Times New Roman" w:hAnsi="Times New Roman" w:cs="Times New Roman" w:eastAsia="Times New Roman" w:hint="default"/>
          <w:spacing w:val="2"/>
        </w:rPr>
        <w:t>5</w:t>
      </w:r>
      <w:r>
        <w:rPr>
          <w:spacing w:val="-103"/>
        </w:rPr>
        <w:t>）</w:t>
      </w:r>
      <w:r>
        <w:rPr/>
        <w:t>、</w:t>
      </w:r>
    </w:p>
    <w:p>
      <w:pPr>
        <w:pStyle w:val="BodyText"/>
        <w:spacing w:line="240" w:lineRule="auto" w:before="117"/>
        <w:ind w:left="153" w:right="0"/>
        <w:jc w:val="left"/>
      </w:pPr>
      <w:r>
        <w:rPr/>
        <w:t>《关于签署</w:t>
      </w:r>
      <w:r>
        <w:rPr>
          <w:rFonts w:ascii="Times New Roman" w:hAnsi="Times New Roman" w:cs="Times New Roman" w:eastAsia="Times New Roman" w:hint="default"/>
        </w:rPr>
        <w:t>&lt;</w:t>
      </w:r>
      <w:r>
        <w:rPr/>
        <w:t>南京银石计算机系统有限公司股权转让框架协议</w:t>
      </w:r>
      <w:r>
        <w:rPr>
          <w:rFonts w:ascii="Times New Roman" w:hAnsi="Times New Roman" w:cs="Times New Roman" w:eastAsia="Times New Roman" w:hint="default"/>
        </w:rPr>
        <w:t>&gt;</w:t>
      </w:r>
      <w:r>
        <w:rPr/>
        <w:t>进展公告</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spacing w:val="-106"/>
        </w:rPr>
        <w:t>）</w:t>
      </w:r>
      <w:r>
        <w:rPr/>
        <w:t>。</w:t>
      </w:r>
    </w:p>
    <w:p>
      <w:pPr>
        <w:pStyle w:val="Heading3"/>
        <w:spacing w:line="240" w:lineRule="auto" w:before="118"/>
        <w:ind w:left="573" w:right="0"/>
        <w:jc w:val="left"/>
        <w:rPr>
          <w:b w:val="0"/>
          <w:bCs w:val="0"/>
        </w:rPr>
      </w:pPr>
      <w:r>
        <w:rPr/>
        <w:t>（二）投资1575万元收购迅付科技信息技术有限公司15%的股权</w:t>
      </w:r>
      <w:r>
        <w:rPr>
          <w:b w:val="0"/>
          <w:bCs w:val="0"/>
        </w:rPr>
      </w:r>
    </w:p>
    <w:p>
      <w:pPr>
        <w:pStyle w:val="BodyText"/>
        <w:spacing w:line="240" w:lineRule="auto" w:before="133"/>
        <w:ind w:left="573" w:right="0"/>
        <w:jc w:val="left"/>
      </w:pPr>
      <w:r>
        <w:rPr/>
        <w:t>2010</w:t>
      </w:r>
      <w:r>
        <w:rPr>
          <w:spacing w:val="-47"/>
        </w:rPr>
        <w:t> </w:t>
      </w:r>
      <w:r>
        <w:rPr/>
        <w:t>年</w:t>
      </w:r>
      <w:r>
        <w:rPr>
          <w:spacing w:val="-47"/>
        </w:rPr>
        <w:t> </w:t>
      </w:r>
      <w:r>
        <w:rPr/>
        <w:t>11</w:t>
      </w:r>
      <w:r>
        <w:rPr>
          <w:spacing w:val="-47"/>
        </w:rPr>
        <w:t> </w:t>
      </w:r>
      <w:r>
        <w:rPr/>
        <w:t>月</w:t>
      </w:r>
      <w:r>
        <w:rPr>
          <w:spacing w:val="-47"/>
        </w:rPr>
        <w:t> </w:t>
      </w:r>
      <w:r>
        <w:rPr/>
        <w:t>24</w:t>
      </w:r>
      <w:r>
        <w:rPr>
          <w:spacing w:val="-46"/>
        </w:rPr>
        <w:t> </w:t>
      </w:r>
      <w:r>
        <w:rPr>
          <w:spacing w:val="-3"/>
        </w:rPr>
        <w:t>日，公司与上海环迅电子商务有限公司（以下简称“上海环迅”）签署了股权转让协</w:t>
      </w:r>
    </w:p>
    <w:p>
      <w:pPr>
        <w:pStyle w:val="BodyText"/>
        <w:spacing w:line="240" w:lineRule="auto" w:before="134"/>
        <w:ind w:left="153" w:right="0"/>
        <w:jc w:val="left"/>
      </w:pPr>
      <w:r>
        <w:rPr/>
        <w:t>议，以</w:t>
      </w:r>
      <w:r>
        <w:rPr>
          <w:spacing w:val="-67"/>
        </w:rPr>
        <w:t> </w:t>
      </w:r>
      <w:r>
        <w:rPr/>
        <w:t>1,575</w:t>
      </w:r>
      <w:r>
        <w:rPr>
          <w:spacing w:val="-67"/>
        </w:rPr>
        <w:t> </w:t>
      </w:r>
      <w:r>
        <w:rPr/>
        <w:t>万元收购其所持有的迅付信息科技有限公司（以下简称“上海迅付”）15％的股权，公司本</w:t>
      </w:r>
    </w:p>
    <w:p>
      <w:pPr>
        <w:pStyle w:val="BodyText"/>
        <w:spacing w:line="240" w:lineRule="auto" w:before="133"/>
        <w:ind w:left="153" w:right="0"/>
        <w:jc w:val="left"/>
      </w:pPr>
      <w:r>
        <w:rPr/>
        <w:t>次对外投资使用的是公司自有资金，不构成关联交易及重大重组。该项投资经公司第四届董事会 2010</w:t>
      </w:r>
      <w:r>
        <w:rPr>
          <w:spacing w:val="-24"/>
        </w:rPr>
        <w:t> </w:t>
      </w:r>
      <w:r>
        <w:rPr/>
        <w:t>年</w:t>
      </w:r>
    </w:p>
    <w:p>
      <w:pPr>
        <w:pStyle w:val="BodyText"/>
        <w:spacing w:line="240" w:lineRule="auto" w:before="133"/>
        <w:ind w:left="153" w:right="0"/>
        <w:jc w:val="left"/>
      </w:pPr>
      <w:r>
        <w:rPr/>
        <w:t>第一次临时会议审议通过，详细内容查看公司</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t>日刊登于《中国证券报》、《证券时报》</w:t>
      </w:r>
    </w:p>
    <w:p>
      <w:pPr>
        <w:pStyle w:val="BodyText"/>
        <w:spacing w:line="355" w:lineRule="auto" w:before="118"/>
        <w:ind w:left="573" w:right="0" w:hanging="420"/>
        <w:jc w:val="left"/>
      </w:pPr>
      <w:r>
        <w:rPr>
          <w:spacing w:val="-1"/>
        </w:rPr>
        <w:t>及巨潮资讯网的《第四届董事会</w:t>
      </w:r>
      <w:r>
        <w:rPr>
          <w:spacing w:val="-51"/>
        </w:rPr>
        <w:t> </w:t>
      </w:r>
      <w:r>
        <w:rPr>
          <w:spacing w:val="-1"/>
        </w:rPr>
        <w:t>2010</w:t>
      </w:r>
      <w:r>
        <w:rPr>
          <w:spacing w:val="-50"/>
        </w:rPr>
        <w:t> </w:t>
      </w:r>
      <w:r>
        <w:rPr>
          <w:spacing w:val="-10"/>
        </w:rPr>
        <w:t>年第一次临时会议决议公告》（2010-51）。</w:t>
      </w:r>
      <w:r>
        <w:rPr/>
        <w:t> 报告期内，公司未发生其他收购、出售资产的事项。</w:t>
      </w:r>
    </w:p>
    <w:p>
      <w:pPr>
        <w:spacing w:line="240" w:lineRule="auto" w:before="0"/>
        <w:rPr>
          <w:rFonts w:ascii="宋体" w:hAnsi="宋体" w:cs="宋体" w:eastAsia="宋体" w:hint="default"/>
          <w:sz w:val="24"/>
          <w:szCs w:val="24"/>
        </w:rPr>
      </w:pPr>
    </w:p>
    <w:p>
      <w:pPr>
        <w:pStyle w:val="Heading3"/>
        <w:spacing w:line="240" w:lineRule="auto"/>
        <w:ind w:left="573" w:right="0"/>
        <w:jc w:val="left"/>
        <w:rPr>
          <w:b w:val="0"/>
          <w:bCs w:val="0"/>
        </w:rPr>
      </w:pPr>
      <w:r>
        <w:rPr/>
        <w:t>五、股权激励计划实施情况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573" w:right="0"/>
        <w:jc w:val="left"/>
        <w:rPr>
          <w:b w:val="0"/>
          <w:bCs w:val="0"/>
        </w:rPr>
      </w:pPr>
      <w:r>
        <w:rPr/>
        <w:t>（一）股权激励计划概况</w:t>
      </w:r>
      <w:r>
        <w:rPr>
          <w:b w:val="0"/>
          <w:bCs w:val="0"/>
        </w:rPr>
      </w:r>
    </w:p>
    <w:p>
      <w:pPr>
        <w:pStyle w:val="BodyText"/>
        <w:spacing w:line="240" w:lineRule="auto" w:before="13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0"/>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w:t>
      </w:r>
      <w:r>
        <w:rPr>
          <w:spacing w:val="-105"/>
        </w:rPr>
        <w:t>，</w:t>
      </w:r>
      <w:r>
        <w:rPr/>
        <w:t>公司</w:t>
      </w:r>
      <w:r>
        <w:rPr>
          <w:spacing w:val="-2"/>
        </w:rPr>
        <w:t>第</w:t>
      </w:r>
      <w:r>
        <w:rPr/>
        <w:t>三届董事会</w:t>
      </w:r>
      <w:r>
        <w:rPr>
          <w:spacing w:val="-6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年第二</w:t>
      </w:r>
      <w:r>
        <w:rPr>
          <w:spacing w:val="-2"/>
        </w:rPr>
        <w:t>次</w:t>
      </w:r>
      <w:r>
        <w:rPr/>
        <w:t>临时会议审议通过</w:t>
      </w:r>
      <w:r>
        <w:rPr>
          <w:spacing w:val="-105"/>
        </w:rPr>
        <w:t>了</w:t>
      </w:r>
      <w:r>
        <w:rPr/>
        <w:t>《</w:t>
      </w:r>
      <w:r>
        <w:rPr>
          <w:spacing w:val="-2"/>
        </w:rPr>
        <w:t>股</w:t>
      </w:r>
      <w:r>
        <w:rPr/>
        <w:t>票期权激励计</w:t>
      </w:r>
      <w:r>
        <w:rPr>
          <w:spacing w:val="-105"/>
        </w:rPr>
        <w:t>划</w:t>
      </w:r>
      <w:r>
        <w:rPr/>
        <w:t>（草案</w:t>
      </w:r>
      <w:r>
        <w:rPr>
          <w:spacing w:val="-105"/>
        </w:rPr>
        <w:t>）》</w:t>
      </w:r>
      <w:r>
        <w:rPr/>
        <w:t>，</w:t>
      </w:r>
    </w:p>
    <w:p>
      <w:pPr>
        <w:pStyle w:val="BodyText"/>
        <w:spacing w:line="240" w:lineRule="auto" w:before="118"/>
        <w:ind w:left="15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3"/>
        </w:rPr>
        <w:t>日，公司第三届董事会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年第一次临时会议审议通过了《股票期权激励计划（草案）修</w:t>
      </w:r>
    </w:p>
    <w:p>
      <w:pPr>
        <w:pStyle w:val="BodyText"/>
        <w:spacing w:line="240" w:lineRule="auto" w:before="117"/>
        <w:ind w:left="153" w:right="0"/>
        <w:jc w:val="left"/>
      </w:pPr>
      <w:r>
        <w:rPr/>
        <w:t>订案</w:t>
      </w:r>
      <w:r>
        <w:rPr>
          <w:spacing w:val="-105"/>
        </w:rPr>
        <w:t>》</w:t>
      </w:r>
      <w:r>
        <w:rPr/>
        <w:t>，中</w:t>
      </w:r>
      <w:r>
        <w:rPr>
          <w:spacing w:val="-2"/>
        </w:rPr>
        <w:t>国</w:t>
      </w:r>
      <w:r>
        <w:rPr/>
        <w:t>证监会备案无异议后，经公司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年第一次临时股东大会审议通过实施。</w:t>
      </w:r>
    </w:p>
    <w:p>
      <w:pPr>
        <w:spacing w:after="0" w:line="240" w:lineRule="auto"/>
        <w:jc w:val="left"/>
        <w:sectPr>
          <w:pgSz w:w="11910" w:h="16840"/>
          <w:pgMar w:header="851" w:footer="982" w:top="1200" w:bottom="1180" w:left="980" w:right="920"/>
        </w:sectPr>
      </w:pPr>
    </w:p>
    <w:p>
      <w:pPr>
        <w:pStyle w:val="BodyText"/>
        <w:spacing w:line="240" w:lineRule="auto" w:before="32"/>
        <w:ind w:left="574" w:right="0"/>
        <w:jc w:val="left"/>
      </w:pPr>
      <w:r>
        <w:rPr/>
        <w:pict>
          <v:group style="position:absolute;margin-left:55.200001pt;margin-top:2.943948pt;width:484.95pt;height:.1pt;mso-position-horizontal-relative:page;mso-position-vertical-relative:paragraph;z-index:-709336" coordorigin="1104,59" coordsize="9699,2">
            <v:shape style="position:absolute;left:1104;top:59;width:9699;height:2" coordorigin="1104,59" coordsize="9699,0" path="m1104,59l10802,59e" filled="false" stroked="true" strokeweight=".72pt" strokecolor="#000000">
              <v:path arrowok="t"/>
            </v:shape>
            <w10:wrap type="none"/>
          </v:group>
        </w:pict>
      </w:r>
      <w:r>
        <w:rPr/>
        <w:t>根据公司股东大会的授权，2010</w:t>
      </w:r>
      <w:r>
        <w:rPr>
          <w:spacing w:val="-55"/>
        </w:rPr>
        <w:t> </w:t>
      </w:r>
      <w:r>
        <w:rPr/>
        <w:t>年</w:t>
      </w:r>
      <w:r>
        <w:rPr>
          <w:spacing w:val="-57"/>
        </w:rPr>
        <w:t> </w:t>
      </w:r>
      <w:r>
        <w:rPr/>
        <w:t>2</w:t>
      </w:r>
      <w:r>
        <w:rPr>
          <w:spacing w:val="-55"/>
        </w:rPr>
        <w:t> </w:t>
      </w:r>
      <w:r>
        <w:rPr/>
        <w:t>月</w:t>
      </w:r>
      <w:r>
        <w:rPr>
          <w:spacing w:val="-56"/>
        </w:rPr>
        <w:t> </w:t>
      </w:r>
      <w:r>
        <w:rPr/>
        <w:t>12</w:t>
      </w:r>
      <w:r>
        <w:rPr>
          <w:spacing w:val="-55"/>
        </w:rPr>
        <w:t> </w:t>
      </w:r>
      <w:r>
        <w:rPr/>
        <w:t>日，第三届董事会第十一次会议审议通过了《关于确定股</w:t>
      </w:r>
    </w:p>
    <w:p>
      <w:pPr>
        <w:pStyle w:val="BodyText"/>
        <w:spacing w:line="240" w:lineRule="auto" w:before="133"/>
        <w:ind w:right="0"/>
        <w:jc w:val="left"/>
      </w:pPr>
      <w:r>
        <w:rPr/>
        <w:t>票期权激励计划授予相关事项的议案</w:t>
      </w:r>
      <w:r>
        <w:rPr>
          <w:spacing w:val="-105"/>
        </w:rPr>
        <w:t>》</w:t>
      </w:r>
      <w:r>
        <w:rPr/>
        <w:t>，确定</w:t>
      </w:r>
      <w:r>
        <w:rPr>
          <w:spacing w:val="-2"/>
        </w:rPr>
        <w:t>公</w:t>
      </w:r>
      <w:r>
        <w:rPr/>
        <w:t>司股票期权激励计划授权日为</w:t>
      </w:r>
      <w:r>
        <w:rPr>
          <w:spacing w:val="-39"/>
        </w:rPr>
        <w:t> </w:t>
      </w:r>
      <w:r>
        <w:rPr/>
        <w:t>2010</w:t>
      </w:r>
      <w:r>
        <w:rPr>
          <w:spacing w:val="-40"/>
        </w:rPr>
        <w:t> </w:t>
      </w:r>
      <w:r>
        <w:rPr/>
        <w:t>年</w:t>
      </w:r>
      <w:r>
        <w:rPr>
          <w:spacing w:val="-39"/>
        </w:rPr>
        <w:t> </w:t>
      </w:r>
      <w:r>
        <w:rPr/>
        <w:t>2</w:t>
      </w:r>
      <w:r>
        <w:rPr>
          <w:spacing w:val="-39"/>
        </w:rPr>
        <w:t> </w:t>
      </w:r>
      <w:r>
        <w:rPr/>
        <w:t>月</w:t>
      </w:r>
      <w:r>
        <w:rPr>
          <w:spacing w:val="-39"/>
        </w:rPr>
        <w:t> </w:t>
      </w:r>
      <w:r>
        <w:rPr/>
        <w:t>12</w:t>
      </w:r>
      <w:r>
        <w:rPr>
          <w:spacing w:val="-39"/>
        </w:rPr>
        <w:t> </w:t>
      </w:r>
      <w:r>
        <w:rPr/>
        <w:t>日，授予股</w:t>
      </w:r>
    </w:p>
    <w:p>
      <w:pPr>
        <w:pStyle w:val="BodyText"/>
        <w:spacing w:line="240" w:lineRule="auto" w:before="134"/>
        <w:ind w:left="153" w:right="0"/>
        <w:jc w:val="left"/>
      </w:pPr>
      <w:r>
        <w:rPr/>
        <w:pict>
          <v:shape style="position:absolute;margin-left:103.32048pt;margin-top:29.57798pt;width:58.35pt;height:36.3pt;mso-position-horizontal-relative:page;mso-position-vertical-relative:paragraph;z-index:-709360" type="#_x0000_t202" filled="false" stroked="false">
            <v:textbox inset="0,0,0,0">
              <w:txbxContent>
                <w:p>
                  <w:pPr>
                    <w:spacing w:line="240" w:lineRule="auto" w:before="8"/>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号</w:t>
                  </w:r>
                  <w:r>
                    <w:rPr>
                      <w:rFonts w:ascii="宋体" w:hAnsi="宋体" w:cs="宋体" w:eastAsia="宋体" w:hint="default"/>
                      <w:b/>
                      <w:bCs/>
                      <w:spacing w:val="-28"/>
                      <w:sz w:val="21"/>
                      <w:szCs w:val="21"/>
                    </w:rPr>
                    <w:t> </w:t>
                  </w:r>
                  <w:r>
                    <w:rPr>
                      <w:rFonts w:ascii="宋体" w:hAnsi="宋体" w:cs="宋体" w:eastAsia="宋体" w:hint="default"/>
                      <w:sz w:val="21"/>
                      <w:szCs w:val="21"/>
                    </w:rPr>
                  </w:r>
                </w:p>
              </w:txbxContent>
            </v:textbox>
            <w10:wrap type="none"/>
          </v:shape>
        </w:pict>
      </w:r>
      <w:r>
        <w:rPr/>
        <w:t>票期权数量为</w:t>
      </w:r>
      <w:r>
        <w:rPr>
          <w:spacing w:val="-63"/>
        </w:rPr>
        <w:t> </w:t>
      </w:r>
      <w:r>
        <w:rPr/>
        <w:t>287.6</w:t>
      </w:r>
      <w:r>
        <w:rPr>
          <w:spacing w:val="-63"/>
        </w:rPr>
        <w:t> </w:t>
      </w:r>
      <w:r>
        <w:rPr/>
        <w:t>万份，约占现总股本的</w:t>
      </w:r>
      <w:r>
        <w:rPr>
          <w:spacing w:val="-63"/>
        </w:rPr>
        <w:t> </w:t>
      </w:r>
      <w:r>
        <w:rPr/>
        <w:t>1.2839%，授予股票期权的行权价格为</w:t>
      </w:r>
      <w:r>
        <w:rPr>
          <w:spacing w:val="-63"/>
        </w:rPr>
        <w:t> </w:t>
      </w:r>
      <w:r>
        <w:rPr/>
        <w:t>45</w:t>
      </w:r>
      <w:r>
        <w:rPr>
          <w:spacing w:val="-63"/>
        </w:rPr>
        <w:t> </w:t>
      </w:r>
      <w:r>
        <w:rPr/>
        <w:t>元，授予情况如下：</w:t>
      </w:r>
    </w:p>
    <w:p>
      <w:pPr>
        <w:spacing w:line="240" w:lineRule="auto" w:before="11"/>
        <w:rPr>
          <w:rFonts w:ascii="宋体" w:hAnsi="宋体" w:cs="宋体" w:eastAsia="宋体" w:hint="default"/>
          <w:sz w:val="12"/>
          <w:szCs w:val="12"/>
        </w:rPr>
      </w:pPr>
    </w:p>
    <w:tbl>
      <w:tblPr>
        <w:tblW w:w="0" w:type="auto"/>
        <w:jc w:val="left"/>
        <w:tblInd w:w="748" w:type="dxa"/>
        <w:tblLayout w:type="fixed"/>
        <w:tblCellMar>
          <w:top w:w="0" w:type="dxa"/>
          <w:left w:w="0" w:type="dxa"/>
          <w:bottom w:w="0" w:type="dxa"/>
          <w:right w:w="0" w:type="dxa"/>
        </w:tblCellMar>
        <w:tblLook w:val="01E0"/>
      </w:tblPr>
      <w:tblGrid>
        <w:gridCol w:w="545"/>
        <w:gridCol w:w="169"/>
        <w:gridCol w:w="791"/>
        <w:gridCol w:w="1440"/>
        <w:gridCol w:w="1921"/>
        <w:gridCol w:w="1649"/>
        <w:gridCol w:w="1920"/>
      </w:tblGrid>
      <w:tr>
        <w:trPr>
          <w:trHeight w:val="741" w:hRule="exact"/>
        </w:trPr>
        <w:tc>
          <w:tcPr>
            <w:tcW w:w="545"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b/>
                <w:bCs/>
                <w:w w:val="95"/>
                <w:sz w:val="21"/>
                <w:szCs w:val="21"/>
              </w:rPr>
              <w:t>序</w:t>
            </w:r>
            <w:r>
              <w:rPr>
                <w:rFonts w:ascii="宋体" w:hAnsi="宋体" w:cs="宋体" w:eastAsia="宋体" w:hint="default"/>
                <w:b/>
                <w:bCs/>
                <w:spacing w:val="-28"/>
                <w:sz w:val="21"/>
                <w:szCs w:val="21"/>
              </w:rPr>
              <w:t> </w:t>
            </w:r>
            <w:r>
              <w:rPr>
                <w:rFonts w:ascii="宋体" w:hAnsi="宋体" w:cs="宋体" w:eastAsia="宋体" w:hint="default"/>
                <w:sz w:val="21"/>
                <w:szCs w:val="21"/>
              </w:rPr>
            </w:r>
          </w:p>
        </w:tc>
        <w:tc>
          <w:tcPr>
            <w:tcW w:w="169" w:type="dxa"/>
            <w:tcBorders>
              <w:top w:val="single" w:sz="6" w:space="0" w:color="000000"/>
              <w:left w:val="single" w:sz="6" w:space="0" w:color="000000"/>
              <w:bottom w:val="single" w:sz="6" w:space="0" w:color="000000"/>
              <w:right w:val="nil" w:sz="6" w:space="0" w:color="auto"/>
            </w:tcBorders>
            <w:shd w:val="clear" w:color="auto" w:fill="DCDCDC"/>
          </w:tcPr>
          <w:p>
            <w:pPr/>
          </w:p>
        </w:tc>
        <w:tc>
          <w:tcPr>
            <w:tcW w:w="791" w:type="dxa"/>
            <w:tcBorders>
              <w:top w:val="single" w:sz="6" w:space="0" w:color="000000"/>
              <w:left w:val="nil" w:sz="6" w:space="0" w:color="auto"/>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44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92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7"/>
              <w:jc w:val="right"/>
              <w:rPr>
                <w:rFonts w:ascii="宋体" w:hAnsi="宋体" w:cs="宋体" w:eastAsia="宋体" w:hint="default"/>
                <w:sz w:val="21"/>
                <w:szCs w:val="21"/>
              </w:rPr>
            </w:pPr>
            <w:r>
              <w:rPr>
                <w:rFonts w:ascii="宋体" w:hAnsi="宋体" w:cs="宋体" w:eastAsia="宋体" w:hint="default"/>
                <w:b/>
                <w:bCs/>
                <w:spacing w:val="15"/>
                <w:w w:val="85"/>
                <w:sz w:val="21"/>
                <w:szCs w:val="21"/>
              </w:rPr>
              <w:t>股票期权数量（份）</w:t>
            </w:r>
            <w:r>
              <w:rPr>
                <w:rFonts w:ascii="宋体" w:hAnsi="宋体" w:cs="宋体" w:eastAsia="宋体" w:hint="default"/>
                <w:sz w:val="21"/>
                <w:szCs w:val="21"/>
              </w:rPr>
            </w:r>
          </w:p>
        </w:tc>
        <w:tc>
          <w:tcPr>
            <w:tcW w:w="1649"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9"/>
              <w:jc w:val="right"/>
              <w:rPr>
                <w:rFonts w:ascii="宋体" w:hAnsi="宋体" w:cs="宋体" w:eastAsia="宋体" w:hint="default"/>
                <w:sz w:val="21"/>
                <w:szCs w:val="21"/>
              </w:rPr>
            </w:pPr>
            <w:r>
              <w:rPr>
                <w:rFonts w:ascii="宋体" w:hAnsi="宋体" w:cs="宋体" w:eastAsia="宋体" w:hint="default"/>
                <w:b/>
                <w:bCs/>
                <w:spacing w:val="12"/>
                <w:w w:val="95"/>
                <w:sz w:val="21"/>
                <w:szCs w:val="21"/>
              </w:rPr>
              <w:t>占授予总量比例</w:t>
            </w:r>
            <w:r>
              <w:rPr>
                <w:rFonts w:ascii="宋体" w:hAnsi="宋体" w:cs="宋体" w:eastAsia="宋体" w:hint="default"/>
                <w:spacing w:val="12"/>
                <w:sz w:val="21"/>
                <w:szCs w:val="21"/>
              </w:rPr>
            </w:r>
          </w:p>
        </w:tc>
        <w:tc>
          <w:tcPr>
            <w:tcW w:w="192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b/>
                <w:bCs/>
                <w:spacing w:val="16"/>
                <w:w w:val="95"/>
                <w:sz w:val="21"/>
                <w:szCs w:val="21"/>
              </w:rPr>
              <w:t>占公司总股本比例</w:t>
            </w:r>
            <w:r>
              <w:rPr>
                <w:rFonts w:ascii="宋体" w:hAnsi="宋体" w:cs="宋体" w:eastAsia="宋体" w:hint="default"/>
                <w:spacing w:val="16"/>
                <w:sz w:val="21"/>
                <w:szCs w:val="21"/>
              </w:rPr>
            </w:r>
          </w:p>
        </w:tc>
      </w:tr>
      <w:tr>
        <w:trPr>
          <w:trHeight w:val="314"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212"/>
              <w:jc w:val="right"/>
              <w:rPr>
                <w:rFonts w:ascii="宋体" w:hAnsi="宋体" w:cs="宋体" w:eastAsia="宋体" w:hint="default"/>
                <w:sz w:val="21"/>
                <w:szCs w:val="21"/>
              </w:rPr>
            </w:pPr>
            <w:r>
              <w:rPr>
                <w:rFonts w:ascii="宋体"/>
                <w:sz w:val="21"/>
              </w:rPr>
              <w:t>1</w:t>
            </w:r>
          </w:p>
        </w:tc>
        <w:tc>
          <w:tcPr>
            <w:tcW w:w="960" w:type="dxa"/>
            <w:gridSpan w:val="2"/>
            <w:tcBorders>
              <w:top w:val="single" w:sz="6" w:space="0" w:color="000000"/>
              <w:left w:val="single" w:sz="6" w:space="0" w:color="000000"/>
              <w:bottom w:val="single" w:sz="6" w:space="0" w:color="000000"/>
              <w:right w:val="single" w:sz="6" w:space="0" w:color="000000"/>
            </w:tcBorders>
          </w:tcPr>
          <w:p>
            <w:pPr>
              <w:pStyle w:val="TableParagraph"/>
              <w:tabs>
                <w:tab w:pos="662" w:val="left" w:leader="none"/>
              </w:tabs>
              <w:spacing w:line="254" w:lineRule="exact"/>
              <w:ind w:left="242" w:right="0"/>
              <w:jc w:val="left"/>
              <w:rPr>
                <w:rFonts w:ascii="宋体" w:hAnsi="宋体" w:cs="宋体" w:eastAsia="宋体" w:hint="default"/>
                <w:sz w:val="21"/>
                <w:szCs w:val="21"/>
              </w:rPr>
            </w:pPr>
            <w:r>
              <w:rPr>
                <w:rFonts w:ascii="宋体" w:hAnsi="宋体" w:cs="宋体" w:eastAsia="宋体" w:hint="default"/>
                <w:sz w:val="21"/>
                <w:szCs w:val="21"/>
              </w:rPr>
              <w:t>郭</w:t>
              <w:tab/>
              <w:t>明</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3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0"/>
              <w:jc w:val="right"/>
              <w:rPr>
                <w:rFonts w:ascii="宋体" w:hAnsi="宋体" w:cs="宋体" w:eastAsia="宋体" w:hint="default"/>
                <w:sz w:val="21"/>
                <w:szCs w:val="21"/>
              </w:rPr>
            </w:pPr>
            <w:r>
              <w:rPr>
                <w:rFonts w:ascii="宋体"/>
                <w:spacing w:val="-1"/>
                <w:sz w:val="21"/>
              </w:rPr>
              <w:t>30,000</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2"/>
              <w:jc w:val="right"/>
              <w:rPr>
                <w:rFonts w:ascii="宋体" w:hAnsi="宋体" w:cs="宋体" w:eastAsia="宋体" w:hint="default"/>
                <w:sz w:val="21"/>
                <w:szCs w:val="21"/>
              </w:rPr>
            </w:pPr>
            <w:r>
              <w:rPr>
                <w:rFonts w:ascii="宋体"/>
                <w:spacing w:val="-1"/>
                <w:sz w:val="21"/>
              </w:rPr>
              <w:t>1.04%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0"/>
              <w:jc w:val="right"/>
              <w:rPr>
                <w:rFonts w:ascii="宋体" w:hAnsi="宋体" w:cs="宋体" w:eastAsia="宋体" w:hint="default"/>
                <w:sz w:val="21"/>
                <w:szCs w:val="21"/>
              </w:rPr>
            </w:pPr>
            <w:r>
              <w:rPr>
                <w:rFonts w:ascii="宋体"/>
                <w:spacing w:val="-1"/>
                <w:sz w:val="21"/>
              </w:rPr>
              <w:t>0.01%</w:t>
            </w:r>
          </w:p>
        </w:tc>
      </w:tr>
      <w:tr>
        <w:trPr>
          <w:trHeight w:val="322"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212"/>
              <w:jc w:val="right"/>
              <w:rPr>
                <w:rFonts w:ascii="宋体" w:hAnsi="宋体" w:cs="宋体" w:eastAsia="宋体" w:hint="default"/>
                <w:sz w:val="21"/>
                <w:szCs w:val="21"/>
              </w:rPr>
            </w:pPr>
            <w:r>
              <w:rPr>
                <w:rFonts w:ascii="宋体"/>
                <w:sz w:val="21"/>
              </w:rPr>
              <w:t>2</w:t>
            </w:r>
          </w:p>
        </w:tc>
        <w:tc>
          <w:tcPr>
            <w:tcW w:w="9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242" w:right="0"/>
              <w:jc w:val="left"/>
              <w:rPr>
                <w:rFonts w:ascii="宋体" w:hAnsi="宋体" w:cs="宋体" w:eastAsia="宋体" w:hint="default"/>
                <w:sz w:val="21"/>
                <w:szCs w:val="21"/>
              </w:rPr>
            </w:pPr>
            <w:r>
              <w:rPr>
                <w:rFonts w:ascii="宋体" w:hAnsi="宋体" w:cs="宋体" w:eastAsia="宋体" w:hint="default"/>
                <w:sz w:val="21"/>
                <w:szCs w:val="21"/>
              </w:rPr>
              <w:t>杨海颜</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32"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31"/>
              <w:jc w:val="right"/>
              <w:rPr>
                <w:rFonts w:ascii="宋体" w:hAnsi="宋体" w:cs="宋体" w:eastAsia="宋体" w:hint="default"/>
                <w:sz w:val="21"/>
                <w:szCs w:val="21"/>
              </w:rPr>
            </w:pPr>
            <w:r>
              <w:rPr>
                <w:rFonts w:ascii="宋体"/>
                <w:spacing w:val="-1"/>
                <w:sz w:val="21"/>
              </w:rPr>
              <w:t>1,100,000</w:t>
            </w:r>
            <w:r>
              <w:rPr>
                <w:rFonts w:ascii="宋体"/>
                <w:sz w:val="21"/>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32"/>
              <w:jc w:val="right"/>
              <w:rPr>
                <w:rFonts w:ascii="宋体" w:hAnsi="宋体" w:cs="宋体" w:eastAsia="宋体" w:hint="default"/>
                <w:sz w:val="21"/>
                <w:szCs w:val="21"/>
              </w:rPr>
            </w:pPr>
            <w:r>
              <w:rPr>
                <w:rFonts w:ascii="宋体"/>
                <w:spacing w:val="-1"/>
                <w:sz w:val="21"/>
              </w:rPr>
              <w:t>38.25%</w:t>
            </w:r>
            <w:r>
              <w:rPr>
                <w:rFonts w:ascii="宋体"/>
                <w:sz w:val="21"/>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31"/>
              <w:jc w:val="right"/>
              <w:rPr>
                <w:rFonts w:ascii="宋体" w:hAnsi="宋体" w:cs="宋体" w:eastAsia="宋体" w:hint="default"/>
                <w:sz w:val="21"/>
                <w:szCs w:val="21"/>
              </w:rPr>
            </w:pPr>
            <w:r>
              <w:rPr>
                <w:rFonts w:ascii="宋体"/>
                <w:spacing w:val="-1"/>
                <w:sz w:val="21"/>
              </w:rPr>
              <w:t>0.49%</w:t>
            </w:r>
            <w:r>
              <w:rPr>
                <w:rFonts w:ascii="宋体"/>
                <w:sz w:val="21"/>
              </w:rPr>
            </w:r>
          </w:p>
        </w:tc>
      </w:tr>
      <w:tr>
        <w:trPr>
          <w:trHeight w:val="314"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212"/>
              <w:jc w:val="right"/>
              <w:rPr>
                <w:rFonts w:ascii="宋体" w:hAnsi="宋体" w:cs="宋体" w:eastAsia="宋体" w:hint="default"/>
                <w:sz w:val="21"/>
                <w:szCs w:val="21"/>
              </w:rPr>
            </w:pPr>
            <w:r>
              <w:rPr>
                <w:rFonts w:ascii="宋体"/>
                <w:sz w:val="21"/>
              </w:rPr>
              <w:t>3</w:t>
            </w:r>
          </w:p>
        </w:tc>
        <w:tc>
          <w:tcPr>
            <w:tcW w:w="9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42" w:right="0"/>
              <w:jc w:val="left"/>
              <w:rPr>
                <w:rFonts w:ascii="宋体" w:hAnsi="宋体" w:cs="宋体" w:eastAsia="宋体" w:hint="default"/>
                <w:sz w:val="21"/>
                <w:szCs w:val="21"/>
              </w:rPr>
            </w:pPr>
            <w:r>
              <w:rPr>
                <w:rFonts w:ascii="宋体" w:hAnsi="宋体" w:cs="宋体" w:eastAsia="宋体" w:hint="default"/>
                <w:sz w:val="21"/>
                <w:szCs w:val="21"/>
              </w:rPr>
              <w:t>罗志明</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3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2"/>
              <w:jc w:val="right"/>
              <w:rPr>
                <w:rFonts w:ascii="宋体" w:hAnsi="宋体" w:cs="宋体" w:eastAsia="宋体" w:hint="default"/>
                <w:sz w:val="21"/>
                <w:szCs w:val="21"/>
              </w:rPr>
            </w:pPr>
            <w:r>
              <w:rPr>
                <w:rFonts w:ascii="宋体"/>
                <w:spacing w:val="-1"/>
                <w:sz w:val="21"/>
              </w:rPr>
              <w:t>140,000</w:t>
            </w:r>
            <w:r>
              <w:rPr>
                <w:rFonts w:ascii="宋体"/>
                <w:sz w:val="21"/>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1"/>
              <w:jc w:val="right"/>
              <w:rPr>
                <w:rFonts w:ascii="宋体" w:hAnsi="宋体" w:cs="宋体" w:eastAsia="宋体" w:hint="default"/>
                <w:sz w:val="21"/>
                <w:szCs w:val="21"/>
              </w:rPr>
            </w:pPr>
            <w:r>
              <w:rPr>
                <w:rFonts w:ascii="宋体"/>
                <w:spacing w:val="-1"/>
                <w:sz w:val="21"/>
              </w:rPr>
              <w:t>4.87%</w:t>
            </w:r>
            <w:r>
              <w:rPr>
                <w:rFonts w:ascii="宋体"/>
                <w:sz w:val="21"/>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2"/>
              <w:jc w:val="right"/>
              <w:rPr>
                <w:rFonts w:ascii="宋体" w:hAnsi="宋体" w:cs="宋体" w:eastAsia="宋体" w:hint="default"/>
                <w:sz w:val="21"/>
                <w:szCs w:val="21"/>
              </w:rPr>
            </w:pPr>
            <w:r>
              <w:rPr>
                <w:rFonts w:ascii="宋体"/>
                <w:spacing w:val="-1"/>
                <w:w w:val="95"/>
                <w:sz w:val="21"/>
              </w:rPr>
              <w:t>0.06%</w:t>
            </w:r>
            <w:r>
              <w:rPr>
                <w:rFonts w:ascii="宋体"/>
                <w:w w:val="95"/>
                <w:sz w:val="21"/>
              </w:rPr>
            </w:r>
          </w:p>
        </w:tc>
      </w:tr>
      <w:tr>
        <w:trPr>
          <w:trHeight w:val="316"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212"/>
              <w:jc w:val="right"/>
              <w:rPr>
                <w:rFonts w:ascii="宋体" w:hAnsi="宋体" w:cs="宋体" w:eastAsia="宋体" w:hint="default"/>
                <w:sz w:val="21"/>
                <w:szCs w:val="21"/>
              </w:rPr>
            </w:pPr>
            <w:r>
              <w:rPr>
                <w:rFonts w:ascii="宋体"/>
                <w:sz w:val="21"/>
              </w:rPr>
              <w:t>4</w:t>
            </w:r>
          </w:p>
        </w:tc>
        <w:tc>
          <w:tcPr>
            <w:tcW w:w="960" w:type="dxa"/>
            <w:gridSpan w:val="2"/>
            <w:tcBorders>
              <w:top w:val="single" w:sz="6" w:space="0" w:color="000000"/>
              <w:left w:val="single" w:sz="6" w:space="0" w:color="000000"/>
              <w:bottom w:val="single" w:sz="6" w:space="0" w:color="000000"/>
              <w:right w:val="single" w:sz="6" w:space="0" w:color="000000"/>
            </w:tcBorders>
          </w:tcPr>
          <w:p>
            <w:pPr>
              <w:pStyle w:val="TableParagraph"/>
              <w:tabs>
                <w:tab w:pos="662" w:val="left" w:leader="none"/>
              </w:tabs>
              <w:spacing w:line="254" w:lineRule="exact"/>
              <w:ind w:left="242" w:right="0"/>
              <w:jc w:val="left"/>
              <w:rPr>
                <w:rFonts w:ascii="宋体" w:hAnsi="宋体" w:cs="宋体" w:eastAsia="宋体" w:hint="default"/>
                <w:sz w:val="21"/>
                <w:szCs w:val="21"/>
              </w:rPr>
            </w:pPr>
            <w:r>
              <w:rPr>
                <w:rFonts w:ascii="宋体" w:hAnsi="宋体" w:cs="宋体" w:eastAsia="宋体" w:hint="default"/>
                <w:sz w:val="21"/>
                <w:szCs w:val="21"/>
              </w:rPr>
              <w:t>郭</w:t>
              <w:tab/>
              <w:t>洁</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3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1"/>
              <w:jc w:val="right"/>
              <w:rPr>
                <w:rFonts w:ascii="宋体" w:hAnsi="宋体" w:cs="宋体" w:eastAsia="宋体" w:hint="default"/>
                <w:sz w:val="21"/>
                <w:szCs w:val="21"/>
              </w:rPr>
            </w:pPr>
            <w:r>
              <w:rPr>
                <w:rFonts w:ascii="宋体"/>
                <w:spacing w:val="-1"/>
                <w:sz w:val="21"/>
              </w:rPr>
              <w:t>40,000</w:t>
            </w:r>
            <w:r>
              <w:rPr>
                <w:rFonts w:ascii="宋体"/>
                <w:sz w:val="21"/>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2"/>
              <w:jc w:val="right"/>
              <w:rPr>
                <w:rFonts w:ascii="宋体" w:hAnsi="宋体" w:cs="宋体" w:eastAsia="宋体" w:hint="default"/>
                <w:sz w:val="21"/>
                <w:szCs w:val="21"/>
              </w:rPr>
            </w:pPr>
            <w:r>
              <w:rPr>
                <w:rFonts w:ascii="宋体"/>
                <w:spacing w:val="-1"/>
                <w:w w:val="95"/>
                <w:sz w:val="21"/>
              </w:rPr>
              <w:t>1.39%</w:t>
            </w:r>
            <w:r>
              <w:rPr>
                <w:rFonts w:ascii="宋体"/>
                <w:w w:val="95"/>
                <w:sz w:val="21"/>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1"/>
              <w:jc w:val="right"/>
              <w:rPr>
                <w:rFonts w:ascii="宋体" w:hAnsi="宋体" w:cs="宋体" w:eastAsia="宋体" w:hint="default"/>
                <w:sz w:val="21"/>
                <w:szCs w:val="21"/>
              </w:rPr>
            </w:pPr>
            <w:r>
              <w:rPr>
                <w:rFonts w:ascii="宋体"/>
                <w:spacing w:val="-1"/>
                <w:sz w:val="21"/>
              </w:rPr>
              <w:t>0.02%</w:t>
            </w:r>
            <w:r>
              <w:rPr>
                <w:rFonts w:ascii="宋体"/>
                <w:sz w:val="21"/>
              </w:rPr>
            </w:r>
          </w:p>
        </w:tc>
      </w:tr>
      <w:tr>
        <w:trPr>
          <w:trHeight w:val="559" w:hRule="exact"/>
        </w:trPr>
        <w:tc>
          <w:tcPr>
            <w:tcW w:w="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2"/>
              <w:jc w:val="right"/>
              <w:rPr>
                <w:rFonts w:ascii="宋体" w:hAnsi="宋体" w:cs="宋体" w:eastAsia="宋体" w:hint="default"/>
                <w:sz w:val="21"/>
                <w:szCs w:val="21"/>
              </w:rPr>
            </w:pPr>
            <w:r>
              <w:rPr>
                <w:rFonts w:ascii="宋体"/>
                <w:sz w:val="21"/>
              </w:rPr>
              <w:t>5</w:t>
            </w:r>
          </w:p>
        </w:tc>
        <w:tc>
          <w:tcPr>
            <w:tcW w:w="24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2" w:right="0"/>
              <w:jc w:val="left"/>
              <w:rPr>
                <w:rFonts w:ascii="宋体" w:hAnsi="宋体" w:cs="宋体" w:eastAsia="宋体" w:hint="default"/>
                <w:sz w:val="21"/>
                <w:szCs w:val="21"/>
              </w:rPr>
            </w:pPr>
            <w:r>
              <w:rPr>
                <w:rFonts w:ascii="宋体" w:hAnsi="宋体" w:cs="宋体" w:eastAsia="宋体" w:hint="default"/>
                <w:sz w:val="21"/>
                <w:szCs w:val="21"/>
              </w:rPr>
              <w:t>中层管理人员及核心技术</w:t>
            </w:r>
          </w:p>
          <w:p>
            <w:pPr>
              <w:pStyle w:val="TableParagraph"/>
              <w:spacing w:line="274" w:lineRule="exact"/>
              <w:ind w:left="32" w:right="0"/>
              <w:jc w:val="left"/>
              <w:rPr>
                <w:rFonts w:ascii="宋体" w:hAnsi="宋体" w:cs="宋体" w:eastAsia="宋体" w:hint="default"/>
                <w:sz w:val="21"/>
                <w:szCs w:val="21"/>
              </w:rPr>
            </w:pPr>
            <w:r>
              <w:rPr>
                <w:rFonts w:ascii="宋体" w:hAnsi="宋体" w:cs="宋体" w:eastAsia="宋体" w:hint="default"/>
                <w:sz w:val="21"/>
                <w:szCs w:val="21"/>
              </w:rPr>
              <w:t>（业务）人员（共</w:t>
            </w:r>
            <w:r>
              <w:rPr>
                <w:rFonts w:ascii="宋体" w:hAnsi="宋体" w:cs="宋体" w:eastAsia="宋体" w:hint="default"/>
                <w:spacing w:val="-57"/>
                <w:sz w:val="21"/>
                <w:szCs w:val="21"/>
              </w:rPr>
              <w:t> </w:t>
            </w:r>
            <w:r>
              <w:rPr>
                <w:rFonts w:ascii="宋体" w:hAnsi="宋体" w:cs="宋体" w:eastAsia="宋体" w:hint="default"/>
                <w:sz w:val="21"/>
                <w:szCs w:val="21"/>
              </w:rPr>
              <w:t>86</w:t>
            </w:r>
            <w:r>
              <w:rPr>
                <w:rFonts w:ascii="宋体" w:hAnsi="宋体" w:cs="宋体" w:eastAsia="宋体" w:hint="default"/>
                <w:spacing w:val="-56"/>
                <w:sz w:val="21"/>
                <w:szCs w:val="21"/>
              </w:rPr>
              <w:t> </w:t>
            </w:r>
            <w:r>
              <w:rPr>
                <w:rFonts w:ascii="宋体" w:hAnsi="宋体" w:cs="宋体" w:eastAsia="宋体" w:hint="default"/>
                <w:sz w:val="21"/>
                <w:szCs w:val="21"/>
              </w:rPr>
              <w:t>人</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tabs>
                <w:tab w:pos="928" w:val="left" w:leader="none"/>
              </w:tabs>
              <w:spacing w:line="240" w:lineRule="auto" w:before="101"/>
              <w:ind w:left="-164" w:right="31"/>
              <w:jc w:val="righ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pacing w:val="-1"/>
                <w:sz w:val="21"/>
                <w:szCs w:val="21"/>
              </w:rPr>
              <w:t>1,566,000</w:t>
            </w:r>
            <w:r>
              <w:rPr>
                <w:rFonts w:ascii="宋体" w:hAnsi="宋体" w:cs="宋体" w:eastAsia="宋体" w:hint="default"/>
                <w:sz w:val="21"/>
                <w:szCs w:val="21"/>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宋体" w:hAnsi="宋体" w:cs="宋体" w:eastAsia="宋体" w:hint="default"/>
                <w:sz w:val="21"/>
                <w:szCs w:val="21"/>
              </w:rPr>
            </w:pPr>
            <w:r>
              <w:rPr>
                <w:rFonts w:ascii="宋体"/>
                <w:spacing w:val="-1"/>
                <w:sz w:val="21"/>
              </w:rPr>
              <w:t>54.45%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1"/>
              <w:jc w:val="right"/>
              <w:rPr>
                <w:rFonts w:ascii="宋体" w:hAnsi="宋体" w:cs="宋体" w:eastAsia="宋体" w:hint="default"/>
                <w:sz w:val="21"/>
                <w:szCs w:val="21"/>
              </w:rPr>
            </w:pPr>
            <w:r>
              <w:rPr>
                <w:rFonts w:ascii="宋体"/>
                <w:spacing w:val="-1"/>
                <w:sz w:val="21"/>
              </w:rPr>
              <w:t>0.6991%</w:t>
            </w:r>
            <w:r>
              <w:rPr>
                <w:rFonts w:ascii="宋体"/>
                <w:sz w:val="21"/>
              </w:rPr>
            </w:r>
          </w:p>
        </w:tc>
      </w:tr>
      <w:tr>
        <w:trPr>
          <w:trHeight w:val="316" w:hRule="exact"/>
        </w:trPr>
        <w:tc>
          <w:tcPr>
            <w:tcW w:w="29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0"/>
              <w:jc w:val="right"/>
              <w:rPr>
                <w:rFonts w:ascii="宋体" w:hAnsi="宋体" w:cs="宋体" w:eastAsia="宋体" w:hint="default"/>
                <w:sz w:val="21"/>
                <w:szCs w:val="21"/>
              </w:rPr>
            </w:pPr>
            <w:r>
              <w:rPr>
                <w:rFonts w:ascii="宋体"/>
                <w:spacing w:val="-1"/>
                <w:sz w:val="21"/>
              </w:rPr>
              <w:t>2,876,000</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0"/>
              <w:jc w:val="right"/>
              <w:rPr>
                <w:rFonts w:ascii="宋体" w:hAnsi="宋体" w:cs="宋体" w:eastAsia="宋体" w:hint="default"/>
                <w:sz w:val="21"/>
                <w:szCs w:val="21"/>
              </w:rPr>
            </w:pPr>
            <w:r>
              <w:rPr>
                <w:rFonts w:ascii="宋体"/>
                <w:spacing w:val="-1"/>
                <w:sz w:val="21"/>
              </w:rPr>
              <w:t>100%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0"/>
              <w:jc w:val="right"/>
              <w:rPr>
                <w:rFonts w:ascii="宋体" w:hAnsi="宋体" w:cs="宋体" w:eastAsia="宋体" w:hint="default"/>
                <w:sz w:val="21"/>
                <w:szCs w:val="21"/>
              </w:rPr>
            </w:pPr>
            <w:r>
              <w:rPr>
                <w:rFonts w:ascii="宋体"/>
                <w:spacing w:val="-1"/>
                <w:sz w:val="21"/>
              </w:rPr>
              <w:t>1.2839%</w:t>
            </w:r>
          </w:p>
        </w:tc>
      </w:tr>
    </w:tbl>
    <w:p>
      <w:pPr>
        <w:pStyle w:val="BodyText"/>
        <w:spacing w:line="257" w:lineRule="exact"/>
        <w:ind w:right="0" w:firstLine="411"/>
        <w:jc w:val="left"/>
      </w:pPr>
      <w:r>
        <w:rPr/>
        <w:t>根据公司</w:t>
      </w:r>
      <w:r>
        <w:rPr>
          <w:rFonts w:ascii="Times New Roman" w:hAnsi="Times New Roman" w:cs="Times New Roman" w:eastAsia="Times New Roman" w:hint="default"/>
        </w:rPr>
        <w:t>2010  </w:t>
      </w:r>
      <w:r>
        <w:rPr>
          <w:rFonts w:ascii="Times New Roman" w:hAnsi="Times New Roman" w:cs="Times New Roman" w:eastAsia="Times New Roman" w:hint="default"/>
          <w:spacing w:val="21"/>
        </w:rPr>
        <w:t> </w:t>
      </w:r>
      <w:r>
        <w:rPr/>
        <w:t>年第一次临时股东大会决议，股东大会授权董事会办理公司股票期权激励计划的相关</w:t>
      </w:r>
    </w:p>
    <w:p>
      <w:pPr>
        <w:pStyle w:val="BodyText"/>
        <w:spacing w:line="336" w:lineRule="auto" w:before="118"/>
        <w:ind w:right="208"/>
        <w:jc w:val="both"/>
      </w:pPr>
      <w:r>
        <w:rPr>
          <w:spacing w:val="-1"/>
        </w:rPr>
        <w:t>事宜，经深圳证券交易所审核无异议、中国证券登记结算有限责任公司深圳分公司审核确认，公司于</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日完成《北京中长石基信息技术股份有限公司股票期权激励计划》的股票期权登记工作，期权简</w:t>
      </w:r>
      <w:r>
        <w:rPr>
          <w:spacing w:val="-36"/>
        </w:rPr>
        <w:t> </w:t>
      </w:r>
      <w:r>
        <w:rPr>
          <w:spacing w:val="-36"/>
        </w:rPr>
      </w:r>
      <w:r>
        <w:rPr/>
        <w:t>称：石基</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037518</w:t>
      </w:r>
      <w:r>
        <w:rPr/>
        <w:t>。</w:t>
      </w:r>
    </w:p>
    <w:p>
      <w:pPr>
        <w:pStyle w:val="BodyText"/>
        <w:spacing w:line="357" w:lineRule="auto" w:before="25"/>
        <w:ind w:left="153" w:right="102" w:firstLine="411"/>
        <w:jc w:val="left"/>
      </w:pPr>
      <w:r>
        <w:rPr/>
        <w:t>报告期内，因公司于2010年5月25日实施完毕每10股派发现金红利3元（含税）的2009年度权益分派方 </w:t>
      </w:r>
      <w:r>
        <w:rPr>
          <w:spacing w:val="-3"/>
        </w:rPr>
        <w:t>案，根据公司《股票期权激励计划（草案）修订案》的有关规定，经第三届董事会第十三次会议审议通过，</w:t>
      </w:r>
      <w:r>
        <w:rPr>
          <w:spacing w:val="-94"/>
        </w:rPr>
        <w:t> </w:t>
      </w:r>
      <w:r>
        <w:rPr>
          <w:spacing w:val="-94"/>
        </w:rPr>
      </w:r>
      <w:r>
        <w:rPr/>
        <w:t>公司将股票期权激励计划中已授予但未行权的287.6万股股票期权的行权价格由45元调整为44.7元。</w:t>
      </w:r>
    </w:p>
    <w:p>
      <w:pPr>
        <w:spacing w:line="357" w:lineRule="auto" w:before="30"/>
        <w:ind w:left="573" w:right="0" w:hanging="8"/>
        <w:jc w:val="left"/>
        <w:rPr>
          <w:rFonts w:ascii="宋体" w:hAnsi="宋体" w:cs="宋体" w:eastAsia="宋体" w:hint="default"/>
          <w:sz w:val="21"/>
          <w:szCs w:val="21"/>
        </w:rPr>
      </w:pPr>
      <w:r>
        <w:rPr>
          <w:rFonts w:ascii="宋体" w:hAnsi="宋体" w:cs="宋体" w:eastAsia="宋体" w:hint="default"/>
          <w:b/>
          <w:bCs/>
          <w:sz w:val="21"/>
          <w:szCs w:val="21"/>
        </w:rPr>
        <w:t>（二）实施股权激励计划对公司财务状况和经营成果的影响</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报告期内，公司根据《企业会计准则－股份支付》的规定，在每个等待期的每个资产负债表日对公司</w:t>
      </w:r>
    </w:p>
    <w:p>
      <w:pPr>
        <w:pStyle w:val="BodyText"/>
        <w:spacing w:line="240" w:lineRule="auto" w:before="30"/>
        <w:ind w:left="153" w:right="0"/>
        <w:jc w:val="both"/>
      </w:pPr>
      <w:r>
        <w:rPr>
          <w:spacing w:val="-3"/>
        </w:rPr>
        <w:t>股权激励成本进行会计处理，按截止至</w:t>
      </w:r>
      <w:r>
        <w:rPr>
          <w:spacing w:val="-55"/>
        </w:rPr>
        <w:t> </w:t>
      </w:r>
      <w:r>
        <w:rPr/>
        <w:t>2010</w:t>
      </w:r>
      <w:r>
        <w:rPr>
          <w:spacing w:val="-54"/>
        </w:rPr>
        <w:t> </w:t>
      </w:r>
      <w:r>
        <w:rPr/>
        <w:t>年</w:t>
      </w:r>
      <w:r>
        <w:rPr>
          <w:spacing w:val="-56"/>
        </w:rPr>
        <w:t> </w:t>
      </w:r>
      <w:r>
        <w:rPr/>
        <w:t>12</w:t>
      </w:r>
      <w:r>
        <w:rPr>
          <w:spacing w:val="-55"/>
        </w:rPr>
        <w:t> </w:t>
      </w:r>
      <w:r>
        <w:rPr/>
        <w:t>月</w:t>
      </w:r>
      <w:r>
        <w:rPr>
          <w:spacing w:val="-55"/>
        </w:rPr>
        <w:t> </w:t>
      </w:r>
      <w:r>
        <w:rPr/>
        <w:t>31</w:t>
      </w:r>
      <w:r>
        <w:rPr>
          <w:spacing w:val="-54"/>
        </w:rPr>
        <w:t> </w:t>
      </w:r>
      <w:r>
        <w:rPr/>
        <w:t>日预计行权人数及数量计算</w:t>
      </w:r>
      <w:r>
        <w:rPr>
          <w:spacing w:val="-55"/>
        </w:rPr>
        <w:t> </w:t>
      </w:r>
      <w:r>
        <w:rPr/>
        <w:t>2010</w:t>
      </w:r>
      <w:r>
        <w:rPr>
          <w:spacing w:val="-54"/>
        </w:rPr>
        <w:t> </w:t>
      </w:r>
      <w:r>
        <w:rPr/>
        <w:t>年度股权激励成</w:t>
      </w:r>
    </w:p>
    <w:p>
      <w:pPr>
        <w:pStyle w:val="BodyText"/>
        <w:spacing w:line="240" w:lineRule="auto" w:before="133"/>
        <w:ind w:left="153" w:right="0"/>
        <w:jc w:val="both"/>
      </w:pPr>
      <w:r>
        <w:rPr/>
        <w:t>本为</w:t>
      </w:r>
      <w:r>
        <w:rPr>
          <w:spacing w:val="-73"/>
        </w:rPr>
        <w:t> </w:t>
      </w:r>
      <w:r>
        <w:rPr/>
        <w:t>7,602,355.17</w:t>
      </w:r>
      <w:r>
        <w:rPr>
          <w:spacing w:val="-73"/>
        </w:rPr>
        <w:t> </w:t>
      </w:r>
      <w:r>
        <w:rPr/>
        <w:t>元，该项费用计入报告期公司管理费用，同时增加资本公积。</w:t>
      </w:r>
    </w:p>
    <w:p>
      <w:pPr>
        <w:spacing w:line="355" w:lineRule="auto" w:before="134"/>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（三）股权激励行权情况</w:t>
      </w:r>
      <w:r>
        <w:rPr>
          <w:rFonts w:ascii="宋体" w:hAnsi="宋体" w:cs="宋体" w:eastAsia="宋体" w:hint="default"/>
          <w:b/>
          <w:bCs/>
          <w:w w:val="99"/>
          <w:sz w:val="21"/>
          <w:szCs w:val="21"/>
        </w:rPr>
        <w:t> </w:t>
      </w:r>
      <w:r>
        <w:rPr>
          <w:rFonts w:ascii="宋体" w:hAnsi="宋体" w:cs="宋体" w:eastAsia="宋体" w:hint="default"/>
          <w:spacing w:val="-1"/>
          <w:sz w:val="21"/>
          <w:szCs w:val="21"/>
        </w:rPr>
        <w:t>根据公司《股票期权激励方案（草案）修订案》的规定，在满足行权条件的情况下，公司本次股票期</w:t>
      </w:r>
    </w:p>
    <w:p>
      <w:pPr>
        <w:pStyle w:val="BodyText"/>
        <w:spacing w:line="355" w:lineRule="auto" w:before="33"/>
        <w:ind w:left="573" w:right="0" w:hanging="420"/>
        <w:jc w:val="left"/>
      </w:pPr>
      <w:r>
        <w:rPr/>
        <w:t>权激励计划将于</w:t>
      </w:r>
      <w:r>
        <w:rPr>
          <w:spacing w:val="-56"/>
        </w:rPr>
        <w:t> </w:t>
      </w:r>
      <w:r>
        <w:rPr/>
        <w:t>2011</w:t>
      </w:r>
      <w:r>
        <w:rPr>
          <w:spacing w:val="-55"/>
        </w:rPr>
        <w:t> </w:t>
      </w:r>
      <w:r>
        <w:rPr/>
        <w:t>年</w:t>
      </w:r>
      <w:r>
        <w:rPr>
          <w:spacing w:val="-57"/>
        </w:rPr>
        <w:t> </w:t>
      </w:r>
      <w:r>
        <w:rPr/>
        <w:t>2</w:t>
      </w:r>
      <w:r>
        <w:rPr>
          <w:spacing w:val="-55"/>
        </w:rPr>
        <w:t> </w:t>
      </w:r>
      <w:r>
        <w:rPr/>
        <w:t>月</w:t>
      </w:r>
      <w:r>
        <w:rPr>
          <w:spacing w:val="-57"/>
        </w:rPr>
        <w:t> </w:t>
      </w:r>
      <w:r>
        <w:rPr/>
        <w:t>13</w:t>
      </w:r>
      <w:r>
        <w:rPr>
          <w:spacing w:val="-55"/>
        </w:rPr>
        <w:t> </w:t>
      </w:r>
      <w:r>
        <w:rPr/>
        <w:t>日进入第一期行权期，激励对象可选择</w:t>
      </w:r>
      <w:r>
        <w:rPr>
          <w:spacing w:val="-56"/>
        </w:rPr>
        <w:t> </w:t>
      </w:r>
      <w:r>
        <w:rPr/>
        <w:t>2012</w:t>
      </w:r>
      <w:r>
        <w:rPr>
          <w:spacing w:val="-55"/>
        </w:rPr>
        <w:t> </w:t>
      </w:r>
      <w:r>
        <w:rPr/>
        <w:t>年</w:t>
      </w:r>
      <w:r>
        <w:rPr>
          <w:spacing w:val="-57"/>
        </w:rPr>
        <w:t> </w:t>
      </w:r>
      <w:r>
        <w:rPr/>
        <w:t>2</w:t>
      </w:r>
      <w:r>
        <w:rPr>
          <w:spacing w:val="-55"/>
        </w:rPr>
        <w:t> </w:t>
      </w:r>
      <w:r>
        <w:rPr/>
        <w:t>月</w:t>
      </w:r>
      <w:r>
        <w:rPr>
          <w:spacing w:val="-57"/>
        </w:rPr>
        <w:t> </w:t>
      </w:r>
      <w:r>
        <w:rPr/>
        <w:t>12</w:t>
      </w:r>
      <w:r>
        <w:rPr>
          <w:spacing w:val="-55"/>
        </w:rPr>
        <w:t> </w:t>
      </w:r>
      <w:r>
        <w:rPr/>
        <w:t>日前行权。</w:t>
      </w:r>
      <w:r>
        <w:rPr>
          <w:spacing w:val="-1"/>
        </w:rPr>
        <w:t> </w:t>
      </w:r>
      <w:r>
        <w:rPr/>
        <w:t>截止本报告出具日，没有激励对象行权。</w:t>
      </w:r>
    </w:p>
    <w:p>
      <w:pPr>
        <w:spacing w:line="240" w:lineRule="auto" w:before="0"/>
        <w:rPr>
          <w:rFonts w:ascii="宋体" w:hAnsi="宋体" w:cs="宋体" w:eastAsia="宋体" w:hint="default"/>
          <w:sz w:val="24"/>
          <w:szCs w:val="24"/>
        </w:rPr>
      </w:pPr>
    </w:p>
    <w:p>
      <w:pPr>
        <w:pStyle w:val="Heading3"/>
        <w:spacing w:line="240" w:lineRule="auto"/>
        <w:ind w:left="573" w:right="0"/>
        <w:jc w:val="left"/>
        <w:rPr>
          <w:b w:val="0"/>
          <w:bCs w:val="0"/>
        </w:rPr>
      </w:pPr>
      <w:r>
        <w:rPr/>
        <w:t>六、重大关联交易事项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573" w:right="0"/>
        <w:jc w:val="left"/>
        <w:rPr>
          <w:b w:val="0"/>
          <w:bCs w:val="0"/>
        </w:rPr>
      </w:pPr>
      <w:r>
        <w:rPr/>
        <w:t>（一）报告期内，公司未发生与日常经营相关的关联交易事项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0"/>
        <w:jc w:val="left"/>
        <w:rPr>
          <w:b w:val="0"/>
          <w:bCs w:val="0"/>
        </w:rPr>
      </w:pPr>
      <w:r>
        <w:rPr/>
        <w:t>（二）报告期内，公司无资产收购、出售发生的关联交易事项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0"/>
        <w:jc w:val="left"/>
        <w:rPr>
          <w:b w:val="0"/>
          <w:bCs w:val="0"/>
        </w:rPr>
      </w:pPr>
      <w:r>
        <w:rPr/>
        <w:t>（三）报告期内，公司无与关联方共同投资发生的关联交易事项</w:t>
      </w:r>
      <w:r>
        <w:rPr>
          <w:b w:val="0"/>
          <w:bCs w:val="0"/>
        </w:rPr>
      </w:r>
    </w:p>
    <w:p>
      <w:pPr>
        <w:spacing w:line="240" w:lineRule="auto" w:before="4"/>
        <w:rPr>
          <w:rFonts w:ascii="宋体" w:hAnsi="宋体" w:cs="宋体" w:eastAsia="宋体" w:hint="default"/>
          <w:b/>
          <w:bCs/>
          <w:sz w:val="21"/>
          <w:szCs w:val="21"/>
        </w:rPr>
      </w:pPr>
    </w:p>
    <w:p>
      <w:pPr>
        <w:pStyle w:val="Heading3"/>
        <w:spacing w:line="240" w:lineRule="auto"/>
        <w:ind w:left="573" w:right="0"/>
        <w:jc w:val="left"/>
        <w:rPr>
          <w:b w:val="0"/>
          <w:bCs w:val="0"/>
        </w:rPr>
      </w:pPr>
      <w:r>
        <w:rPr/>
        <w:t>（四）报告期内，公司与关联方债权债务往来、担保事项</w:t>
      </w:r>
      <w:r>
        <w:rPr>
          <w:b w:val="0"/>
          <w:bCs w:val="0"/>
        </w:rPr>
      </w:r>
    </w:p>
    <w:p>
      <w:pPr>
        <w:spacing w:line="240" w:lineRule="auto" w:before="2"/>
        <w:rPr>
          <w:rFonts w:ascii="宋体" w:hAnsi="宋体" w:cs="宋体" w:eastAsia="宋体" w:hint="default"/>
          <w:b/>
          <w:bCs/>
          <w:sz w:val="21"/>
          <w:szCs w:val="21"/>
        </w:rPr>
      </w:pPr>
    </w:p>
    <w:p>
      <w:pPr>
        <w:pStyle w:val="BodyText"/>
        <w:spacing w:line="336" w:lineRule="auto"/>
        <w:ind w:left="573" w:right="0" w:firstLine="105"/>
        <w:jc w:val="left"/>
      </w:pPr>
      <w:r>
        <w:rPr>
          <w:rFonts w:ascii="Times New Roman" w:hAnsi="Times New Roman" w:cs="Times New Roman" w:eastAsia="Times New Roman" w:hint="default"/>
        </w:rPr>
        <w:t>1</w:t>
      </w:r>
      <w:r>
        <w:rPr/>
        <w:t>、注册会计师对本公司控股股东及其他关联方占用资金情况的专项说明 </w:t>
      </w:r>
      <w:r>
        <w:rPr>
          <w:spacing w:val="-1"/>
        </w:rPr>
        <w:t>我们接受委托，依据《中国注册会计师审计准则》审计了北京中长石基信息技术股份有限公司（以下</w:t>
      </w:r>
    </w:p>
    <w:p>
      <w:pPr>
        <w:spacing w:after="0" w:line="336" w:lineRule="auto"/>
        <w:jc w:val="left"/>
        <w:sectPr>
          <w:pgSz w:w="11910" w:h="16840"/>
          <w:pgMar w:header="851" w:footer="982" w:top="1200" w:bottom="1180" w:left="980" w:right="920"/>
        </w:sectPr>
      </w:pPr>
    </w:p>
    <w:p>
      <w:pPr>
        <w:pStyle w:val="BodyText"/>
        <w:spacing w:line="357" w:lineRule="auto" w:before="32"/>
        <w:ind w:right="149"/>
        <w:jc w:val="both"/>
      </w:pPr>
      <w:r>
        <w:rPr/>
        <w:pict>
          <v:group style="position:absolute;margin-left:55.200001pt;margin-top:2.943948pt;width:484.95pt;height:.1pt;mso-position-horizontal-relative:page;mso-position-vertical-relative:paragraph;z-index:-709312" coordorigin="1104,59" coordsize="9699,2">
            <v:shape style="position:absolute;left:1104;top:59;width:9699;height:2" coordorigin="1104,59" coordsize="9699,0" path="m1104,59l10802,59e" filled="false" stroked="true" strokeweight=".72pt" strokecolor="#000000">
              <v:path arrowok="t"/>
            </v:shape>
            <w10:wrap type="none"/>
          </v:group>
        </w:pict>
      </w:r>
      <w:r>
        <w:rPr>
          <w:spacing w:val="-10"/>
        </w:rPr>
        <w:t>简称“石基信息”）2010</w:t>
      </w:r>
      <w:r>
        <w:rPr>
          <w:spacing w:val="-49"/>
        </w:rPr>
        <w:t> </w:t>
      </w:r>
      <w:r>
        <w:rPr/>
        <w:t>年</w:t>
      </w:r>
      <w:r>
        <w:rPr>
          <w:spacing w:val="-49"/>
        </w:rPr>
        <w:t> </w:t>
      </w:r>
      <w:r>
        <w:rPr/>
        <w:t>12</w:t>
      </w:r>
      <w:r>
        <w:rPr>
          <w:spacing w:val="-47"/>
        </w:rPr>
        <w:t> </w:t>
      </w:r>
      <w:r>
        <w:rPr/>
        <w:t>月</w:t>
      </w:r>
      <w:r>
        <w:rPr>
          <w:spacing w:val="-49"/>
        </w:rPr>
        <w:t> </w:t>
      </w:r>
      <w:r>
        <w:rPr>
          <w:spacing w:val="-1"/>
        </w:rPr>
        <w:t>31</w:t>
      </w:r>
      <w:r>
        <w:rPr>
          <w:spacing w:val="-49"/>
        </w:rPr>
        <w:t> </w:t>
      </w:r>
      <w:r>
        <w:rPr>
          <w:spacing w:val="-1"/>
        </w:rPr>
        <w:t>日的资产负债表和合并的资产负债表，2010</w:t>
      </w:r>
      <w:r>
        <w:rPr>
          <w:spacing w:val="-47"/>
        </w:rPr>
        <w:t> </w:t>
      </w:r>
      <w:r>
        <w:rPr>
          <w:spacing w:val="-1"/>
        </w:rPr>
        <w:t>年度的利润表和合并的利</w:t>
      </w:r>
      <w:r>
        <w:rPr/>
        <w:t> </w:t>
      </w:r>
      <w:r>
        <w:rPr>
          <w:spacing w:val="-1"/>
        </w:rPr>
        <w:t>润表、股东权益变动表和合并的股东权益变动表、现金流量表和合并的现金流量表以及财务报表附注，并</w:t>
      </w:r>
      <w:r>
        <w:rPr>
          <w:spacing w:val="-83"/>
        </w:rPr>
        <w:t> </w:t>
      </w:r>
      <w:r>
        <w:rPr>
          <w:spacing w:val="-83"/>
        </w:rPr>
      </w:r>
      <w:r>
        <w:rPr/>
        <w:t>于</w:t>
      </w:r>
      <w:r>
        <w:rPr>
          <w:spacing w:val="-51"/>
        </w:rPr>
        <w:t> </w:t>
      </w:r>
      <w:r>
        <w:rPr/>
        <w:t>2010</w:t>
      </w:r>
      <w:r>
        <w:rPr>
          <w:spacing w:val="-50"/>
        </w:rPr>
        <w:t> </w:t>
      </w:r>
      <w:r>
        <w:rPr/>
        <w:t>年</w:t>
      </w:r>
      <w:r>
        <w:rPr>
          <w:spacing w:val="-52"/>
        </w:rPr>
        <w:t> </w:t>
      </w:r>
      <w:r>
        <w:rPr/>
        <w:t>3</w:t>
      </w:r>
      <w:r>
        <w:rPr>
          <w:spacing w:val="-51"/>
        </w:rPr>
        <w:t> </w:t>
      </w:r>
      <w:r>
        <w:rPr/>
        <w:t>月</w:t>
      </w:r>
      <w:r>
        <w:rPr>
          <w:spacing w:val="-51"/>
        </w:rPr>
        <w:t> </w:t>
      </w:r>
      <w:r>
        <w:rPr/>
        <w:t>7</w:t>
      </w:r>
      <w:r>
        <w:rPr>
          <w:spacing w:val="-50"/>
        </w:rPr>
        <w:t> </w:t>
      </w:r>
      <w:r>
        <w:rPr>
          <w:spacing w:val="-1"/>
        </w:rPr>
        <w:t>日出具了众环审字（2011）037</w:t>
      </w:r>
      <w:r>
        <w:rPr>
          <w:spacing w:val="-51"/>
        </w:rPr>
        <w:t> </w:t>
      </w:r>
      <w:r>
        <w:rPr>
          <w:spacing w:val="-14"/>
        </w:rPr>
        <w:t>号《审计报告》。</w:t>
      </w:r>
    </w:p>
    <w:p>
      <w:pPr>
        <w:pStyle w:val="BodyText"/>
        <w:spacing w:line="357" w:lineRule="auto" w:before="30"/>
        <w:ind w:left="153" w:right="147" w:firstLine="420"/>
        <w:jc w:val="left"/>
      </w:pPr>
      <w:r>
        <w:rPr>
          <w:spacing w:val="-1"/>
        </w:rPr>
        <w:t>根据中国证券监督管理委员会《关于规范上市公司与关联方资金往来及上市公司对外担保若干问题的</w:t>
      </w:r>
      <w:r>
        <w:rPr/>
        <w:t> </w:t>
      </w:r>
      <w:r>
        <w:rPr>
          <w:spacing w:val="-2"/>
        </w:rPr>
        <w:t>通知（证监发[2003]56</w:t>
      </w:r>
      <w:r>
        <w:rPr>
          <w:spacing w:val="-50"/>
        </w:rPr>
        <w:t> </w:t>
      </w:r>
      <w:r>
        <w:rPr>
          <w:spacing w:val="-8"/>
        </w:rPr>
        <w:t>号文）》的要求，石基信息公司编制了后附的截至</w:t>
      </w:r>
      <w:r>
        <w:rPr>
          <w:spacing w:val="-50"/>
        </w:rPr>
        <w:t> </w:t>
      </w:r>
      <w:r>
        <w:rPr/>
        <w:t>2010</w:t>
      </w:r>
      <w:r>
        <w:rPr>
          <w:spacing w:val="-49"/>
        </w:rPr>
        <w:t> </w:t>
      </w:r>
      <w:r>
        <w:rPr/>
        <w:t>年</w:t>
      </w:r>
      <w:r>
        <w:rPr>
          <w:spacing w:val="-50"/>
        </w:rPr>
        <w:t> </w:t>
      </w:r>
      <w:r>
        <w:rPr>
          <w:spacing w:val="-1"/>
        </w:rPr>
        <w:t>12</w:t>
      </w:r>
      <w:r>
        <w:rPr>
          <w:spacing w:val="-49"/>
        </w:rPr>
        <w:t> </w:t>
      </w:r>
      <w:r>
        <w:rPr/>
        <w:t>月</w:t>
      </w:r>
      <w:r>
        <w:rPr>
          <w:spacing w:val="-51"/>
        </w:rPr>
        <w:t> </w:t>
      </w:r>
      <w:r>
        <w:rPr/>
        <w:t>31</w:t>
      </w:r>
      <w:r>
        <w:rPr>
          <w:spacing w:val="-49"/>
        </w:rPr>
        <w:t> </w:t>
      </w:r>
      <w:r>
        <w:rPr>
          <w:spacing w:val="-1"/>
        </w:rPr>
        <w:t>日止石基信息公</w:t>
      </w:r>
    </w:p>
    <w:p>
      <w:pPr>
        <w:pStyle w:val="BodyText"/>
        <w:spacing w:line="240" w:lineRule="auto" w:before="30"/>
        <w:ind w:left="153" w:right="0"/>
        <w:jc w:val="both"/>
      </w:pPr>
      <w:r>
        <w:rPr>
          <w:spacing w:val="-1"/>
        </w:rPr>
        <w:t>司控股股东及其他关联</w:t>
      </w:r>
      <w:r>
        <w:rPr/>
        <w:t>方</w:t>
      </w:r>
      <w:r>
        <w:rPr>
          <w:spacing w:val="-53"/>
        </w:rPr>
        <w:t> </w:t>
      </w:r>
      <w:r>
        <w:rPr>
          <w:spacing w:val="-1"/>
        </w:rPr>
        <w:t>201</w:t>
      </w:r>
      <w:r>
        <w:rPr/>
        <w:t>0</w:t>
      </w:r>
      <w:r>
        <w:rPr>
          <w:spacing w:val="-52"/>
        </w:rPr>
        <w:t> </w:t>
      </w:r>
      <w:r>
        <w:rPr>
          <w:spacing w:val="-1"/>
        </w:rPr>
        <w:t>年</w:t>
      </w:r>
      <w:r>
        <w:rPr>
          <w:spacing w:val="-2"/>
        </w:rPr>
        <w:t>度</w:t>
      </w:r>
      <w:r>
        <w:rPr>
          <w:spacing w:val="-1"/>
        </w:rPr>
        <w:t>《资金占用情况表</w:t>
      </w:r>
      <w:r>
        <w:rPr>
          <w:spacing w:val="-104"/>
        </w:rPr>
        <w:t>》</w:t>
      </w:r>
      <w:r>
        <w:rPr/>
        <w:t>。</w:t>
      </w:r>
    </w:p>
    <w:p>
      <w:pPr>
        <w:pStyle w:val="BodyText"/>
        <w:spacing w:line="355" w:lineRule="auto" w:before="134"/>
        <w:ind w:left="153" w:right="0" w:firstLine="420"/>
        <w:jc w:val="left"/>
      </w:pPr>
      <w:r>
        <w:rPr>
          <w:spacing w:val="21"/>
        </w:rPr>
        <w:t>根据《资金</w:t>
      </w:r>
      <w:r>
        <w:rPr>
          <w:spacing w:val="-76"/>
        </w:rPr>
        <w:t> </w:t>
      </w:r>
      <w:r>
        <w:rPr>
          <w:spacing w:val="21"/>
        </w:rPr>
        <w:t>占用情况表</w:t>
      </w:r>
      <w:r>
        <w:rPr>
          <w:spacing w:val="-76"/>
        </w:rPr>
        <w:t> </w:t>
      </w:r>
      <w:r>
        <w:rPr>
          <w:spacing w:val="-39"/>
        </w:rPr>
        <w:t>》，</w:t>
      </w:r>
      <w:r>
        <w:rPr>
          <w:spacing w:val="-77"/>
        </w:rPr>
        <w:t> </w:t>
      </w:r>
      <w:r>
        <w:rPr/>
        <w:t>2010</w:t>
      </w:r>
      <w:r>
        <w:rPr>
          <w:spacing w:val="34"/>
        </w:rPr>
        <w:t> </w:t>
      </w:r>
      <w:r>
        <w:rPr>
          <w:spacing w:val="22"/>
        </w:rPr>
        <w:t>年度石基信息</w:t>
      </w:r>
      <w:r>
        <w:rPr>
          <w:spacing w:val="-76"/>
        </w:rPr>
        <w:t> </w:t>
      </w:r>
      <w:r>
        <w:rPr>
          <w:spacing w:val="21"/>
        </w:rPr>
        <w:t>公司控股子</w:t>
      </w:r>
      <w:r>
        <w:rPr>
          <w:spacing w:val="-76"/>
        </w:rPr>
        <w:t> </w:t>
      </w:r>
      <w:r>
        <w:rPr>
          <w:spacing w:val="21"/>
        </w:rPr>
        <w:t>公司全年累</w:t>
      </w:r>
      <w:r>
        <w:rPr>
          <w:spacing w:val="-76"/>
        </w:rPr>
        <w:t> </w:t>
      </w:r>
      <w:r>
        <w:rPr>
          <w:spacing w:val="21"/>
        </w:rPr>
        <w:t>计占用上市</w:t>
      </w:r>
      <w:r>
        <w:rPr>
          <w:spacing w:val="-76"/>
        </w:rPr>
        <w:t> </w:t>
      </w:r>
      <w:r>
        <w:rPr>
          <w:spacing w:val="20"/>
        </w:rPr>
        <w:t>公司资金</w:t>
      </w:r>
      <w:r>
        <w:rPr>
          <w:spacing w:val="-78"/>
        </w:rPr>
        <w:t> </w:t>
      </w:r>
      <w:r>
        <w:rPr/>
        <w:t>23,387,321.50</w:t>
      </w:r>
      <w:r>
        <w:rPr>
          <w:spacing w:val="-52"/>
        </w:rPr>
        <w:t> </w:t>
      </w:r>
      <w:r>
        <w:rPr>
          <w:spacing w:val="-6"/>
        </w:rPr>
        <w:t>元，其中：2010</w:t>
      </w:r>
      <w:r>
        <w:rPr>
          <w:spacing w:val="-52"/>
        </w:rPr>
        <w:t> </w:t>
      </w:r>
      <w:r>
        <w:rPr/>
        <w:t>年全年累计经营性占用上市公司资金</w:t>
      </w:r>
      <w:r>
        <w:rPr>
          <w:spacing w:val="-53"/>
        </w:rPr>
        <w:t> </w:t>
      </w:r>
      <w:r>
        <w:rPr/>
        <w:t>20,877,808.36</w:t>
      </w:r>
      <w:r>
        <w:rPr>
          <w:spacing w:val="-53"/>
        </w:rPr>
        <w:t> </w:t>
      </w:r>
      <w:r>
        <w:rPr>
          <w:spacing w:val="-5"/>
        </w:rPr>
        <w:t>元，2010</w:t>
      </w:r>
      <w:r>
        <w:rPr>
          <w:spacing w:val="-52"/>
        </w:rPr>
        <w:t> </w:t>
      </w:r>
      <w:r>
        <w:rPr/>
        <w:t>全年累计非</w:t>
      </w:r>
    </w:p>
    <w:p>
      <w:pPr>
        <w:pStyle w:val="BodyText"/>
        <w:spacing w:line="240" w:lineRule="auto" w:before="32"/>
        <w:ind w:left="153" w:right="0"/>
        <w:jc w:val="both"/>
      </w:pPr>
      <w:r>
        <w:rPr/>
        <w:t>经营性占用上市公司资金</w:t>
      </w:r>
      <w:r>
        <w:rPr>
          <w:spacing w:val="-60"/>
        </w:rPr>
        <w:t> </w:t>
      </w:r>
      <w:r>
        <w:rPr/>
        <w:t>2,509,513.14</w:t>
      </w:r>
      <w:r>
        <w:rPr>
          <w:spacing w:val="-59"/>
        </w:rPr>
        <w:t> </w:t>
      </w:r>
      <w:r>
        <w:rPr>
          <w:spacing w:val="-4"/>
        </w:rPr>
        <w:t>元。截止</w:t>
      </w:r>
      <w:r>
        <w:rPr>
          <w:spacing w:val="-60"/>
        </w:rPr>
        <w:t> </w:t>
      </w:r>
      <w:r>
        <w:rPr/>
        <w:t>2010</w:t>
      </w:r>
      <w:r>
        <w:rPr>
          <w:spacing w:val="-59"/>
        </w:rPr>
        <w:t> </w:t>
      </w:r>
      <w:r>
        <w:rPr/>
        <w:t>年</w:t>
      </w:r>
      <w:r>
        <w:rPr>
          <w:spacing w:val="-60"/>
        </w:rPr>
        <w:t> </w:t>
      </w:r>
      <w:r>
        <w:rPr/>
        <w:t>12</w:t>
      </w:r>
      <w:r>
        <w:rPr>
          <w:spacing w:val="-59"/>
        </w:rPr>
        <w:t> </w:t>
      </w:r>
      <w:r>
        <w:rPr/>
        <w:t>月</w:t>
      </w:r>
      <w:r>
        <w:rPr>
          <w:spacing w:val="-61"/>
        </w:rPr>
        <w:t> </w:t>
      </w:r>
      <w:r>
        <w:rPr/>
        <w:t>31</w:t>
      </w:r>
      <w:r>
        <w:rPr>
          <w:spacing w:val="-59"/>
        </w:rPr>
        <w:t> </w:t>
      </w:r>
      <w:r>
        <w:rPr/>
        <w:t>日，石基信息公司控股子公司共占用上</w:t>
      </w:r>
    </w:p>
    <w:p>
      <w:pPr>
        <w:pStyle w:val="BodyText"/>
        <w:spacing w:line="240" w:lineRule="auto" w:before="134"/>
        <w:ind w:left="153" w:right="0"/>
        <w:jc w:val="both"/>
      </w:pPr>
      <w:r>
        <w:rPr/>
        <w:t>市公司资金</w:t>
      </w:r>
      <w:r>
        <w:rPr>
          <w:spacing w:val="-72"/>
        </w:rPr>
        <w:t> </w:t>
      </w:r>
      <w:r>
        <w:rPr/>
        <w:t>5,282,948.88</w:t>
      </w:r>
      <w:r>
        <w:rPr>
          <w:spacing w:val="-72"/>
        </w:rPr>
        <w:t> </w:t>
      </w:r>
      <w:r>
        <w:rPr/>
        <w:t>元，其中：经营性占用上市公司资金</w:t>
      </w:r>
      <w:r>
        <w:rPr>
          <w:spacing w:val="-71"/>
        </w:rPr>
        <w:t> </w:t>
      </w:r>
      <w:r>
        <w:rPr/>
        <w:t>1,388,452.69</w:t>
      </w:r>
      <w:r>
        <w:rPr>
          <w:spacing w:val="-71"/>
        </w:rPr>
        <w:t> </w:t>
      </w:r>
      <w:r>
        <w:rPr/>
        <w:t>元，非经营性占用上市公司</w:t>
      </w:r>
    </w:p>
    <w:p>
      <w:pPr>
        <w:pStyle w:val="BodyText"/>
        <w:spacing w:line="240" w:lineRule="auto" w:before="133"/>
        <w:ind w:left="153" w:right="0"/>
        <w:jc w:val="both"/>
      </w:pPr>
      <w:r>
        <w:rPr/>
        <w:t>资金</w:t>
      </w:r>
      <w:r>
        <w:rPr>
          <w:spacing w:val="-58"/>
        </w:rPr>
        <w:t> </w:t>
      </w:r>
      <w:r>
        <w:rPr/>
        <w:t>3,894,496.19</w:t>
      </w:r>
      <w:r>
        <w:rPr>
          <w:spacing w:val="-57"/>
        </w:rPr>
        <w:t> </w:t>
      </w:r>
      <w:r>
        <w:rPr/>
        <w:t>元。</w:t>
      </w:r>
    </w:p>
    <w:p>
      <w:pPr>
        <w:pStyle w:val="BodyText"/>
        <w:spacing w:line="355" w:lineRule="auto" w:before="134"/>
        <w:ind w:left="153" w:right="134" w:firstLine="420"/>
        <w:jc w:val="left"/>
      </w:pPr>
      <w:r>
        <w:rPr>
          <w:spacing w:val="-6"/>
        </w:rPr>
        <w:t>如实编制《资金占用情况表》并确保其真实、合法及完整是石基信息公司管理当局的责任。我们对《资</w:t>
      </w:r>
      <w:r>
        <w:rPr/>
        <w:t> 金占用情况表》所载资料与石基信息公司 2010</w:t>
      </w:r>
      <w:r>
        <w:rPr>
          <w:spacing w:val="-23"/>
        </w:rPr>
        <w:t> </w:t>
      </w:r>
      <w:r>
        <w:rPr/>
        <w:t>年度已审的财务报表及相关资料的内容进行了核对，在所</w:t>
      </w:r>
    </w:p>
    <w:p>
      <w:pPr>
        <w:pStyle w:val="BodyText"/>
        <w:spacing w:line="355" w:lineRule="auto" w:before="33"/>
        <w:ind w:left="153" w:right="149"/>
        <w:jc w:val="both"/>
      </w:pPr>
      <w:r>
        <w:rPr/>
        <w:t>有重大方面未发现不一致之处。除了对贵公司实施于 2010</w:t>
      </w:r>
      <w:r>
        <w:rPr>
          <w:spacing w:val="-23"/>
        </w:rPr>
        <w:t> </w:t>
      </w:r>
      <w:r>
        <w:rPr/>
        <w:t>年度财务报表审计中所执行的对关联方交易的</w:t>
      </w:r>
      <w:r>
        <w:rPr/>
        <w:t> 相关审计程序外，我们并未对资金占用情况表所载资料执行额外的审计或其他程序。</w:t>
      </w:r>
    </w:p>
    <w:p>
      <w:pPr>
        <w:pStyle w:val="BodyText"/>
        <w:spacing w:line="357" w:lineRule="auto" w:before="32"/>
        <w:ind w:left="153" w:right="136" w:firstLine="420"/>
        <w:jc w:val="left"/>
      </w:pPr>
      <w:r>
        <w:rPr/>
        <w:t>为了更好地理解贵公司 2010</w:t>
      </w:r>
      <w:r>
        <w:rPr>
          <w:spacing w:val="-25"/>
        </w:rPr>
        <w:t> </w:t>
      </w:r>
      <w:r>
        <w:rPr/>
        <w:t>年度控股股东及其他关联方资金占用情况，资金占用情况表应当与已审</w:t>
      </w:r>
      <w:r>
        <w:rPr/>
        <w:t> 计的财务报表一并阅读。</w:t>
      </w:r>
    </w:p>
    <w:p>
      <w:pPr>
        <w:pStyle w:val="BodyText"/>
        <w:spacing w:line="357" w:lineRule="auto" w:before="30"/>
        <w:ind w:left="153" w:right="172" w:firstLine="420"/>
        <w:jc w:val="left"/>
      </w:pPr>
      <w:r>
        <w:rPr>
          <w:spacing w:val="3"/>
        </w:rPr>
        <w:t>本专项说明仅供贵公司向中国证监会北京监管局及深圳证券交易所上报使用，不得用作任何其他目</w:t>
      </w:r>
      <w:r>
        <w:rPr/>
        <w:t> 的。</w:t>
      </w:r>
    </w:p>
    <w:p>
      <w:pPr>
        <w:spacing w:after="0" w:line="357" w:lineRule="auto"/>
        <w:jc w:val="left"/>
        <w:sectPr>
          <w:pgSz w:w="11910" w:h="16840"/>
          <w:pgMar w:header="851" w:footer="982" w:top="1200" w:bottom="1180" w:left="980" w:right="980"/>
        </w:sectPr>
      </w:pPr>
    </w:p>
    <w:p>
      <w:pPr>
        <w:spacing w:line="240" w:lineRule="auto" w:before="3"/>
        <w:rPr>
          <w:rFonts w:ascii="宋体" w:hAnsi="宋体" w:cs="宋体" w:eastAsia="宋体" w:hint="default"/>
          <w:sz w:val="10"/>
          <w:szCs w:val="10"/>
        </w:rPr>
      </w:pPr>
    </w:p>
    <w:p>
      <w:pPr>
        <w:pStyle w:val="BodyText"/>
        <w:tabs>
          <w:tab w:pos="8017" w:val="left" w:leader="none"/>
        </w:tabs>
        <w:spacing w:line="240" w:lineRule="auto" w:before="35"/>
        <w:ind w:left="668" w:right="0"/>
        <w:jc w:val="left"/>
        <w:rPr>
          <w:rFonts w:ascii="新宋体" w:hAnsi="新宋体" w:cs="新宋体" w:eastAsia="新宋体" w:hint="default"/>
        </w:rPr>
      </w:pPr>
      <w:r>
        <w:rPr/>
        <w:pict>
          <v:shape style="position:absolute;margin-left:56.751007pt;margin-top:-2.366318pt;width:25.770004pt;height:16.320007pt;mso-position-horizontal-relative:page;mso-position-vertical-relative:paragraph;z-index:-709264" type="#_x0000_t75" stroked="false">
            <v:imagedata r:id="rId16" o:title=""/>
          </v:shape>
        </w:pict>
      </w:r>
      <w:r>
        <w:rPr>
          <w:rFonts w:ascii="新宋体" w:hAnsi="新宋体" w:cs="新宋体" w:eastAsia="新宋体" w:hint="default"/>
          <w:spacing w:val="-1"/>
        </w:rPr>
        <w:t>北京中长石基信息技术股份有限公司</w:t>
        <w:tab/>
        <w:t>2010</w:t>
      </w:r>
      <w:r>
        <w:rPr>
          <w:rFonts w:ascii="新宋体" w:hAnsi="新宋体" w:cs="新宋体" w:eastAsia="新宋体" w:hint="default"/>
          <w:spacing w:val="-52"/>
        </w:rPr>
        <w:t> </w:t>
      </w:r>
      <w:r>
        <w:rPr>
          <w:rFonts w:ascii="新宋体" w:hAnsi="新宋体" w:cs="新宋体" w:eastAsia="新宋体" w:hint="default"/>
          <w:spacing w:val="-1"/>
        </w:rPr>
        <w:t>年年度报告</w:t>
      </w:r>
      <w:r>
        <w:rPr>
          <w:rFonts w:ascii="新宋体" w:hAnsi="新宋体" w:cs="新宋体" w:eastAsia="新宋体" w:hint="default"/>
        </w:rPr>
      </w:r>
    </w:p>
    <w:p>
      <w:pPr>
        <w:spacing w:line="240" w:lineRule="auto" w:before="13"/>
        <w:rPr>
          <w:rFonts w:ascii="新宋体" w:hAnsi="新宋体" w:cs="新宋体" w:eastAsia="新宋体" w:hint="default"/>
          <w:sz w:val="3"/>
          <w:szCs w:val="3"/>
        </w:rPr>
      </w:pPr>
    </w:p>
    <w:p>
      <w:pPr>
        <w:spacing w:line="20" w:lineRule="exact"/>
        <w:ind w:left="116" w:right="0" w:firstLine="0"/>
        <w:rPr>
          <w:rFonts w:ascii="新宋体" w:hAnsi="新宋体" w:cs="新宋体" w:eastAsia="新宋体" w:hint="default"/>
          <w:sz w:val="2"/>
          <w:szCs w:val="2"/>
        </w:rPr>
      </w:pPr>
      <w:r>
        <w:rPr>
          <w:rFonts w:ascii="新宋体" w:hAnsi="新宋体" w:cs="新宋体" w:eastAsia="新宋体" w:hint="default"/>
          <w:sz w:val="2"/>
          <w:szCs w:val="2"/>
        </w:rPr>
        <w:pict>
          <v:group style="width:732.25pt;height:.75pt;mso-position-horizontal-relative:char;mso-position-vertical-relative:line" coordorigin="0,0" coordsize="14645,15">
            <v:group style="position:absolute;left:7;top:7;width:14631;height:2" coordorigin="7,7" coordsize="14631,2">
              <v:shape style="position:absolute;left:7;top:7;width:14631;height:2" coordorigin="7,7" coordsize="14631,0" path="m7,7l14638,7e" filled="false" stroked="true" strokeweight=".72pt" strokecolor="#000000">
                <v:path arrowok="t"/>
              </v:shape>
            </v:group>
          </v:group>
        </w:pict>
      </w:r>
      <w:r>
        <w:rPr>
          <w:rFonts w:ascii="新宋体" w:hAnsi="新宋体" w:cs="新宋体" w:eastAsia="新宋体" w:hint="default"/>
          <w:sz w:val="2"/>
          <w:szCs w:val="2"/>
        </w:rPr>
      </w:r>
    </w:p>
    <w:p>
      <w:pPr>
        <w:spacing w:line="240" w:lineRule="auto" w:before="11"/>
        <w:rPr>
          <w:rFonts w:ascii="新宋体" w:hAnsi="新宋体" w:cs="新宋体" w:eastAsia="新宋体" w:hint="default"/>
          <w:sz w:val="16"/>
          <w:szCs w:val="16"/>
        </w:rPr>
      </w:pPr>
    </w:p>
    <w:p>
      <w:pPr>
        <w:spacing w:before="1"/>
        <w:ind w:left="1998" w:right="0" w:firstLine="0"/>
        <w:jc w:val="left"/>
        <w:rPr>
          <w:rFonts w:ascii="黑体" w:hAnsi="黑体" w:cs="黑体" w:eastAsia="黑体" w:hint="default"/>
          <w:sz w:val="32"/>
          <w:szCs w:val="32"/>
        </w:rPr>
      </w:pPr>
      <w:r>
        <w:rPr>
          <w:rFonts w:ascii="黑体" w:hAnsi="黑体" w:cs="黑体" w:eastAsia="黑体" w:hint="default"/>
          <w:b/>
          <w:bCs/>
          <w:sz w:val="32"/>
          <w:szCs w:val="32"/>
        </w:rPr>
        <w:t>北京中长石基信息技术股份有限公司控股股东及其他关联方资金占用情况汇总表</w:t>
      </w:r>
      <w:r>
        <w:rPr>
          <w:rFonts w:ascii="黑体" w:hAnsi="黑体" w:cs="黑体" w:eastAsia="黑体" w:hint="default"/>
          <w:sz w:val="32"/>
          <w:szCs w:val="32"/>
        </w:rPr>
      </w:r>
    </w:p>
    <w:p>
      <w:pPr>
        <w:spacing w:line="240" w:lineRule="auto" w:before="9"/>
        <w:rPr>
          <w:rFonts w:ascii="黑体" w:hAnsi="黑体" w:cs="黑体" w:eastAsia="黑体" w:hint="default"/>
          <w:b/>
          <w:bCs/>
          <w:sz w:val="3"/>
          <w:szCs w:val="3"/>
        </w:rPr>
      </w:pPr>
    </w:p>
    <w:tbl>
      <w:tblPr>
        <w:tblW w:w="0" w:type="auto"/>
        <w:jc w:val="left"/>
        <w:tblInd w:w="133" w:type="dxa"/>
        <w:tblLayout w:type="fixed"/>
        <w:tblCellMar>
          <w:top w:w="0" w:type="dxa"/>
          <w:left w:w="0" w:type="dxa"/>
          <w:bottom w:w="0" w:type="dxa"/>
          <w:right w:w="0" w:type="dxa"/>
        </w:tblCellMar>
        <w:tblLook w:val="01E0"/>
      </w:tblPr>
      <w:tblGrid>
        <w:gridCol w:w="1591"/>
        <w:gridCol w:w="2734"/>
        <w:gridCol w:w="1054"/>
        <w:gridCol w:w="1145"/>
        <w:gridCol w:w="1476"/>
        <w:gridCol w:w="1582"/>
        <w:gridCol w:w="1580"/>
        <w:gridCol w:w="1476"/>
        <w:gridCol w:w="1181"/>
        <w:gridCol w:w="1180"/>
      </w:tblGrid>
      <w:tr>
        <w:trPr>
          <w:trHeight w:val="1372"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72" w:lineRule="exact" w:before="140"/>
              <w:ind w:left="685" w:right="158" w:hanging="525"/>
              <w:jc w:val="left"/>
              <w:rPr>
                <w:rFonts w:ascii="宋体" w:hAnsi="宋体" w:cs="宋体" w:eastAsia="宋体" w:hint="default"/>
                <w:sz w:val="21"/>
                <w:szCs w:val="21"/>
              </w:rPr>
            </w:pPr>
            <w:r>
              <w:rPr>
                <w:rFonts w:ascii="宋体" w:hAnsi="宋体" w:cs="宋体" w:eastAsia="宋体" w:hint="default"/>
                <w:sz w:val="21"/>
                <w:szCs w:val="21"/>
              </w:rPr>
              <w:t>资金占用方类 别</w:t>
            </w:r>
          </w:p>
        </w:tc>
        <w:tc>
          <w:tcPr>
            <w:tcW w:w="27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资金占用方名称</w:t>
            </w: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占用方</w:t>
            </w:r>
          </w:p>
          <w:p>
            <w:pPr>
              <w:pStyle w:val="TableParagraph"/>
              <w:spacing w:line="272" w:lineRule="exact" w:before="26"/>
              <w:ind w:left="206" w:right="205"/>
              <w:jc w:val="center"/>
              <w:rPr>
                <w:rFonts w:ascii="宋体" w:hAnsi="宋体" w:cs="宋体" w:eastAsia="宋体" w:hint="default"/>
                <w:sz w:val="21"/>
                <w:szCs w:val="21"/>
              </w:rPr>
            </w:pPr>
            <w:r>
              <w:rPr>
                <w:rFonts w:ascii="宋体" w:hAnsi="宋体" w:cs="宋体" w:eastAsia="宋体" w:hint="default"/>
                <w:sz w:val="21"/>
                <w:szCs w:val="21"/>
              </w:rPr>
              <w:t>与上市 公司的 关联关 系</w:t>
            </w:r>
          </w:p>
        </w:tc>
        <w:tc>
          <w:tcPr>
            <w:tcW w:w="11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黑体" w:hAnsi="黑体" w:cs="黑体" w:eastAsia="黑体" w:hint="default"/>
                <w:b/>
                <w:bCs/>
                <w:sz w:val="20"/>
                <w:szCs w:val="20"/>
              </w:rPr>
            </w:pPr>
          </w:p>
          <w:p>
            <w:pPr>
              <w:pStyle w:val="TableParagraph"/>
              <w:spacing w:line="272" w:lineRule="exact"/>
              <w:ind w:left="147" w:right="145"/>
              <w:jc w:val="both"/>
              <w:rPr>
                <w:rFonts w:ascii="宋体" w:hAnsi="宋体" w:cs="宋体" w:eastAsia="宋体" w:hint="default"/>
                <w:sz w:val="21"/>
                <w:szCs w:val="21"/>
              </w:rPr>
            </w:pPr>
            <w:r>
              <w:rPr>
                <w:rFonts w:ascii="宋体" w:hAnsi="宋体" w:cs="宋体" w:eastAsia="宋体" w:hint="default"/>
                <w:sz w:val="21"/>
                <w:szCs w:val="21"/>
              </w:rPr>
              <w:t>上市公司 核算的会 计科目</w:t>
            </w:r>
          </w:p>
        </w:tc>
        <w:tc>
          <w:tcPr>
            <w:tcW w:w="14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72" w:lineRule="exact" w:before="140"/>
              <w:ind w:left="103" w:right="101" w:firstLine="78"/>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年期初</w:t>
            </w:r>
            <w:r>
              <w:rPr>
                <w:rFonts w:ascii="宋体" w:hAnsi="宋体" w:cs="宋体" w:eastAsia="宋体" w:hint="default"/>
                <w:sz w:val="21"/>
                <w:szCs w:val="21"/>
              </w:rPr>
              <w:t> 占用资金余额</w:t>
            </w:r>
          </w:p>
        </w:tc>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72" w:lineRule="exact" w:before="140"/>
              <w:ind w:left="155" w:right="127" w:hanging="27"/>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年度占用</w:t>
            </w:r>
            <w:r>
              <w:rPr>
                <w:rFonts w:ascii="宋体" w:hAnsi="宋体" w:cs="宋体" w:eastAsia="宋体" w:hint="default"/>
                <w:sz w:val="21"/>
                <w:szCs w:val="21"/>
              </w:rPr>
              <w:t> 累计发生金额</w:t>
            </w:r>
          </w:p>
        </w:tc>
        <w:tc>
          <w:tcPr>
            <w:tcW w:w="1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72" w:lineRule="exact" w:before="140"/>
              <w:ind w:left="155" w:right="126" w:hanging="27"/>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年度偿还</w:t>
            </w:r>
            <w:r>
              <w:rPr>
                <w:rFonts w:ascii="宋体" w:hAnsi="宋体" w:cs="宋体" w:eastAsia="宋体" w:hint="default"/>
                <w:sz w:val="21"/>
                <w:szCs w:val="21"/>
              </w:rPr>
              <w:t> 累计发生金额</w:t>
            </w:r>
          </w:p>
        </w:tc>
        <w:tc>
          <w:tcPr>
            <w:tcW w:w="14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72" w:lineRule="exact" w:before="140"/>
              <w:ind w:left="103" w:right="101" w:firstLine="78"/>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年期末</w:t>
            </w:r>
            <w:r>
              <w:rPr>
                <w:rFonts w:ascii="宋体" w:hAnsi="宋体" w:cs="宋体" w:eastAsia="宋体" w:hint="default"/>
                <w:sz w:val="21"/>
                <w:szCs w:val="21"/>
              </w:rPr>
              <w:t> 占用资金余额</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72" w:lineRule="exact" w:before="140"/>
              <w:ind w:left="374" w:right="164" w:hanging="210"/>
              <w:jc w:val="left"/>
              <w:rPr>
                <w:rFonts w:ascii="宋体" w:hAnsi="宋体" w:cs="宋体" w:eastAsia="宋体" w:hint="default"/>
                <w:sz w:val="21"/>
                <w:szCs w:val="21"/>
              </w:rPr>
            </w:pPr>
            <w:r>
              <w:rPr>
                <w:rFonts w:ascii="宋体" w:hAnsi="宋体" w:cs="宋体" w:eastAsia="宋体" w:hint="default"/>
                <w:sz w:val="21"/>
                <w:szCs w:val="21"/>
              </w:rPr>
              <w:t>占用形成 原因</w:t>
            </w:r>
          </w:p>
        </w:tc>
        <w:tc>
          <w:tcPr>
            <w:tcW w:w="1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2"/>
              <w:ind w:right="0"/>
              <w:jc w:val="left"/>
              <w:rPr>
                <w:rFonts w:ascii="黑体" w:hAnsi="黑体" w:cs="黑体" w:eastAsia="黑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占用性质</w:t>
            </w:r>
          </w:p>
        </w:tc>
      </w:tr>
      <w:tr>
        <w:trPr>
          <w:trHeight w:val="827"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60" w:right="0" w:firstLine="52"/>
              <w:jc w:val="left"/>
              <w:rPr>
                <w:rFonts w:ascii="宋体" w:hAnsi="宋体" w:cs="宋体" w:eastAsia="宋体" w:hint="default"/>
                <w:sz w:val="21"/>
                <w:szCs w:val="21"/>
              </w:rPr>
            </w:pPr>
            <w:r>
              <w:rPr>
                <w:rFonts w:ascii="宋体" w:hAnsi="宋体" w:cs="宋体" w:eastAsia="宋体" w:hint="default"/>
                <w:sz w:val="21"/>
                <w:szCs w:val="21"/>
              </w:rPr>
              <w:t>控股股东、实</w:t>
            </w:r>
          </w:p>
          <w:p>
            <w:pPr>
              <w:pStyle w:val="TableParagraph"/>
              <w:spacing w:line="272" w:lineRule="exact" w:before="26"/>
              <w:ind w:left="370" w:right="158" w:hanging="210"/>
              <w:jc w:val="left"/>
              <w:rPr>
                <w:rFonts w:ascii="宋体" w:hAnsi="宋体" w:cs="宋体" w:eastAsia="宋体" w:hint="default"/>
                <w:sz w:val="21"/>
                <w:szCs w:val="21"/>
              </w:rPr>
            </w:pPr>
            <w:r>
              <w:rPr>
                <w:rFonts w:ascii="宋体" w:hAnsi="宋体" w:cs="宋体" w:eastAsia="宋体" w:hint="default"/>
                <w:sz w:val="21"/>
                <w:szCs w:val="21"/>
              </w:rPr>
              <w:t>际控制人及其 附属企业</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526"/>
              <w:jc w:val="right"/>
              <w:rPr>
                <w:rFonts w:ascii="宋体" w:hAnsi="宋体" w:cs="宋体" w:eastAsia="宋体" w:hint="default"/>
                <w:sz w:val="21"/>
                <w:szCs w:val="21"/>
              </w:rPr>
            </w:pPr>
            <w:r>
              <w:rPr>
                <w:rFonts w:ascii="宋体" w:hAnsi="宋体" w:cs="宋体" w:eastAsia="宋体" w:hint="default"/>
                <w:sz w:val="21"/>
                <w:szCs w:val="21"/>
              </w:rPr>
              <w:t>小计</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60" w:right="0" w:firstLine="52"/>
              <w:jc w:val="left"/>
              <w:rPr>
                <w:rFonts w:ascii="宋体" w:hAnsi="宋体" w:cs="宋体" w:eastAsia="宋体" w:hint="default"/>
                <w:sz w:val="21"/>
                <w:szCs w:val="21"/>
              </w:rPr>
            </w:pPr>
            <w:r>
              <w:rPr>
                <w:rFonts w:ascii="宋体" w:hAnsi="宋体" w:cs="宋体" w:eastAsia="宋体" w:hint="default"/>
                <w:sz w:val="21"/>
                <w:szCs w:val="21"/>
              </w:rPr>
              <w:t>关联自然人及</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其控制的法人</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526"/>
              <w:jc w:val="right"/>
              <w:rPr>
                <w:rFonts w:ascii="宋体" w:hAnsi="宋体" w:cs="宋体" w:eastAsia="宋体" w:hint="default"/>
                <w:sz w:val="21"/>
                <w:szCs w:val="21"/>
              </w:rPr>
            </w:pPr>
            <w:r>
              <w:rPr>
                <w:rFonts w:ascii="宋体" w:hAnsi="宋体" w:cs="宋体" w:eastAsia="宋体" w:hint="default"/>
                <w:sz w:val="21"/>
                <w:szCs w:val="21"/>
              </w:rPr>
              <w:t>小计</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65" w:right="0" w:hanging="53"/>
              <w:jc w:val="left"/>
              <w:rPr>
                <w:rFonts w:ascii="宋体" w:hAnsi="宋体" w:cs="宋体" w:eastAsia="宋体" w:hint="default"/>
                <w:sz w:val="21"/>
                <w:szCs w:val="21"/>
              </w:rPr>
            </w:pPr>
            <w:r>
              <w:rPr>
                <w:rFonts w:ascii="宋体" w:hAnsi="宋体" w:cs="宋体" w:eastAsia="宋体" w:hint="default"/>
                <w:sz w:val="21"/>
                <w:szCs w:val="21"/>
              </w:rPr>
              <w:t>其他关联人及</w:t>
            </w:r>
          </w:p>
          <w:p>
            <w:pPr>
              <w:pStyle w:val="TableParagraph"/>
              <w:spacing w:line="274" w:lineRule="exact"/>
              <w:ind w:left="265" w:right="0"/>
              <w:jc w:val="left"/>
              <w:rPr>
                <w:rFonts w:ascii="宋体" w:hAnsi="宋体" w:cs="宋体" w:eastAsia="宋体" w:hint="default"/>
                <w:sz w:val="21"/>
                <w:szCs w:val="21"/>
              </w:rPr>
            </w:pPr>
            <w:r>
              <w:rPr>
                <w:rFonts w:ascii="宋体" w:hAnsi="宋体" w:cs="宋体" w:eastAsia="宋体" w:hint="default"/>
                <w:sz w:val="21"/>
                <w:szCs w:val="21"/>
              </w:rPr>
              <w:t>其附属企业</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right="526"/>
              <w:jc w:val="right"/>
              <w:rPr>
                <w:rFonts w:ascii="宋体" w:hAnsi="宋体" w:cs="宋体" w:eastAsia="宋体" w:hint="default"/>
                <w:sz w:val="21"/>
                <w:szCs w:val="21"/>
              </w:rPr>
            </w:pPr>
            <w:r>
              <w:rPr>
                <w:rFonts w:ascii="宋体" w:hAnsi="宋体" w:cs="宋体" w:eastAsia="宋体" w:hint="default"/>
                <w:sz w:val="21"/>
                <w:szCs w:val="21"/>
              </w:rPr>
              <w:t>小计</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9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16"/>
                <w:szCs w:val="16"/>
              </w:rPr>
            </w:pPr>
          </w:p>
          <w:p>
            <w:pPr>
              <w:pStyle w:val="TableParagraph"/>
              <w:spacing w:line="237" w:lineRule="auto"/>
              <w:ind w:left="160" w:right="107" w:firstLine="52"/>
              <w:jc w:val="center"/>
              <w:rPr>
                <w:rFonts w:ascii="宋体" w:hAnsi="宋体" w:cs="宋体" w:eastAsia="宋体" w:hint="default"/>
                <w:sz w:val="21"/>
                <w:szCs w:val="21"/>
              </w:rPr>
            </w:pPr>
            <w:r>
              <w:rPr>
                <w:rFonts w:ascii="宋体" w:hAnsi="宋体" w:cs="宋体" w:eastAsia="宋体" w:hint="default"/>
                <w:sz w:val="21"/>
                <w:szCs w:val="21"/>
              </w:rPr>
              <w:t>上市公司的子 公司及其附属 企业</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现化电脑系统（北京）有限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控股子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hanging="53"/>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20,877,808.36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19,489,355.67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1,388,452.69</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经营性占</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用</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销售</w:t>
            </w:r>
          </w:p>
        </w:tc>
      </w:tr>
      <w:tr>
        <w:trPr>
          <w:trHeight w:val="556" w:hRule="exact"/>
        </w:trPr>
        <w:tc>
          <w:tcPr>
            <w:tcW w:w="1591" w:type="dxa"/>
            <w:vMerge/>
            <w:tcBorders>
              <w:left w:val="single" w:sz="4" w:space="0" w:color="000000"/>
              <w:right w:val="single" w:sz="4" w:space="0" w:color="000000"/>
            </w:tcBorders>
            <w:shd w:val="clear" w:color="auto" w:fill="DCDCDC"/>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上海石基信息技术有限公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控股子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hanging="53"/>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1,529,714.05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2,509,513.14</w:t>
            </w:r>
            <w:r>
              <w:rPr>
                <w:rFonts w:ascii="宋体"/>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144,731.00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3,894,496.19</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非经营性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占用</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借款及代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垫款</w:t>
            </w:r>
          </w:p>
        </w:tc>
      </w:tr>
      <w:tr>
        <w:trPr>
          <w:trHeight w:val="370" w:hRule="exact"/>
        </w:trPr>
        <w:tc>
          <w:tcPr>
            <w:tcW w:w="1591" w:type="dxa"/>
            <w:vMerge/>
            <w:tcBorders>
              <w:left w:val="single" w:sz="4" w:space="0" w:color="000000"/>
              <w:right w:val="single" w:sz="4" w:space="0" w:color="000000"/>
            </w:tcBorders>
            <w:shd w:val="clear" w:color="auto" w:fill="DCDCDC"/>
          </w:tcPr>
          <w:p>
            <w:pP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91" w:type="dxa"/>
            <w:vMerge/>
            <w:tcBorders>
              <w:left w:val="single" w:sz="4" w:space="0" w:color="000000"/>
              <w:bottom w:val="single" w:sz="4" w:space="0" w:color="000000"/>
              <w:right w:val="single" w:sz="4" w:space="0" w:color="000000"/>
            </w:tcBorders>
            <w:shd w:val="clear" w:color="auto" w:fill="DCDCDC"/>
          </w:tcPr>
          <w:p>
            <w:pP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526"/>
              <w:jc w:val="right"/>
              <w:rPr>
                <w:rFonts w:ascii="宋体" w:hAnsi="宋体" w:cs="宋体" w:eastAsia="宋体" w:hint="default"/>
                <w:sz w:val="21"/>
                <w:szCs w:val="21"/>
              </w:rPr>
            </w:pPr>
            <w:r>
              <w:rPr>
                <w:rFonts w:ascii="宋体" w:hAnsi="宋体" w:cs="宋体" w:eastAsia="宋体" w:hint="default"/>
                <w:sz w:val="21"/>
                <w:szCs w:val="21"/>
              </w:rPr>
              <w:t>小计</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1,529,714.05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23,387,321.50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19,634,086.67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5,282,948.88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526"/>
              <w:jc w:val="right"/>
              <w:rPr>
                <w:rFonts w:ascii="宋体" w:hAnsi="宋体" w:cs="宋体" w:eastAsia="宋体" w:hint="default"/>
                <w:sz w:val="21"/>
                <w:szCs w:val="21"/>
              </w:rPr>
            </w:pPr>
            <w:r>
              <w:rPr>
                <w:rFonts w:ascii="宋体" w:hAnsi="宋体" w:cs="宋体" w:eastAsia="宋体" w:hint="default"/>
                <w:sz w:val="21"/>
                <w:szCs w:val="21"/>
              </w:rPr>
              <w:t>合计</w:t>
            </w:r>
          </w:p>
        </w:tc>
        <w:tc>
          <w:tcPr>
            <w:tcW w:w="273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1,529,714.05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23,387,321.50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19,634,086.67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pacing w:val="-1"/>
                <w:sz w:val="21"/>
              </w:rPr>
              <w:t>5,282,948.88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7"/>
          <w:szCs w:val="17"/>
        </w:rPr>
      </w:pPr>
    </w:p>
    <w:p>
      <w:pPr>
        <w:spacing w:before="76"/>
        <w:ind w:left="7330" w:right="7710" w:firstLine="0"/>
        <w:jc w:val="center"/>
        <w:rPr>
          <w:rFonts w:ascii="Times New Roman" w:hAnsi="Times New Roman" w:cs="Times New Roman" w:eastAsia="Times New Roman" w:hint="default"/>
          <w:sz w:val="18"/>
          <w:szCs w:val="18"/>
        </w:rPr>
      </w:pPr>
      <w:r>
        <w:rPr>
          <w:rFonts w:ascii="Times New Roman"/>
          <w:sz w:val="18"/>
        </w:rPr>
        <w:t>48</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760" w:bottom="280" w:left="980" w:right="600"/>
        </w:sectPr>
      </w:pPr>
    </w:p>
    <w:p>
      <w:pPr>
        <w:pStyle w:val="BodyText"/>
        <w:spacing w:line="253" w:lineRule="exact"/>
        <w:ind w:left="574" w:right="0"/>
        <w:jc w:val="left"/>
      </w:pPr>
      <w:r>
        <w:rPr/>
        <w:pict>
          <v:shape style="position:absolute;margin-left:56.699997pt;margin-top:36pt;width:30.705994pt;height:19.440002pt;mso-position-horizontal-relative:page;mso-position-vertical-relative:page;z-index:-709240" type="#_x0000_t75" stroked="false">
            <v:imagedata r:id="rId19" o:title=""/>
          </v:shape>
        </w:pict>
      </w:r>
      <w:r>
        <w:rPr/>
        <w:pict>
          <v:group style="position:absolute;margin-left:55.200001pt;margin-top:-.516262pt;width:484.65pt;height:.1pt;mso-position-horizontal-relative:page;mso-position-vertical-relative:paragraph;z-index:2392" coordorigin="1104,-10" coordsize="9693,2">
            <v:shape style="position:absolute;left:1104;top:-10;width:9693;height:2" coordorigin="1104,-10" coordsize="9693,0" path="m1104,-10l10796,-10e" filled="false" stroked="true" strokeweight=".72pt" strokecolor="#000000">
              <v:path arrowok="t"/>
            </v:shape>
            <w10:wrap type="none"/>
          </v:group>
        </w:pict>
      </w:r>
      <w:r>
        <w:rPr>
          <w:rFonts w:ascii="Times New Roman" w:hAnsi="Times New Roman" w:cs="Times New Roman" w:eastAsia="Times New Roman" w:hint="default"/>
        </w:rPr>
        <w:t>2</w:t>
      </w:r>
      <w:r>
        <w:rPr/>
        <w:t>、独立董事对担保事项、关联方资金占用情况及关联交易情况出具的专项说明和独立意见</w:t>
      </w:r>
    </w:p>
    <w:p>
      <w:pPr>
        <w:pStyle w:val="BodyText"/>
        <w:spacing w:line="357" w:lineRule="auto" w:before="117"/>
        <w:ind w:right="216" w:firstLine="420"/>
        <w:jc w:val="left"/>
      </w:pPr>
      <w:r>
        <w:rPr>
          <w:spacing w:val="-1"/>
        </w:rPr>
        <w:t>（1）报告期内，公司不存在为控股股东及本公司持股50%以下的其他关联方、任何非法人单位或个人</w:t>
      </w:r>
      <w:r>
        <w:rPr/>
        <w:t> 提供担保的情况，也无任何形式的对外担保事项，公司累计和当期对外担保金额为零。</w:t>
      </w:r>
    </w:p>
    <w:p>
      <w:pPr>
        <w:pStyle w:val="BodyText"/>
        <w:spacing w:line="240" w:lineRule="auto" w:before="30"/>
        <w:ind w:left="574" w:right="0"/>
        <w:jc w:val="left"/>
      </w:pPr>
      <w:r>
        <w:rPr/>
        <w:t>（2）报告期内，公司不存在控股股东及其他关联方非正常占用公司资金的情况。</w:t>
      </w:r>
    </w:p>
    <w:p>
      <w:pPr>
        <w:pStyle w:val="BodyText"/>
        <w:spacing w:line="355" w:lineRule="auto" w:before="134"/>
        <w:ind w:right="275" w:firstLine="420"/>
        <w:jc w:val="left"/>
      </w:pPr>
      <w:r>
        <w:rPr/>
        <w:t>（3）报告期内，公司没有发生与本公司的股东、股东的控股子公司、股东的附属企业及本公司持股 的其他关联方及公司的董事、监事和高级管理人员（包括其直系亲属）发生任何形式的关联交易行为。</w:t>
      </w:r>
    </w:p>
    <w:p>
      <w:pPr>
        <w:spacing w:line="240" w:lineRule="auto" w:before="12"/>
        <w:rPr>
          <w:rFonts w:ascii="宋体" w:hAnsi="宋体" w:cs="宋体" w:eastAsia="宋体" w:hint="default"/>
          <w:sz w:val="23"/>
          <w:szCs w:val="23"/>
        </w:rPr>
      </w:pPr>
    </w:p>
    <w:p>
      <w:pPr>
        <w:pStyle w:val="Heading3"/>
        <w:spacing w:line="240" w:lineRule="auto"/>
        <w:ind w:left="574" w:right="0"/>
        <w:jc w:val="left"/>
        <w:rPr>
          <w:b w:val="0"/>
          <w:bCs w:val="0"/>
        </w:rPr>
      </w:pPr>
      <w:r>
        <w:rPr/>
        <w:t>七、报告期内，公司重大合同及其履行情况</w:t>
      </w:r>
      <w:r>
        <w:rPr>
          <w:b w:val="0"/>
          <w:bCs w:val="0"/>
        </w:rPr>
      </w:r>
    </w:p>
    <w:p>
      <w:pPr>
        <w:spacing w:line="240" w:lineRule="auto" w:before="2"/>
        <w:rPr>
          <w:rFonts w:ascii="宋体" w:hAnsi="宋体" w:cs="宋体" w:eastAsia="宋体" w:hint="default"/>
          <w:b/>
          <w:bCs/>
          <w:sz w:val="21"/>
          <w:szCs w:val="21"/>
        </w:rPr>
      </w:pPr>
    </w:p>
    <w:p>
      <w:pPr>
        <w:pStyle w:val="Heading3"/>
        <w:spacing w:line="357" w:lineRule="auto"/>
        <w:ind w:left="154" w:right="0" w:firstLine="422"/>
        <w:jc w:val="left"/>
        <w:rPr>
          <w:b w:val="0"/>
          <w:bCs w:val="0"/>
        </w:rPr>
      </w:pPr>
      <w:r>
        <w:rPr>
          <w:spacing w:val="-2"/>
        </w:rPr>
        <w:t>（一）报告期内，本公司未发生且没有以前期间发生延续到报告期的重大托管、承包、租赁公司资产</w:t>
      </w:r>
      <w:r>
        <w:rPr>
          <w:spacing w:val="1"/>
          <w:w w:val="99"/>
        </w:rPr>
        <w:t> </w:t>
      </w:r>
      <w:r>
        <w:rPr/>
        <w:t>等事项。</w:t>
      </w:r>
      <w:r>
        <w:rPr>
          <w:b w:val="0"/>
          <w:bCs w:val="0"/>
        </w:rPr>
      </w:r>
    </w:p>
    <w:p>
      <w:pPr>
        <w:pStyle w:val="Heading3"/>
        <w:spacing w:line="240" w:lineRule="auto" w:before="30"/>
        <w:ind w:left="576" w:right="0"/>
        <w:jc w:val="left"/>
        <w:rPr>
          <w:b w:val="0"/>
          <w:bCs w:val="0"/>
        </w:rPr>
      </w:pPr>
      <w:r>
        <w:rPr/>
        <w:t>（二）报告期内，本公司未发生且没有以前期间发生延续到报告期的重大担保事项。</w:t>
      </w:r>
      <w:r>
        <w:rPr>
          <w:b w:val="0"/>
          <w:bCs w:val="0"/>
        </w:rPr>
      </w:r>
    </w:p>
    <w:p>
      <w:pPr>
        <w:pStyle w:val="Heading3"/>
        <w:spacing w:line="357" w:lineRule="auto" w:before="133"/>
        <w:ind w:left="154" w:right="0" w:firstLine="422"/>
        <w:jc w:val="left"/>
        <w:rPr>
          <w:b w:val="0"/>
          <w:bCs w:val="0"/>
        </w:rPr>
      </w:pPr>
      <w:r>
        <w:rPr>
          <w:spacing w:val="-2"/>
        </w:rPr>
        <w:t>（三）报告期内，本公司未发生且没有以前期间发生延续到报告期的重大委托他人进行现金资产管理</w:t>
      </w:r>
      <w:r>
        <w:rPr>
          <w:w w:val="99"/>
        </w:rPr>
        <w:t> </w:t>
      </w:r>
      <w:r>
        <w:rPr/>
        <w:t>的事项。</w:t>
      </w:r>
      <w:r>
        <w:rPr>
          <w:b w:val="0"/>
          <w:bCs w:val="0"/>
        </w:rPr>
      </w:r>
    </w:p>
    <w:p>
      <w:pPr>
        <w:pStyle w:val="Heading3"/>
        <w:spacing w:line="240" w:lineRule="auto" w:before="30"/>
        <w:ind w:left="576" w:right="0"/>
        <w:jc w:val="left"/>
        <w:rPr>
          <w:b w:val="0"/>
          <w:bCs w:val="0"/>
        </w:rPr>
      </w:pPr>
      <w:r>
        <w:rPr/>
        <w:t>（四）其他重大合同</w:t>
      </w:r>
      <w:r>
        <w:rPr>
          <w:b w:val="0"/>
          <w:bCs w:val="0"/>
        </w:rPr>
      </w:r>
    </w:p>
    <w:p>
      <w:pPr>
        <w:pStyle w:val="BodyText"/>
        <w:spacing w:line="357" w:lineRule="auto" w:before="134"/>
        <w:ind w:right="213" w:firstLine="411"/>
        <w:jc w:val="both"/>
      </w:pPr>
      <w:r>
        <w:rPr/>
        <w:t>公司与MICROS Systems, Inc., (以下简称“MICROS US”)、 MICROS Fidelio Singapore Pte</w:t>
      </w:r>
      <w:r>
        <w:rPr>
          <w:spacing w:val="-40"/>
        </w:rPr>
        <w:t> </w:t>
      </w:r>
      <w:r>
        <w:rPr/>
        <w:t>Ltd.,</w:t>
      </w:r>
      <w:r>
        <w:rPr/>
        <w:t> (以下简称“MICROS Singapore”)</w:t>
      </w:r>
      <w:r>
        <w:rPr>
          <w:spacing w:val="-47"/>
        </w:rPr>
        <w:t> </w:t>
      </w:r>
      <w:r>
        <w:rPr/>
        <w:t>基于良好的合作关系，于2010年2月25日在北京签订了关于《技术许可</w:t>
      </w:r>
      <w:r>
        <w:rPr/>
        <w:t> </w:t>
      </w:r>
      <w:r>
        <w:rPr>
          <w:spacing w:val="-4"/>
        </w:rPr>
        <w:t>与代理协议》的第四次补充协议（以下简称“协议”）。在此之前，2003年6月30日，本公司曾与MICROS</w:t>
      </w:r>
      <w:r>
        <w:rPr>
          <w:spacing w:val="-40"/>
        </w:rPr>
        <w:t> </w:t>
      </w:r>
      <w:r>
        <w:rPr/>
        <w:t>US</w:t>
      </w:r>
      <w:r>
        <w:rPr>
          <w:spacing w:val="-101"/>
        </w:rPr>
        <w:t> </w:t>
      </w:r>
      <w:r>
        <w:rPr>
          <w:spacing w:val="-101"/>
        </w:rPr>
      </w:r>
      <w:r>
        <w:rPr/>
        <w:t>和MICROS</w:t>
      </w:r>
      <w:r>
        <w:rPr>
          <w:spacing w:val="-37"/>
        </w:rPr>
        <w:t> </w:t>
      </w:r>
      <w:r>
        <w:rPr>
          <w:spacing w:val="-4"/>
        </w:rPr>
        <w:t>Singapore（以下简称“MICROS”）签订了《技术许可与代理协议》，并分别于2005年11月、2006</w:t>
      </w:r>
      <w:r>
        <w:rPr>
          <w:spacing w:val="-98"/>
        </w:rPr>
        <w:t> </w:t>
      </w:r>
      <w:r>
        <w:rPr>
          <w:spacing w:val="-98"/>
        </w:rPr>
      </w:r>
      <w:r>
        <w:rPr/>
        <w:t>年12月和2007年10月与MICROS相继签署了第一、二、三次补充协议。</w:t>
      </w:r>
    </w:p>
    <w:p>
      <w:pPr>
        <w:pStyle w:val="BodyText"/>
        <w:spacing w:line="355" w:lineRule="auto" w:before="31"/>
        <w:ind w:right="0" w:firstLine="411"/>
        <w:jc w:val="left"/>
      </w:pPr>
      <w:r>
        <w:rPr>
          <w:spacing w:val="-3"/>
        </w:rPr>
        <w:t>详见公司于2010年2月26日刊登于《中国证券报》、《证券时报》及巨潮资讯网</w:t>
      </w:r>
      <w:hyperlink r:id="rId11">
        <w:r>
          <w:rPr>
            <w:spacing w:val="-3"/>
          </w:rPr>
          <w:t>（www.cninfo.com.cn）</w:t>
        </w:r>
      </w:hyperlink>
      <w:r>
        <w:rPr>
          <w:spacing w:val="-1"/>
        </w:rPr>
        <w:t> </w:t>
      </w:r>
      <w:r>
        <w:rPr/>
        <w:t>的《重大合同公告》。</w:t>
      </w:r>
    </w:p>
    <w:p>
      <w:pPr>
        <w:spacing w:line="240" w:lineRule="auto" w:before="12"/>
        <w:rPr>
          <w:rFonts w:ascii="宋体" w:hAnsi="宋体" w:cs="宋体" w:eastAsia="宋体" w:hint="default"/>
          <w:sz w:val="23"/>
          <w:szCs w:val="23"/>
        </w:rPr>
      </w:pPr>
    </w:p>
    <w:p>
      <w:pPr>
        <w:pStyle w:val="Heading3"/>
        <w:spacing w:line="240" w:lineRule="auto"/>
        <w:ind w:left="574" w:right="0"/>
        <w:jc w:val="left"/>
        <w:rPr>
          <w:b w:val="0"/>
          <w:bCs w:val="0"/>
        </w:rPr>
      </w:pPr>
      <w:r>
        <w:rPr/>
        <w:t>八、承诺事项履行情况</w:t>
      </w:r>
      <w:r>
        <w:rPr>
          <w:b w:val="0"/>
          <w:bCs w:val="0"/>
        </w:rPr>
      </w:r>
    </w:p>
    <w:p>
      <w:pPr>
        <w:spacing w:line="240" w:lineRule="auto" w:before="2"/>
        <w:rPr>
          <w:rFonts w:ascii="宋体" w:hAnsi="宋体" w:cs="宋体" w:eastAsia="宋体" w:hint="default"/>
          <w:b/>
          <w:bCs/>
          <w:sz w:val="21"/>
          <w:szCs w:val="21"/>
        </w:rPr>
      </w:pPr>
    </w:p>
    <w:p>
      <w:pPr>
        <w:pStyle w:val="BodyText"/>
        <w:spacing w:line="357" w:lineRule="auto"/>
        <w:ind w:right="198" w:firstLine="420"/>
        <w:jc w:val="left"/>
      </w:pPr>
      <w:r>
        <w:rPr/>
        <w:t>报告期内，公司或持有公司股份 5%以上（含</w:t>
      </w:r>
      <w:r>
        <w:rPr>
          <w:spacing w:val="-28"/>
        </w:rPr>
        <w:t> </w:t>
      </w:r>
      <w:r>
        <w:rPr/>
        <w:t>5%）的股东没有发生对公司财务状况、经营成果可能产</w:t>
      </w:r>
      <w:r>
        <w:rPr/>
        <w:t> 生重要影响的承诺事项。</w:t>
      </w:r>
    </w:p>
    <w:p>
      <w:pPr>
        <w:pStyle w:val="BodyText"/>
        <w:spacing w:line="550" w:lineRule="atLeast" w:before="34"/>
        <w:ind w:left="574" w:right="214" w:firstLine="2"/>
        <w:jc w:val="left"/>
      </w:pPr>
      <w:r>
        <w:rPr>
          <w:rFonts w:ascii="宋体" w:hAnsi="宋体" w:cs="宋体" w:eastAsia="宋体" w:hint="default"/>
          <w:b/>
          <w:bCs/>
        </w:rPr>
        <w:t>（一）股份限售的承诺</w:t>
      </w:r>
      <w:r>
        <w:rPr>
          <w:rFonts w:ascii="宋体" w:hAnsi="宋体" w:cs="宋体" w:eastAsia="宋体" w:hint="default"/>
          <w:b/>
          <w:bCs/>
          <w:w w:val="99"/>
        </w:rPr>
        <w:t> </w:t>
      </w:r>
      <w:r>
        <w:rPr>
          <w:spacing w:val="-1"/>
        </w:rPr>
        <w:t>发行前股东、公司董事长、控股股东李仲初先生承诺：自本公司股票上市之日起三十六个月内，不转</w:t>
      </w:r>
    </w:p>
    <w:p>
      <w:pPr>
        <w:pStyle w:val="BodyText"/>
        <w:spacing w:line="357" w:lineRule="auto" w:before="133"/>
        <w:ind w:right="215"/>
        <w:jc w:val="both"/>
      </w:pPr>
      <w:r>
        <w:rPr>
          <w:spacing w:val="-1"/>
        </w:rPr>
        <w:t>让或者委托他人管理其持有的发行人股份，也不由发行人回购其持有的股份。三十六个月后，任职期间每</w:t>
      </w:r>
      <w:r>
        <w:rPr>
          <w:spacing w:val="-89"/>
        </w:rPr>
        <w:t> </w:t>
      </w:r>
      <w:r>
        <w:rPr>
          <w:spacing w:val="-89"/>
        </w:rPr>
      </w:r>
      <w:r>
        <w:rPr/>
        <w:t>年转让的股份不得超过其所持有本公司股份总数的</w:t>
      </w:r>
      <w:r>
        <w:rPr>
          <w:spacing w:val="-31"/>
        </w:rPr>
        <w:t> </w:t>
      </w:r>
      <w:r>
        <w:rPr/>
        <w:t>25%，离职后半年内不转让其所持有的本公司股份，其</w:t>
      </w:r>
      <w:r>
        <w:rPr/>
        <w:t> 后一年转让不超过</w:t>
      </w:r>
      <w:r>
        <w:rPr>
          <w:spacing w:val="-55"/>
        </w:rPr>
        <w:t> </w:t>
      </w:r>
      <w:r>
        <w:rPr/>
        <w:t>50%的所持有本公司股份。</w:t>
      </w:r>
    </w:p>
    <w:p>
      <w:pPr>
        <w:pStyle w:val="BodyText"/>
        <w:spacing w:line="355" w:lineRule="auto" w:before="31"/>
        <w:ind w:right="217" w:firstLine="420"/>
        <w:jc w:val="both"/>
      </w:pPr>
      <w:r>
        <w:rPr>
          <w:spacing w:val="-1"/>
        </w:rPr>
        <w:t>发行前股东、公司副董事长李殿坤先生承诺：所持本公司股份自公司股票上市交易之日起一年内不转</w:t>
      </w:r>
      <w:r>
        <w:rPr/>
        <w:t> </w:t>
      </w:r>
      <w:r>
        <w:rPr>
          <w:spacing w:val="-1"/>
        </w:rPr>
        <w:t>让；一年后在其任职期间每年转让的股份不得超过其所持有本公司股份总数的百分之二十五；离职后半年</w:t>
      </w:r>
      <w:r>
        <w:rPr>
          <w:spacing w:val="-89"/>
        </w:rPr>
        <w:t> </w:t>
      </w:r>
      <w:r>
        <w:rPr>
          <w:spacing w:val="-89"/>
        </w:rPr>
      </w:r>
      <w:r>
        <w:rPr>
          <w:spacing w:val="-1"/>
        </w:rPr>
        <w:t>内不转让其所持有的本公司股份，其后一年转让不超过</w:t>
      </w:r>
      <w:r>
        <w:rPr>
          <w:spacing w:val="-52"/>
        </w:rPr>
        <w:t> </w:t>
      </w:r>
      <w:r>
        <w:rPr>
          <w:spacing w:val="-1"/>
        </w:rPr>
        <w:t>50%的所持有本公司股份。</w:t>
      </w:r>
      <w:r>
        <w:rPr/>
      </w:r>
    </w:p>
    <w:p>
      <w:pPr>
        <w:pStyle w:val="BodyText"/>
        <w:spacing w:line="355" w:lineRule="auto" w:before="33"/>
        <w:ind w:right="214" w:firstLine="420"/>
        <w:jc w:val="left"/>
      </w:pPr>
      <w:r>
        <w:rPr>
          <w:spacing w:val="-1"/>
        </w:rPr>
        <w:t>报告期内，全体股东信守承诺，没有转让或委托他人管理其持有的公司股份，也没有由公司收购该股</w:t>
      </w:r>
      <w:r>
        <w:rPr/>
        <w:t> 份。</w:t>
      </w:r>
    </w:p>
    <w:p>
      <w:pPr>
        <w:spacing w:after="0" w:line="355" w:lineRule="auto"/>
        <w:jc w:val="left"/>
        <w:sectPr>
          <w:headerReference w:type="default" r:id="rId17"/>
          <w:footerReference w:type="default" r:id="rId18"/>
          <w:pgSz w:w="11910" w:h="16840"/>
          <w:pgMar w:header="928" w:footer="0" w:top="1200" w:bottom="280" w:left="980" w:right="920"/>
        </w:sectPr>
      </w:pPr>
    </w:p>
    <w:p>
      <w:pPr>
        <w:pStyle w:val="Heading3"/>
        <w:spacing w:line="240" w:lineRule="auto" w:before="31"/>
        <w:ind w:left="616" w:right="185"/>
        <w:jc w:val="left"/>
        <w:rPr>
          <w:b w:val="0"/>
          <w:bCs w:val="0"/>
        </w:rPr>
      </w:pPr>
      <w:r>
        <w:rPr/>
        <w:pict>
          <v:group style="position:absolute;margin-left:55.200001pt;margin-top:2.953984pt;width:484.65pt;height:.1pt;mso-position-horizontal-relative:page;mso-position-vertical-relative:paragraph;z-index:-709192" coordorigin="1104,59" coordsize="9693,2">
            <v:shape style="position:absolute;left:1104;top:59;width:9693;height:2" coordorigin="1104,59" coordsize="9693,0" path="m1104,59l10796,59e" filled="false" stroked="true" strokeweight=".72pt" strokecolor="#000000">
              <v:path arrowok="t"/>
            </v:shape>
            <w10:wrap type="none"/>
          </v:group>
        </w:pict>
      </w:r>
      <w:r>
        <w:rPr/>
        <w:t>（二）避免同业竞争的承诺</w:t>
      </w:r>
      <w:r>
        <w:rPr>
          <w:b w:val="0"/>
          <w:bCs w:val="0"/>
        </w:rPr>
      </w:r>
    </w:p>
    <w:p>
      <w:pPr>
        <w:spacing w:line="240" w:lineRule="auto" w:before="4"/>
        <w:rPr>
          <w:rFonts w:ascii="宋体" w:hAnsi="宋体" w:cs="宋体" w:eastAsia="宋体" w:hint="default"/>
          <w:b/>
          <w:bCs/>
          <w:sz w:val="21"/>
          <w:szCs w:val="21"/>
        </w:rPr>
      </w:pPr>
    </w:p>
    <w:p>
      <w:pPr>
        <w:pStyle w:val="BodyText"/>
        <w:spacing w:line="357" w:lineRule="auto"/>
        <w:ind w:left="194" w:right="196" w:firstLine="420"/>
        <w:jc w:val="both"/>
      </w:pPr>
      <w:r>
        <w:rPr>
          <w:spacing w:val="-1"/>
        </w:rPr>
        <w:t>为避免将来可能出现与本公司的同业竞争，本公司主要股东以及作为股东的董事、监事、高级管理人</w:t>
      </w:r>
      <w:r>
        <w:rPr/>
        <w:t> </w:t>
      </w:r>
      <w:r>
        <w:rPr>
          <w:spacing w:val="-1"/>
        </w:rPr>
        <w:t>员作出了重要承诺，承诺将不会直接或间接从事与本公司相同、相似的业务，也不在与本公司有相同、相</w:t>
      </w:r>
      <w:r>
        <w:rPr>
          <w:spacing w:val="-91"/>
        </w:rPr>
        <w:t> </w:t>
      </w:r>
      <w:r>
        <w:rPr>
          <w:spacing w:val="-91"/>
        </w:rPr>
      </w:r>
      <w:r>
        <w:rPr/>
        <w:t>似业务的其他企业任职。</w:t>
      </w:r>
    </w:p>
    <w:p>
      <w:pPr>
        <w:pStyle w:val="BodyText"/>
        <w:spacing w:line="240" w:lineRule="auto" w:before="30"/>
        <w:ind w:left="614" w:right="185"/>
        <w:jc w:val="left"/>
      </w:pPr>
      <w:r>
        <w:rPr/>
        <w:t>报告期内，本公司承诺股东均遵守了所做的承诺，上述承诺事项仍在严格履行中。</w:t>
      </w:r>
    </w:p>
    <w:p>
      <w:pPr>
        <w:spacing w:line="240" w:lineRule="auto" w:before="0"/>
        <w:rPr>
          <w:rFonts w:ascii="宋体" w:hAnsi="宋体" w:cs="宋体" w:eastAsia="宋体" w:hint="default"/>
          <w:sz w:val="20"/>
          <w:szCs w:val="20"/>
        </w:rPr>
      </w:pPr>
    </w:p>
    <w:p>
      <w:pPr>
        <w:pStyle w:val="Heading3"/>
        <w:spacing w:line="240" w:lineRule="auto" w:before="152"/>
        <w:ind w:left="614" w:right="185"/>
        <w:jc w:val="left"/>
        <w:rPr>
          <w:b w:val="0"/>
          <w:bCs w:val="0"/>
        </w:rPr>
      </w:pPr>
      <w:r>
        <w:rPr/>
        <w:t>九、报告期内，公司聘任会计师事务所情况</w:t>
      </w:r>
      <w:r>
        <w:rPr>
          <w:b w:val="0"/>
          <w:bCs w:val="0"/>
        </w:rPr>
      </w:r>
    </w:p>
    <w:p>
      <w:pPr>
        <w:spacing w:line="240" w:lineRule="auto" w:before="2"/>
        <w:rPr>
          <w:rFonts w:ascii="宋体" w:hAnsi="宋体" w:cs="宋体" w:eastAsia="宋体" w:hint="default"/>
          <w:b/>
          <w:bCs/>
          <w:sz w:val="21"/>
          <w:szCs w:val="21"/>
        </w:rPr>
      </w:pPr>
    </w:p>
    <w:p>
      <w:pPr>
        <w:pStyle w:val="BodyText"/>
        <w:spacing w:line="357" w:lineRule="auto"/>
        <w:ind w:left="614" w:right="185"/>
        <w:jc w:val="left"/>
      </w:pPr>
      <w:r>
        <w:rPr/>
        <w:t>报告期内，本公司聘任的会计师事务所没有发生变更，仍为武汉众环会计师事务所有限责任公司。 该所已连续</w:t>
      </w:r>
      <w:r>
        <w:rPr>
          <w:spacing w:val="-29"/>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年为本公司提供了审计服务，公司需支付该会计师事务所的</w:t>
      </w:r>
      <w:r>
        <w:rPr>
          <w:spacing w:val="-28"/>
        </w:rPr>
        <w:t> </w:t>
      </w:r>
      <w:r>
        <w:rPr/>
        <w:t>2010</w:t>
      </w:r>
      <w:r>
        <w:rPr>
          <w:spacing w:val="-28"/>
        </w:rPr>
        <w:t> </w:t>
      </w:r>
      <w:r>
        <w:rPr/>
        <w:t>年度审计费用为</w:t>
      </w:r>
      <w:r>
        <w:rPr>
          <w:spacing w:val="-28"/>
        </w:rPr>
        <w:t> </w:t>
      </w:r>
      <w:r>
        <w:rPr/>
        <w:t>40</w:t>
      </w:r>
    </w:p>
    <w:p>
      <w:pPr>
        <w:pStyle w:val="BodyText"/>
        <w:spacing w:line="357" w:lineRule="auto" w:before="3"/>
        <w:ind w:left="193" w:right="185"/>
        <w:jc w:val="left"/>
      </w:pPr>
      <w:r>
        <w:rPr>
          <w:spacing w:val="-1"/>
        </w:rPr>
        <w:t>万元，为本公司审计业务签字的注册会计师符合《证券期货审计业务签字注册会计师定期轮换规定》的文</w:t>
      </w:r>
      <w:r>
        <w:rPr>
          <w:spacing w:val="-89"/>
        </w:rPr>
        <w:t> </w:t>
      </w:r>
      <w:r>
        <w:rPr>
          <w:spacing w:val="-89"/>
        </w:rPr>
      </w:r>
      <w:r>
        <w:rPr/>
        <w:t>件要求。</w:t>
      </w:r>
    </w:p>
    <w:p>
      <w:pPr>
        <w:spacing w:line="550" w:lineRule="atLeast" w:before="34"/>
        <w:ind w:left="613" w:right="195" w:firstLine="0"/>
        <w:jc w:val="left"/>
        <w:rPr>
          <w:rFonts w:ascii="宋体" w:hAnsi="宋体" w:cs="宋体" w:eastAsia="宋体" w:hint="default"/>
          <w:sz w:val="21"/>
          <w:szCs w:val="21"/>
        </w:rPr>
      </w:pPr>
      <w:r>
        <w:rPr>
          <w:rFonts w:ascii="宋体" w:hAnsi="宋体" w:cs="宋体" w:eastAsia="宋体" w:hint="default"/>
          <w:b/>
          <w:bCs/>
          <w:sz w:val="21"/>
          <w:szCs w:val="21"/>
        </w:rPr>
        <w:t>十、公司及董事、监事、高级管理人员、公司股东、实际控制人受处罚情况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报告期内公司及董事、监事、高级管理人员、公司股东、实际控制人没有受有权机关调查、司法纪检</w:t>
      </w:r>
    </w:p>
    <w:p>
      <w:pPr>
        <w:pStyle w:val="BodyText"/>
        <w:spacing w:line="357" w:lineRule="auto" w:before="133"/>
        <w:ind w:left="193" w:right="185"/>
        <w:jc w:val="left"/>
      </w:pPr>
      <w:r>
        <w:rPr>
          <w:spacing w:val="-1"/>
        </w:rPr>
        <w:t>部门采取强制措施、被移送司法机关或追究刑事责任，未受中国证监会的稽查、行政处罚、证券通报批评</w:t>
      </w:r>
      <w:r>
        <w:rPr>
          <w:spacing w:val="-91"/>
        </w:rPr>
        <w:t> </w:t>
      </w:r>
      <w:r>
        <w:rPr>
          <w:spacing w:val="-91"/>
        </w:rPr>
      </w:r>
      <w:r>
        <w:rPr/>
        <w:t>及证券交易所的公开谴责及其他行政管理部门处罚的情况。</w:t>
      </w:r>
    </w:p>
    <w:p>
      <w:pPr>
        <w:spacing w:line="240" w:lineRule="auto" w:before="9"/>
        <w:rPr>
          <w:rFonts w:ascii="宋体" w:hAnsi="宋体" w:cs="宋体" w:eastAsia="宋体" w:hint="default"/>
          <w:sz w:val="23"/>
          <w:szCs w:val="23"/>
        </w:rPr>
      </w:pPr>
    </w:p>
    <w:p>
      <w:pPr>
        <w:spacing w:line="482" w:lineRule="auto" w:before="0"/>
        <w:ind w:left="613" w:right="5807" w:firstLine="0"/>
        <w:jc w:val="left"/>
        <w:rPr>
          <w:rFonts w:ascii="宋体" w:hAnsi="宋体" w:cs="宋体" w:eastAsia="宋体" w:hint="default"/>
          <w:sz w:val="21"/>
          <w:szCs w:val="21"/>
        </w:rPr>
      </w:pPr>
      <w:r>
        <w:rPr>
          <w:rFonts w:ascii="宋体" w:hAnsi="宋体" w:cs="宋体" w:eastAsia="宋体" w:hint="default"/>
          <w:b/>
          <w:bCs/>
          <w:sz w:val="21"/>
          <w:szCs w:val="21"/>
        </w:rPr>
        <w:t>十一、其他重大事项</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报告期内，公司未发生其他重大事项。 </w:t>
      </w:r>
      <w:r>
        <w:rPr>
          <w:rFonts w:ascii="宋体" w:hAnsi="宋体" w:cs="宋体" w:eastAsia="宋体" w:hint="default"/>
          <w:b/>
          <w:bCs/>
          <w:sz w:val="21"/>
          <w:szCs w:val="21"/>
        </w:rPr>
        <w:t>十二、报告期内公司信息披露情况索引</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691"/>
        <w:gridCol w:w="1244"/>
        <w:gridCol w:w="998"/>
        <w:gridCol w:w="6859"/>
      </w:tblGrid>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9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68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1</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45" w:right="0"/>
              <w:jc w:val="left"/>
              <w:rPr>
                <w:rFonts w:ascii="宋体" w:hAnsi="宋体" w:cs="宋体" w:eastAsia="宋体" w:hint="default"/>
                <w:sz w:val="21"/>
                <w:szCs w:val="21"/>
              </w:rPr>
            </w:pPr>
            <w:r>
              <w:rPr>
                <w:rFonts w:ascii="宋体"/>
                <w:sz w:val="21"/>
              </w:rPr>
              <w:t>2010-1-23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2010-01</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年第一次临时会议决议公告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2</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2010-02</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股票期权激励计划（草案）摘要修订案</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3</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2010-03</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第三届监事会第十四次会议决议公告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0"/>
              <w:jc w:val="center"/>
              <w:rPr>
                <w:rFonts w:ascii="宋体" w:hAnsi="宋体" w:cs="宋体" w:eastAsia="宋体" w:hint="default"/>
                <w:sz w:val="21"/>
                <w:szCs w:val="21"/>
              </w:rPr>
            </w:pPr>
            <w:r>
              <w:rPr>
                <w:rFonts w:ascii="宋体"/>
                <w:sz w:val="21"/>
              </w:rPr>
              <w:t>4</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18"/>
              <w:ind w:left="145" w:right="0"/>
              <w:jc w:val="left"/>
              <w:rPr>
                <w:rFonts w:ascii="宋体" w:hAnsi="宋体" w:cs="宋体" w:eastAsia="宋体" w:hint="default"/>
                <w:sz w:val="21"/>
                <w:szCs w:val="21"/>
              </w:rPr>
            </w:pPr>
            <w:r>
              <w:rPr>
                <w:rFonts w:ascii="宋体"/>
                <w:sz w:val="21"/>
              </w:rPr>
              <w:t>2010-1-26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2010-04</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年第一次临时股东大会通知公告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0"/>
              <w:jc w:val="center"/>
              <w:rPr>
                <w:rFonts w:ascii="宋体" w:hAnsi="宋体" w:cs="宋体" w:eastAsia="宋体" w:hint="default"/>
                <w:sz w:val="21"/>
                <w:szCs w:val="21"/>
              </w:rPr>
            </w:pPr>
            <w:r>
              <w:rPr>
                <w:rFonts w:ascii="宋体"/>
                <w:sz w:val="21"/>
              </w:rPr>
              <w:t>5</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2010-05</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独立董事征集投票权报告书</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sz w:val="21"/>
              </w:rPr>
              <w:t>2010-2-8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2010-06</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年第一次临时股东大会提示性公告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2010-2-12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2010-07</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8</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45" w:right="0"/>
              <w:jc w:val="left"/>
              <w:rPr>
                <w:rFonts w:ascii="宋体" w:hAnsi="宋体" w:cs="宋体" w:eastAsia="宋体" w:hint="default"/>
                <w:sz w:val="21"/>
                <w:szCs w:val="21"/>
              </w:rPr>
            </w:pPr>
            <w:r>
              <w:rPr>
                <w:rFonts w:ascii="宋体"/>
                <w:sz w:val="21"/>
              </w:rPr>
              <w:t>2010-2-22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2010-08</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第三届董事会第十一次会议决议公告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9</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2010-09</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董事会关于股票期权激励计划授予相关事项的公告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1"/>
              <w:jc w:val="center"/>
              <w:rPr>
                <w:rFonts w:ascii="宋体" w:hAnsi="宋体" w:cs="宋体" w:eastAsia="宋体" w:hint="default"/>
                <w:sz w:val="21"/>
                <w:szCs w:val="21"/>
              </w:rPr>
            </w:pPr>
            <w:r>
              <w:rPr>
                <w:rFonts w:ascii="宋体"/>
                <w:sz w:val="21"/>
              </w:rPr>
              <w:t>10</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2010-10</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第三届监事会第十五次会议决议公告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1"/>
              <w:jc w:val="center"/>
              <w:rPr>
                <w:rFonts w:ascii="宋体" w:hAnsi="宋体" w:cs="宋体" w:eastAsia="宋体" w:hint="default"/>
                <w:sz w:val="21"/>
                <w:szCs w:val="21"/>
              </w:rPr>
            </w:pPr>
            <w:r>
              <w:rPr>
                <w:rFonts w:ascii="宋体"/>
                <w:sz w:val="21"/>
              </w:rPr>
              <w:t>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2010-2-24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2010-11</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年度业绩快报</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12</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19"/>
              <w:ind w:left="145" w:right="0"/>
              <w:jc w:val="left"/>
              <w:rPr>
                <w:rFonts w:ascii="宋体" w:hAnsi="宋体" w:cs="宋体" w:eastAsia="宋体" w:hint="default"/>
                <w:sz w:val="21"/>
                <w:szCs w:val="21"/>
              </w:rPr>
            </w:pPr>
            <w:r>
              <w:rPr>
                <w:rFonts w:ascii="宋体"/>
                <w:sz w:val="21"/>
              </w:rPr>
              <w:t>2010-2-26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2010-12</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1"/>
              <w:jc w:val="center"/>
              <w:rPr>
                <w:rFonts w:ascii="宋体" w:hAnsi="宋体" w:cs="宋体" w:eastAsia="宋体" w:hint="default"/>
                <w:sz w:val="21"/>
                <w:szCs w:val="21"/>
              </w:rPr>
            </w:pPr>
            <w:r>
              <w:rPr>
                <w:rFonts w:ascii="宋体"/>
                <w:sz w:val="21"/>
              </w:rPr>
              <w:t>13</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2010-13</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年第二次临时会议决议公告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14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2010-3-11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2010-14</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关于调整股权激励计划名单及数量的公告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15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2010-3-18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2010-15</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董事会关于授予股票期权完成登记的公告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0"/>
              <w:jc w:val="center"/>
              <w:rPr>
                <w:rFonts w:ascii="宋体" w:hAnsi="宋体" w:cs="宋体" w:eastAsia="宋体" w:hint="default"/>
                <w:sz w:val="21"/>
                <w:szCs w:val="21"/>
              </w:rPr>
            </w:pPr>
            <w:r>
              <w:rPr>
                <w:rFonts w:ascii="宋体"/>
                <w:sz w:val="21"/>
              </w:rPr>
              <w:t>16</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45" w:right="0"/>
              <w:jc w:val="left"/>
              <w:rPr>
                <w:rFonts w:ascii="宋体" w:hAnsi="宋体" w:cs="宋体" w:eastAsia="宋体" w:hint="default"/>
                <w:sz w:val="21"/>
                <w:szCs w:val="21"/>
              </w:rPr>
            </w:pPr>
            <w:r>
              <w:rPr>
                <w:rFonts w:ascii="宋体"/>
                <w:sz w:val="21"/>
              </w:rPr>
              <w:t>2010-4-15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2010-16</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第三届董事会第十二次会议决议公告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1"/>
              <w:jc w:val="center"/>
              <w:rPr>
                <w:rFonts w:ascii="宋体" w:hAnsi="宋体" w:cs="宋体" w:eastAsia="宋体" w:hint="default"/>
                <w:sz w:val="21"/>
                <w:szCs w:val="21"/>
              </w:rPr>
            </w:pPr>
            <w:r>
              <w:rPr>
                <w:rFonts w:ascii="宋体"/>
                <w:sz w:val="21"/>
              </w:rPr>
              <w:t>17</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2010-17</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第三届监事会第十六次会议决议公告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right="1"/>
              <w:jc w:val="center"/>
              <w:rPr>
                <w:rFonts w:ascii="宋体" w:hAnsi="宋体" w:cs="宋体" w:eastAsia="宋体" w:hint="default"/>
                <w:sz w:val="21"/>
                <w:szCs w:val="21"/>
              </w:rPr>
            </w:pPr>
            <w:r>
              <w:rPr>
                <w:rFonts w:ascii="宋体"/>
                <w:sz w:val="21"/>
              </w:rPr>
              <w:t>18</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sz w:val="21"/>
              </w:rPr>
              <w:t>2010-18</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年年度报告摘要</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1"/>
              <w:jc w:val="center"/>
              <w:rPr>
                <w:rFonts w:ascii="宋体" w:hAnsi="宋体" w:cs="宋体" w:eastAsia="宋体" w:hint="default"/>
                <w:sz w:val="21"/>
                <w:szCs w:val="21"/>
              </w:rPr>
            </w:pPr>
            <w:r>
              <w:rPr>
                <w:rFonts w:ascii="宋体"/>
                <w:sz w:val="21"/>
              </w:rPr>
              <w:t>19</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2010-19</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董事会关于</w:t>
            </w:r>
            <w:r>
              <w:rPr>
                <w:rFonts w:ascii="宋体" w:hAnsi="宋体" w:cs="宋体" w:eastAsia="宋体" w:hint="default"/>
                <w:spacing w:val="-66"/>
                <w:sz w:val="21"/>
                <w:szCs w:val="21"/>
              </w:rPr>
              <w:t> </w:t>
            </w:r>
            <w:r>
              <w:rPr>
                <w:rFonts w:ascii="宋体" w:hAnsi="宋体" w:cs="宋体" w:eastAsia="宋体" w:hint="default"/>
                <w:sz w:val="21"/>
                <w:szCs w:val="21"/>
              </w:rPr>
              <w:t>2009</w:t>
            </w:r>
            <w:r>
              <w:rPr>
                <w:rFonts w:ascii="宋体" w:hAnsi="宋体" w:cs="宋体" w:eastAsia="宋体" w:hint="default"/>
                <w:spacing w:val="-66"/>
                <w:sz w:val="21"/>
                <w:szCs w:val="21"/>
              </w:rPr>
              <w:t> </w:t>
            </w:r>
            <w:r>
              <w:rPr>
                <w:rFonts w:ascii="宋体" w:hAnsi="宋体" w:cs="宋体" w:eastAsia="宋体" w:hint="default"/>
                <w:sz w:val="21"/>
                <w:szCs w:val="21"/>
              </w:rPr>
              <w:t>年度募集资金存放与使用情况的专项报告</w:t>
            </w:r>
          </w:p>
        </w:tc>
      </w:tr>
    </w:tbl>
    <w:p>
      <w:pPr>
        <w:spacing w:after="0" w:line="253" w:lineRule="exact"/>
        <w:jc w:val="left"/>
        <w:rPr>
          <w:rFonts w:ascii="宋体" w:hAnsi="宋体" w:cs="宋体" w:eastAsia="宋体" w:hint="default"/>
          <w:sz w:val="21"/>
          <w:szCs w:val="21"/>
        </w:rPr>
        <w:sectPr>
          <w:headerReference w:type="default" r:id="rId20"/>
          <w:footerReference w:type="default" r:id="rId21"/>
          <w:pgSz w:w="11910" w:h="16840"/>
          <w:pgMar w:header="720" w:footer="707" w:top="1060" w:bottom="900" w:left="940" w:right="940"/>
          <w:pgNumType w:start="50"/>
        </w:sectPr>
      </w:pPr>
    </w:p>
    <w:tbl>
      <w:tblPr>
        <w:tblW w:w="0" w:type="auto"/>
        <w:jc w:val="left"/>
        <w:tblInd w:w="108" w:type="dxa"/>
        <w:tblLayout w:type="fixed"/>
        <w:tblCellMar>
          <w:top w:w="0" w:type="dxa"/>
          <w:left w:w="0" w:type="dxa"/>
          <w:bottom w:w="0" w:type="dxa"/>
          <w:right w:w="0" w:type="dxa"/>
        </w:tblCellMar>
        <w:tblLook w:val="01E0"/>
      </w:tblPr>
      <w:tblGrid>
        <w:gridCol w:w="691"/>
        <w:gridCol w:w="1244"/>
        <w:gridCol w:w="998"/>
        <w:gridCol w:w="6859"/>
      </w:tblGrid>
      <w:tr>
        <w:trPr>
          <w:trHeight w:val="307" w:hRule="exact"/>
        </w:trPr>
        <w:tc>
          <w:tcPr>
            <w:tcW w:w="691"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1"/>
                <w:szCs w:val="21"/>
              </w:rPr>
            </w:pPr>
            <w:r>
              <w:rPr>
                <w:rFonts w:ascii="宋体"/>
                <w:sz w:val="21"/>
              </w:rPr>
              <w:t>20</w:t>
            </w:r>
          </w:p>
        </w:tc>
        <w:tc>
          <w:tcPr>
            <w:tcW w:w="1244" w:type="dxa"/>
            <w:vMerge w:val="restart"/>
            <w:tcBorders>
              <w:top w:val="single" w:sz="6" w:space="0" w:color="000000"/>
              <w:left w:val="single" w:sz="4" w:space="0" w:color="000000"/>
              <w:right w:val="single" w:sz="4" w:space="0" w:color="000000"/>
            </w:tcBorders>
          </w:tcPr>
          <w:p>
            <w:pPr/>
          </w:p>
        </w:tc>
        <w:tc>
          <w:tcPr>
            <w:tcW w:w="998" w:type="dxa"/>
            <w:tcBorders>
              <w:top w:val="single" w:sz="6"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sz w:val="21"/>
              </w:rPr>
              <w:t>2010-20</w:t>
            </w:r>
          </w:p>
        </w:tc>
        <w:tc>
          <w:tcPr>
            <w:tcW w:w="6859" w:type="dxa"/>
            <w:tcBorders>
              <w:top w:val="single" w:sz="6"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3"/>
                <w:sz w:val="21"/>
                <w:szCs w:val="21"/>
              </w:rPr>
              <w:t> </w:t>
            </w:r>
            <w:r>
              <w:rPr>
                <w:rFonts w:ascii="宋体" w:hAnsi="宋体" w:cs="宋体" w:eastAsia="宋体" w:hint="default"/>
                <w:sz w:val="21"/>
                <w:szCs w:val="21"/>
              </w:rPr>
              <w:t>2009</w:t>
            </w:r>
            <w:r>
              <w:rPr>
                <w:rFonts w:ascii="宋体" w:hAnsi="宋体" w:cs="宋体" w:eastAsia="宋体" w:hint="default"/>
                <w:spacing w:val="-62"/>
                <w:sz w:val="21"/>
                <w:szCs w:val="21"/>
              </w:rPr>
              <w:t> </w:t>
            </w:r>
            <w:r>
              <w:rPr>
                <w:rFonts w:ascii="宋体" w:hAnsi="宋体" w:cs="宋体" w:eastAsia="宋体" w:hint="default"/>
                <w:sz w:val="21"/>
                <w:szCs w:val="21"/>
              </w:rPr>
              <w:t>年年度股东大会通知的公告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21</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2010-21</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3"/>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年年度报告网络说明会的通知</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22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2010-4-16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2010-22</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年第一季度报告业绩预告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23</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45" w:right="0"/>
              <w:jc w:val="left"/>
              <w:rPr>
                <w:rFonts w:ascii="宋体" w:hAnsi="宋体" w:cs="宋体" w:eastAsia="宋体" w:hint="default"/>
                <w:sz w:val="21"/>
                <w:szCs w:val="21"/>
              </w:rPr>
            </w:pPr>
            <w:r>
              <w:rPr>
                <w:rFonts w:ascii="宋体"/>
                <w:sz w:val="21"/>
              </w:rPr>
              <w:t>2010-4-28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2010-23</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年第三次临时会议决议公告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24</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2010-24</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第三届监事会第十七次会议决议公告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25</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sz w:val="21"/>
              </w:rPr>
              <w:t>2010-25</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7"/>
                <w:sz w:val="21"/>
                <w:szCs w:val="21"/>
              </w:rPr>
              <w:t> </w:t>
            </w:r>
            <w:r>
              <w:rPr>
                <w:rFonts w:ascii="宋体" w:hAnsi="宋体" w:cs="宋体" w:eastAsia="宋体" w:hint="default"/>
                <w:sz w:val="21"/>
                <w:szCs w:val="21"/>
              </w:rPr>
              <w:t>年第一季度季度报告正文</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26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sz w:val="21"/>
              </w:rPr>
              <w:t>2010-5-7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2010-26</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5"/>
                <w:sz w:val="21"/>
                <w:szCs w:val="21"/>
              </w:rPr>
              <w:t> </w:t>
            </w:r>
            <w:r>
              <w:rPr>
                <w:rFonts w:ascii="宋体" w:hAnsi="宋体" w:cs="宋体" w:eastAsia="宋体" w:hint="default"/>
                <w:sz w:val="21"/>
                <w:szCs w:val="21"/>
              </w:rPr>
              <w:t>年年度股东大会会议</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27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2010-5-17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2010-27</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8"/>
                <w:sz w:val="21"/>
                <w:szCs w:val="21"/>
              </w:rPr>
              <w:t> </w:t>
            </w:r>
            <w:r>
              <w:rPr>
                <w:rFonts w:ascii="宋体" w:hAnsi="宋体" w:cs="宋体" w:eastAsia="宋体" w:hint="default"/>
                <w:sz w:val="21"/>
                <w:szCs w:val="21"/>
              </w:rPr>
              <w:t>年度权益分派方案实施公告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28</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45" w:right="0"/>
              <w:jc w:val="left"/>
              <w:rPr>
                <w:rFonts w:ascii="宋体" w:hAnsi="宋体" w:cs="宋体" w:eastAsia="宋体" w:hint="default"/>
                <w:sz w:val="21"/>
                <w:szCs w:val="21"/>
              </w:rPr>
            </w:pPr>
            <w:r>
              <w:rPr>
                <w:rFonts w:ascii="宋体"/>
                <w:sz w:val="21"/>
              </w:rPr>
              <w:t>2010-5-29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2010-28</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年第四次临时会议决议公告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29</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2010-29</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关于首次公开发行股票节余募集资金永久补充流动资金的公告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30</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2010-30</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第三届监事会第十八次会议决议公告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31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2010-6-23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2010-31</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年第五次临时会议决议公告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32</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113"/>
              <w:ind w:left="197" w:right="0"/>
              <w:jc w:val="left"/>
              <w:rPr>
                <w:rFonts w:ascii="宋体" w:hAnsi="宋体" w:cs="宋体" w:eastAsia="宋体" w:hint="default"/>
                <w:sz w:val="21"/>
                <w:szCs w:val="21"/>
              </w:rPr>
            </w:pPr>
            <w:r>
              <w:rPr>
                <w:rFonts w:ascii="宋体"/>
                <w:sz w:val="21"/>
              </w:rPr>
              <w:t>2010-7-3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2010-32</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年第六次临时会议决议公告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33</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2010-33</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关于签署《南京银石计算机系统有限公司股权转让框架协议》的公告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2010-7-22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sz w:val="21"/>
              </w:rPr>
              <w:t>2010-34</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关于签署《南京银石计算机系统有限公司股权转让框架协议》的进展公告</w:t>
            </w:r>
            <w:r>
              <w:rPr>
                <w:rFonts w:ascii="宋体" w:hAnsi="宋体" w:cs="宋体" w:eastAsia="宋体" w:hint="default"/>
                <w:sz w:val="21"/>
                <w:szCs w:val="21"/>
              </w:rPr>
            </w:r>
          </w:p>
        </w:tc>
      </w:tr>
      <w:tr>
        <w:trPr>
          <w:trHeight w:val="556"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6"/>
              <w:ind w:right="1"/>
              <w:jc w:val="center"/>
              <w:rPr>
                <w:rFonts w:ascii="宋体" w:hAnsi="宋体" w:cs="宋体" w:eastAsia="宋体" w:hint="default"/>
                <w:sz w:val="21"/>
                <w:szCs w:val="21"/>
              </w:rPr>
            </w:pPr>
            <w:r>
              <w:rPr>
                <w:rFonts w:ascii="宋体"/>
                <w:sz w:val="21"/>
              </w:rPr>
              <w:t>35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2010-7-23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2010-35</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关于签署《南京银石计算机系统有限公司股权转让框架协议》的进展补充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宋体"/>
                <w:sz w:val="21"/>
              </w:rPr>
              <w:t>36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2010-7-31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sz w:val="21"/>
              </w:rPr>
              <w:t>2010-36</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关于签署《南京银石计算机系统有限公司股权转让框架协议》的进展公告</w:t>
            </w:r>
            <w:r>
              <w:rPr>
                <w:rFonts w:ascii="宋体" w:hAnsi="宋体" w:cs="宋体" w:eastAsia="宋体" w:hint="default"/>
                <w:sz w:val="21"/>
                <w:szCs w:val="21"/>
              </w:rPr>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37</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45" w:right="0"/>
              <w:jc w:val="left"/>
              <w:rPr>
                <w:rFonts w:ascii="宋体" w:hAnsi="宋体" w:cs="宋体" w:eastAsia="宋体" w:hint="default"/>
                <w:sz w:val="21"/>
                <w:szCs w:val="21"/>
              </w:rPr>
            </w:pPr>
            <w:r>
              <w:rPr>
                <w:rFonts w:ascii="宋体"/>
                <w:sz w:val="21"/>
              </w:rPr>
              <w:t>2010-8-23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2010-37</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限售股份上市流通提示性公告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38</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2010-38</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第三届董事会第十三次会议决议公告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39</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2010-39</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第三届监事会第十九次会议决议公告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40</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sz w:val="21"/>
              </w:rPr>
              <w:t>2010-40</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4"/>
                <w:sz w:val="21"/>
                <w:szCs w:val="21"/>
              </w:rPr>
              <w:t> </w:t>
            </w:r>
            <w:r>
              <w:rPr>
                <w:rFonts w:ascii="宋体" w:hAnsi="宋体" w:cs="宋体" w:eastAsia="宋体" w:hint="default"/>
                <w:sz w:val="21"/>
                <w:szCs w:val="21"/>
              </w:rPr>
              <w:t>年半年度报告摘要</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41</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2010-41</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关于向全资子公司南京银石计算机系统有限公司增资的公告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0"/>
              <w:jc w:val="center"/>
              <w:rPr>
                <w:rFonts w:ascii="宋体" w:hAnsi="宋体" w:cs="宋体" w:eastAsia="宋体" w:hint="default"/>
                <w:sz w:val="21"/>
                <w:szCs w:val="21"/>
              </w:rPr>
            </w:pPr>
            <w:r>
              <w:rPr>
                <w:rFonts w:ascii="宋体"/>
                <w:sz w:val="21"/>
              </w:rPr>
              <w:t>42</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92" w:right="0"/>
              <w:jc w:val="left"/>
              <w:rPr>
                <w:rFonts w:ascii="宋体" w:hAnsi="宋体" w:cs="宋体" w:eastAsia="宋体" w:hint="default"/>
                <w:sz w:val="21"/>
                <w:szCs w:val="21"/>
              </w:rPr>
            </w:pPr>
            <w:r>
              <w:rPr>
                <w:rFonts w:ascii="宋体"/>
                <w:sz w:val="21"/>
              </w:rPr>
              <w:t>2010-10-29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2010-42</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年第七次临时会议决议公告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43</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2010-43</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第三届监事会第二十次会议决议公告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44</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sz w:val="21"/>
              </w:rPr>
              <w:t>2010-44</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7"/>
                <w:sz w:val="21"/>
                <w:szCs w:val="21"/>
              </w:rPr>
              <w:t> </w:t>
            </w:r>
            <w:r>
              <w:rPr>
                <w:rFonts w:ascii="宋体" w:hAnsi="宋体" w:cs="宋体" w:eastAsia="宋体" w:hint="default"/>
                <w:sz w:val="21"/>
                <w:szCs w:val="21"/>
              </w:rPr>
              <w:t>年第三季度季度报告正文</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45</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2010-45</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年第二次临时股东大会通知公告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46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2010-10-30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2010-46</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执行总裁辞职公告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宋体"/>
                <w:sz w:val="21"/>
              </w:rPr>
              <w:t>47</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92" w:right="0"/>
              <w:jc w:val="left"/>
              <w:rPr>
                <w:rFonts w:ascii="宋体" w:hAnsi="宋体" w:cs="宋体" w:eastAsia="宋体" w:hint="default"/>
                <w:sz w:val="21"/>
                <w:szCs w:val="21"/>
              </w:rPr>
            </w:pPr>
            <w:r>
              <w:rPr>
                <w:rFonts w:ascii="宋体"/>
                <w:sz w:val="21"/>
              </w:rPr>
              <w:t>2010-11-16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2010-47</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r>
      <w:tr>
        <w:trPr>
          <w:trHeight w:val="294"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宋体"/>
                <w:sz w:val="21"/>
              </w:rPr>
              <w:t>48</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2010-48</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第四届董事会第一次会议决议公告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49</w:t>
            </w:r>
          </w:p>
        </w:tc>
        <w:tc>
          <w:tcPr>
            <w:tcW w:w="1244" w:type="dxa"/>
            <w:vMerge/>
            <w:tcBorders>
              <w:left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2010-49</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第四届监事会第一次会议决议公告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50</w:t>
            </w:r>
          </w:p>
        </w:tc>
        <w:tc>
          <w:tcPr>
            <w:tcW w:w="1244" w:type="dxa"/>
            <w:vMerge/>
            <w:tcBorders>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2010-50</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关于选举第四届监事会职工监事的公告</w:t>
            </w:r>
          </w:p>
        </w:tc>
      </w:tr>
      <w:tr>
        <w:trPr>
          <w:trHeight w:val="295"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宋体"/>
                <w:sz w:val="21"/>
              </w:rPr>
              <w:t>51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4" w:right="0"/>
              <w:jc w:val="center"/>
              <w:rPr>
                <w:rFonts w:ascii="宋体" w:hAnsi="宋体" w:cs="宋体" w:eastAsia="宋体" w:hint="default"/>
                <w:sz w:val="21"/>
                <w:szCs w:val="21"/>
              </w:rPr>
            </w:pPr>
            <w:r>
              <w:rPr>
                <w:rFonts w:ascii="宋体"/>
                <w:sz w:val="21"/>
              </w:rPr>
              <w:t>2010-11-25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2010-51</w:t>
            </w:r>
          </w:p>
        </w:tc>
        <w:tc>
          <w:tcPr>
            <w:tcW w:w="6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w:t>
            </w:r>
            <w:r>
              <w:rPr>
                <w:rFonts w:ascii="宋体" w:hAnsi="宋体" w:cs="宋体" w:eastAsia="宋体" w:hint="default"/>
                <w:spacing w:val="-64"/>
                <w:sz w:val="21"/>
                <w:szCs w:val="21"/>
              </w:rPr>
              <w:t> </w:t>
            </w:r>
            <w:r>
              <w:rPr>
                <w:rFonts w:ascii="宋体" w:hAnsi="宋体" w:cs="宋体" w:eastAsia="宋体" w:hint="default"/>
                <w:sz w:val="21"/>
                <w:szCs w:val="21"/>
              </w:rPr>
              <w:t>2010</w:t>
            </w:r>
            <w:r>
              <w:rPr>
                <w:rFonts w:ascii="宋体" w:hAnsi="宋体" w:cs="宋体" w:eastAsia="宋体" w:hint="default"/>
                <w:spacing w:val="-63"/>
                <w:sz w:val="21"/>
                <w:szCs w:val="21"/>
              </w:rPr>
              <w:t> </w:t>
            </w:r>
            <w:r>
              <w:rPr>
                <w:rFonts w:ascii="宋体" w:hAnsi="宋体" w:cs="宋体" w:eastAsia="宋体" w:hint="default"/>
                <w:sz w:val="21"/>
                <w:szCs w:val="21"/>
              </w:rPr>
              <w:t>年第一次临时会议决议公告</w:t>
            </w:r>
          </w:p>
        </w:tc>
      </w:tr>
    </w:tbl>
    <w:p>
      <w:pPr>
        <w:spacing w:after="0" w:line="248" w:lineRule="exact"/>
        <w:jc w:val="left"/>
        <w:rPr>
          <w:rFonts w:ascii="宋体" w:hAnsi="宋体" w:cs="宋体" w:eastAsia="宋体" w:hint="default"/>
          <w:sz w:val="21"/>
          <w:szCs w:val="21"/>
        </w:rPr>
        <w:sectPr>
          <w:pgSz w:w="11910" w:h="16840"/>
          <w:pgMar w:header="720" w:footer="707" w:top="1120" w:bottom="900" w:left="940" w:right="940"/>
        </w:sectPr>
      </w:pPr>
    </w:p>
    <w:p>
      <w:pPr>
        <w:pStyle w:val="Heading1"/>
        <w:spacing w:line="240" w:lineRule="auto" w:before="21"/>
        <w:ind w:left="3474" w:right="3537"/>
        <w:jc w:val="center"/>
        <w:rPr>
          <w:b w:val="0"/>
          <w:bCs w:val="0"/>
        </w:rPr>
      </w:pPr>
      <w:r>
        <w:rPr/>
        <w:pict>
          <v:group style="position:absolute;margin-left:55.200001pt;margin-top:2.941838pt;width:484.65pt;height:.1pt;mso-position-horizontal-relative:page;mso-position-vertical-relative:paragraph;z-index:-709168" coordorigin="1104,59" coordsize="9693,2">
            <v:shape style="position:absolute;left:1104;top:59;width:9693;height:2" coordorigin="1104,59" coordsize="9693,0" path="m1104,59l10796,59e" filled="false" stroked="true" strokeweight=".72pt" strokecolor="#000000">
              <v:path arrowok="t"/>
            </v:shape>
            <w10:wrap type="none"/>
          </v:group>
        </w:pict>
      </w:r>
      <w:bookmarkStart w:name="_bookmark9" w:id="10"/>
      <w:bookmarkEnd w:id="10"/>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left="574" w:right="0"/>
        <w:jc w:val="left"/>
        <w:rPr>
          <w:b w:val="0"/>
          <w:bCs w:val="0"/>
        </w:rPr>
      </w:pPr>
      <w:r>
        <w:rPr/>
        <w:t>一、审计报告</w:t>
      </w:r>
      <w:r>
        <w:rPr>
          <w:b w:val="0"/>
          <w:bCs w:val="0"/>
        </w:rPr>
      </w:r>
    </w:p>
    <w:p>
      <w:pPr>
        <w:spacing w:line="240" w:lineRule="auto" w:before="10"/>
        <w:rPr>
          <w:rFonts w:ascii="宋体" w:hAnsi="宋体" w:cs="宋体" w:eastAsia="宋体" w:hint="default"/>
          <w:b/>
          <w:bCs/>
          <w:sz w:val="29"/>
          <w:szCs w:val="29"/>
        </w:rPr>
      </w:pPr>
    </w:p>
    <w:p>
      <w:pPr>
        <w:pStyle w:val="BodyText"/>
        <w:spacing w:line="240" w:lineRule="auto" w:before="35"/>
        <w:ind w:left="0" w:right="214"/>
        <w:jc w:val="right"/>
      </w:pPr>
      <w:r>
        <w:rPr/>
        <w:t>众环审字（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037</w:t>
      </w:r>
      <w:r>
        <w:rPr>
          <w:rFonts w:ascii="Times New Roman" w:hAnsi="Times New Roman" w:cs="Times New Roman" w:eastAsia="Times New Roman" w:hint="default"/>
          <w:spacing w:val="-12"/>
        </w:rPr>
        <w:t> </w:t>
      </w:r>
      <w:r>
        <w:rPr/>
        <w:t>号</w:t>
      </w:r>
    </w:p>
    <w:p>
      <w:pPr>
        <w:pStyle w:val="BodyText"/>
        <w:spacing w:line="240" w:lineRule="auto" w:before="129"/>
        <w:ind w:left="153" w:right="0"/>
        <w:jc w:val="left"/>
      </w:pPr>
      <w:r>
        <w:rPr/>
        <w:t>北京中长石基信息技术股份有限公司全体股东：</w:t>
      </w:r>
    </w:p>
    <w:p>
      <w:pPr>
        <w:spacing w:line="240" w:lineRule="auto" w:before="5"/>
        <w:rPr>
          <w:rFonts w:ascii="宋体" w:hAnsi="宋体" w:cs="宋体" w:eastAsia="宋体" w:hint="default"/>
          <w:sz w:val="8"/>
          <w:szCs w:val="8"/>
        </w:rPr>
      </w:pPr>
    </w:p>
    <w:p>
      <w:pPr>
        <w:pStyle w:val="BodyText"/>
        <w:spacing w:line="240" w:lineRule="auto" w:before="35"/>
        <w:ind w:left="573" w:right="0"/>
        <w:jc w:val="left"/>
        <w:rPr>
          <w:rFonts w:ascii="Times New Roman" w:hAnsi="Times New Roman" w:cs="Times New Roman" w:eastAsia="Times New Roman" w:hint="default"/>
        </w:rPr>
      </w:pPr>
      <w:r>
        <w:rPr/>
        <w:t>我们审计了后附的北京中长石基信息技术股份有限公司（以下简称石基公司）财务报表，包括</w:t>
      </w:r>
      <w:r>
        <w:rPr>
          <w:spacing w:val="64"/>
        </w:rPr>
        <w:t> </w:t>
      </w:r>
      <w:r>
        <w:rPr>
          <w:rFonts w:ascii="Times New Roman" w:hAnsi="Times New Roman" w:cs="Times New Roman" w:eastAsia="Times New Roman" w:hint="default"/>
        </w:rPr>
        <w:t>2010</w:t>
      </w:r>
    </w:p>
    <w:p>
      <w:pPr>
        <w:pStyle w:val="BodyText"/>
        <w:spacing w:line="345" w:lineRule="auto" w:before="129"/>
        <w:ind w:left="153" w:right="205"/>
        <w:jc w:val="left"/>
      </w:pP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日的资产负债表和合并的资产负债表，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年度的利润表和合并的利润表、股东权益变动表和 合并的股东权益变动表、现金流量表和合并的现金流量表以及财务报表附注。</w:t>
      </w:r>
    </w:p>
    <w:p>
      <w:pPr>
        <w:pStyle w:val="Heading3"/>
        <w:spacing w:line="240" w:lineRule="auto" w:before="52"/>
        <w:ind w:left="575" w:right="0"/>
        <w:jc w:val="left"/>
        <w:rPr>
          <w:rFonts w:ascii="黑体" w:hAnsi="黑体" w:cs="黑体" w:eastAsia="黑体" w:hint="default"/>
          <w:b w:val="0"/>
          <w:bCs w:val="0"/>
        </w:rPr>
      </w:pPr>
      <w:r>
        <w:rPr>
          <w:rFonts w:ascii="Times New Roman" w:hAnsi="Times New Roman" w:cs="Times New Roman" w:eastAsia="Times New Roman" w:hint="default"/>
        </w:rPr>
        <w:t>1</w:t>
      </w:r>
      <w:r>
        <w:rPr>
          <w:rFonts w:ascii="黑体" w:hAnsi="黑体" w:cs="黑体" w:eastAsia="黑体" w:hint="default"/>
        </w:rPr>
        <w:t>、管理层对财务报表的责任</w:t>
      </w:r>
      <w:r>
        <w:rPr>
          <w:rFonts w:ascii="黑体" w:hAnsi="黑体" w:cs="黑体" w:eastAsia="黑体" w:hint="default"/>
          <w:b w:val="0"/>
          <w:bCs w:val="0"/>
        </w:rPr>
      </w:r>
    </w:p>
    <w:p>
      <w:pPr>
        <w:pStyle w:val="BodyText"/>
        <w:spacing w:line="345" w:lineRule="auto" w:before="129"/>
        <w:ind w:left="153" w:right="217" w:firstLine="419"/>
        <w:jc w:val="both"/>
      </w:pPr>
      <w:r>
        <w:rPr/>
        <w:t>按照企业会计准则的规定编制财务报表是石基公司管理层的责任</w:t>
      </w:r>
      <w:r>
        <w:rPr>
          <w:spacing w:val="-8"/>
        </w:rPr>
        <w:t>。</w:t>
      </w:r>
      <w:r>
        <w:rPr/>
        <w:t>这种责任包括</w:t>
      </w:r>
      <w:r>
        <w:rPr>
          <w:spacing w:val="-113"/>
        </w:rPr>
        <w:t>：</w:t>
      </w:r>
      <w:r>
        <w:rPr/>
        <w:t>（</w:t>
      </w:r>
      <w:r>
        <w:rPr>
          <w:rFonts w:ascii="Times New Roman" w:hAnsi="Times New Roman" w:cs="Times New Roman" w:eastAsia="Times New Roman" w:hint="default"/>
        </w:rPr>
        <w:t>1</w:t>
      </w:r>
      <w:r>
        <w:rPr>
          <w:spacing w:val="-8"/>
        </w:rPr>
        <w:t>）</w:t>
      </w:r>
      <w:r>
        <w:rPr/>
        <w:t>设计</w:t>
      </w:r>
      <w:r>
        <w:rPr>
          <w:spacing w:val="-8"/>
        </w:rPr>
        <w:t>、</w:t>
      </w:r>
      <w:r>
        <w:rPr/>
        <w:t>实施和</w:t>
      </w:r>
      <w:r>
        <w:rPr/>
        <w:t> 维护与财务报表编制相关的内部控制</w:t>
      </w:r>
      <w:r>
        <w:rPr>
          <w:spacing w:val="-10"/>
        </w:rPr>
        <w:t>，</w:t>
      </w:r>
      <w:r>
        <w:rPr/>
        <w:t>以使财务报表不存在由于舞弊或错误而导致的重大错报</w:t>
      </w:r>
      <w:r>
        <w:rPr>
          <w:spacing w:val="-115"/>
        </w:rPr>
        <w:t>；</w:t>
      </w:r>
      <w:r>
        <w:rPr/>
        <w:t>（</w:t>
      </w:r>
      <w:r>
        <w:rPr>
          <w:rFonts w:ascii="Times New Roman" w:hAnsi="Times New Roman" w:cs="Times New Roman" w:eastAsia="Times New Roman" w:hint="default"/>
        </w:rPr>
        <w:t>2</w:t>
      </w:r>
      <w:r>
        <w:rPr>
          <w:spacing w:val="-10"/>
        </w:rPr>
        <w:t>）</w:t>
      </w:r>
      <w:r>
        <w:rPr>
          <w:spacing w:val="-2"/>
        </w:rPr>
        <w:t>选</w:t>
      </w:r>
      <w:r>
        <w:rPr/>
        <w:t>择</w:t>
      </w:r>
      <w:r>
        <w:rPr/>
        <w:t> 和运用恰当的会计政策</w:t>
      </w:r>
      <w:r>
        <w:rPr>
          <w:spacing w:val="-106"/>
        </w:rPr>
        <w:t>；</w:t>
      </w:r>
      <w:r>
        <w:rPr/>
        <w:t>（</w:t>
      </w:r>
      <w:r>
        <w:rPr>
          <w:rFonts w:ascii="Times New Roman" w:hAnsi="Times New Roman" w:cs="Times New Roman" w:eastAsia="Times New Roman" w:hint="default"/>
        </w:rPr>
        <w:t>3</w:t>
      </w:r>
      <w:r>
        <w:rPr/>
        <w:t>）作出</w:t>
      </w:r>
      <w:r>
        <w:rPr>
          <w:spacing w:val="-2"/>
        </w:rPr>
        <w:t>合</w:t>
      </w:r>
      <w:r>
        <w:rPr/>
        <w:t>理的会计估计。</w:t>
      </w:r>
    </w:p>
    <w:p>
      <w:pPr>
        <w:pStyle w:val="Heading3"/>
        <w:spacing w:line="240" w:lineRule="auto" w:before="27"/>
        <w:ind w:left="576" w:right="0"/>
        <w:jc w:val="left"/>
        <w:rPr>
          <w:rFonts w:ascii="黑体" w:hAnsi="黑体" w:cs="黑体" w:eastAsia="黑体" w:hint="default"/>
          <w:b w:val="0"/>
          <w:bCs w:val="0"/>
        </w:rPr>
      </w:pPr>
      <w:r>
        <w:rPr>
          <w:rFonts w:ascii="Times New Roman" w:hAnsi="Times New Roman" w:cs="Times New Roman" w:eastAsia="Times New Roman" w:hint="default"/>
        </w:rPr>
        <w:t>2</w:t>
      </w:r>
      <w:r>
        <w:rPr>
          <w:rFonts w:ascii="黑体" w:hAnsi="黑体" w:cs="黑体" w:eastAsia="黑体" w:hint="default"/>
        </w:rPr>
        <w:t>、注册会计师的责任</w:t>
      </w:r>
      <w:r>
        <w:rPr>
          <w:rFonts w:ascii="黑体" w:hAnsi="黑体" w:cs="黑体" w:eastAsia="黑体" w:hint="default"/>
          <w:b w:val="0"/>
          <w:bCs w:val="0"/>
        </w:rPr>
      </w:r>
    </w:p>
    <w:p>
      <w:pPr>
        <w:pStyle w:val="BodyText"/>
        <w:spacing w:line="367" w:lineRule="auto" w:before="129"/>
        <w:ind w:left="153" w:right="216" w:firstLine="420"/>
        <w:jc w:val="both"/>
      </w:pPr>
      <w:r>
        <w:rPr>
          <w:spacing w:val="-1"/>
        </w:rPr>
        <w:t>我们的责任是在实施审计工作的基础上对财务报表发表审计意见。我们按照中国注册会计师审计准则</w:t>
      </w:r>
      <w:r>
        <w:rPr/>
        <w:t> </w:t>
      </w:r>
      <w:r>
        <w:rPr>
          <w:spacing w:val="-1"/>
        </w:rPr>
        <w:t>的规定执行了审计工作。中国注册会计师审计准则要求我们遵守职业道德规范，计划和实施审计工作以对</w:t>
      </w:r>
      <w:r>
        <w:rPr>
          <w:spacing w:val="-89"/>
        </w:rPr>
        <w:t> </w:t>
      </w:r>
      <w:r>
        <w:rPr>
          <w:spacing w:val="-89"/>
        </w:rPr>
      </w:r>
      <w:r>
        <w:rPr/>
        <w:t>财务报表是否不存在重大错报获取合理保证。</w:t>
      </w:r>
    </w:p>
    <w:p>
      <w:pPr>
        <w:pStyle w:val="BodyText"/>
        <w:spacing w:line="367" w:lineRule="auto" w:before="34"/>
        <w:ind w:left="153" w:right="102" w:firstLine="420"/>
        <w:jc w:val="left"/>
      </w:pPr>
      <w:r>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spacing w:val="-3"/>
        </w:rPr>
        <w:t>考虑与财务报表编制相关的内部控制，以设计恰当的审计程序，但目的并非对内部控制的有效性发表意见。</w:t>
      </w:r>
      <w:r>
        <w:rPr>
          <w:spacing w:val="-96"/>
        </w:rPr>
        <w:t> </w:t>
      </w:r>
      <w:r>
        <w:rPr>
          <w:spacing w:val="-96"/>
        </w:rPr>
      </w:r>
      <w:r>
        <w:rPr/>
        <w:t>审计工作还包括评价管理层选用会计政策的恰当性和作出会计估计的合理性，以及评价财务报表的总体列</w:t>
      </w:r>
      <w:r>
        <w:rPr/>
        <w:t> 报。</w:t>
      </w:r>
    </w:p>
    <w:p>
      <w:pPr>
        <w:pStyle w:val="BodyText"/>
        <w:spacing w:line="240" w:lineRule="auto" w:before="34"/>
        <w:ind w:left="573" w:right="0"/>
        <w:jc w:val="left"/>
      </w:pPr>
      <w:r>
        <w:rPr/>
        <w:t>我们相信，我们获取的审计证据是充分、适当的，为发表审计意见提供了基础。</w:t>
      </w:r>
    </w:p>
    <w:p>
      <w:pPr>
        <w:pStyle w:val="Heading3"/>
        <w:spacing w:line="240" w:lineRule="auto" w:before="145"/>
        <w:ind w:left="575" w:right="0"/>
        <w:jc w:val="left"/>
        <w:rPr>
          <w:rFonts w:ascii="黑体" w:hAnsi="黑体" w:cs="黑体" w:eastAsia="黑体" w:hint="default"/>
          <w:b w:val="0"/>
          <w:bCs w:val="0"/>
        </w:rPr>
      </w:pPr>
      <w:r>
        <w:rPr>
          <w:rFonts w:ascii="Times New Roman" w:hAnsi="Times New Roman" w:cs="Times New Roman" w:eastAsia="Times New Roman" w:hint="default"/>
        </w:rPr>
        <w:t>3</w:t>
      </w:r>
      <w:r>
        <w:rPr>
          <w:rFonts w:ascii="黑体" w:hAnsi="黑体" w:cs="黑体" w:eastAsia="黑体" w:hint="default"/>
        </w:rPr>
        <w:t>、审计意见</w:t>
      </w:r>
      <w:r>
        <w:rPr>
          <w:rFonts w:ascii="黑体" w:hAnsi="黑体" w:cs="黑体" w:eastAsia="黑体" w:hint="default"/>
          <w:b w:val="0"/>
          <w:bCs w:val="0"/>
        </w:rPr>
      </w:r>
    </w:p>
    <w:p>
      <w:pPr>
        <w:pStyle w:val="BodyText"/>
        <w:spacing w:line="367" w:lineRule="auto" w:before="129"/>
        <w:ind w:left="153" w:right="215" w:firstLine="420"/>
        <w:jc w:val="left"/>
      </w:pPr>
      <w:r>
        <w:rPr>
          <w:spacing w:val="-1"/>
        </w:rPr>
        <w:t>我们认为，石基公司财务报表已经按照企业会计准则的规定编制，在所有重大方面公允反映了石基公</w:t>
      </w:r>
      <w:r>
        <w:rPr/>
        <w:t> 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年度的经营成果和现金流量。</w:t>
      </w:r>
    </w:p>
    <w:p>
      <w:pPr>
        <w:spacing w:line="240" w:lineRule="auto" w:before="7"/>
        <w:rPr>
          <w:rFonts w:ascii="宋体" w:hAnsi="宋体" w:cs="宋体" w:eastAsia="宋体" w:hint="default"/>
          <w:sz w:val="32"/>
          <w:szCs w:val="32"/>
        </w:rPr>
      </w:pPr>
    </w:p>
    <w:p>
      <w:pPr>
        <w:pStyle w:val="BodyText"/>
        <w:tabs>
          <w:tab w:pos="4983" w:val="left" w:leader="none"/>
          <w:tab w:pos="6663" w:val="left" w:leader="none"/>
        </w:tabs>
        <w:spacing w:line="240" w:lineRule="auto"/>
        <w:ind w:left="573" w:right="0"/>
        <w:jc w:val="left"/>
      </w:pPr>
      <w:r>
        <w:rPr/>
        <w:t>武汉众环会计师事务所有限责任公司</w:t>
        <w:tab/>
      </w:r>
      <w:r>
        <w:rPr>
          <w:spacing w:val="-1"/>
        </w:rPr>
        <w:t>中国注册会计师</w:t>
        <w:tab/>
        <w:t>刘定超</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tabs>
          <w:tab w:pos="6661" w:val="left" w:leader="none"/>
        </w:tabs>
        <w:spacing w:line="240" w:lineRule="auto"/>
        <w:ind w:left="4981" w:right="0"/>
        <w:jc w:val="left"/>
      </w:pPr>
      <w:r>
        <w:rPr>
          <w:spacing w:val="-1"/>
        </w:rPr>
        <w:t>中国注册会计师</w:t>
        <w:tab/>
        <w:t>王兵兵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2672" w:val="left" w:leader="none"/>
          <w:tab w:pos="5190" w:val="left" w:leader="none"/>
        </w:tabs>
        <w:spacing w:line="240" w:lineRule="auto"/>
        <w:ind w:left="572" w:right="0"/>
        <w:jc w:val="left"/>
      </w:pPr>
      <w:r>
        <w:rPr/>
        <w:t>中国</w:t>
        <w:tab/>
      </w:r>
      <w:r>
        <w:rPr>
          <w:spacing w:val="-1"/>
        </w:rPr>
        <w:t>武汉</w:t>
        <w:tab/>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7 </w:t>
      </w:r>
      <w:r>
        <w:rPr/>
        <w:t>日</w:t>
      </w:r>
    </w:p>
    <w:p>
      <w:pPr>
        <w:spacing w:after="0" w:line="240" w:lineRule="auto"/>
        <w:jc w:val="left"/>
        <w:sectPr>
          <w:pgSz w:w="11910" w:h="16840"/>
          <w:pgMar w:header="720" w:footer="707" w:top="1060" w:bottom="900" w:left="980" w:right="920"/>
        </w:sectPr>
      </w:pPr>
    </w:p>
    <w:p>
      <w:pPr>
        <w:pStyle w:val="Heading3"/>
        <w:spacing w:line="240" w:lineRule="auto" w:before="32"/>
        <w:ind w:left="574" w:right="0"/>
        <w:jc w:val="left"/>
        <w:rPr>
          <w:b w:val="0"/>
          <w:bCs w:val="0"/>
        </w:rPr>
      </w:pPr>
      <w:r>
        <w:rPr/>
        <w:pict>
          <v:group style="position:absolute;margin-left:55.200001pt;margin-top:2.943987pt;width:484.65pt;height:.1pt;mso-position-horizontal-relative:page;mso-position-vertical-relative:paragraph;z-index:-709144" coordorigin="1104,59" coordsize="9693,2">
            <v:shape style="position:absolute;left:1104;top:59;width:9693;height:2" coordorigin="1104,59" coordsize="9693,0" path="m1104,59l10796,59e" filled="false" stroked="true" strokeweight=".72pt" strokecolor="#000000">
              <v:path arrowok="t"/>
            </v:shape>
            <w10:wrap type="none"/>
          </v:group>
        </w:pict>
      </w:r>
      <w:r>
        <w:rPr/>
        <w:t>二、财务报表</w:t>
      </w:r>
      <w:r>
        <w:rPr>
          <w:b w:val="0"/>
          <w:bCs w:val="0"/>
        </w:rPr>
      </w:r>
    </w:p>
    <w:p>
      <w:pPr>
        <w:spacing w:line="240" w:lineRule="auto" w:before="8"/>
        <w:rPr>
          <w:rFonts w:ascii="宋体" w:hAnsi="宋体" w:cs="宋体" w:eastAsia="宋体" w:hint="default"/>
          <w:b/>
          <w:bCs/>
          <w:sz w:val="19"/>
          <w:szCs w:val="19"/>
        </w:rPr>
      </w:pPr>
    </w:p>
    <w:p>
      <w:pPr>
        <w:spacing w:before="1"/>
        <w:ind w:left="180" w:right="164" w:firstLine="0"/>
        <w:jc w:val="center"/>
        <w:rPr>
          <w:rFonts w:ascii="黑体" w:hAnsi="黑体" w:cs="黑体" w:eastAsia="黑体" w:hint="default"/>
          <w:sz w:val="32"/>
          <w:szCs w:val="32"/>
        </w:rPr>
      </w:pPr>
      <w:r>
        <w:rPr>
          <w:rFonts w:ascii="黑体" w:hAnsi="黑体" w:cs="黑体" w:eastAsia="黑体" w:hint="default"/>
          <w:b/>
          <w:bCs/>
          <w:sz w:val="32"/>
          <w:szCs w:val="32"/>
        </w:rPr>
        <w:t>合并资产负债表(资产)</w:t>
      </w:r>
      <w:r>
        <w:rPr>
          <w:rFonts w:ascii="黑体" w:hAnsi="黑体" w:cs="黑体" w:eastAsia="黑体" w:hint="default"/>
          <w:sz w:val="32"/>
          <w:szCs w:val="32"/>
        </w:rPr>
      </w:r>
    </w:p>
    <w:p>
      <w:pPr>
        <w:pStyle w:val="BodyText"/>
        <w:tabs>
          <w:tab w:pos="7349" w:val="left" w:leader="none"/>
        </w:tabs>
        <w:spacing w:line="240" w:lineRule="auto" w:before="255"/>
        <w:ind w:left="0" w:right="164"/>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3386"/>
        <w:gridCol w:w="962"/>
        <w:gridCol w:w="2638"/>
        <w:gridCol w:w="2500"/>
      </w:tblGrid>
      <w:tr>
        <w:trPr>
          <w:trHeight w:val="291" w:hRule="exact"/>
        </w:trPr>
        <w:tc>
          <w:tcPr>
            <w:tcW w:w="3386" w:type="dxa"/>
            <w:tcBorders>
              <w:top w:val="single" w:sz="12" w:space="0" w:color="000000"/>
              <w:left w:val="nil" w:sz="6" w:space="0" w:color="auto"/>
              <w:bottom w:val="single" w:sz="4" w:space="0" w:color="000000"/>
              <w:right w:val="single" w:sz="4" w:space="0" w:color="000000"/>
            </w:tcBorders>
          </w:tcPr>
          <w:p>
            <w:pPr>
              <w:pStyle w:val="TableParagraph"/>
              <w:tabs>
                <w:tab w:pos="754" w:val="left" w:leader="none"/>
              </w:tabs>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96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63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0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97" w:hRule="exact"/>
        </w:trPr>
        <w:tc>
          <w:tcPr>
            <w:tcW w:w="3386" w:type="dxa"/>
            <w:tcBorders>
              <w:top w:val="single" w:sz="4" w:space="0" w:color="000000"/>
              <w:left w:val="nil" w:sz="6" w:space="0" w:color="auto"/>
              <w:bottom w:val="nil" w:sz="6" w:space="0" w:color="auto"/>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62" w:type="dxa"/>
            <w:tcBorders>
              <w:top w:val="single" w:sz="4" w:space="0" w:color="000000"/>
              <w:left w:val="single" w:sz="4" w:space="0" w:color="000000"/>
              <w:bottom w:val="nil" w:sz="6" w:space="0" w:color="auto"/>
              <w:right w:val="single" w:sz="4" w:space="0" w:color="000000"/>
            </w:tcBorders>
          </w:tcPr>
          <w:p>
            <w:pPr/>
          </w:p>
        </w:tc>
        <w:tc>
          <w:tcPr>
            <w:tcW w:w="2638" w:type="dxa"/>
            <w:tcBorders>
              <w:top w:val="single" w:sz="4" w:space="0" w:color="000000"/>
              <w:left w:val="single" w:sz="4" w:space="0" w:color="000000"/>
              <w:bottom w:val="nil" w:sz="6" w:space="0" w:color="auto"/>
              <w:right w:val="single" w:sz="4" w:space="0" w:color="000000"/>
            </w:tcBorders>
          </w:tcPr>
          <w:p>
            <w:pPr/>
          </w:p>
        </w:tc>
        <w:tc>
          <w:tcPr>
            <w:tcW w:w="2500" w:type="dxa"/>
            <w:tcBorders>
              <w:top w:val="single" w:sz="4" w:space="0" w:color="000000"/>
              <w:left w:val="single" w:sz="4" w:space="0" w:color="000000"/>
              <w:bottom w:val="nil" w:sz="6" w:space="0" w:color="auto"/>
              <w:right w:val="nil" w:sz="6" w:space="0" w:color="auto"/>
            </w:tcBorders>
          </w:tcPr>
          <w:p>
            <w:pPr/>
          </w:p>
        </w:tc>
      </w:tr>
      <w:tr>
        <w:trPr>
          <w:trHeight w:val="306"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3" w:lineRule="exact"/>
              <w:ind w:left="3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(五).1</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102"/>
              <w:jc w:val="right"/>
              <w:rPr>
                <w:rFonts w:ascii="宋体" w:hAnsi="宋体" w:cs="宋体" w:eastAsia="宋体" w:hint="default"/>
                <w:sz w:val="21"/>
                <w:szCs w:val="21"/>
              </w:rPr>
            </w:pPr>
            <w:r>
              <w:rPr>
                <w:rFonts w:ascii="宋体"/>
                <w:spacing w:val="-1"/>
                <w:sz w:val="21"/>
              </w:rPr>
              <w:t>491,511,005.02</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3" w:lineRule="exact"/>
              <w:ind w:right="108"/>
              <w:jc w:val="right"/>
              <w:rPr>
                <w:rFonts w:ascii="宋体" w:hAnsi="宋体" w:cs="宋体" w:eastAsia="宋体" w:hint="default"/>
                <w:sz w:val="21"/>
                <w:szCs w:val="21"/>
              </w:rPr>
            </w:pPr>
            <w:r>
              <w:rPr>
                <w:rFonts w:ascii="宋体"/>
                <w:spacing w:val="-1"/>
                <w:sz w:val="21"/>
              </w:rPr>
              <w:t>412,609,448.89</w:t>
            </w:r>
            <w:r>
              <w:rPr>
                <w:rFonts w:ascii="宋体"/>
                <w:sz w:val="21"/>
              </w:rPr>
            </w:r>
          </w:p>
        </w:tc>
      </w:tr>
      <w:tr>
        <w:trPr>
          <w:trHeight w:val="293"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8"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(五).2</w:t>
            </w: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66,916.48</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(五).3</w:t>
            </w: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pacing w:val="-1"/>
                <w:sz w:val="21"/>
              </w:rPr>
              <w:t>3,800,000.00</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(五).4</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141,469,083.84</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80,355,091.64</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(五).5</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15,936,474.52</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11,188,303.33</w:t>
            </w:r>
          </w:p>
        </w:tc>
      </w:tr>
      <w:tr>
        <w:trPr>
          <w:trHeight w:val="293"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8"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(五).6</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16,959,233.27</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8,024,973.68</w:t>
            </w:r>
          </w:p>
        </w:tc>
      </w:tr>
      <w:tr>
        <w:trPr>
          <w:trHeight w:val="293"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8"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(五).7</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0"/>
              <w:jc w:val="right"/>
              <w:rPr>
                <w:rFonts w:ascii="宋体" w:hAnsi="宋体" w:cs="宋体" w:eastAsia="宋体" w:hint="default"/>
                <w:sz w:val="21"/>
                <w:szCs w:val="21"/>
              </w:rPr>
            </w:pPr>
            <w:r>
              <w:rPr>
                <w:rFonts w:ascii="宋体"/>
                <w:spacing w:val="-1"/>
                <w:sz w:val="21"/>
              </w:rPr>
              <w:t>55,002,269.48</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5" w:lineRule="exact"/>
              <w:ind w:right="105"/>
              <w:jc w:val="right"/>
              <w:rPr>
                <w:rFonts w:ascii="宋体" w:hAnsi="宋体" w:cs="宋体" w:eastAsia="宋体" w:hint="default"/>
                <w:sz w:val="21"/>
                <w:szCs w:val="21"/>
              </w:rPr>
            </w:pPr>
            <w:r>
              <w:rPr>
                <w:rFonts w:ascii="宋体"/>
                <w:spacing w:val="-1"/>
                <w:sz w:val="21"/>
              </w:rPr>
              <w:t>59,533,227.65</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(五).8</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71,336.17</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pacing w:val="-1"/>
                <w:sz w:val="21"/>
              </w:rPr>
              <w:t>42,922.33</w:t>
            </w:r>
          </w:p>
        </w:tc>
      </w:tr>
      <w:tr>
        <w:trPr>
          <w:trHeight w:val="294"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2"/>
              <w:jc w:val="right"/>
              <w:rPr>
                <w:rFonts w:ascii="宋体" w:hAnsi="宋体" w:cs="宋体" w:eastAsia="宋体" w:hint="default"/>
                <w:sz w:val="21"/>
                <w:szCs w:val="21"/>
              </w:rPr>
            </w:pPr>
            <w:r>
              <w:rPr>
                <w:rFonts w:ascii="宋体"/>
                <w:spacing w:val="-1"/>
                <w:sz w:val="21"/>
              </w:rPr>
              <w:t>720,949,402.30</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575,620,884.00</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8"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5" w:lineRule="exact"/>
              <w:ind w:left="3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(五).9</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100"/>
              <w:jc w:val="right"/>
              <w:rPr>
                <w:rFonts w:ascii="宋体" w:hAnsi="宋体" w:cs="宋体" w:eastAsia="宋体" w:hint="default"/>
                <w:sz w:val="21"/>
                <w:szCs w:val="21"/>
              </w:rPr>
            </w:pPr>
            <w:r>
              <w:rPr>
                <w:rFonts w:ascii="宋体"/>
                <w:spacing w:val="-1"/>
                <w:sz w:val="21"/>
              </w:rPr>
              <w:t>323,342.00</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334,582.40</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(五).10</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2,015,744.44</w:t>
            </w:r>
          </w:p>
        </w:tc>
        <w:tc>
          <w:tcPr>
            <w:tcW w:w="2500" w:type="dxa"/>
            <w:tcBorders>
              <w:top w:val="nil" w:sz="6" w:space="0" w:color="auto"/>
              <w:left w:val="single" w:sz="4" w:space="0" w:color="000000"/>
              <w:bottom w:val="nil" w:sz="6" w:space="0" w:color="auto"/>
              <w:right w:val="nil" w:sz="6" w:space="0" w:color="auto"/>
            </w:tcBorders>
          </w:tcPr>
          <w:p>
            <w:pPr/>
          </w:p>
        </w:tc>
      </w:tr>
      <w:tr>
        <w:trPr>
          <w:trHeight w:val="294"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8"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(五).11</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16,450,000.00</w:t>
            </w: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(五).12</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18,886,456.29</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19,474,741.65</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(五).13</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129,396,691.58</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pacing w:val="-1"/>
                <w:sz w:val="21"/>
              </w:rPr>
              <w:t>133,860,410.44</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(五).14</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5,348,974.13</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pacing w:val="-1"/>
                <w:sz w:val="21"/>
              </w:rPr>
              <w:t>1,974,746.50</w:t>
            </w:r>
            <w:r>
              <w:rPr>
                <w:rFonts w:ascii="宋体"/>
                <w:sz w:val="21"/>
              </w:rPr>
            </w:r>
          </w:p>
        </w:tc>
      </w:tr>
      <w:tr>
        <w:trPr>
          <w:trHeight w:val="294"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8"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(五).15</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spacing w:val="-1"/>
                <w:sz w:val="21"/>
              </w:rPr>
              <w:t>63,196,518.59</w:t>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4"/>
              <w:jc w:val="right"/>
              <w:rPr>
                <w:rFonts w:ascii="宋体" w:hAnsi="宋体" w:cs="宋体" w:eastAsia="宋体" w:hint="default"/>
                <w:sz w:val="21"/>
                <w:szCs w:val="21"/>
              </w:rPr>
            </w:pPr>
            <w:r>
              <w:rPr>
                <w:rFonts w:ascii="宋体"/>
                <w:spacing w:val="-1"/>
                <w:sz w:val="21"/>
              </w:rPr>
              <w:t>40,043,668.76</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(五).16</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3,870,811.01</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35,291,418.19</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(五).17</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108,234,883.27</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61,167,552.32</w:t>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(五).18</w:t>
            </w: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pacing w:val="-1"/>
                <w:sz w:val="21"/>
              </w:rPr>
              <w:t>21,461.16</w:t>
            </w:r>
          </w:p>
        </w:tc>
      </w:tr>
      <w:tr>
        <w:trPr>
          <w:trHeight w:val="294"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62"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(五).19</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02"/>
              <w:jc w:val="right"/>
              <w:rPr>
                <w:rFonts w:ascii="宋体" w:hAnsi="宋体" w:cs="宋体" w:eastAsia="宋体" w:hint="default"/>
                <w:sz w:val="21"/>
                <w:szCs w:val="21"/>
              </w:rPr>
            </w:pPr>
            <w:r>
              <w:rPr>
                <w:rFonts w:ascii="宋体"/>
                <w:spacing w:val="-1"/>
                <w:sz w:val="21"/>
              </w:rPr>
              <w:t>1,368,872.62</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pacing w:val="-1"/>
                <w:sz w:val="21"/>
              </w:rPr>
              <w:t>1,217,048.73</w:t>
            </w:r>
            <w:r>
              <w:rPr>
                <w:rFonts w:ascii="宋体"/>
                <w:sz w:val="21"/>
              </w:rPr>
            </w: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
        </w:tc>
        <w:tc>
          <w:tcPr>
            <w:tcW w:w="2500" w:type="dxa"/>
            <w:tcBorders>
              <w:top w:val="nil" w:sz="6" w:space="0" w:color="auto"/>
              <w:left w:val="single" w:sz="4" w:space="0" w:color="000000"/>
              <w:bottom w:val="nil" w:sz="6" w:space="0" w:color="auto"/>
              <w:right w:val="nil" w:sz="6" w:space="0" w:color="auto"/>
            </w:tcBorders>
          </w:tcPr>
          <w:p>
            <w:pPr/>
          </w:p>
        </w:tc>
      </w:tr>
      <w:tr>
        <w:trPr>
          <w:trHeight w:val="301" w:hRule="exact"/>
        </w:trPr>
        <w:tc>
          <w:tcPr>
            <w:tcW w:w="3386" w:type="dxa"/>
            <w:tcBorders>
              <w:top w:val="nil" w:sz="6" w:space="0" w:color="auto"/>
              <w:left w:val="nil" w:sz="6" w:space="0" w:color="auto"/>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62" w:type="dxa"/>
            <w:tcBorders>
              <w:top w:val="nil" w:sz="6" w:space="0" w:color="auto"/>
              <w:left w:val="single" w:sz="4" w:space="0" w:color="000000"/>
              <w:bottom w:val="nil" w:sz="6" w:space="0" w:color="auto"/>
              <w:right w:val="single" w:sz="4" w:space="0" w:color="000000"/>
            </w:tcBorders>
          </w:tcPr>
          <w:p>
            <w:pP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02"/>
              <w:jc w:val="right"/>
              <w:rPr>
                <w:rFonts w:ascii="宋体" w:hAnsi="宋体" w:cs="宋体" w:eastAsia="宋体" w:hint="default"/>
                <w:sz w:val="21"/>
                <w:szCs w:val="21"/>
              </w:rPr>
            </w:pPr>
            <w:r>
              <w:rPr>
                <w:rFonts w:ascii="宋体"/>
                <w:spacing w:val="-1"/>
                <w:sz w:val="21"/>
              </w:rPr>
              <w:t>349,092,293.93</w:t>
            </w:r>
            <w:r>
              <w:rPr>
                <w:rFonts w:ascii="宋体"/>
                <w:sz w:val="21"/>
              </w:rPr>
            </w:r>
          </w:p>
        </w:tc>
        <w:tc>
          <w:tcPr>
            <w:tcW w:w="2500" w:type="dxa"/>
            <w:tcBorders>
              <w:top w:val="nil" w:sz="6" w:space="0" w:color="auto"/>
              <w:left w:val="single" w:sz="4" w:space="0" w:color="000000"/>
              <w:bottom w:val="nil" w:sz="6" w:space="0" w:color="auto"/>
              <w:right w:val="nil" w:sz="6" w:space="0" w:color="auto"/>
            </w:tcBorders>
          </w:tcPr>
          <w:p>
            <w:pPr>
              <w:pStyle w:val="TableParagraph"/>
              <w:spacing w:line="256" w:lineRule="exact"/>
              <w:ind w:right="106"/>
              <w:jc w:val="right"/>
              <w:rPr>
                <w:rFonts w:ascii="宋体" w:hAnsi="宋体" w:cs="宋体" w:eastAsia="宋体" w:hint="default"/>
                <w:sz w:val="21"/>
                <w:szCs w:val="21"/>
              </w:rPr>
            </w:pPr>
            <w:r>
              <w:rPr>
                <w:rFonts w:ascii="宋体"/>
                <w:spacing w:val="-1"/>
                <w:sz w:val="21"/>
              </w:rPr>
              <w:t>293,385,630.15</w:t>
            </w:r>
            <w:r>
              <w:rPr>
                <w:rFonts w:ascii="宋体"/>
                <w:sz w:val="21"/>
              </w:rPr>
            </w:r>
          </w:p>
        </w:tc>
      </w:tr>
      <w:tr>
        <w:trPr>
          <w:trHeight w:val="317" w:hRule="exact"/>
        </w:trPr>
        <w:tc>
          <w:tcPr>
            <w:tcW w:w="3386" w:type="dxa"/>
            <w:tcBorders>
              <w:top w:val="nil" w:sz="6" w:space="0" w:color="auto"/>
              <w:left w:val="nil" w:sz="6" w:space="0" w:color="auto"/>
              <w:bottom w:val="single" w:sz="12"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62" w:type="dxa"/>
            <w:tcBorders>
              <w:top w:val="nil" w:sz="6" w:space="0" w:color="auto"/>
              <w:left w:val="single" w:sz="4" w:space="0" w:color="000000"/>
              <w:bottom w:val="single" w:sz="12" w:space="0" w:color="000000"/>
              <w:right w:val="single" w:sz="4" w:space="0" w:color="000000"/>
            </w:tcBorders>
          </w:tcPr>
          <w:p>
            <w:pPr/>
          </w:p>
        </w:tc>
        <w:tc>
          <w:tcPr>
            <w:tcW w:w="2638" w:type="dxa"/>
            <w:tcBorders>
              <w:top w:val="nil" w:sz="6" w:space="0" w:color="auto"/>
              <w:left w:val="single" w:sz="4" w:space="0" w:color="000000"/>
              <w:bottom w:val="single" w:sz="12"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宋体"/>
                <w:spacing w:val="-1"/>
                <w:sz w:val="21"/>
              </w:rPr>
              <w:t>1,070,041,696.23</w:t>
            </w:r>
            <w:r>
              <w:rPr>
                <w:rFonts w:ascii="宋体"/>
                <w:sz w:val="21"/>
              </w:rPr>
            </w:r>
          </w:p>
        </w:tc>
        <w:tc>
          <w:tcPr>
            <w:tcW w:w="2500" w:type="dxa"/>
            <w:tcBorders>
              <w:top w:val="nil" w:sz="6" w:space="0" w:color="auto"/>
              <w:left w:val="single" w:sz="4" w:space="0" w:color="000000"/>
              <w:bottom w:val="single" w:sz="12" w:space="0" w:color="000000"/>
              <w:right w:val="nil" w:sz="6" w:space="0" w:color="auto"/>
            </w:tcBorders>
          </w:tcPr>
          <w:p>
            <w:pPr>
              <w:pStyle w:val="TableParagraph"/>
              <w:spacing w:line="255" w:lineRule="exact"/>
              <w:ind w:right="106"/>
              <w:jc w:val="right"/>
              <w:rPr>
                <w:rFonts w:ascii="宋体" w:hAnsi="宋体" w:cs="宋体" w:eastAsia="宋体" w:hint="default"/>
                <w:sz w:val="21"/>
                <w:szCs w:val="21"/>
              </w:rPr>
            </w:pPr>
            <w:r>
              <w:rPr>
                <w:rFonts w:ascii="宋体"/>
                <w:spacing w:val="-1"/>
                <w:sz w:val="21"/>
              </w:rPr>
              <w:t>869,006,514.15</w:t>
            </w:r>
            <w:r>
              <w:rPr>
                <w:rFonts w:ascii="宋体"/>
                <w:sz w:val="21"/>
              </w:rPr>
            </w:r>
          </w:p>
        </w:tc>
      </w:tr>
    </w:tbl>
    <w:p>
      <w:pPr>
        <w:pStyle w:val="BodyText"/>
        <w:tabs>
          <w:tab w:pos="3095" w:val="left" w:leader="none"/>
          <w:tab w:pos="6978" w:val="left" w:leader="none"/>
        </w:tabs>
        <w:spacing w:line="240" w:lineRule="auto" w:before="86"/>
        <w:ind w:left="469" w:right="0"/>
        <w:jc w:val="left"/>
      </w:pPr>
      <w:r>
        <w:rPr/>
        <w:t>法定代表人：李仲初</w:t>
        <w:tab/>
      </w:r>
      <w:r>
        <w:rPr>
          <w:spacing w:val="-1"/>
        </w:rPr>
        <w:t>主管会计工作负责人：赖德源</w:t>
        <w:tab/>
      </w:r>
      <w:r>
        <w:rPr/>
        <w:t>会计机构负责人：李天达</w:t>
      </w:r>
    </w:p>
    <w:p>
      <w:pPr>
        <w:spacing w:after="0" w:line="240" w:lineRule="auto"/>
        <w:jc w:val="left"/>
        <w:sectPr>
          <w:pgSz w:w="11910" w:h="16840"/>
          <w:pgMar w:header="720" w:footer="707" w:top="1060" w:bottom="900" w:left="980" w:right="1000"/>
        </w:sectPr>
      </w:pPr>
    </w:p>
    <w:p>
      <w:pPr>
        <w:spacing w:before="17"/>
        <w:ind w:left="180" w:right="164" w:firstLine="0"/>
        <w:jc w:val="center"/>
        <w:rPr>
          <w:rFonts w:ascii="黑体" w:hAnsi="黑体" w:cs="黑体" w:eastAsia="黑体" w:hint="default"/>
          <w:sz w:val="30"/>
          <w:szCs w:val="30"/>
        </w:rPr>
      </w:pPr>
      <w:r>
        <w:rPr/>
        <w:pict>
          <v:group style="position:absolute;margin-left:55.200001pt;margin-top:2.949846pt;width:484.65pt;height:.1pt;mso-position-horizontal-relative:page;mso-position-vertical-relative:paragraph;z-index:-709120"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0"/>
          <w:szCs w:val="30"/>
        </w:rPr>
        <w:t>合并资产负债表(负债及所有者权益)</w:t>
      </w:r>
      <w:r>
        <w:rPr>
          <w:rFonts w:ascii="黑体" w:hAnsi="黑体" w:cs="黑体" w:eastAsia="黑体" w:hint="default"/>
          <w:sz w:val="30"/>
          <w:szCs w:val="30"/>
        </w:rPr>
      </w:r>
    </w:p>
    <w:p>
      <w:pPr>
        <w:pStyle w:val="BodyText"/>
        <w:tabs>
          <w:tab w:pos="7365" w:val="left" w:leader="none"/>
        </w:tabs>
        <w:spacing w:line="240" w:lineRule="auto" w:before="10"/>
        <w:ind w:left="15"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50"/>
        <w:gridCol w:w="952"/>
        <w:gridCol w:w="2639"/>
        <w:gridCol w:w="2537"/>
      </w:tblGrid>
      <w:tr>
        <w:trPr>
          <w:trHeight w:val="268" w:hRule="exact"/>
        </w:trPr>
        <w:tc>
          <w:tcPr>
            <w:tcW w:w="3450"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95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2639"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37"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75" w:hRule="exact"/>
        </w:trPr>
        <w:tc>
          <w:tcPr>
            <w:tcW w:w="3450"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52" w:type="dxa"/>
            <w:tcBorders>
              <w:top w:val="single" w:sz="4" w:space="0" w:color="000000"/>
              <w:left w:val="single" w:sz="4" w:space="0" w:color="000000"/>
              <w:bottom w:val="nil" w:sz="6" w:space="0" w:color="auto"/>
              <w:right w:val="single" w:sz="4" w:space="0" w:color="000000"/>
            </w:tcBorders>
          </w:tcPr>
          <w:p>
            <w:pPr/>
          </w:p>
        </w:tc>
        <w:tc>
          <w:tcPr>
            <w:tcW w:w="2639" w:type="dxa"/>
            <w:tcBorders>
              <w:top w:val="single" w:sz="4" w:space="0" w:color="000000"/>
              <w:left w:val="single" w:sz="4" w:space="0" w:color="000000"/>
              <w:bottom w:val="nil" w:sz="6" w:space="0" w:color="auto"/>
              <w:right w:val="single" w:sz="4" w:space="0" w:color="000000"/>
            </w:tcBorders>
          </w:tcPr>
          <w:p>
            <w:pPr/>
          </w:p>
        </w:tc>
        <w:tc>
          <w:tcPr>
            <w:tcW w:w="2537" w:type="dxa"/>
            <w:tcBorders>
              <w:top w:val="single" w:sz="4" w:space="0" w:color="000000"/>
              <w:left w:val="single" w:sz="4" w:space="0" w:color="000000"/>
              <w:bottom w:val="nil" w:sz="6" w:space="0" w:color="auto"/>
              <w:right w:val="nil" w:sz="6" w:space="0" w:color="auto"/>
            </w:tcBorders>
          </w:tcPr>
          <w:p>
            <w:pPr/>
          </w:p>
        </w:tc>
      </w:tr>
      <w:tr>
        <w:trPr>
          <w:trHeight w:val="274"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9"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(五).21</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23,529,820.03</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11,470,003.92</w:t>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(五).22</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72,314,623.29</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84,321,385.57</w:t>
            </w:r>
          </w:p>
        </w:tc>
      </w:tr>
      <w:tr>
        <w:trPr>
          <w:trHeight w:val="277"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80"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(五).23</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14,917,588.14</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7,365,232.72</w:t>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(五).24</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14,693,609.34</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11,789,990.92</w:t>
            </w:r>
          </w:p>
        </w:tc>
      </w:tr>
      <w:tr>
        <w:trPr>
          <w:trHeight w:val="277"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3"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5,958,072.57</w:t>
            </w:r>
          </w:p>
        </w:tc>
        <w:tc>
          <w:tcPr>
            <w:tcW w:w="2537" w:type="dxa"/>
            <w:tcBorders>
              <w:top w:val="nil" w:sz="6" w:space="0" w:color="auto"/>
              <w:left w:val="single" w:sz="4" w:space="0" w:color="000000"/>
              <w:bottom w:val="nil" w:sz="6" w:space="0" w:color="auto"/>
              <w:right w:val="nil" w:sz="6" w:space="0" w:color="auto"/>
            </w:tcBorders>
          </w:tcPr>
          <w:p>
            <w:pPr/>
          </w:p>
        </w:tc>
      </w:tr>
      <w:tr>
        <w:trPr>
          <w:trHeight w:val="280"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(五).25</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31,048,965.15</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7,474,275.36</w:t>
            </w:r>
          </w:p>
        </w:tc>
      </w:tr>
      <w:tr>
        <w:trPr>
          <w:trHeight w:val="277"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3"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162,462,678.52</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122,420,888.49</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80"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(五).19</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1,045,481.46</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528,614.17</w:t>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(五).26</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737,000.00</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845,000.00</w:t>
            </w:r>
          </w:p>
        </w:tc>
      </w:tr>
      <w:tr>
        <w:trPr>
          <w:trHeight w:val="277"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1,782,481.46</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1,373,614.17</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164,245,159.98</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123,794,502.66</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9"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(五).27</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224,000,000.00</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224,000,000.00</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(五).28</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93,864,464.15</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86,262,108.98</w:t>
            </w:r>
          </w:p>
        </w:tc>
      </w:tr>
      <w:tr>
        <w:trPr>
          <w:trHeight w:val="277"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80"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(五).29</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46,187,818.37</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4"/>
              <w:jc w:val="right"/>
              <w:rPr>
                <w:rFonts w:ascii="宋体" w:hAnsi="宋体" w:cs="宋体" w:eastAsia="宋体" w:hint="default"/>
                <w:sz w:val="21"/>
                <w:szCs w:val="21"/>
              </w:rPr>
            </w:pPr>
            <w:r>
              <w:rPr>
                <w:rFonts w:ascii="宋体"/>
                <w:spacing w:val="-1"/>
                <w:sz w:val="21"/>
              </w:rPr>
              <w:t>32,255,696.32</w:t>
            </w:r>
          </w:p>
        </w:tc>
      </w:tr>
      <w:tr>
        <w:trPr>
          <w:trHeight w:val="277"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
        </w:tc>
        <w:tc>
          <w:tcPr>
            <w:tcW w:w="2537"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(五).30</w:t>
            </w: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512,092,207.37</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379,326,457.17</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-3,669,113.19</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-1,511,969.05</w:t>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872,475,376.70</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720,332,293.42</w:t>
            </w:r>
            <w:r>
              <w:rPr>
                <w:rFonts w:ascii="宋体"/>
                <w:sz w:val="21"/>
              </w:rPr>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33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33,321,159.55</w:t>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24,879,718.07</w:t>
            </w:r>
          </w:p>
        </w:tc>
      </w:tr>
      <w:tr>
        <w:trPr>
          <w:trHeight w:val="278" w:hRule="exact"/>
        </w:trPr>
        <w:tc>
          <w:tcPr>
            <w:tcW w:w="3450" w:type="dxa"/>
            <w:tcBorders>
              <w:top w:val="nil" w:sz="6" w:space="0" w:color="auto"/>
              <w:left w:val="nil" w:sz="6" w:space="0" w:color="auto"/>
              <w:bottom w:val="nil" w:sz="6" w:space="0" w:color="auto"/>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2" w:type="dxa"/>
            <w:tcBorders>
              <w:top w:val="nil" w:sz="6" w:space="0" w:color="auto"/>
              <w:left w:val="single" w:sz="4" w:space="0" w:color="000000"/>
              <w:bottom w:val="nil" w:sz="6" w:space="0" w:color="auto"/>
              <w:right w:val="single" w:sz="4" w:space="0" w:color="000000"/>
            </w:tcBorders>
          </w:tcPr>
          <w:p>
            <w:pPr/>
          </w:p>
        </w:tc>
        <w:tc>
          <w:tcPr>
            <w:tcW w:w="2639"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905,796,536.25</w:t>
            </w:r>
            <w:r>
              <w:rPr>
                <w:rFonts w:ascii="宋体"/>
                <w:sz w:val="21"/>
              </w:rPr>
            </w:r>
          </w:p>
        </w:tc>
        <w:tc>
          <w:tcPr>
            <w:tcW w:w="2537" w:type="dxa"/>
            <w:tcBorders>
              <w:top w:val="nil" w:sz="6" w:space="0" w:color="auto"/>
              <w:left w:val="single" w:sz="4" w:space="0" w:color="000000"/>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745,212,011.49</w:t>
            </w:r>
            <w:r>
              <w:rPr>
                <w:rFonts w:ascii="宋体"/>
                <w:sz w:val="21"/>
              </w:rPr>
            </w:r>
          </w:p>
        </w:tc>
      </w:tr>
      <w:tr>
        <w:trPr>
          <w:trHeight w:val="294" w:hRule="exact"/>
        </w:trPr>
        <w:tc>
          <w:tcPr>
            <w:tcW w:w="3450" w:type="dxa"/>
            <w:tcBorders>
              <w:top w:val="nil" w:sz="6" w:space="0" w:color="auto"/>
              <w:left w:val="nil" w:sz="6" w:space="0" w:color="auto"/>
              <w:bottom w:val="single" w:sz="12"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2" w:type="dxa"/>
            <w:tcBorders>
              <w:top w:val="nil" w:sz="6" w:space="0" w:color="auto"/>
              <w:left w:val="single" w:sz="4" w:space="0" w:color="000000"/>
              <w:bottom w:val="single" w:sz="12" w:space="0" w:color="000000"/>
              <w:right w:val="single" w:sz="4" w:space="0" w:color="000000"/>
            </w:tcBorders>
          </w:tcPr>
          <w:p>
            <w:pPr/>
          </w:p>
        </w:tc>
        <w:tc>
          <w:tcPr>
            <w:tcW w:w="2639" w:type="dxa"/>
            <w:tcBorders>
              <w:top w:val="nil" w:sz="6" w:space="0" w:color="auto"/>
              <w:left w:val="single" w:sz="4" w:space="0" w:color="000000"/>
              <w:bottom w:val="single" w:sz="12"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1,070,041,696.23</w:t>
            </w:r>
            <w:r>
              <w:rPr>
                <w:rFonts w:ascii="宋体"/>
                <w:sz w:val="21"/>
              </w:rPr>
            </w:r>
          </w:p>
        </w:tc>
        <w:tc>
          <w:tcPr>
            <w:tcW w:w="2537" w:type="dxa"/>
            <w:tcBorders>
              <w:top w:val="nil" w:sz="6" w:space="0" w:color="auto"/>
              <w:left w:val="single" w:sz="4" w:space="0" w:color="000000"/>
              <w:bottom w:val="single" w:sz="12" w:space="0" w:color="000000"/>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869,006,514.15</w:t>
            </w:r>
            <w:r>
              <w:rPr>
                <w:rFonts w:ascii="宋体"/>
                <w:sz w:val="21"/>
              </w:rPr>
            </w:r>
          </w:p>
        </w:tc>
      </w:tr>
    </w:tbl>
    <w:p>
      <w:pPr>
        <w:pStyle w:val="BodyText"/>
        <w:tabs>
          <w:tab w:pos="3303" w:val="left" w:leader="none"/>
          <w:tab w:pos="7188" w:val="left" w:leader="none"/>
        </w:tabs>
        <w:spacing w:line="241" w:lineRule="exact"/>
        <w:ind w:right="0"/>
        <w:jc w:val="left"/>
      </w:pPr>
      <w:r>
        <w:rPr/>
        <w:t>法定代表人：李仲初</w:t>
        <w:tab/>
      </w:r>
      <w:r>
        <w:rPr>
          <w:spacing w:val="-1"/>
        </w:rPr>
        <w:t>主管会计工作负责人：赖德源</w:t>
        <w:tab/>
        <w:t>会计机构负责人：李天达</w:t>
      </w:r>
    </w:p>
    <w:p>
      <w:pPr>
        <w:spacing w:after="0" w:line="241" w:lineRule="exact"/>
        <w:jc w:val="left"/>
        <w:sectPr>
          <w:pgSz w:w="11910" w:h="16840"/>
          <w:pgMar w:header="720" w:footer="707" w:top="1060" w:bottom="900" w:left="980" w:right="1000"/>
        </w:sectPr>
      </w:pPr>
    </w:p>
    <w:p>
      <w:pPr>
        <w:spacing w:before="13"/>
        <w:ind w:left="178" w:right="164" w:firstLine="0"/>
        <w:jc w:val="center"/>
        <w:rPr>
          <w:rFonts w:ascii="黑体" w:hAnsi="黑体" w:cs="黑体" w:eastAsia="黑体" w:hint="default"/>
          <w:sz w:val="32"/>
          <w:szCs w:val="32"/>
        </w:rPr>
      </w:pPr>
      <w:r>
        <w:rPr/>
        <w:pict>
          <v:group style="position:absolute;margin-left:55.200001pt;margin-top:2.957793pt;width:484.65pt;height:.1pt;mso-position-horizontal-relative:page;mso-position-vertical-relative:paragraph;z-index:-709096"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合并利润表</w:t>
      </w:r>
      <w:r>
        <w:rPr>
          <w:rFonts w:ascii="黑体" w:hAnsi="黑体" w:cs="黑体" w:eastAsia="黑体" w:hint="default"/>
          <w:sz w:val="32"/>
          <w:szCs w:val="32"/>
        </w:rPr>
      </w:r>
    </w:p>
    <w:p>
      <w:pPr>
        <w:pStyle w:val="BodyText"/>
        <w:tabs>
          <w:tab w:pos="7978" w:val="left" w:leader="none"/>
        </w:tabs>
        <w:spacing w:line="240" w:lineRule="auto" w:before="14"/>
        <w:ind w:left="0" w:right="166"/>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668"/>
        <w:gridCol w:w="989"/>
        <w:gridCol w:w="1933"/>
        <w:gridCol w:w="2040"/>
      </w:tblGrid>
      <w:tr>
        <w:trPr>
          <w:trHeight w:val="308" w:hRule="exact"/>
        </w:trPr>
        <w:tc>
          <w:tcPr>
            <w:tcW w:w="4668" w:type="dxa"/>
            <w:tcBorders>
              <w:top w:val="single" w:sz="12" w:space="0" w:color="000000"/>
              <w:left w:val="nil" w:sz="6" w:space="0" w:color="auto"/>
              <w:bottom w:val="single" w:sz="4" w:space="0" w:color="000000"/>
              <w:right w:val="single" w:sz="4" w:space="0" w:color="000000"/>
            </w:tcBorders>
          </w:tcPr>
          <w:p>
            <w:pPr>
              <w:pStyle w:val="TableParagraph"/>
              <w:tabs>
                <w:tab w:pos="1068" w:val="left" w:leader="none"/>
              </w:tabs>
              <w:spacing w:line="247" w:lineRule="exact"/>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933"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9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04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right="104"/>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14" w:hRule="exact"/>
        </w:trPr>
        <w:tc>
          <w:tcPr>
            <w:tcW w:w="4668" w:type="dxa"/>
            <w:tcBorders>
              <w:top w:val="single" w:sz="4" w:space="0" w:color="000000"/>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89" w:type="dxa"/>
            <w:tcBorders>
              <w:top w:val="single" w:sz="4" w:space="0" w:color="000000"/>
              <w:left w:val="single" w:sz="4" w:space="0" w:color="000000"/>
              <w:bottom w:val="nil" w:sz="6" w:space="0" w:color="auto"/>
              <w:right w:val="single" w:sz="4" w:space="0" w:color="000000"/>
            </w:tcBorders>
          </w:tcPr>
          <w:p>
            <w:pPr/>
          </w:p>
        </w:tc>
        <w:tc>
          <w:tcPr>
            <w:tcW w:w="1933" w:type="dxa"/>
            <w:tcBorders>
              <w:top w:val="single" w:sz="4" w:space="0" w:color="000000"/>
              <w:left w:val="single" w:sz="4" w:space="0" w:color="000000"/>
              <w:bottom w:val="nil" w:sz="6" w:space="0" w:color="auto"/>
              <w:right w:val="single" w:sz="4" w:space="0" w:color="000000"/>
            </w:tcBorders>
          </w:tcPr>
          <w:p>
            <w:pPr>
              <w:pStyle w:val="TableParagraph"/>
              <w:spacing w:line="258" w:lineRule="exact"/>
              <w:ind w:right="102"/>
              <w:jc w:val="right"/>
              <w:rPr>
                <w:rFonts w:ascii="宋体" w:hAnsi="宋体" w:cs="宋体" w:eastAsia="宋体" w:hint="default"/>
                <w:sz w:val="21"/>
                <w:szCs w:val="21"/>
              </w:rPr>
            </w:pPr>
            <w:r>
              <w:rPr>
                <w:rFonts w:ascii="宋体"/>
                <w:spacing w:val="-1"/>
                <w:sz w:val="21"/>
              </w:rPr>
              <w:t>610,247,365.99</w:t>
            </w:r>
            <w:r>
              <w:rPr>
                <w:rFonts w:ascii="宋体"/>
                <w:sz w:val="21"/>
              </w:rPr>
            </w:r>
          </w:p>
        </w:tc>
        <w:tc>
          <w:tcPr>
            <w:tcW w:w="2040" w:type="dxa"/>
            <w:tcBorders>
              <w:top w:val="single" w:sz="4" w:space="0" w:color="000000"/>
              <w:left w:val="single" w:sz="4" w:space="0" w:color="000000"/>
              <w:bottom w:val="nil" w:sz="6" w:space="0" w:color="auto"/>
              <w:right w:val="nil" w:sz="6" w:space="0" w:color="auto"/>
            </w:tcBorders>
          </w:tcPr>
          <w:p>
            <w:pPr>
              <w:pStyle w:val="TableParagraph"/>
              <w:spacing w:line="258" w:lineRule="exact"/>
              <w:ind w:right="107"/>
              <w:jc w:val="right"/>
              <w:rPr>
                <w:rFonts w:ascii="宋体" w:hAnsi="宋体" w:cs="宋体" w:eastAsia="宋体" w:hint="default"/>
                <w:sz w:val="21"/>
                <w:szCs w:val="21"/>
              </w:rPr>
            </w:pPr>
            <w:r>
              <w:rPr>
                <w:rFonts w:ascii="宋体"/>
                <w:spacing w:val="-1"/>
                <w:sz w:val="21"/>
              </w:rPr>
              <w:t>406,620,993.67</w:t>
            </w:r>
            <w:r>
              <w:rPr>
                <w:rFonts w:ascii="宋体"/>
                <w:sz w:val="21"/>
              </w:rPr>
            </w:r>
          </w:p>
        </w:tc>
      </w:tr>
      <w:tr>
        <w:trPr>
          <w:trHeight w:val="316"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(五).31</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610,247,365.99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2" w:lineRule="exact"/>
              <w:ind w:right="107"/>
              <w:jc w:val="right"/>
              <w:rPr>
                <w:rFonts w:ascii="宋体" w:hAnsi="宋体" w:cs="宋体" w:eastAsia="宋体" w:hint="default"/>
                <w:sz w:val="21"/>
                <w:szCs w:val="21"/>
              </w:rPr>
            </w:pPr>
            <w:r>
              <w:rPr>
                <w:rFonts w:ascii="宋体"/>
                <w:spacing w:val="-1"/>
                <w:sz w:val="21"/>
              </w:rPr>
              <w:t>406,620,993.67</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403,382,123.12</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284,677,632.88</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(五).31</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188,026,887.02</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120,671,937.89</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(五).32</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13,739,588.16</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10,052,362.52</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(五).33</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44,703,163.94</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33,812,386.43</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(五).34</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156,735,409.08</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120,500,673.72</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(五).35</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-4,182,001.24</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-3,684,069.26</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75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(五).36</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4,359,076.16</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3,324,341.58</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加：公允价值变动净收益（损失以“-”号填列）</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(五).37</w:t>
            </w: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43,354.30</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18,976.37</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4"/>
              <w:jc w:val="right"/>
              <w:rPr>
                <w:rFonts w:ascii="宋体" w:hAnsi="宋体" w:cs="宋体" w:eastAsia="宋体" w:hint="default"/>
                <w:sz w:val="21"/>
                <w:szCs w:val="21"/>
              </w:rPr>
            </w:pPr>
            <w:r>
              <w:rPr>
                <w:rFonts w:ascii="宋体"/>
                <w:spacing w:val="-1"/>
                <w:sz w:val="21"/>
              </w:rPr>
              <w:t>461,223.76</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17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206,884,219.24</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122,447,938.85</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(五).38</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41,060,846.71</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22,315,780.99</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(五).39</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3,074,174.09</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21,459.33</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18,015.33</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244,870,891.86</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144,742,260.51</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(五).40</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16,221,505.56</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8"/>
              <w:jc w:val="right"/>
              <w:rPr>
                <w:rFonts w:ascii="宋体" w:hAnsi="宋体" w:cs="宋体" w:eastAsia="宋体" w:hint="default"/>
                <w:sz w:val="21"/>
                <w:szCs w:val="21"/>
              </w:rPr>
            </w:pPr>
            <w:r>
              <w:rPr>
                <w:rFonts w:ascii="宋体"/>
                <w:spacing w:val="-1"/>
                <w:sz w:val="21"/>
              </w:rPr>
              <w:t>3,420,228.34</w:t>
            </w:r>
          </w:p>
        </w:tc>
      </w:tr>
      <w:tr>
        <w:trPr>
          <w:trHeight w:val="307"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228,649,386.30</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141,322,032.17</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其中:被合并方在合并前取得的被合并方</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29"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102"/>
              <w:jc w:val="right"/>
              <w:rPr>
                <w:rFonts w:ascii="宋体" w:hAnsi="宋体" w:cs="宋体" w:eastAsia="宋体" w:hint="default"/>
                <w:sz w:val="21"/>
                <w:szCs w:val="21"/>
              </w:rPr>
            </w:pPr>
            <w:r>
              <w:rPr>
                <w:rFonts w:ascii="宋体"/>
                <w:spacing w:val="-1"/>
                <w:sz w:val="21"/>
              </w:rPr>
              <w:t>213,897,872.25</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40" w:lineRule="auto"/>
              <w:ind w:right="107"/>
              <w:jc w:val="right"/>
              <w:rPr>
                <w:rFonts w:ascii="宋体" w:hAnsi="宋体" w:cs="宋体" w:eastAsia="宋体" w:hint="default"/>
                <w:sz w:val="21"/>
                <w:szCs w:val="21"/>
              </w:rPr>
            </w:pPr>
            <w:r>
              <w:rPr>
                <w:rFonts w:ascii="宋体"/>
                <w:spacing w:val="-1"/>
                <w:sz w:val="21"/>
              </w:rPr>
              <w:t>131,664,286.61</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14,751,514.05</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9,657,745.56</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(五).41</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0.95</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4"/>
              <w:jc w:val="right"/>
              <w:rPr>
                <w:rFonts w:ascii="宋体" w:hAnsi="宋体" w:cs="宋体" w:eastAsia="宋体" w:hint="default"/>
                <w:sz w:val="21"/>
                <w:szCs w:val="21"/>
              </w:rPr>
            </w:pPr>
            <w:r>
              <w:rPr>
                <w:rFonts w:ascii="宋体"/>
                <w:spacing w:val="-1"/>
                <w:sz w:val="21"/>
              </w:rPr>
              <w:t>0.59</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(五).41</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0.95</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4"/>
              <w:jc w:val="right"/>
              <w:rPr>
                <w:rFonts w:ascii="宋体" w:hAnsi="宋体" w:cs="宋体" w:eastAsia="宋体" w:hint="default"/>
                <w:sz w:val="21"/>
                <w:szCs w:val="21"/>
              </w:rPr>
            </w:pPr>
            <w:r>
              <w:rPr>
                <w:rFonts w:ascii="宋体"/>
                <w:spacing w:val="-1"/>
                <w:sz w:val="21"/>
              </w:rPr>
              <w:t>0.59</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(五).42</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-2,157,144.14</w:t>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5"/>
              <w:jc w:val="right"/>
              <w:rPr>
                <w:rFonts w:ascii="宋体" w:hAnsi="宋体" w:cs="宋体" w:eastAsia="宋体" w:hint="default"/>
                <w:sz w:val="21"/>
                <w:szCs w:val="21"/>
              </w:rPr>
            </w:pPr>
            <w:r>
              <w:rPr>
                <w:rFonts w:ascii="宋体"/>
                <w:spacing w:val="-1"/>
                <w:sz w:val="21"/>
              </w:rPr>
              <w:t>-1,099,143.19</w:t>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226,492,242.16</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140,222,888.98</w:t>
            </w:r>
            <w:r>
              <w:rPr>
                <w:rFonts w:ascii="宋体"/>
                <w:sz w:val="21"/>
              </w:rPr>
            </w:r>
          </w:p>
        </w:tc>
      </w:tr>
      <w:tr>
        <w:trPr>
          <w:trHeight w:val="318" w:hRule="exact"/>
        </w:trPr>
        <w:tc>
          <w:tcPr>
            <w:tcW w:w="4668" w:type="dxa"/>
            <w:tcBorders>
              <w:top w:val="nil" w:sz="6" w:space="0" w:color="auto"/>
              <w:left w:val="nil" w:sz="6" w:space="0" w:color="auto"/>
              <w:bottom w:val="nil" w:sz="6" w:space="0" w:color="auto"/>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其中:归属于母公司所有者的综合收益总额</w:t>
            </w:r>
          </w:p>
        </w:tc>
        <w:tc>
          <w:tcPr>
            <w:tcW w:w="989"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211,740,728.11</w:t>
            </w:r>
            <w:r>
              <w:rPr>
                <w:rFonts w:ascii="宋体"/>
                <w:sz w:val="21"/>
              </w:rPr>
            </w:r>
          </w:p>
        </w:tc>
        <w:tc>
          <w:tcPr>
            <w:tcW w:w="2040" w:type="dxa"/>
            <w:tcBorders>
              <w:top w:val="nil" w:sz="6" w:space="0" w:color="auto"/>
              <w:left w:val="single" w:sz="4" w:space="0" w:color="000000"/>
              <w:bottom w:val="nil" w:sz="6" w:space="0" w:color="auto"/>
              <w:right w:val="nil" w:sz="6" w:space="0" w:color="auto"/>
            </w:tcBorders>
          </w:tcPr>
          <w:p>
            <w:pPr>
              <w:pStyle w:val="TableParagraph"/>
              <w:spacing w:line="264" w:lineRule="exact"/>
              <w:ind w:right="107"/>
              <w:jc w:val="right"/>
              <w:rPr>
                <w:rFonts w:ascii="宋体" w:hAnsi="宋体" w:cs="宋体" w:eastAsia="宋体" w:hint="default"/>
                <w:sz w:val="21"/>
                <w:szCs w:val="21"/>
              </w:rPr>
            </w:pPr>
            <w:r>
              <w:rPr>
                <w:rFonts w:ascii="宋体"/>
                <w:spacing w:val="-1"/>
                <w:sz w:val="21"/>
              </w:rPr>
              <w:t>130,565,143.42</w:t>
            </w:r>
            <w:r>
              <w:rPr>
                <w:rFonts w:ascii="宋体"/>
                <w:sz w:val="21"/>
              </w:rPr>
            </w:r>
          </w:p>
        </w:tc>
      </w:tr>
      <w:tr>
        <w:trPr>
          <w:trHeight w:val="335" w:hRule="exact"/>
        </w:trPr>
        <w:tc>
          <w:tcPr>
            <w:tcW w:w="4668" w:type="dxa"/>
            <w:tcBorders>
              <w:top w:val="nil" w:sz="6" w:space="0" w:color="auto"/>
              <w:left w:val="nil" w:sz="6" w:space="0" w:color="auto"/>
              <w:bottom w:val="single" w:sz="12" w:space="0" w:color="000000"/>
              <w:right w:val="single" w:sz="4" w:space="0" w:color="000000"/>
            </w:tcBorders>
          </w:tcPr>
          <w:p>
            <w:pPr>
              <w:pStyle w:val="TableParagraph"/>
              <w:spacing w:line="264" w:lineRule="exact"/>
              <w:ind w:left="542" w:right="0"/>
              <w:jc w:val="left"/>
              <w:rPr>
                <w:rFonts w:ascii="宋体" w:hAnsi="宋体" w:cs="宋体" w:eastAsia="宋体" w:hint="default"/>
                <w:sz w:val="21"/>
                <w:szCs w:val="21"/>
              </w:rPr>
            </w:pPr>
            <w:r>
              <w:rPr>
                <w:rFonts w:ascii="宋体" w:hAnsi="宋体" w:cs="宋体" w:eastAsia="宋体" w:hint="default"/>
                <w:sz w:val="21"/>
                <w:szCs w:val="21"/>
              </w:rPr>
              <w:t>其中:归属于少数股东的综合收益总额</w:t>
            </w:r>
          </w:p>
        </w:tc>
        <w:tc>
          <w:tcPr>
            <w:tcW w:w="989" w:type="dxa"/>
            <w:tcBorders>
              <w:top w:val="nil" w:sz="6" w:space="0" w:color="auto"/>
              <w:left w:val="single" w:sz="4" w:space="0" w:color="000000"/>
              <w:bottom w:val="single" w:sz="12" w:space="0" w:color="000000"/>
              <w:right w:val="single" w:sz="4" w:space="0" w:color="000000"/>
            </w:tcBorders>
          </w:tcPr>
          <w:p>
            <w:pPr/>
          </w:p>
        </w:tc>
        <w:tc>
          <w:tcPr>
            <w:tcW w:w="1933" w:type="dxa"/>
            <w:tcBorders>
              <w:top w:val="nil" w:sz="6" w:space="0" w:color="auto"/>
              <w:left w:val="single" w:sz="4" w:space="0" w:color="000000"/>
              <w:bottom w:val="single" w:sz="12"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14,751,514.05</w:t>
            </w:r>
          </w:p>
        </w:tc>
        <w:tc>
          <w:tcPr>
            <w:tcW w:w="2040" w:type="dxa"/>
            <w:tcBorders>
              <w:top w:val="nil" w:sz="6" w:space="0" w:color="auto"/>
              <w:left w:val="single" w:sz="4" w:space="0" w:color="000000"/>
              <w:bottom w:val="single" w:sz="12" w:space="0" w:color="000000"/>
              <w:right w:val="nil" w:sz="6" w:space="0" w:color="auto"/>
            </w:tcBorders>
          </w:tcPr>
          <w:p>
            <w:pPr>
              <w:pStyle w:val="TableParagraph"/>
              <w:spacing w:line="264" w:lineRule="exact"/>
              <w:ind w:right="106"/>
              <w:jc w:val="right"/>
              <w:rPr>
                <w:rFonts w:ascii="宋体" w:hAnsi="宋体" w:cs="宋体" w:eastAsia="宋体" w:hint="default"/>
                <w:sz w:val="21"/>
                <w:szCs w:val="21"/>
              </w:rPr>
            </w:pPr>
            <w:r>
              <w:rPr>
                <w:rFonts w:ascii="宋体"/>
                <w:spacing w:val="-1"/>
                <w:sz w:val="21"/>
              </w:rPr>
              <w:t>9,657,745.56</w:t>
            </w:r>
          </w:p>
        </w:tc>
      </w:tr>
    </w:tbl>
    <w:p>
      <w:pPr>
        <w:pStyle w:val="BodyText"/>
        <w:tabs>
          <w:tab w:pos="3303" w:val="left" w:leader="none"/>
          <w:tab w:pos="7188" w:val="left" w:leader="none"/>
        </w:tabs>
        <w:spacing w:line="240" w:lineRule="auto" w:before="86"/>
        <w:ind w:right="0"/>
        <w:jc w:val="left"/>
      </w:pPr>
      <w:r>
        <w:rPr/>
        <w:t>法定代表人：李仲初</w:t>
        <w:tab/>
      </w:r>
      <w:r>
        <w:rPr>
          <w:spacing w:val="-1"/>
        </w:rPr>
        <w:t>主管会计工作负责人：赖德源</w:t>
        <w:tab/>
        <w:t>会计机构负责人：李天达</w:t>
      </w:r>
    </w:p>
    <w:p>
      <w:pPr>
        <w:spacing w:after="0" w:line="240" w:lineRule="auto"/>
        <w:jc w:val="left"/>
        <w:sectPr>
          <w:pgSz w:w="11910" w:h="16840"/>
          <w:pgMar w:header="720" w:footer="707" w:top="1060" w:bottom="900" w:left="980" w:right="1000"/>
        </w:sectPr>
      </w:pPr>
    </w:p>
    <w:p>
      <w:pPr>
        <w:spacing w:before="13"/>
        <w:ind w:left="179" w:right="164" w:firstLine="0"/>
        <w:jc w:val="center"/>
        <w:rPr>
          <w:rFonts w:ascii="黑体" w:hAnsi="黑体" w:cs="黑体" w:eastAsia="黑体" w:hint="default"/>
          <w:sz w:val="32"/>
          <w:szCs w:val="32"/>
        </w:rPr>
      </w:pPr>
      <w:r>
        <w:rPr/>
        <w:pict>
          <v:group style="position:absolute;margin-left:55.200001pt;margin-top:2.957793pt;width:484.65pt;height:.1pt;mso-position-horizontal-relative:page;mso-position-vertical-relative:paragraph;z-index:-709072"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合并现金流量表</w:t>
      </w:r>
      <w:r>
        <w:rPr>
          <w:rFonts w:ascii="黑体" w:hAnsi="黑体" w:cs="黑体" w:eastAsia="黑体" w:hint="default"/>
          <w:sz w:val="32"/>
          <w:szCs w:val="32"/>
        </w:rPr>
      </w:r>
    </w:p>
    <w:p>
      <w:pPr>
        <w:pStyle w:val="BodyText"/>
        <w:tabs>
          <w:tab w:pos="7503" w:val="left" w:leader="none"/>
        </w:tabs>
        <w:spacing w:line="240" w:lineRule="auto" w:before="14"/>
        <w:ind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070"/>
        <w:gridCol w:w="1314"/>
        <w:gridCol w:w="1597"/>
        <w:gridCol w:w="1589"/>
      </w:tblGrid>
      <w:tr>
        <w:trPr>
          <w:trHeight w:val="211" w:hRule="exact"/>
        </w:trPr>
        <w:tc>
          <w:tcPr>
            <w:tcW w:w="5070"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59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1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89"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26" w:hRule="exact"/>
        </w:trPr>
        <w:tc>
          <w:tcPr>
            <w:tcW w:w="5070"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314" w:type="dxa"/>
            <w:tcBorders>
              <w:top w:val="single" w:sz="4" w:space="0" w:color="000000"/>
              <w:left w:val="single" w:sz="4" w:space="0" w:color="000000"/>
              <w:bottom w:val="nil" w:sz="6" w:space="0" w:color="auto"/>
              <w:right w:val="single" w:sz="4" w:space="0" w:color="000000"/>
            </w:tcBorders>
          </w:tcPr>
          <w:p>
            <w:pPr/>
          </w:p>
        </w:tc>
        <w:tc>
          <w:tcPr>
            <w:tcW w:w="1597" w:type="dxa"/>
            <w:tcBorders>
              <w:top w:val="single" w:sz="4" w:space="0" w:color="000000"/>
              <w:left w:val="single" w:sz="4" w:space="0" w:color="000000"/>
              <w:bottom w:val="nil" w:sz="6" w:space="0" w:color="auto"/>
              <w:right w:val="single" w:sz="4" w:space="0" w:color="000000"/>
            </w:tcBorders>
          </w:tcPr>
          <w:p>
            <w:pPr/>
          </w:p>
        </w:tc>
        <w:tc>
          <w:tcPr>
            <w:tcW w:w="1589" w:type="dxa"/>
            <w:tcBorders>
              <w:top w:val="single" w:sz="4" w:space="0" w:color="000000"/>
              <w:left w:val="single" w:sz="4" w:space="0" w:color="000000"/>
              <w:bottom w:val="nil" w:sz="6" w:space="0" w:color="auto"/>
              <w:right w:val="nil" w:sz="6" w:space="0" w:color="auto"/>
            </w:tcBorders>
          </w:tcPr>
          <w:p>
            <w:pPr/>
          </w:p>
        </w:tc>
      </w:tr>
      <w:tr>
        <w:trPr>
          <w:trHeight w:val="216"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196" w:lineRule="exact"/>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196" w:lineRule="exact"/>
              <w:ind w:right="101"/>
              <w:jc w:val="right"/>
              <w:rPr>
                <w:rFonts w:ascii="宋体" w:hAnsi="宋体" w:cs="宋体" w:eastAsia="宋体" w:hint="default"/>
                <w:sz w:val="18"/>
                <w:szCs w:val="18"/>
              </w:rPr>
            </w:pPr>
            <w:r>
              <w:rPr>
                <w:rFonts w:ascii="宋体"/>
                <w:sz w:val="18"/>
              </w:rPr>
              <w:t>623,109,607.96</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196" w:lineRule="exact"/>
              <w:ind w:right="105"/>
              <w:jc w:val="right"/>
              <w:rPr>
                <w:rFonts w:ascii="宋体" w:hAnsi="宋体" w:cs="宋体" w:eastAsia="宋体" w:hint="default"/>
                <w:sz w:val="18"/>
                <w:szCs w:val="18"/>
              </w:rPr>
            </w:pPr>
            <w:r>
              <w:rPr>
                <w:rFonts w:ascii="宋体"/>
                <w:sz w:val="18"/>
              </w:rPr>
              <w:t>454,528,212.39</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38,116,451.74</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22,647,668.10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(五).43.(1)</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7,018,396.21</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5,450,001.23</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66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668,244,455.91</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482,625,881.72</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211,117,914.73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158,957,439.88</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30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87,700,858.63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69,455,204.52</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77,695,328.50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48,034,677.75</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(五).43.(2)</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z w:val="18"/>
              </w:rPr>
              <w:t>88,463,929.72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1" w:lineRule="exact"/>
              <w:ind w:right="105"/>
              <w:jc w:val="right"/>
              <w:rPr>
                <w:rFonts w:ascii="宋体" w:hAnsi="宋体" w:cs="宋体" w:eastAsia="宋体" w:hint="default"/>
                <w:sz w:val="18"/>
                <w:szCs w:val="18"/>
              </w:rPr>
            </w:pPr>
            <w:r>
              <w:rPr>
                <w:rFonts w:ascii="宋体"/>
                <w:sz w:val="18"/>
              </w:rPr>
              <w:t>60,324,776.71</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66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464,978,031.58</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336,772,098.86</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203,266,424.33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145,853,782.86</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70,148.41</w:t>
            </w: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70,148.41</w:t>
            </w: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14,611,854.92</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54,607,614.64</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17,750,000.00</w:t>
            </w: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314"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(五).43.(4)</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24,490,418.97</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23,375,000.00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30,742.72</w:t>
            </w: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56,883,016.61</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77,982,614.64</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-56,812,868.20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-77,982,614.64</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67,552,000.00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33,952,000.00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352,000.00</w:t>
            </w: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67,552,000.00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33,952,000.00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4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-67,552,000.00</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-33,952,000.00</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
        </w:tc>
        <w:tc>
          <w:tcPr>
            <w:tcW w:w="1589" w:type="dxa"/>
            <w:tcBorders>
              <w:top w:val="nil" w:sz="6" w:space="0" w:color="auto"/>
              <w:left w:val="single" w:sz="4" w:space="0" w:color="000000"/>
              <w:bottom w:val="nil" w:sz="6" w:space="0" w:color="auto"/>
              <w:right w:val="nil" w:sz="6" w:space="0" w:color="auto"/>
            </w:tcBorders>
          </w:tcPr>
          <w:p>
            <w:pP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78,901,556.13</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33,919,168.22</w:t>
            </w:r>
          </w:p>
        </w:tc>
      </w:tr>
      <w:tr>
        <w:trPr>
          <w:trHeight w:val="221" w:hRule="exact"/>
        </w:trPr>
        <w:tc>
          <w:tcPr>
            <w:tcW w:w="5070" w:type="dxa"/>
            <w:tcBorders>
              <w:top w:val="nil" w:sz="6" w:space="0" w:color="auto"/>
              <w:left w:val="nil" w:sz="6" w:space="0" w:color="auto"/>
              <w:bottom w:val="nil" w:sz="6" w:space="0" w:color="auto"/>
              <w:right w:val="single" w:sz="4" w:space="0" w:color="000000"/>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314" w:type="dxa"/>
            <w:tcBorders>
              <w:top w:val="nil" w:sz="6" w:space="0" w:color="auto"/>
              <w:left w:val="single" w:sz="4" w:space="0" w:color="000000"/>
              <w:bottom w:val="nil" w:sz="6" w:space="0" w:color="auto"/>
              <w:right w:val="single" w:sz="4" w:space="0" w:color="000000"/>
            </w:tcBorders>
          </w:tcPr>
          <w:p>
            <w:pP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412,609,448.89</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378,690,280.67</w:t>
            </w:r>
          </w:p>
        </w:tc>
      </w:tr>
      <w:tr>
        <w:trPr>
          <w:trHeight w:val="231" w:hRule="exact"/>
        </w:trPr>
        <w:tc>
          <w:tcPr>
            <w:tcW w:w="5070" w:type="dxa"/>
            <w:tcBorders>
              <w:top w:val="nil" w:sz="6" w:space="0" w:color="auto"/>
              <w:left w:val="nil" w:sz="6" w:space="0" w:color="auto"/>
              <w:bottom w:val="single" w:sz="12" w:space="0" w:color="000000"/>
              <w:right w:val="single" w:sz="4" w:space="0" w:color="000000"/>
            </w:tcBorders>
          </w:tcPr>
          <w:p>
            <w:pPr>
              <w:pStyle w:val="TableParagraph"/>
              <w:spacing w:line="200"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314" w:type="dxa"/>
            <w:tcBorders>
              <w:top w:val="nil" w:sz="6" w:space="0" w:color="auto"/>
              <w:left w:val="single" w:sz="4" w:space="0" w:color="000000"/>
              <w:bottom w:val="single" w:sz="12" w:space="0" w:color="000000"/>
              <w:right w:val="single" w:sz="4" w:space="0" w:color="000000"/>
            </w:tcBorders>
          </w:tcPr>
          <w:p>
            <w:pPr/>
          </w:p>
        </w:tc>
        <w:tc>
          <w:tcPr>
            <w:tcW w:w="1597" w:type="dxa"/>
            <w:tcBorders>
              <w:top w:val="nil" w:sz="6" w:space="0" w:color="auto"/>
              <w:left w:val="single" w:sz="4" w:space="0" w:color="000000"/>
              <w:bottom w:val="single" w:sz="12" w:space="0" w:color="000000"/>
              <w:right w:val="single" w:sz="4" w:space="0" w:color="000000"/>
            </w:tcBorders>
          </w:tcPr>
          <w:p>
            <w:pPr>
              <w:pStyle w:val="TableParagraph"/>
              <w:spacing w:line="200" w:lineRule="exact"/>
              <w:ind w:right="101"/>
              <w:jc w:val="right"/>
              <w:rPr>
                <w:rFonts w:ascii="宋体" w:hAnsi="宋体" w:cs="宋体" w:eastAsia="宋体" w:hint="default"/>
                <w:sz w:val="18"/>
                <w:szCs w:val="18"/>
              </w:rPr>
            </w:pPr>
            <w:r>
              <w:rPr>
                <w:rFonts w:ascii="宋体"/>
                <w:sz w:val="18"/>
              </w:rPr>
              <w:t>491,511,005.02</w:t>
            </w:r>
          </w:p>
        </w:tc>
        <w:tc>
          <w:tcPr>
            <w:tcW w:w="1589" w:type="dxa"/>
            <w:tcBorders>
              <w:top w:val="nil" w:sz="6" w:space="0" w:color="auto"/>
              <w:left w:val="single" w:sz="4" w:space="0" w:color="000000"/>
              <w:bottom w:val="single" w:sz="12" w:space="0" w:color="000000"/>
              <w:right w:val="nil" w:sz="6" w:space="0" w:color="auto"/>
            </w:tcBorders>
          </w:tcPr>
          <w:p>
            <w:pPr>
              <w:pStyle w:val="TableParagraph"/>
              <w:spacing w:line="200" w:lineRule="exact"/>
              <w:ind w:right="105"/>
              <w:jc w:val="right"/>
              <w:rPr>
                <w:rFonts w:ascii="宋体" w:hAnsi="宋体" w:cs="宋体" w:eastAsia="宋体" w:hint="default"/>
                <w:sz w:val="18"/>
                <w:szCs w:val="18"/>
              </w:rPr>
            </w:pPr>
            <w:r>
              <w:rPr>
                <w:rFonts w:ascii="宋体"/>
                <w:sz w:val="18"/>
              </w:rPr>
              <w:t>412,609,448.89</w:t>
            </w:r>
          </w:p>
        </w:tc>
      </w:tr>
    </w:tbl>
    <w:p>
      <w:pPr>
        <w:pStyle w:val="BodyText"/>
        <w:tabs>
          <w:tab w:pos="2989" w:val="left" w:leader="none"/>
          <w:tab w:pos="7083" w:val="left" w:leader="none"/>
        </w:tabs>
        <w:spacing w:line="240" w:lineRule="auto" w:before="86"/>
        <w:ind w:right="0"/>
        <w:jc w:val="left"/>
      </w:pPr>
      <w:r>
        <w:rPr/>
        <w:t>法定代表人：李仲初</w:t>
        <w:tab/>
      </w:r>
      <w:r>
        <w:rPr>
          <w:spacing w:val="-1"/>
        </w:rPr>
        <w:t>主管会计工作负责人：赖德源</w:t>
        <w:tab/>
        <w:t>会计机构负责人：李天达</w:t>
      </w:r>
    </w:p>
    <w:p>
      <w:pPr>
        <w:spacing w:after="0" w:line="240" w:lineRule="auto"/>
        <w:jc w:val="left"/>
        <w:sectPr>
          <w:pgSz w:w="11910" w:h="16840"/>
          <w:pgMar w:header="720" w:footer="707" w:top="1060" w:bottom="900" w:left="980" w:right="1000"/>
        </w:sectPr>
      </w:pPr>
    </w:p>
    <w:p>
      <w:pPr>
        <w:spacing w:before="20"/>
        <w:ind w:left="6173" w:right="6156" w:firstLine="0"/>
        <w:jc w:val="center"/>
        <w:rPr>
          <w:rFonts w:ascii="黑体" w:hAnsi="黑体" w:cs="黑体" w:eastAsia="黑体" w:hint="default"/>
          <w:sz w:val="28"/>
          <w:szCs w:val="28"/>
        </w:rPr>
      </w:pPr>
      <w:r>
        <w:rPr/>
        <w:pict>
          <v:shape style="position:absolute;margin-left:56.690994pt;margin-top:36pt;width:31.003998pt;height:19.440002pt;mso-position-horizontal-relative:page;mso-position-vertical-relative:page;z-index:-709048" type="#_x0000_t75" stroked="false">
            <v:imagedata r:id="rId24" o:title=""/>
          </v:shape>
        </w:pict>
      </w:r>
      <w:r>
        <w:rPr/>
        <w:pict>
          <v:group style="position:absolute;margin-left:55.191002pt;margin-top:2.951533pt;width:731.6pt;height:.1pt;mso-position-horizontal-relative:page;mso-position-vertical-relative:paragraph;z-index:-709024" coordorigin="1104,59" coordsize="14632,2">
            <v:shape style="position:absolute;left:1104;top:59;width:14632;height:2" coordorigin="1104,59" coordsize="14632,0" path="m1104,59l15735,59e" filled="false" stroked="true" strokeweight=".72pt" strokecolor="#000000">
              <v:path arrowok="t"/>
            </v:shape>
            <w10:wrap type="none"/>
          </v:group>
        </w:pict>
      </w:r>
      <w:r>
        <w:rPr>
          <w:rFonts w:ascii="黑体" w:hAnsi="黑体" w:cs="黑体" w:eastAsia="黑体" w:hint="default"/>
          <w:b/>
          <w:bCs/>
          <w:sz w:val="28"/>
          <w:szCs w:val="28"/>
        </w:rPr>
        <w:t>合并所有者权益变动表</w:t>
      </w:r>
      <w:r>
        <w:rPr>
          <w:rFonts w:ascii="黑体" w:hAnsi="黑体" w:cs="黑体" w:eastAsia="黑体" w:hint="default"/>
          <w:sz w:val="28"/>
          <w:szCs w:val="28"/>
        </w:rPr>
      </w:r>
    </w:p>
    <w:p>
      <w:pPr>
        <w:pStyle w:val="BodyText"/>
        <w:tabs>
          <w:tab w:pos="12910" w:val="left" w:leader="none"/>
        </w:tabs>
        <w:spacing w:line="240" w:lineRule="auto" w:before="8"/>
        <w:ind w:left="31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970"/>
        <w:gridCol w:w="1348"/>
        <w:gridCol w:w="1457"/>
        <w:gridCol w:w="556"/>
        <w:gridCol w:w="508"/>
        <w:gridCol w:w="1277"/>
        <w:gridCol w:w="632"/>
        <w:gridCol w:w="1379"/>
        <w:gridCol w:w="1205"/>
        <w:gridCol w:w="1348"/>
        <w:gridCol w:w="1280"/>
      </w:tblGrid>
      <w:tr>
        <w:trPr>
          <w:trHeight w:val="291" w:hRule="exact"/>
        </w:trPr>
        <w:tc>
          <w:tcPr>
            <w:tcW w:w="3970"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tabs>
                <w:tab w:pos="46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988" w:type="dxa"/>
            <w:gridSpan w:val="10"/>
            <w:tcBorders>
              <w:top w:val="single" w:sz="12" w:space="0" w:color="000000"/>
              <w:left w:val="single" w:sz="4" w:space="0" w:color="000000"/>
              <w:bottom w:val="single" w:sz="4" w:space="0" w:color="000000"/>
              <w:right w:val="nil" w:sz="6" w:space="0" w:color="auto"/>
            </w:tcBorders>
          </w:tcPr>
          <w:p>
            <w:pPr>
              <w:pStyle w:val="TableParagraph"/>
              <w:spacing w:line="221" w:lineRule="exact"/>
              <w:ind w:right="7"/>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93" w:hRule="exact"/>
        </w:trPr>
        <w:tc>
          <w:tcPr>
            <w:tcW w:w="3970" w:type="dxa"/>
            <w:vMerge/>
            <w:tcBorders>
              <w:left w:val="nil" w:sz="6" w:space="0" w:color="auto"/>
              <w:right w:val="single" w:sz="4" w:space="0" w:color="000000"/>
            </w:tcBorders>
          </w:tcPr>
          <w:p>
            <w:pPr/>
          </w:p>
        </w:tc>
        <w:tc>
          <w:tcPr>
            <w:tcW w:w="83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80"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20" w:hRule="exact"/>
        </w:trPr>
        <w:tc>
          <w:tcPr>
            <w:tcW w:w="3970" w:type="dxa"/>
            <w:vMerge/>
            <w:tcBorders>
              <w:left w:val="nil" w:sz="6" w:space="0" w:color="auto"/>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
              <w:jc w:val="center"/>
              <w:rPr>
                <w:rFonts w:ascii="宋体" w:hAnsi="宋体" w:cs="宋体" w:eastAsia="宋体" w:hint="default"/>
                <w:sz w:val="18"/>
                <w:szCs w:val="18"/>
              </w:rPr>
            </w:pPr>
            <w:r>
              <w:rPr>
                <w:rFonts w:ascii="宋体" w:hAnsi="宋体" w:cs="宋体" w:eastAsia="宋体" w:hint="default"/>
                <w:sz w:val="18"/>
                <w:szCs w:val="18"/>
              </w:rPr>
              <w:t>股本</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
              <w:ind w:left="86" w:right="7"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
              <w:ind w:left="63" w:right="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
              <w:ind w:left="34" w:right="4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348"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nil" w:sz="6" w:space="0" w:color="auto"/>
            </w:tcBorders>
          </w:tcPr>
          <w:p>
            <w:pPr/>
          </w:p>
        </w:tc>
      </w:tr>
      <w:tr>
        <w:trPr>
          <w:trHeight w:val="272" w:hRule="exact"/>
        </w:trPr>
        <w:tc>
          <w:tcPr>
            <w:tcW w:w="3970" w:type="dxa"/>
            <w:tcBorders>
              <w:top w:val="single" w:sz="4" w:space="0" w:color="000000"/>
              <w:left w:val="nil" w:sz="6" w:space="0" w:color="auto"/>
              <w:bottom w:val="nil" w:sz="6" w:space="0" w:color="auto"/>
              <w:right w:val="single" w:sz="4" w:space="0" w:color="000000"/>
            </w:tcBorders>
          </w:tcPr>
          <w:p>
            <w:pPr>
              <w:pStyle w:val="TableParagraph"/>
              <w:spacing w:line="221" w:lineRule="exact"/>
              <w:ind w:left="1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8"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68" w:right="0"/>
              <w:jc w:val="center"/>
              <w:rPr>
                <w:rFonts w:ascii="宋体" w:hAnsi="宋体" w:cs="宋体" w:eastAsia="宋体" w:hint="default"/>
                <w:sz w:val="18"/>
                <w:szCs w:val="18"/>
              </w:rPr>
            </w:pPr>
            <w:r>
              <w:rPr>
                <w:rFonts w:ascii="宋体"/>
                <w:sz w:val="18"/>
              </w:rPr>
              <w:t>224,000,000.00</w:t>
            </w: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3"/>
              <w:jc w:val="right"/>
              <w:rPr>
                <w:rFonts w:ascii="宋体" w:hAnsi="宋体" w:cs="宋体" w:eastAsia="宋体" w:hint="default"/>
                <w:sz w:val="18"/>
                <w:szCs w:val="18"/>
              </w:rPr>
            </w:pPr>
            <w:r>
              <w:rPr>
                <w:rFonts w:ascii="宋体"/>
                <w:sz w:val="18"/>
              </w:rPr>
              <w:t>86,262,108.98</w:t>
            </w:r>
          </w:p>
        </w:tc>
        <w:tc>
          <w:tcPr>
            <w:tcW w:w="556" w:type="dxa"/>
            <w:vMerge w:val="restart"/>
            <w:tcBorders>
              <w:top w:val="single" w:sz="4" w:space="0" w:color="000000"/>
              <w:left w:val="single" w:sz="4" w:space="0" w:color="000000"/>
              <w:right w:val="single" w:sz="4" w:space="0" w:color="000000"/>
            </w:tcBorders>
          </w:tcPr>
          <w:p>
            <w:pPr/>
          </w:p>
        </w:tc>
        <w:tc>
          <w:tcPr>
            <w:tcW w:w="508"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85" w:right="0"/>
              <w:jc w:val="center"/>
              <w:rPr>
                <w:rFonts w:ascii="宋体" w:hAnsi="宋体" w:cs="宋体" w:eastAsia="宋体" w:hint="default"/>
                <w:sz w:val="18"/>
                <w:szCs w:val="18"/>
              </w:rPr>
            </w:pPr>
            <w:r>
              <w:rPr>
                <w:rFonts w:ascii="宋体"/>
                <w:sz w:val="18"/>
              </w:rPr>
              <w:t>32,255,696.32</w:t>
            </w:r>
          </w:p>
        </w:tc>
        <w:tc>
          <w:tcPr>
            <w:tcW w:w="632" w:type="dxa"/>
            <w:vMerge w:val="restart"/>
            <w:tcBorders>
              <w:top w:val="single" w:sz="4" w:space="0" w:color="000000"/>
              <w:left w:val="single" w:sz="4" w:space="0" w:color="000000"/>
              <w:right w:val="single" w:sz="4" w:space="0" w:color="000000"/>
            </w:tcBorders>
          </w:tcPr>
          <w:p>
            <w:pPr/>
          </w:p>
        </w:tc>
        <w:tc>
          <w:tcPr>
            <w:tcW w:w="1379"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99" w:right="0"/>
              <w:jc w:val="center"/>
              <w:rPr>
                <w:rFonts w:ascii="宋体" w:hAnsi="宋体" w:cs="宋体" w:eastAsia="宋体" w:hint="default"/>
                <w:sz w:val="18"/>
                <w:szCs w:val="18"/>
              </w:rPr>
            </w:pPr>
            <w:r>
              <w:rPr>
                <w:rFonts w:ascii="宋体"/>
                <w:sz w:val="18"/>
              </w:rPr>
              <w:t>379,326,457.17</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13" w:right="0"/>
              <w:jc w:val="center"/>
              <w:rPr>
                <w:rFonts w:ascii="宋体" w:hAnsi="宋体" w:cs="宋体" w:eastAsia="宋体" w:hint="default"/>
                <w:sz w:val="18"/>
                <w:szCs w:val="18"/>
              </w:rPr>
            </w:pPr>
            <w:r>
              <w:rPr>
                <w:rFonts w:ascii="宋体"/>
                <w:sz w:val="18"/>
              </w:rPr>
              <w:t>-1,511,969.05</w:t>
            </w:r>
          </w:p>
        </w:tc>
        <w:tc>
          <w:tcPr>
            <w:tcW w:w="1348"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right="3"/>
              <w:jc w:val="right"/>
              <w:rPr>
                <w:rFonts w:ascii="宋体" w:hAnsi="宋体" w:cs="宋体" w:eastAsia="宋体" w:hint="default"/>
                <w:sz w:val="18"/>
                <w:szCs w:val="18"/>
              </w:rPr>
            </w:pPr>
            <w:r>
              <w:rPr>
                <w:rFonts w:ascii="宋体"/>
                <w:sz w:val="18"/>
              </w:rPr>
              <w:t>24,879,718.07</w:t>
            </w:r>
          </w:p>
        </w:tc>
        <w:tc>
          <w:tcPr>
            <w:tcW w:w="1280" w:type="dxa"/>
            <w:tcBorders>
              <w:top w:val="single" w:sz="4" w:space="0" w:color="000000"/>
              <w:left w:val="single" w:sz="4" w:space="0" w:color="000000"/>
              <w:bottom w:val="nil" w:sz="6" w:space="0" w:color="auto"/>
              <w:right w:val="nil" w:sz="6" w:space="0" w:color="auto"/>
            </w:tcBorders>
          </w:tcPr>
          <w:p>
            <w:pPr>
              <w:pStyle w:val="TableParagraph"/>
              <w:spacing w:line="221" w:lineRule="exact"/>
              <w:ind w:left="6" w:right="0"/>
              <w:jc w:val="center"/>
              <w:rPr>
                <w:rFonts w:ascii="宋体" w:hAnsi="宋体" w:cs="宋体" w:eastAsia="宋体" w:hint="default"/>
                <w:sz w:val="18"/>
                <w:szCs w:val="18"/>
              </w:rPr>
            </w:pPr>
            <w:r>
              <w:rPr>
                <w:rFonts w:ascii="宋体"/>
                <w:sz w:val="18"/>
              </w:rPr>
              <w:t>745,212,011.49</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68" w:right="0"/>
              <w:jc w:val="center"/>
              <w:rPr>
                <w:rFonts w:ascii="宋体" w:hAnsi="宋体" w:cs="宋体" w:eastAsia="宋体" w:hint="default"/>
                <w:sz w:val="18"/>
                <w:szCs w:val="18"/>
              </w:rPr>
            </w:pPr>
            <w:r>
              <w:rPr>
                <w:rFonts w:ascii="宋体"/>
                <w:sz w:val="18"/>
              </w:rPr>
              <w:t>224,000,000.00</w:t>
            </w: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86,262,108.98</w:t>
            </w: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5" w:right="0"/>
              <w:jc w:val="center"/>
              <w:rPr>
                <w:rFonts w:ascii="宋体" w:hAnsi="宋体" w:cs="宋体" w:eastAsia="宋体" w:hint="default"/>
                <w:sz w:val="18"/>
                <w:szCs w:val="18"/>
              </w:rPr>
            </w:pPr>
            <w:r>
              <w:rPr>
                <w:rFonts w:ascii="宋体"/>
                <w:sz w:val="18"/>
              </w:rPr>
              <w:t>32,255,696.32</w:t>
            </w: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379,326,457.17</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3" w:right="0"/>
              <w:jc w:val="center"/>
              <w:rPr>
                <w:rFonts w:ascii="宋体" w:hAnsi="宋体" w:cs="宋体" w:eastAsia="宋体" w:hint="default"/>
                <w:sz w:val="18"/>
                <w:szCs w:val="18"/>
              </w:rPr>
            </w:pPr>
            <w:r>
              <w:rPr>
                <w:rFonts w:ascii="宋体"/>
                <w:sz w:val="18"/>
              </w:rPr>
              <w:t>-1,511,969.05</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24,879,718.07</w:t>
            </w: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745,212,011.49</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4"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7,602,355.17</w:t>
            </w: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5" w:right="0"/>
              <w:jc w:val="center"/>
              <w:rPr>
                <w:rFonts w:ascii="宋体" w:hAnsi="宋体" w:cs="宋体" w:eastAsia="宋体" w:hint="default"/>
                <w:sz w:val="18"/>
                <w:szCs w:val="18"/>
              </w:rPr>
            </w:pPr>
            <w:r>
              <w:rPr>
                <w:rFonts w:ascii="宋体"/>
                <w:sz w:val="18"/>
              </w:rPr>
              <w:t>13,932,122.05</w:t>
            </w: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132,765,750.20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3" w:right="0"/>
              <w:jc w:val="center"/>
              <w:rPr>
                <w:rFonts w:ascii="宋体" w:hAnsi="宋体" w:cs="宋体" w:eastAsia="宋体" w:hint="default"/>
                <w:sz w:val="18"/>
                <w:szCs w:val="18"/>
              </w:rPr>
            </w:pPr>
            <w:r>
              <w:rPr>
                <w:rFonts w:ascii="宋体"/>
                <w:sz w:val="18"/>
              </w:rPr>
              <w:t>-2,157,144.14</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8,441,441.48</w:t>
            </w: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sz w:val="18"/>
              </w:rPr>
              <w:t>160,584,524.76</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213,897,872.25</w:t>
            </w: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14,751,514.05</w:t>
            </w: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228,649,386.30</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3" w:right="0"/>
              <w:jc w:val="center"/>
              <w:rPr>
                <w:rFonts w:ascii="宋体" w:hAnsi="宋体" w:cs="宋体" w:eastAsia="宋体" w:hint="default"/>
                <w:sz w:val="18"/>
                <w:szCs w:val="18"/>
              </w:rPr>
            </w:pPr>
            <w:r>
              <w:rPr>
                <w:rFonts w:ascii="宋体"/>
                <w:sz w:val="18"/>
              </w:rPr>
              <w:t>-2,157,144.14</w:t>
            </w: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95" w:right="0"/>
              <w:jc w:val="center"/>
              <w:rPr>
                <w:rFonts w:ascii="宋体" w:hAnsi="宋体" w:cs="宋体" w:eastAsia="宋体" w:hint="default"/>
                <w:sz w:val="18"/>
                <w:szCs w:val="18"/>
              </w:rPr>
            </w:pPr>
            <w:r>
              <w:rPr>
                <w:rFonts w:ascii="宋体"/>
                <w:sz w:val="18"/>
              </w:rPr>
              <w:t>-2,157,144.14</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179"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213,897,872.25</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3" w:right="0"/>
              <w:jc w:val="center"/>
              <w:rPr>
                <w:rFonts w:ascii="宋体" w:hAnsi="宋体" w:cs="宋体" w:eastAsia="宋体" w:hint="default"/>
                <w:sz w:val="18"/>
                <w:szCs w:val="18"/>
              </w:rPr>
            </w:pPr>
            <w:r>
              <w:rPr>
                <w:rFonts w:ascii="宋体"/>
                <w:sz w:val="18"/>
              </w:rPr>
              <w:t>-2,157,144.14</w:t>
            </w: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14,751,514.05</w:t>
            </w: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226,492,242.16</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1. 所有者投入资本</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2. 股份支付计入股东权益的金额</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5" w:right="0"/>
              <w:jc w:val="center"/>
              <w:rPr>
                <w:rFonts w:ascii="宋体" w:hAnsi="宋体" w:cs="宋体" w:eastAsia="宋体" w:hint="default"/>
                <w:sz w:val="18"/>
                <w:szCs w:val="18"/>
              </w:rPr>
            </w:pPr>
            <w:r>
              <w:rPr>
                <w:rFonts w:ascii="宋体"/>
                <w:sz w:val="18"/>
              </w:rPr>
              <w:t>13,932,122.05</w:t>
            </w: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-81,132,122.05</w:t>
            </w: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-6,310,072.57</w:t>
            </w: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5" w:right="0"/>
              <w:jc w:val="center"/>
              <w:rPr>
                <w:rFonts w:ascii="宋体" w:hAnsi="宋体" w:cs="宋体" w:eastAsia="宋体" w:hint="default"/>
                <w:sz w:val="18"/>
                <w:szCs w:val="18"/>
              </w:rPr>
            </w:pPr>
            <w:r>
              <w:rPr>
                <w:rFonts w:ascii="宋体"/>
                <w:sz w:val="18"/>
              </w:rPr>
              <w:t>-73,510,072.57</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85" w:right="0"/>
              <w:jc w:val="center"/>
              <w:rPr>
                <w:rFonts w:ascii="宋体" w:hAnsi="宋体" w:cs="宋体" w:eastAsia="宋体" w:hint="default"/>
                <w:sz w:val="18"/>
                <w:szCs w:val="18"/>
              </w:rPr>
            </w:pPr>
            <w:r>
              <w:rPr>
                <w:rFonts w:ascii="宋体"/>
                <w:sz w:val="18"/>
              </w:rPr>
              <w:t>13,932,122.05</w:t>
            </w: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-13,932,122.05</w:t>
            </w: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9" w:right="0"/>
              <w:jc w:val="center"/>
              <w:rPr>
                <w:rFonts w:ascii="宋体" w:hAnsi="宋体" w:cs="宋体" w:eastAsia="宋体" w:hint="default"/>
                <w:sz w:val="18"/>
                <w:szCs w:val="18"/>
              </w:rPr>
            </w:pPr>
            <w:r>
              <w:rPr>
                <w:rFonts w:ascii="宋体"/>
                <w:sz w:val="18"/>
              </w:rPr>
              <w:t>-67,200,000.00</w:t>
            </w: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3"/>
              <w:jc w:val="right"/>
              <w:rPr>
                <w:rFonts w:ascii="宋体" w:hAnsi="宋体" w:cs="宋体" w:eastAsia="宋体" w:hint="default"/>
                <w:sz w:val="18"/>
                <w:szCs w:val="18"/>
              </w:rPr>
            </w:pPr>
            <w:r>
              <w:rPr>
                <w:rFonts w:ascii="宋体"/>
                <w:sz w:val="18"/>
              </w:rPr>
              <w:t>-6,310,072.57</w:t>
            </w: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sz w:val="18"/>
              </w:rPr>
              <w:t>-73,510,072.57</w:t>
            </w: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19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374"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
        </w:tc>
      </w:tr>
      <w:tr>
        <w:trPr>
          <w:trHeight w:val="278" w:hRule="exact"/>
        </w:trPr>
        <w:tc>
          <w:tcPr>
            <w:tcW w:w="3970" w:type="dxa"/>
            <w:tcBorders>
              <w:top w:val="nil" w:sz="6" w:space="0" w:color="auto"/>
              <w:left w:val="nil" w:sz="6" w:space="0" w:color="auto"/>
              <w:bottom w:val="nil" w:sz="6" w:space="0" w:color="auto"/>
              <w:right w:val="single" w:sz="4" w:space="0" w:color="000000"/>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8" w:type="dxa"/>
            <w:tcBorders>
              <w:top w:val="nil" w:sz="6" w:space="0" w:color="auto"/>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4"/>
              <w:jc w:val="right"/>
              <w:rPr>
                <w:rFonts w:ascii="宋体" w:hAnsi="宋体" w:cs="宋体" w:eastAsia="宋体" w:hint="default"/>
                <w:sz w:val="18"/>
                <w:szCs w:val="18"/>
              </w:rPr>
            </w:pPr>
            <w:r>
              <w:rPr>
                <w:rFonts w:ascii="宋体"/>
                <w:sz w:val="18"/>
              </w:rPr>
              <w:t>7,602,355.17</w:t>
            </w:r>
          </w:p>
        </w:tc>
        <w:tc>
          <w:tcPr>
            <w:tcW w:w="556" w:type="dxa"/>
            <w:vMerge/>
            <w:tcBorders>
              <w:left w:val="single" w:sz="4" w:space="0" w:color="000000"/>
              <w:right w:val="single" w:sz="4" w:space="0" w:color="000000"/>
            </w:tcBorders>
          </w:tcPr>
          <w:p>
            <w:pPr/>
          </w:p>
        </w:tc>
        <w:tc>
          <w:tcPr>
            <w:tcW w:w="508"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1379"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nil" w:sz="6" w:space="0" w:color="auto"/>
            </w:tcBorders>
          </w:tcPr>
          <w:p>
            <w:pPr>
              <w:pStyle w:val="TableParagraph"/>
              <w:spacing w:line="226" w:lineRule="exact"/>
              <w:ind w:left="186" w:right="0"/>
              <w:jc w:val="center"/>
              <w:rPr>
                <w:rFonts w:ascii="宋体" w:hAnsi="宋体" w:cs="宋体" w:eastAsia="宋体" w:hint="default"/>
                <w:sz w:val="18"/>
                <w:szCs w:val="18"/>
              </w:rPr>
            </w:pPr>
            <w:r>
              <w:rPr>
                <w:rFonts w:ascii="宋体"/>
                <w:sz w:val="18"/>
              </w:rPr>
              <w:t>7,602,355.17</w:t>
            </w:r>
          </w:p>
        </w:tc>
      </w:tr>
      <w:tr>
        <w:trPr>
          <w:trHeight w:val="287" w:hRule="exact"/>
        </w:trPr>
        <w:tc>
          <w:tcPr>
            <w:tcW w:w="3970"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4"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8"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left="68" w:right="0"/>
              <w:jc w:val="center"/>
              <w:rPr>
                <w:rFonts w:ascii="宋体" w:hAnsi="宋体" w:cs="宋体" w:eastAsia="宋体" w:hint="default"/>
                <w:sz w:val="18"/>
                <w:szCs w:val="18"/>
              </w:rPr>
            </w:pPr>
            <w:r>
              <w:rPr>
                <w:rFonts w:ascii="宋体"/>
                <w:sz w:val="18"/>
              </w:rPr>
              <w:t>224,000,000.00</w:t>
            </w:r>
          </w:p>
        </w:tc>
        <w:tc>
          <w:tcPr>
            <w:tcW w:w="1457"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3"/>
              <w:jc w:val="right"/>
              <w:rPr>
                <w:rFonts w:ascii="宋体" w:hAnsi="宋体" w:cs="宋体" w:eastAsia="宋体" w:hint="default"/>
                <w:sz w:val="18"/>
                <w:szCs w:val="18"/>
              </w:rPr>
            </w:pPr>
            <w:r>
              <w:rPr>
                <w:rFonts w:ascii="宋体"/>
                <w:sz w:val="18"/>
              </w:rPr>
              <w:t>93,864,464.15</w:t>
            </w:r>
          </w:p>
        </w:tc>
        <w:tc>
          <w:tcPr>
            <w:tcW w:w="556" w:type="dxa"/>
            <w:vMerge/>
            <w:tcBorders>
              <w:left w:val="single" w:sz="4" w:space="0" w:color="000000"/>
              <w:bottom w:val="single" w:sz="12" w:space="0" w:color="000000"/>
              <w:right w:val="single" w:sz="4" w:space="0" w:color="000000"/>
            </w:tcBorders>
          </w:tcPr>
          <w:p>
            <w:pPr/>
          </w:p>
        </w:tc>
        <w:tc>
          <w:tcPr>
            <w:tcW w:w="508" w:type="dxa"/>
            <w:vMerge/>
            <w:tcBorders>
              <w:left w:val="single" w:sz="4" w:space="0" w:color="000000"/>
              <w:bottom w:val="single" w:sz="12" w:space="0" w:color="000000"/>
              <w:right w:val="single" w:sz="4" w:space="0" w:color="000000"/>
            </w:tcBorders>
          </w:tcPr>
          <w:p>
            <w:pP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46,187,818.37</w:t>
            </w:r>
          </w:p>
        </w:tc>
        <w:tc>
          <w:tcPr>
            <w:tcW w:w="632" w:type="dxa"/>
            <w:vMerge/>
            <w:tcBorders>
              <w:left w:val="single" w:sz="4" w:space="0" w:color="000000"/>
              <w:bottom w:val="single" w:sz="12" w:space="0" w:color="000000"/>
              <w:right w:val="single" w:sz="4" w:space="0" w:color="000000"/>
            </w:tcBorders>
          </w:tcPr>
          <w:p>
            <w:pPr/>
          </w:p>
        </w:tc>
        <w:tc>
          <w:tcPr>
            <w:tcW w:w="1379"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left="99" w:right="0"/>
              <w:jc w:val="center"/>
              <w:rPr>
                <w:rFonts w:ascii="宋体" w:hAnsi="宋体" w:cs="宋体" w:eastAsia="宋体" w:hint="default"/>
                <w:sz w:val="18"/>
                <w:szCs w:val="18"/>
              </w:rPr>
            </w:pPr>
            <w:r>
              <w:rPr>
                <w:rFonts w:ascii="宋体"/>
                <w:sz w:val="18"/>
              </w:rPr>
              <w:t>512,092,207.37</w:t>
            </w:r>
          </w:p>
        </w:tc>
        <w:tc>
          <w:tcPr>
            <w:tcW w:w="1205"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left="13" w:right="0"/>
              <w:jc w:val="center"/>
              <w:rPr>
                <w:rFonts w:ascii="宋体" w:hAnsi="宋体" w:cs="宋体" w:eastAsia="宋体" w:hint="default"/>
                <w:sz w:val="18"/>
                <w:szCs w:val="18"/>
              </w:rPr>
            </w:pPr>
            <w:r>
              <w:rPr>
                <w:rFonts w:ascii="宋体"/>
                <w:sz w:val="18"/>
              </w:rPr>
              <w:t>-3,669,113.19</w:t>
            </w:r>
          </w:p>
        </w:tc>
        <w:tc>
          <w:tcPr>
            <w:tcW w:w="1348"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3"/>
              <w:jc w:val="right"/>
              <w:rPr>
                <w:rFonts w:ascii="宋体" w:hAnsi="宋体" w:cs="宋体" w:eastAsia="宋体" w:hint="default"/>
                <w:sz w:val="18"/>
                <w:szCs w:val="18"/>
              </w:rPr>
            </w:pPr>
            <w:r>
              <w:rPr>
                <w:rFonts w:ascii="宋体"/>
                <w:sz w:val="18"/>
              </w:rPr>
              <w:t>33,321,159.55</w:t>
            </w:r>
          </w:p>
        </w:tc>
        <w:tc>
          <w:tcPr>
            <w:tcW w:w="1280" w:type="dxa"/>
            <w:tcBorders>
              <w:top w:val="nil" w:sz="6" w:space="0" w:color="auto"/>
              <w:left w:val="single" w:sz="4" w:space="0" w:color="000000"/>
              <w:bottom w:val="single" w:sz="12" w:space="0" w:color="000000"/>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sz w:val="18"/>
              </w:rPr>
              <w:t>905,796,536.25</w:t>
            </w:r>
          </w:p>
        </w:tc>
      </w:tr>
    </w:tbl>
    <w:p>
      <w:pPr>
        <w:pStyle w:val="BodyText"/>
        <w:tabs>
          <w:tab w:pos="5668" w:val="left" w:leader="none"/>
          <w:tab w:pos="11861" w:val="left" w:leader="none"/>
        </w:tabs>
        <w:spacing w:line="222" w:lineRule="exact"/>
        <w:ind w:left="313" w:right="0"/>
        <w:jc w:val="left"/>
      </w:pPr>
      <w:r>
        <w:rPr/>
        <w:t>法定代表人：李仲初</w:t>
        <w:tab/>
      </w:r>
      <w:r>
        <w:rPr>
          <w:spacing w:val="-1"/>
        </w:rPr>
        <w:t>主管会计工作负责人：赖德源</w:t>
        <w:tab/>
        <w:t>会计机构负责人：李天达</w:t>
      </w:r>
    </w:p>
    <w:p>
      <w:pPr>
        <w:spacing w:after="0" w:line="222" w:lineRule="exact"/>
        <w:jc w:val="left"/>
        <w:sectPr>
          <w:headerReference w:type="default" r:id="rId22"/>
          <w:footerReference w:type="default" r:id="rId23"/>
          <w:pgSz w:w="16840" w:h="11910" w:orient="landscape"/>
          <w:pgMar w:header="867" w:footer="0" w:top="1120" w:bottom="280" w:left="820" w:right="840"/>
        </w:sectPr>
      </w:pPr>
    </w:p>
    <w:p>
      <w:pPr>
        <w:spacing w:line="371" w:lineRule="exact" w:before="0"/>
        <w:ind w:left="5993" w:right="5993" w:firstLine="0"/>
        <w:jc w:val="center"/>
        <w:rPr>
          <w:rFonts w:ascii="黑体" w:hAnsi="黑体" w:cs="黑体" w:eastAsia="黑体" w:hint="default"/>
          <w:sz w:val="32"/>
          <w:szCs w:val="32"/>
        </w:rPr>
      </w:pPr>
      <w:r>
        <w:rPr/>
        <w:pict>
          <v:shape style="position:absolute;margin-left:56.751007pt;margin-top:36pt;width:25.679993pt;height:16.380005pt;mso-position-horizontal-relative:page;mso-position-vertical-relative:page;z-index:-709000" type="#_x0000_t75" stroked="false">
            <v:imagedata r:id="rId16" o:title=""/>
          </v:shape>
        </w:pict>
      </w:r>
      <w:r>
        <w:rPr/>
        <w:pict>
          <v:group style="position:absolute;margin-left:55.191002pt;margin-top:-.096562pt;width:731.6pt;height:.1pt;mso-position-horizontal-relative:page;mso-position-vertical-relative:paragraph;z-index:2632" coordorigin="1104,-2" coordsize="14632,2">
            <v:shape style="position:absolute;left:1104;top:-2;width:14632;height:2" coordorigin="1104,-2" coordsize="14632,0" path="m1104,-2l15735,-2e" filled="false" stroked="true" strokeweight=".72pt" strokecolor="#000000">
              <v:path arrowok="t"/>
            </v:shape>
            <w10:wrap type="none"/>
          </v:group>
        </w:pict>
      </w:r>
      <w:r>
        <w:rPr>
          <w:rFonts w:ascii="黑体" w:hAnsi="黑体" w:cs="黑体" w:eastAsia="黑体" w:hint="default"/>
          <w:b/>
          <w:bCs/>
          <w:sz w:val="32"/>
          <w:szCs w:val="32"/>
        </w:rPr>
        <w:t>合并所有者权益变动表</w:t>
      </w:r>
      <w:r>
        <w:rPr>
          <w:rFonts w:ascii="黑体" w:hAnsi="黑体" w:cs="黑体" w:eastAsia="黑体" w:hint="default"/>
          <w:sz w:val="32"/>
          <w:szCs w:val="32"/>
        </w:rPr>
      </w:r>
    </w:p>
    <w:p>
      <w:pPr>
        <w:pStyle w:val="BodyText"/>
        <w:tabs>
          <w:tab w:pos="12930" w:val="left" w:leader="none"/>
        </w:tabs>
        <w:spacing w:line="240" w:lineRule="auto" w:before="14"/>
        <w:ind w:left="33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39"/>
        <w:gridCol w:w="1315"/>
        <w:gridCol w:w="1406"/>
        <w:gridCol w:w="550"/>
        <w:gridCol w:w="469"/>
        <w:gridCol w:w="1302"/>
        <w:gridCol w:w="835"/>
        <w:gridCol w:w="1476"/>
        <w:gridCol w:w="1226"/>
        <w:gridCol w:w="1386"/>
        <w:gridCol w:w="1315"/>
      </w:tblGrid>
      <w:tr>
        <w:trPr>
          <w:trHeight w:val="261" w:hRule="exact"/>
        </w:trPr>
        <w:tc>
          <w:tcPr>
            <w:tcW w:w="3739"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467" w:val="left" w:leader="none"/>
              </w:tabs>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281" w:type="dxa"/>
            <w:gridSpan w:val="10"/>
            <w:tcBorders>
              <w:top w:val="single" w:sz="12" w:space="0" w:color="000000"/>
              <w:left w:val="single" w:sz="4" w:space="0" w:color="000000"/>
              <w:bottom w:val="single" w:sz="4" w:space="0" w:color="000000"/>
              <w:right w:val="nil" w:sz="6" w:space="0" w:color="auto"/>
            </w:tcBorders>
          </w:tcPr>
          <w:p>
            <w:pPr>
              <w:pStyle w:val="TableParagraph"/>
              <w:spacing w:line="209" w:lineRule="exact"/>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72" w:hRule="exact"/>
        </w:trPr>
        <w:tc>
          <w:tcPr>
            <w:tcW w:w="3739" w:type="dxa"/>
            <w:vMerge/>
            <w:tcBorders>
              <w:left w:val="nil" w:sz="6" w:space="0" w:color="auto"/>
              <w:right w:val="single" w:sz="4" w:space="0" w:color="000000"/>
            </w:tcBorders>
          </w:tcPr>
          <w:p>
            <w:pPr/>
          </w:p>
        </w:tc>
        <w:tc>
          <w:tcPr>
            <w:tcW w:w="85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5"/>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5" w:type="dxa"/>
            <w:vMerge w:val="restart"/>
            <w:tcBorders>
              <w:top w:val="single" w:sz="4" w:space="0" w:color="000000"/>
              <w:left w:val="single" w:sz="4" w:space="0" w:color="000000"/>
              <w:right w:val="nil" w:sz="6" w:space="0" w:color="auto"/>
            </w:tcBorders>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2" w:hRule="exact"/>
        </w:trPr>
        <w:tc>
          <w:tcPr>
            <w:tcW w:w="3739" w:type="dxa"/>
            <w:vMerge/>
            <w:tcBorders>
              <w:left w:val="nil" w:sz="6" w:space="0" w:color="auto"/>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3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pacing w:val="-16"/>
                <w:sz w:val="18"/>
                <w:szCs w:val="18"/>
              </w:rPr>
              <w:t>减：库</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9"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51"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6"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nil" w:sz="6" w:space="0" w:color="auto"/>
            </w:tcBorders>
          </w:tcPr>
          <w:p>
            <w:pPr/>
          </w:p>
        </w:tc>
      </w:tr>
      <w:tr>
        <w:trPr>
          <w:trHeight w:val="268" w:hRule="exact"/>
        </w:trPr>
        <w:tc>
          <w:tcPr>
            <w:tcW w:w="3739" w:type="dxa"/>
            <w:tcBorders>
              <w:top w:val="single" w:sz="4" w:space="0" w:color="000000"/>
              <w:left w:val="nil" w:sz="6" w:space="0" w:color="auto"/>
              <w:bottom w:val="nil" w:sz="6" w:space="0" w:color="auto"/>
              <w:right w:val="single" w:sz="4" w:space="0" w:color="000000"/>
            </w:tcBorders>
          </w:tcPr>
          <w:p>
            <w:pPr>
              <w:pStyle w:val="TableParagraph"/>
              <w:spacing w:line="220" w:lineRule="exact"/>
              <w:ind w:left="4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5"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sz w:val="18"/>
              </w:rPr>
              <w:t>112,000,000.00</w:t>
            </w:r>
          </w:p>
        </w:tc>
        <w:tc>
          <w:tcPr>
            <w:tcW w:w="140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right="22"/>
              <w:jc w:val="right"/>
              <w:rPr>
                <w:rFonts w:ascii="宋体" w:hAnsi="宋体" w:cs="宋体" w:eastAsia="宋体" w:hint="default"/>
                <w:sz w:val="18"/>
                <w:szCs w:val="18"/>
              </w:rPr>
            </w:pPr>
            <w:r>
              <w:rPr>
                <w:rFonts w:ascii="宋体"/>
                <w:sz w:val="18"/>
              </w:rPr>
              <w:t>214,586,294.16</w:t>
            </w:r>
          </w:p>
        </w:tc>
        <w:tc>
          <w:tcPr>
            <w:tcW w:w="550" w:type="dxa"/>
            <w:vMerge w:val="restart"/>
            <w:tcBorders>
              <w:top w:val="single" w:sz="4" w:space="0" w:color="000000"/>
              <w:left w:val="single" w:sz="4" w:space="0" w:color="000000"/>
              <w:right w:val="single" w:sz="4" w:space="0" w:color="000000"/>
            </w:tcBorders>
          </w:tcPr>
          <w:p>
            <w:pPr/>
          </w:p>
        </w:tc>
        <w:tc>
          <w:tcPr>
            <w:tcW w:w="469" w:type="dxa"/>
            <w:vMerge w:val="restart"/>
            <w:tcBorders>
              <w:top w:val="single" w:sz="4" w:space="0" w:color="000000"/>
              <w:left w:val="single" w:sz="4" w:space="0" w:color="000000"/>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left="74" w:right="0"/>
              <w:jc w:val="center"/>
              <w:rPr>
                <w:rFonts w:ascii="宋体" w:hAnsi="宋体" w:cs="宋体" w:eastAsia="宋体" w:hint="default"/>
                <w:sz w:val="18"/>
                <w:szCs w:val="18"/>
              </w:rPr>
            </w:pPr>
            <w:r>
              <w:rPr>
                <w:rFonts w:ascii="宋体"/>
                <w:sz w:val="18"/>
              </w:rPr>
              <w:t>33,483,146.69</w:t>
            </w:r>
          </w:p>
        </w:tc>
        <w:tc>
          <w:tcPr>
            <w:tcW w:w="835"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right="22"/>
              <w:jc w:val="right"/>
              <w:rPr>
                <w:rFonts w:ascii="宋体" w:hAnsi="宋体" w:cs="宋体" w:eastAsia="宋体" w:hint="default"/>
                <w:sz w:val="18"/>
                <w:szCs w:val="18"/>
              </w:rPr>
            </w:pPr>
            <w:r>
              <w:rPr>
                <w:rFonts w:ascii="宋体"/>
                <w:sz w:val="18"/>
              </w:rPr>
              <w:t>292,309,223.87</w:t>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right="22"/>
              <w:jc w:val="right"/>
              <w:rPr>
                <w:rFonts w:ascii="宋体" w:hAnsi="宋体" w:cs="宋体" w:eastAsia="宋体" w:hint="default"/>
                <w:sz w:val="18"/>
                <w:szCs w:val="18"/>
              </w:rPr>
            </w:pPr>
            <w:r>
              <w:rPr>
                <w:rFonts w:ascii="宋体"/>
                <w:sz w:val="18"/>
              </w:rPr>
              <w:t>-412,825.86</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20" w:lineRule="exact"/>
              <w:ind w:right="22"/>
              <w:jc w:val="right"/>
              <w:rPr>
                <w:rFonts w:ascii="宋体" w:hAnsi="宋体" w:cs="宋体" w:eastAsia="宋体" w:hint="default"/>
                <w:sz w:val="18"/>
                <w:szCs w:val="18"/>
              </w:rPr>
            </w:pPr>
            <w:r>
              <w:rPr>
                <w:rFonts w:ascii="宋体"/>
                <w:sz w:val="18"/>
              </w:rPr>
              <w:t>26,174,929.57</w:t>
            </w:r>
          </w:p>
        </w:tc>
        <w:tc>
          <w:tcPr>
            <w:tcW w:w="1315" w:type="dxa"/>
            <w:tcBorders>
              <w:top w:val="single" w:sz="4" w:space="0" w:color="000000"/>
              <w:left w:val="single" w:sz="4" w:space="0" w:color="000000"/>
              <w:bottom w:val="nil" w:sz="6" w:space="0" w:color="auto"/>
              <w:right w:val="nil" w:sz="6" w:space="0" w:color="auto"/>
            </w:tcBorders>
          </w:tcPr>
          <w:p>
            <w:pPr>
              <w:pStyle w:val="TableParagraph"/>
              <w:spacing w:line="220" w:lineRule="exact"/>
              <w:ind w:right="3"/>
              <w:jc w:val="center"/>
              <w:rPr>
                <w:rFonts w:ascii="宋体" w:hAnsi="宋体" w:cs="宋体" w:eastAsia="宋体" w:hint="default"/>
                <w:sz w:val="18"/>
                <w:szCs w:val="18"/>
              </w:rPr>
            </w:pPr>
            <w:r>
              <w:rPr>
                <w:rFonts w:ascii="宋体"/>
                <w:sz w:val="18"/>
              </w:rPr>
              <w:t>678,140,768.43</w:t>
            </w:r>
          </w:p>
        </w:tc>
      </w:tr>
      <w:tr>
        <w:trPr>
          <w:trHeight w:val="269"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74" w:right="0"/>
              <w:jc w:val="center"/>
              <w:rPr>
                <w:rFonts w:ascii="宋体" w:hAnsi="宋体" w:cs="宋体" w:eastAsia="宋体" w:hint="default"/>
                <w:sz w:val="18"/>
                <w:szCs w:val="18"/>
              </w:rPr>
            </w:pPr>
            <w:r>
              <w:rPr>
                <w:rFonts w:ascii="宋体"/>
                <w:sz w:val="18"/>
              </w:rPr>
              <w:t>-1,227,450.37</w:t>
            </w: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-11,047,053.31</w:t>
            </w: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-12,274,503.68</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112,000,000.00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214,586,294.16</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74" w:right="0"/>
              <w:jc w:val="center"/>
              <w:rPr>
                <w:rFonts w:ascii="宋体" w:hAnsi="宋体" w:cs="宋体" w:eastAsia="宋体" w:hint="default"/>
                <w:sz w:val="18"/>
                <w:szCs w:val="18"/>
              </w:rPr>
            </w:pPr>
            <w:r>
              <w:rPr>
                <w:rFonts w:ascii="宋体"/>
                <w:sz w:val="18"/>
              </w:rPr>
              <w:t>32,255,696.32</w:t>
            </w: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281,262,170.56</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-412,825.86</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26,174,929.57</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665,866,264.75</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112,000,000.00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-128,324,185.18</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98,064,286.61</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-1,099,143.19</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-1,295,211.50</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left="84" w:right="0"/>
              <w:jc w:val="center"/>
              <w:rPr>
                <w:rFonts w:ascii="宋体" w:hAnsi="宋体" w:cs="宋体" w:eastAsia="宋体" w:hint="default"/>
                <w:sz w:val="18"/>
                <w:szCs w:val="18"/>
              </w:rPr>
            </w:pPr>
            <w:r>
              <w:rPr>
                <w:rFonts w:ascii="宋体"/>
                <w:sz w:val="18"/>
              </w:rPr>
              <w:t>79,345,746.74</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131,664,286.61</w:t>
            </w: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9,305,745.56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140,970,032.17</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-1,099,143.19</w:t>
            </w: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left="84" w:right="0"/>
              <w:jc w:val="center"/>
              <w:rPr>
                <w:rFonts w:ascii="宋体" w:hAnsi="宋体" w:cs="宋体" w:eastAsia="宋体" w:hint="default"/>
                <w:sz w:val="18"/>
                <w:szCs w:val="18"/>
              </w:rPr>
            </w:pPr>
            <w:r>
              <w:rPr>
                <w:rFonts w:ascii="宋体"/>
                <w:sz w:val="18"/>
              </w:rPr>
              <w:t>-1,099,143.19</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106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1"/>
              <w:jc w:val="right"/>
              <w:rPr>
                <w:rFonts w:ascii="宋体" w:hAnsi="宋体" w:cs="宋体" w:eastAsia="宋体" w:hint="default"/>
                <w:sz w:val="18"/>
                <w:szCs w:val="18"/>
              </w:rPr>
            </w:pPr>
            <w:r>
              <w:rPr>
                <w:rFonts w:ascii="宋体"/>
                <w:sz w:val="18"/>
              </w:rPr>
              <w:t>131,664,286.61</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-1,099,143.19</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9,305,745.56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2"/>
              <w:jc w:val="center"/>
              <w:rPr>
                <w:rFonts w:ascii="宋体" w:hAnsi="宋体" w:cs="宋体" w:eastAsia="宋体" w:hint="default"/>
                <w:sz w:val="18"/>
                <w:szCs w:val="18"/>
              </w:rPr>
            </w:pPr>
            <w:r>
              <w:rPr>
                <w:rFonts w:ascii="宋体"/>
                <w:sz w:val="18"/>
              </w:rPr>
              <w:t>139,870,888.98</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-16,324,185.18</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-10,600,957.06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-26,925,142.24</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1. 所有者投入资本</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-16,324,185.18</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-10,600,957.06</w:t>
            </w: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-26,925,142.24</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2. 股份支付计入股东权益的金额</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-33,600,000.00</w:t>
            </w: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-33,600,000.00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-33,600,000.00</w:t>
            </w: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-33,600,000.00</w:t>
            </w: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221"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112,000,000.00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-112,000,000.00</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112,000,000.00</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-112,000,000.00</w:t>
            </w: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31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739" w:type="dxa"/>
            <w:tcBorders>
              <w:top w:val="nil" w:sz="6" w:space="0" w:color="auto"/>
              <w:left w:val="nil" w:sz="6" w:space="0" w:color="auto"/>
              <w:bottom w:val="nil" w:sz="6" w:space="0" w:color="auto"/>
              <w:right w:val="single" w:sz="4" w:space="0" w:color="000000"/>
            </w:tcBorders>
          </w:tcPr>
          <w:p>
            <w:pPr>
              <w:pStyle w:val="TableParagraph"/>
              <w:spacing w:line="226" w:lineRule="exact"/>
              <w:ind w:left="40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15"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469" w:type="dxa"/>
            <w:vMerge/>
            <w:tcBorders>
              <w:left w:val="single" w:sz="4" w:space="0" w:color="000000"/>
              <w:right w:val="single" w:sz="4" w:space="0" w:color="000000"/>
            </w:tcBorders>
          </w:tcPr>
          <w:p>
            <w:pPr/>
          </w:p>
        </w:tc>
        <w:tc>
          <w:tcPr>
            <w:tcW w:w="1302" w:type="dxa"/>
            <w:tcBorders>
              <w:top w:val="nil" w:sz="6" w:space="0" w:color="auto"/>
              <w:left w:val="single" w:sz="4" w:space="0" w:color="000000"/>
              <w:bottom w:val="nil" w:sz="6" w:space="0" w:color="auto"/>
              <w:right w:val="single" w:sz="4" w:space="0" w:color="000000"/>
            </w:tcBorders>
          </w:tcPr>
          <w:p>
            <w:pPr/>
          </w:p>
        </w:tc>
        <w:tc>
          <w:tcPr>
            <w:tcW w:w="83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226"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nil" w:sz="6" w:space="0" w:color="auto"/>
            </w:tcBorders>
          </w:tcPr>
          <w:p>
            <w:pPr/>
          </w:p>
        </w:tc>
      </w:tr>
      <w:tr>
        <w:trPr>
          <w:trHeight w:val="288" w:hRule="exact"/>
        </w:trPr>
        <w:tc>
          <w:tcPr>
            <w:tcW w:w="3739" w:type="dxa"/>
            <w:tcBorders>
              <w:top w:val="nil" w:sz="6" w:space="0" w:color="auto"/>
              <w:left w:val="nil" w:sz="6" w:space="0" w:color="auto"/>
              <w:bottom w:val="single" w:sz="12" w:space="0" w:color="000000"/>
              <w:right w:val="single" w:sz="4" w:space="0" w:color="000000"/>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15"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224,000,000.00</w:t>
            </w:r>
          </w:p>
        </w:tc>
        <w:tc>
          <w:tcPr>
            <w:tcW w:w="140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86,262,108.98</w:t>
            </w:r>
          </w:p>
        </w:tc>
        <w:tc>
          <w:tcPr>
            <w:tcW w:w="550" w:type="dxa"/>
            <w:vMerge/>
            <w:tcBorders>
              <w:left w:val="single" w:sz="4" w:space="0" w:color="000000"/>
              <w:bottom w:val="single" w:sz="12" w:space="0" w:color="000000"/>
              <w:right w:val="single" w:sz="4" w:space="0" w:color="000000"/>
            </w:tcBorders>
          </w:tcPr>
          <w:p>
            <w:pPr/>
          </w:p>
        </w:tc>
        <w:tc>
          <w:tcPr>
            <w:tcW w:w="469" w:type="dxa"/>
            <w:vMerge/>
            <w:tcBorders>
              <w:left w:val="single" w:sz="4" w:space="0" w:color="000000"/>
              <w:bottom w:val="single" w:sz="12" w:space="0" w:color="000000"/>
              <w:right w:val="single" w:sz="4" w:space="0" w:color="000000"/>
            </w:tcBorders>
          </w:tcPr>
          <w:p>
            <w:pPr/>
          </w:p>
        </w:tc>
        <w:tc>
          <w:tcPr>
            <w:tcW w:w="1302"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74" w:right="0"/>
              <w:jc w:val="center"/>
              <w:rPr>
                <w:rFonts w:ascii="宋体" w:hAnsi="宋体" w:cs="宋体" w:eastAsia="宋体" w:hint="default"/>
                <w:sz w:val="18"/>
                <w:szCs w:val="18"/>
              </w:rPr>
            </w:pPr>
            <w:r>
              <w:rPr>
                <w:rFonts w:ascii="宋体"/>
                <w:sz w:val="18"/>
              </w:rPr>
              <w:t>32,255,696.32</w:t>
            </w:r>
          </w:p>
        </w:tc>
        <w:tc>
          <w:tcPr>
            <w:tcW w:w="835" w:type="dxa"/>
            <w:vMerge/>
            <w:tcBorders>
              <w:left w:val="single" w:sz="4" w:space="0" w:color="000000"/>
              <w:bottom w:val="single" w:sz="12" w:space="0" w:color="000000"/>
              <w:right w:val="single" w:sz="4" w:space="0" w:color="000000"/>
            </w:tcBorders>
          </w:tcPr>
          <w:p>
            <w:pP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379,326,457.17</w:t>
            </w:r>
          </w:p>
        </w:tc>
        <w:tc>
          <w:tcPr>
            <w:tcW w:w="122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-1,511,969.05</w:t>
            </w:r>
          </w:p>
        </w:tc>
        <w:tc>
          <w:tcPr>
            <w:tcW w:w="138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24,879,718.07</w:t>
            </w:r>
          </w:p>
        </w:tc>
        <w:tc>
          <w:tcPr>
            <w:tcW w:w="1315" w:type="dxa"/>
            <w:tcBorders>
              <w:top w:val="nil" w:sz="6" w:space="0" w:color="auto"/>
              <w:left w:val="single" w:sz="4" w:space="0" w:color="000000"/>
              <w:bottom w:val="single" w:sz="12" w:space="0" w:color="000000"/>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sz w:val="18"/>
              </w:rPr>
              <w:t>745,212,011.49</w:t>
            </w:r>
          </w:p>
        </w:tc>
      </w:tr>
    </w:tbl>
    <w:p>
      <w:pPr>
        <w:pStyle w:val="BodyText"/>
        <w:tabs>
          <w:tab w:pos="6045" w:val="left" w:leader="none"/>
          <w:tab w:pos="12238" w:val="left" w:leader="none"/>
        </w:tabs>
        <w:spacing w:line="240" w:lineRule="exact"/>
        <w:ind w:left="691" w:right="0"/>
        <w:jc w:val="left"/>
      </w:pPr>
      <w:r>
        <w:rPr/>
        <w:t>法定代表人：李仲初</w:t>
        <w:tab/>
      </w:r>
      <w:r>
        <w:rPr>
          <w:spacing w:val="-1"/>
        </w:rPr>
        <w:t>主管会计工作负责人：赖德源</w:t>
        <w:tab/>
        <w:t>会计机构负责人：李天达</w:t>
      </w:r>
    </w:p>
    <w:p>
      <w:pPr>
        <w:spacing w:line="240" w:lineRule="auto" w:before="7"/>
        <w:rPr>
          <w:rFonts w:ascii="宋体" w:hAnsi="宋体" w:cs="宋体" w:eastAsia="宋体" w:hint="default"/>
          <w:sz w:val="27"/>
          <w:szCs w:val="27"/>
        </w:rPr>
      </w:pPr>
    </w:p>
    <w:p>
      <w:pPr>
        <w:spacing w:before="76"/>
        <w:ind w:left="5993" w:right="5993" w:firstLine="0"/>
        <w:jc w:val="center"/>
        <w:rPr>
          <w:rFonts w:ascii="Times New Roman" w:hAnsi="Times New Roman" w:cs="Times New Roman" w:eastAsia="Times New Roman" w:hint="default"/>
          <w:sz w:val="18"/>
          <w:szCs w:val="18"/>
        </w:rPr>
      </w:pPr>
      <w:r>
        <w:rPr>
          <w:rFonts w:ascii="Times New Roman"/>
          <w:sz w:val="18"/>
        </w:rPr>
        <w:t>58</w:t>
      </w:r>
    </w:p>
    <w:p>
      <w:pPr>
        <w:spacing w:after="0"/>
        <w:jc w:val="center"/>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867" w:footer="0" w:top="1120" w:bottom="280" w:left="800" w:right="800"/>
        </w:sectPr>
      </w:pPr>
    </w:p>
    <w:p>
      <w:pPr>
        <w:spacing w:before="74"/>
        <w:ind w:left="179" w:right="164" w:firstLine="0"/>
        <w:jc w:val="center"/>
        <w:rPr>
          <w:rFonts w:ascii="黑体" w:hAnsi="黑体" w:cs="黑体" w:eastAsia="黑体" w:hint="default"/>
          <w:sz w:val="32"/>
          <w:szCs w:val="32"/>
        </w:rPr>
      </w:pPr>
      <w:r>
        <w:rPr/>
        <w:pict>
          <v:group style="position:absolute;margin-left:55.200001pt;margin-top:6.007795pt;width:484.65pt;height:.1pt;mso-position-horizontal-relative:page;mso-position-vertical-relative:paragraph;z-index:-708952" coordorigin="1104,120" coordsize="9693,2">
            <v:shape style="position:absolute;left:1104;top:120;width:9693;height:2" coordorigin="1104,120" coordsize="9693,0" path="m1104,120l10796,120e" filled="false" stroked="true" strokeweight=".72pt" strokecolor="#000000">
              <v:path arrowok="t"/>
            </v:shape>
            <w10:wrap type="none"/>
          </v:group>
        </w:pict>
      </w:r>
      <w:r>
        <w:rPr>
          <w:rFonts w:ascii="黑体" w:hAnsi="黑体" w:cs="黑体" w:eastAsia="黑体" w:hint="default"/>
          <w:b/>
          <w:bCs/>
          <w:sz w:val="32"/>
          <w:szCs w:val="32"/>
        </w:rPr>
        <w:t>母公司资产负债表(资产)</w:t>
      </w:r>
      <w:r>
        <w:rPr>
          <w:rFonts w:ascii="黑体" w:hAnsi="黑体" w:cs="黑体" w:eastAsia="黑体" w:hint="default"/>
          <w:sz w:val="32"/>
          <w:szCs w:val="32"/>
        </w:rPr>
      </w:r>
    </w:p>
    <w:p>
      <w:pPr>
        <w:spacing w:line="240" w:lineRule="auto" w:before="11"/>
        <w:rPr>
          <w:rFonts w:ascii="黑体" w:hAnsi="黑体" w:cs="黑体" w:eastAsia="黑体" w:hint="default"/>
          <w:b/>
          <w:bCs/>
          <w:sz w:val="32"/>
          <w:szCs w:val="32"/>
        </w:rPr>
      </w:pPr>
    </w:p>
    <w:p>
      <w:pPr>
        <w:pStyle w:val="BodyText"/>
        <w:tabs>
          <w:tab w:pos="7365" w:val="left" w:leader="none"/>
        </w:tabs>
        <w:spacing w:line="240" w:lineRule="auto"/>
        <w:ind w:left="15"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1"/>
        <w:gridCol w:w="1454"/>
        <w:gridCol w:w="2548"/>
        <w:gridCol w:w="2546"/>
      </w:tblGrid>
      <w:tr>
        <w:trPr>
          <w:trHeight w:val="518" w:hRule="exact"/>
        </w:trPr>
        <w:tc>
          <w:tcPr>
            <w:tcW w:w="2941"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11"/>
              <w:ind w:left="17"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69" w:hRule="exact"/>
        </w:trPr>
        <w:tc>
          <w:tcPr>
            <w:tcW w:w="2941" w:type="dxa"/>
            <w:tcBorders>
              <w:top w:val="single" w:sz="4" w:space="0" w:color="000000"/>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54" w:type="dxa"/>
            <w:tcBorders>
              <w:top w:val="single" w:sz="4" w:space="0" w:color="000000"/>
              <w:left w:val="single" w:sz="4" w:space="0" w:color="000000"/>
              <w:bottom w:val="nil" w:sz="6" w:space="0" w:color="auto"/>
              <w:right w:val="single" w:sz="4" w:space="0" w:color="000000"/>
            </w:tcBorders>
          </w:tcPr>
          <w:p>
            <w:pPr/>
          </w:p>
        </w:tc>
        <w:tc>
          <w:tcPr>
            <w:tcW w:w="2548" w:type="dxa"/>
            <w:tcBorders>
              <w:top w:val="single" w:sz="4" w:space="0" w:color="000000"/>
              <w:left w:val="single" w:sz="4" w:space="0" w:color="000000"/>
              <w:bottom w:val="nil" w:sz="6" w:space="0" w:color="auto"/>
              <w:right w:val="single" w:sz="4" w:space="0" w:color="000000"/>
            </w:tcBorders>
          </w:tcPr>
          <w:p>
            <w:pPr/>
          </w:p>
        </w:tc>
        <w:tc>
          <w:tcPr>
            <w:tcW w:w="2546"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6" w:lineRule="exact"/>
              <w:ind w:left="3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224,363,560.34</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1"/>
                <w:sz w:val="21"/>
              </w:rPr>
              <w:t>268,808,574.98</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).1</w:t>
            </w: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20,068,193.59</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25,986,139.42</w:t>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2"/>
                <w:sz w:val="21"/>
              </w:rPr>
              <w:t>9,656,611.03</w:t>
            </w:r>
            <w:r>
              <w:rPr>
                <w:rFonts w:ascii="Times New Roman"/>
                <w:sz w:val="21"/>
              </w:rPr>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8,457,006.34</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).2</w:t>
            </w: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56,870,798.34</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3,624,634.81</w:t>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30,512,143.38</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35,983,572.96</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54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341,471,306.68</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342,859,928.51</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).3</w:t>
            </w: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239,843,500.00</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139,093,500.00</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125,439,708.55</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130,704,536.00</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58,845,076.42</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36,425,060.55</w:t>
            </w: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35,291,418.19</w:t>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1"/>
                <w:szCs w:val="21"/>
              </w:rPr>
            </w:pPr>
            <w:r>
              <w:rPr>
                <w:rFonts w:ascii="Times New Roman"/>
                <w:spacing w:val="-1"/>
                <w:sz w:val="21"/>
              </w:rPr>
              <w:t>809,730.37</w:t>
            </w:r>
            <w:r>
              <w:rPr>
                <w:rFonts w:ascii="Times New Roman"/>
                <w:sz w:val="21"/>
              </w:rPr>
            </w:r>
          </w:p>
        </w:tc>
      </w:tr>
      <w:tr>
        <w:trPr>
          <w:trHeight w:val="306"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
        </w:tc>
        <w:tc>
          <w:tcPr>
            <w:tcW w:w="254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941" w:type="dxa"/>
            <w:tcBorders>
              <w:top w:val="nil" w:sz="6" w:space="0" w:color="auto"/>
              <w:left w:val="nil" w:sz="6" w:space="0" w:color="auto"/>
              <w:bottom w:val="nil" w:sz="6" w:space="0" w:color="auto"/>
              <w:right w:val="single" w:sz="4"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54" w:type="dxa"/>
            <w:tcBorders>
              <w:top w:val="nil" w:sz="6" w:space="0" w:color="auto"/>
              <w:left w:val="single" w:sz="4" w:space="0" w:color="000000"/>
              <w:bottom w:val="nil" w:sz="6" w:space="0" w:color="auto"/>
              <w:right w:val="single" w:sz="4" w:space="0" w:color="000000"/>
            </w:tcBorders>
          </w:tcPr>
          <w:p>
            <w:pPr/>
          </w:p>
        </w:tc>
        <w:tc>
          <w:tcPr>
            <w:tcW w:w="25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424,128,284.97</w:t>
            </w:r>
          </w:p>
        </w:tc>
        <w:tc>
          <w:tcPr>
            <w:tcW w:w="254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342,324,245.11</w:t>
            </w:r>
          </w:p>
        </w:tc>
      </w:tr>
      <w:tr>
        <w:trPr>
          <w:trHeight w:val="577" w:hRule="exact"/>
        </w:trPr>
        <w:tc>
          <w:tcPr>
            <w:tcW w:w="2941" w:type="dxa"/>
            <w:tcBorders>
              <w:top w:val="nil" w:sz="6" w:space="0" w:color="auto"/>
              <w:left w:val="nil" w:sz="6" w:space="0" w:color="auto"/>
              <w:bottom w:val="single" w:sz="12"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54" w:type="dxa"/>
            <w:tcBorders>
              <w:top w:val="nil" w:sz="6" w:space="0" w:color="auto"/>
              <w:left w:val="single" w:sz="4" w:space="0" w:color="000000"/>
              <w:bottom w:val="single" w:sz="12" w:space="0" w:color="000000"/>
              <w:right w:val="single" w:sz="4" w:space="0" w:color="000000"/>
            </w:tcBorders>
          </w:tcPr>
          <w:p>
            <w:pPr/>
          </w:p>
        </w:tc>
        <w:tc>
          <w:tcPr>
            <w:tcW w:w="25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765,599,591.65</w:t>
            </w:r>
          </w:p>
        </w:tc>
        <w:tc>
          <w:tcPr>
            <w:tcW w:w="2546" w:type="dxa"/>
            <w:tcBorders>
              <w:top w:val="nil" w:sz="6" w:space="0" w:color="auto"/>
              <w:left w:val="single" w:sz="4" w:space="0" w:color="000000"/>
              <w:bottom w:val="single" w:sz="12"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685,184,173.62</w:t>
            </w:r>
          </w:p>
        </w:tc>
      </w:tr>
    </w:tbl>
    <w:p>
      <w:pPr>
        <w:pStyle w:val="BodyText"/>
        <w:tabs>
          <w:tab w:pos="3093" w:val="left" w:leader="none"/>
          <w:tab w:pos="6978" w:val="left" w:leader="none"/>
        </w:tabs>
        <w:spacing w:line="240" w:lineRule="auto" w:before="86"/>
        <w:ind w:right="0"/>
        <w:jc w:val="left"/>
      </w:pPr>
      <w:r>
        <w:rPr/>
        <w:t>法定代表人：李仲初</w:t>
        <w:tab/>
      </w:r>
      <w:r>
        <w:rPr>
          <w:spacing w:val="-1"/>
        </w:rPr>
        <w:t>主管会计工作负责人：赖德源</w:t>
        <w:tab/>
        <w:t>会计机构负责人：李天达</w:t>
      </w:r>
    </w:p>
    <w:p>
      <w:pPr>
        <w:spacing w:after="0" w:line="240" w:lineRule="auto"/>
        <w:jc w:val="left"/>
        <w:sectPr>
          <w:headerReference w:type="default" r:id="rId27"/>
          <w:footerReference w:type="default" r:id="rId28"/>
          <w:pgSz w:w="11910" w:h="16840"/>
          <w:pgMar w:header="720" w:footer="0" w:top="1060" w:bottom="280" w:left="980" w:right="1000"/>
        </w:sectPr>
      </w:pPr>
    </w:p>
    <w:p>
      <w:pPr>
        <w:spacing w:line="371" w:lineRule="exact" w:before="0"/>
        <w:ind w:left="179" w:right="164" w:firstLine="0"/>
        <w:jc w:val="center"/>
        <w:rPr>
          <w:rFonts w:ascii="黑体" w:hAnsi="黑体" w:cs="黑体" w:eastAsia="黑体" w:hint="default"/>
          <w:sz w:val="32"/>
          <w:szCs w:val="32"/>
        </w:rPr>
      </w:pPr>
      <w:r>
        <w:rPr/>
        <w:pict>
          <v:group style="position:absolute;margin-left:55.200001pt;margin-top:-.096262pt;width:484.65pt;height:.1pt;mso-position-horizontal-relative:page;mso-position-vertical-relative:paragraph;z-index:2680" coordorigin="1104,-2" coordsize="9693,2">
            <v:shape style="position:absolute;left:1104;top:-2;width:9693;height:2" coordorigin="1104,-2" coordsize="9693,0" path="m1104,-2l10796,-2e" filled="false" stroked="true" strokeweight=".72pt" strokecolor="#000000">
              <v:path arrowok="t"/>
            </v:shape>
            <w10:wrap type="none"/>
          </v:group>
        </w:pict>
      </w:r>
      <w:r>
        <w:rPr>
          <w:rFonts w:ascii="黑体" w:hAnsi="黑体" w:cs="黑体" w:eastAsia="黑体" w:hint="default"/>
          <w:b/>
          <w:bCs/>
          <w:sz w:val="32"/>
          <w:szCs w:val="32"/>
        </w:rPr>
        <w:t>母公司资产负债表(负债及股东权益)</w:t>
      </w:r>
      <w:r>
        <w:rPr>
          <w:rFonts w:ascii="黑体" w:hAnsi="黑体" w:cs="黑体" w:eastAsia="黑体" w:hint="default"/>
          <w:sz w:val="32"/>
          <w:szCs w:val="32"/>
        </w:rPr>
      </w:r>
    </w:p>
    <w:p>
      <w:pPr>
        <w:pStyle w:val="BodyText"/>
        <w:tabs>
          <w:tab w:pos="7365" w:val="left" w:leader="none"/>
        </w:tabs>
        <w:spacing w:line="240" w:lineRule="auto" w:before="134"/>
        <w:ind w:left="15"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3"/>
        <w:gridCol w:w="986"/>
        <w:gridCol w:w="2456"/>
        <w:gridCol w:w="2394"/>
      </w:tblGrid>
      <w:tr>
        <w:trPr>
          <w:trHeight w:val="380"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2"/>
              <w:ind w:left="258"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278"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4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97" w:hRule="exact"/>
        </w:trPr>
        <w:tc>
          <w:tcPr>
            <w:tcW w:w="3653" w:type="dxa"/>
            <w:tcBorders>
              <w:top w:val="single" w:sz="4" w:space="0" w:color="000000"/>
              <w:left w:val="nil" w:sz="6" w:space="0" w:color="auto"/>
              <w:bottom w:val="nil" w:sz="6" w:space="0" w:color="auto"/>
              <w:right w:val="single" w:sz="4" w:space="0" w:color="000000"/>
            </w:tcBorders>
          </w:tcPr>
          <w:p>
            <w:pPr>
              <w:pStyle w:val="TableParagraph"/>
              <w:spacing w:line="240" w:lineRule="auto" w:before="42"/>
              <w:ind w:left="22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86" w:type="dxa"/>
            <w:vMerge w:val="restart"/>
            <w:tcBorders>
              <w:top w:val="single" w:sz="4" w:space="0" w:color="000000"/>
              <w:left w:val="single" w:sz="4" w:space="0" w:color="000000"/>
              <w:right w:val="single" w:sz="4" w:space="0" w:color="000000"/>
            </w:tcBorders>
          </w:tcPr>
          <w:p>
            <w:pPr/>
          </w:p>
        </w:tc>
        <w:tc>
          <w:tcPr>
            <w:tcW w:w="2456" w:type="dxa"/>
            <w:tcBorders>
              <w:top w:val="single" w:sz="4" w:space="0" w:color="000000"/>
              <w:left w:val="single" w:sz="4" w:space="0" w:color="000000"/>
              <w:bottom w:val="nil" w:sz="6" w:space="0" w:color="auto"/>
              <w:right w:val="single" w:sz="4" w:space="0" w:color="000000"/>
            </w:tcBorders>
          </w:tcPr>
          <w:p>
            <w:pPr/>
          </w:p>
        </w:tc>
        <w:tc>
          <w:tcPr>
            <w:tcW w:w="2394" w:type="dxa"/>
            <w:tcBorders>
              <w:top w:val="single" w:sz="4" w:space="0" w:color="000000"/>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pacing w:val="-1"/>
                <w:sz w:val="21"/>
              </w:rPr>
              <w:t>12,481,241.57</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21"/>
                <w:szCs w:val="21"/>
              </w:rPr>
            </w:pPr>
            <w:r>
              <w:rPr>
                <w:rFonts w:ascii="Times New Roman"/>
                <w:spacing w:val="-1"/>
                <w:sz w:val="21"/>
              </w:rPr>
              <w:t>7,153,802.50</w:t>
            </w: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7,609,044.70</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1"/>
                <w:sz w:val="21"/>
              </w:rPr>
              <w:t>12,163,673.49</w:t>
            </w: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2,896,723.86</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1"/>
                <w:sz w:val="21"/>
              </w:rPr>
              <w:t>2,721,058.76</w:t>
            </w: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-2,994,267.59</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1"/>
                <w:sz w:val="21"/>
              </w:rPr>
              <w:t>10,835,508.94</w:t>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177,549,314.36</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163,976,170.88</w:t>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197,542,056.90</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196,850,214.57</w:t>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528,614.17</w:t>
            </w:r>
            <w:r>
              <w:rPr>
                <w:rFonts w:ascii="Times New Roman"/>
                <w:sz w:val="21"/>
              </w:rPr>
            </w: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1"/>
                <w:sz w:val="21"/>
              </w:rPr>
              <w:t>198,070,671.07</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1"/>
                <w:sz w:val="21"/>
              </w:rPr>
              <w:t>197,378,828.74</w:t>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224,000,000.00</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224,000,000.00</w:t>
            </w: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1"/>
                <w:sz w:val="21"/>
              </w:rPr>
              <w:t>109,772,355.17</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1"/>
                <w:sz w:val="21"/>
              </w:rPr>
              <w:t>102,170,000.00</w:t>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pacing w:val="-1"/>
                <w:sz w:val="21"/>
              </w:rPr>
              <w:t>46,187,818.37</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21"/>
                <w:szCs w:val="21"/>
              </w:rPr>
            </w:pPr>
            <w:r>
              <w:rPr>
                <w:rFonts w:ascii="Times New Roman"/>
                <w:spacing w:val="-1"/>
                <w:sz w:val="21"/>
              </w:rPr>
              <w:t>32,255,696.32</w:t>
            </w:r>
          </w:p>
        </w:tc>
      </w:tr>
      <w:tr>
        <w:trPr>
          <w:trHeight w:val="354"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33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
        </w:tc>
        <w:tc>
          <w:tcPr>
            <w:tcW w:w="2394" w:type="dxa"/>
            <w:tcBorders>
              <w:top w:val="nil" w:sz="6" w:space="0" w:color="auto"/>
              <w:left w:val="single" w:sz="4" w:space="0" w:color="000000"/>
              <w:bottom w:val="nil" w:sz="6" w:space="0" w:color="auto"/>
              <w:right w:val="nil" w:sz="6" w:space="0" w:color="auto"/>
            </w:tcBorders>
          </w:tcPr>
          <w:p>
            <w:pPr/>
          </w:p>
        </w:tc>
      </w:tr>
      <w:tr>
        <w:trPr>
          <w:trHeight w:val="366"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187,568,747.04</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21"/>
                <w:szCs w:val="21"/>
              </w:rPr>
            </w:pPr>
            <w:r>
              <w:rPr>
                <w:rFonts w:ascii="Times New Roman"/>
                <w:spacing w:val="-1"/>
                <w:sz w:val="21"/>
              </w:rPr>
              <w:t>129,379,648.56</w:t>
            </w:r>
          </w:p>
        </w:tc>
      </w:tr>
      <w:tr>
        <w:trPr>
          <w:trHeight w:val="36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86" w:type="dxa"/>
            <w:vMerge/>
            <w:tcBorders>
              <w:left w:val="single" w:sz="4" w:space="0" w:color="000000"/>
              <w:right w:val="single" w:sz="4" w:space="0" w:color="000000"/>
            </w:tcBorders>
          </w:tcPr>
          <w:p>
            <w:pPr/>
          </w:p>
        </w:tc>
        <w:tc>
          <w:tcPr>
            <w:tcW w:w="245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1"/>
                <w:sz w:val="21"/>
              </w:rPr>
              <w:t>567,528,920.58</w:t>
            </w:r>
          </w:p>
        </w:tc>
        <w:tc>
          <w:tcPr>
            <w:tcW w:w="2394"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1"/>
                <w:sz w:val="21"/>
              </w:rPr>
              <w:t>487,805,344.88</w:t>
            </w:r>
          </w:p>
        </w:tc>
      </w:tr>
      <w:tr>
        <w:trPr>
          <w:trHeight w:val="648" w:hRule="exact"/>
        </w:trPr>
        <w:tc>
          <w:tcPr>
            <w:tcW w:w="3653"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负债和所有者权益（股东权益）总计</w:t>
            </w:r>
          </w:p>
        </w:tc>
        <w:tc>
          <w:tcPr>
            <w:tcW w:w="986" w:type="dxa"/>
            <w:vMerge/>
            <w:tcBorders>
              <w:left w:val="single" w:sz="4" w:space="0" w:color="000000"/>
              <w:bottom w:val="single" w:sz="12" w:space="0" w:color="000000"/>
              <w:right w:val="single" w:sz="4" w:space="0" w:color="000000"/>
            </w:tcBorders>
          </w:tcPr>
          <w:p>
            <w:pPr/>
          </w:p>
        </w:tc>
        <w:tc>
          <w:tcPr>
            <w:tcW w:w="24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1"/>
                <w:sz w:val="21"/>
              </w:rPr>
              <w:t>765,599,591.65</w:t>
            </w:r>
          </w:p>
        </w:tc>
        <w:tc>
          <w:tcPr>
            <w:tcW w:w="2394" w:type="dxa"/>
            <w:tcBorders>
              <w:top w:val="nil" w:sz="6" w:space="0" w:color="auto"/>
              <w:left w:val="single" w:sz="4" w:space="0" w:color="000000"/>
              <w:bottom w:val="single" w:sz="12" w:space="0" w:color="000000"/>
              <w:right w:val="nil" w:sz="6" w:space="0" w:color="auto"/>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1"/>
                <w:sz w:val="21"/>
              </w:rPr>
              <w:t>685,184,173.62</w:t>
            </w:r>
          </w:p>
        </w:tc>
      </w:tr>
    </w:tbl>
    <w:p>
      <w:pPr>
        <w:pStyle w:val="BodyText"/>
        <w:tabs>
          <w:tab w:pos="3303" w:val="left" w:leader="none"/>
          <w:tab w:pos="7398" w:val="left" w:leader="none"/>
        </w:tabs>
        <w:spacing w:line="240" w:lineRule="auto" w:before="86"/>
        <w:ind w:right="0"/>
        <w:jc w:val="left"/>
      </w:pPr>
      <w:r>
        <w:rPr/>
        <w:t>法定代表人：李仲初</w:t>
        <w:tab/>
      </w:r>
      <w:r>
        <w:rPr>
          <w:spacing w:val="-1"/>
        </w:rPr>
        <w:t>主管会计工作负责人：赖德源</w:t>
        <w:tab/>
        <w:t>会计机构负责人：李天达</w:t>
      </w:r>
    </w:p>
    <w:p>
      <w:pPr>
        <w:spacing w:after="0" w:line="240" w:lineRule="auto"/>
        <w:jc w:val="left"/>
        <w:sectPr>
          <w:footerReference w:type="default" r:id="rId29"/>
          <w:pgSz w:w="11910" w:h="16840"/>
          <w:pgMar w:footer="707" w:header="720" w:top="1120" w:bottom="900" w:left="980" w:right="1000"/>
          <w:pgNumType w:start="60"/>
        </w:sectPr>
      </w:pPr>
    </w:p>
    <w:p>
      <w:pPr>
        <w:spacing w:before="13"/>
        <w:ind w:left="178" w:right="164" w:firstLine="0"/>
        <w:jc w:val="center"/>
        <w:rPr>
          <w:rFonts w:ascii="黑体" w:hAnsi="黑体" w:cs="黑体" w:eastAsia="黑体" w:hint="default"/>
          <w:sz w:val="32"/>
          <w:szCs w:val="32"/>
        </w:rPr>
      </w:pPr>
      <w:r>
        <w:rPr/>
        <w:pict>
          <v:group style="position:absolute;margin-left:55.200001pt;margin-top:2.957793pt;width:484.65pt;height:.1pt;mso-position-horizontal-relative:page;mso-position-vertical-relative:paragraph;z-index:-708904"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母公司利润表</w:t>
      </w:r>
      <w:r>
        <w:rPr>
          <w:rFonts w:ascii="黑体" w:hAnsi="黑体" w:cs="黑体" w:eastAsia="黑体" w:hint="default"/>
          <w:sz w:val="32"/>
          <w:szCs w:val="32"/>
        </w:rPr>
      </w:r>
    </w:p>
    <w:p>
      <w:pPr>
        <w:pStyle w:val="BodyText"/>
        <w:tabs>
          <w:tab w:pos="7365" w:val="left" w:leader="none"/>
        </w:tabs>
        <w:spacing w:line="240" w:lineRule="auto" w:before="255"/>
        <w:ind w:left="16" w:right="0"/>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727"/>
        <w:gridCol w:w="1265"/>
        <w:gridCol w:w="1806"/>
        <w:gridCol w:w="1692"/>
      </w:tblGrid>
      <w:tr>
        <w:trPr>
          <w:trHeight w:val="302" w:hRule="exact"/>
        </w:trPr>
        <w:tc>
          <w:tcPr>
            <w:tcW w:w="4727" w:type="dxa"/>
            <w:tcBorders>
              <w:top w:val="single" w:sz="12" w:space="0" w:color="000000"/>
              <w:left w:val="nil" w:sz="6" w:space="0" w:color="auto"/>
              <w:bottom w:val="single" w:sz="4" w:space="0" w:color="000000"/>
              <w:right w:val="single" w:sz="4" w:space="0" w:color="000000"/>
            </w:tcBorders>
          </w:tcPr>
          <w:p>
            <w:pPr>
              <w:pStyle w:val="TableParagraph"/>
              <w:tabs>
                <w:tab w:pos="1172"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06"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92" w:type="dxa"/>
            <w:tcBorders>
              <w:top w:val="single" w:sz="12" w:space="0" w:color="000000"/>
              <w:left w:val="single" w:sz="4" w:space="0" w:color="000000"/>
              <w:bottom w:val="single" w:sz="4" w:space="0" w:color="000000"/>
              <w:right w:val="nil" w:sz="6" w:space="0" w:color="auto"/>
            </w:tcBorders>
          </w:tcPr>
          <w:p>
            <w:pPr>
              <w:pStyle w:val="TableParagraph"/>
              <w:spacing w:line="257" w:lineRule="exact"/>
              <w:ind w:left="3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94" w:hRule="exact"/>
        </w:trPr>
        <w:tc>
          <w:tcPr>
            <w:tcW w:w="4727"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).4</w:t>
            </w:r>
          </w:p>
        </w:tc>
        <w:tc>
          <w:tcPr>
            <w:tcW w:w="180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2"/>
              <w:jc w:val="right"/>
              <w:rPr>
                <w:rFonts w:ascii="Times New Roman" w:hAnsi="Times New Roman" w:cs="Times New Roman" w:eastAsia="Times New Roman" w:hint="default"/>
                <w:sz w:val="21"/>
                <w:szCs w:val="21"/>
              </w:rPr>
            </w:pPr>
            <w:r>
              <w:rPr>
                <w:rFonts w:ascii="Times New Roman"/>
                <w:spacing w:val="-1"/>
                <w:sz w:val="21"/>
              </w:rPr>
              <w:t>123,834,912.51</w:t>
            </w:r>
          </w:p>
        </w:tc>
        <w:tc>
          <w:tcPr>
            <w:tcW w:w="1692" w:type="dxa"/>
            <w:tcBorders>
              <w:top w:val="single" w:sz="4" w:space="0" w:color="000000"/>
              <w:left w:val="single" w:sz="4" w:space="0" w:color="000000"/>
              <w:bottom w:val="nil" w:sz="6" w:space="0" w:color="auto"/>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149,163,433.87</w:t>
            </w:r>
          </w:p>
        </w:tc>
      </w:tr>
      <w:tr>
        <w:trPr>
          <w:trHeight w:val="307"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).4</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spacing w:val="-1"/>
                <w:sz w:val="21"/>
              </w:rPr>
              <w:t>102,942,638.23</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120,857,098.45</w:t>
            </w:r>
          </w:p>
        </w:tc>
      </w:tr>
      <w:tr>
        <w:trPr>
          <w:trHeight w:val="306"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9" w:lineRule="exact"/>
              <w:ind w:left="54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732,556.96</w:t>
            </w:r>
            <w:r>
              <w:rPr>
                <w:rFonts w:ascii="Times New Roman"/>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pacing w:val="-1"/>
                <w:sz w:val="21"/>
              </w:rPr>
              <w:t>990,448.68</w:t>
            </w:r>
            <w:r>
              <w:rPr>
                <w:rFonts w:ascii="Times New Roman"/>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4" w:lineRule="exact"/>
              <w:ind w:left="54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1,947,980.93</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11,883,290.58</w:t>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4" w:lineRule="exact"/>
              <w:ind w:left="54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59,375,173.70</w:t>
            </w: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4" w:lineRule="exact"/>
              <w:ind w:left="54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-1,873,612.86</w:t>
            </w:r>
          </w:p>
        </w:tc>
        <w:tc>
          <w:tcPr>
            <w:tcW w:w="1692" w:type="dxa"/>
            <w:tcBorders>
              <w:top w:val="nil" w:sz="6" w:space="0" w:color="auto"/>
              <w:left w:val="single" w:sz="4" w:space="0" w:color="000000"/>
              <w:bottom w:val="nil" w:sz="6" w:space="0" w:color="auto"/>
              <w:right w:val="nil" w:sz="6" w:space="0" w:color="auto"/>
            </w:tcBorders>
          </w:tcPr>
          <w:p>
            <w:pPr/>
          </w:p>
        </w:tc>
      </w:tr>
      <w:tr>
        <w:trPr>
          <w:trHeight w:val="315"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4" w:lineRule="exact"/>
              <w:ind w:left="54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3,187,720.06</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-690,145.45</w:t>
            </w:r>
          </w:p>
        </w:tc>
      </w:tr>
      <w:tr>
        <w:trPr>
          <w:trHeight w:val="318"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71" w:lineRule="exact"/>
              <w:ind w:left="54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十一</w:t>
            </w:r>
            <w:r>
              <w:rPr>
                <w:rFonts w:ascii="Times New Roman" w:hAnsi="Times New Roman" w:cs="Times New Roman" w:eastAsia="Times New Roman" w:hint="default"/>
                <w:sz w:val="21"/>
                <w:szCs w:val="21"/>
              </w:rPr>
              <w:t>).5</w:t>
            </w: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pacing w:val="-1"/>
                <w:sz w:val="21"/>
              </w:rPr>
              <w:t>184,151,169.79</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1,648,000.00</w:t>
            </w:r>
          </w:p>
        </w:tc>
      </w:tr>
      <w:tr>
        <w:trPr>
          <w:trHeight w:val="306"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5" w:lineRule="exact"/>
              <w:ind w:left="54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4"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141,673,625.28</w:t>
            </w:r>
            <w:r>
              <w:rPr>
                <w:rFonts w:ascii="Times New Roman"/>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21"/>
                <w:szCs w:val="21"/>
              </w:rPr>
            </w:pPr>
            <w:r>
              <w:rPr>
                <w:rFonts w:ascii="Times New Roman"/>
                <w:spacing w:val="-1"/>
                <w:sz w:val="21"/>
              </w:rPr>
              <w:t>-29,051,685.61</w:t>
            </w:r>
            <w:r>
              <w:rPr>
                <w:rFonts w:ascii="Times New Roman"/>
                <w:sz w:val="21"/>
              </w:rPr>
            </w:r>
          </w:p>
        </w:tc>
      </w:tr>
      <w:tr>
        <w:trPr>
          <w:trHeight w:val="306"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1,459,630.36</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4,350,325.18</w:t>
            </w:r>
          </w:p>
        </w:tc>
      </w:tr>
      <w:tr>
        <w:trPr>
          <w:trHeight w:val="315"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4"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3,002,304.74</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spacing w:val="-1"/>
                <w:sz w:val="21"/>
              </w:rPr>
              <w:t>2,170.00</w:t>
            </w:r>
            <w:r>
              <w:rPr>
                <w:rFonts w:ascii="Times New Roman"/>
                <w:sz w:val="21"/>
              </w:rPr>
            </w: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4"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140,130,950.90</w:t>
            </w:r>
            <w:r>
              <w:rPr>
                <w:rFonts w:ascii="Times New Roman"/>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21"/>
                <w:szCs w:val="21"/>
              </w:rPr>
            </w:pPr>
            <w:r>
              <w:rPr>
                <w:rFonts w:ascii="Times New Roman"/>
                <w:spacing w:val="-1"/>
                <w:sz w:val="21"/>
              </w:rPr>
              <w:t>-24,703,530.43</w:t>
            </w:r>
            <w:r>
              <w:rPr>
                <w:rFonts w:ascii="Times New Roman"/>
                <w:sz w:val="21"/>
              </w:rPr>
            </w:r>
          </w:p>
        </w:tc>
      </w:tr>
      <w:tr>
        <w:trPr>
          <w:trHeight w:val="306"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809,730.37</w:t>
            </w:r>
            <w:r>
              <w:rPr>
                <w:rFonts w:ascii="Times New Roman"/>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1,145,428.40</w:t>
            </w:r>
          </w:p>
        </w:tc>
      </w:tr>
      <w:tr>
        <w:trPr>
          <w:trHeight w:val="321"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8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139,321,220.53</w:t>
            </w:r>
            <w:r>
              <w:rPr>
                <w:rFonts w:ascii="Times New Roman"/>
                <w:sz w:val="21"/>
              </w:rPr>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21"/>
                <w:szCs w:val="21"/>
              </w:rPr>
            </w:pPr>
            <w:r>
              <w:rPr>
                <w:rFonts w:ascii="Times New Roman"/>
                <w:spacing w:val="-1"/>
                <w:sz w:val="21"/>
              </w:rPr>
              <w:t>-25,848,958.83</w:t>
            </w:r>
            <w:r>
              <w:rPr>
                <w:rFonts w:ascii="Times New Roman"/>
                <w:sz w:val="21"/>
              </w:rPr>
            </w:r>
          </w:p>
        </w:tc>
      </w:tr>
      <w:tr>
        <w:trPr>
          <w:trHeight w:val="306"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8"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727" w:type="dxa"/>
            <w:tcBorders>
              <w:top w:val="nil" w:sz="6" w:space="0" w:color="auto"/>
              <w:left w:val="nil" w:sz="6" w:space="0" w:color="auto"/>
              <w:bottom w:val="nil" w:sz="6" w:space="0" w:color="auto"/>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265" w:type="dxa"/>
            <w:tcBorders>
              <w:top w:val="nil" w:sz="6" w:space="0" w:color="auto"/>
              <w:left w:val="single" w:sz="4" w:space="0" w:color="000000"/>
              <w:bottom w:val="nil" w:sz="6" w:space="0" w:color="auto"/>
              <w:right w:val="single" w:sz="4" w:space="0" w:color="000000"/>
            </w:tcBorders>
          </w:tcPr>
          <w:p>
            <w:pPr/>
          </w:p>
        </w:tc>
        <w:tc>
          <w:tcPr>
            <w:tcW w:w="1806"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659" w:hRule="exact"/>
        </w:trPr>
        <w:tc>
          <w:tcPr>
            <w:tcW w:w="4727"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265" w:type="dxa"/>
            <w:tcBorders>
              <w:top w:val="nil" w:sz="6" w:space="0" w:color="auto"/>
              <w:left w:val="single" w:sz="4" w:space="0" w:color="000000"/>
              <w:bottom w:val="single" w:sz="12" w:space="0" w:color="000000"/>
              <w:right w:val="single" w:sz="4" w:space="0" w:color="000000"/>
            </w:tcBorders>
          </w:tcPr>
          <w:p>
            <w:pPr/>
          </w:p>
        </w:tc>
        <w:tc>
          <w:tcPr>
            <w:tcW w:w="18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139,321,220.53</w:t>
            </w:r>
            <w:r>
              <w:rPr>
                <w:rFonts w:ascii="Times New Roman"/>
                <w:sz w:val="21"/>
              </w:rPr>
            </w:r>
          </w:p>
        </w:tc>
        <w:tc>
          <w:tcPr>
            <w:tcW w:w="1692" w:type="dxa"/>
            <w:tcBorders>
              <w:top w:val="nil" w:sz="6" w:space="0" w:color="auto"/>
              <w:left w:val="single" w:sz="4" w:space="0" w:color="000000"/>
              <w:bottom w:val="single" w:sz="12" w:space="0" w:color="000000"/>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21"/>
                <w:szCs w:val="21"/>
              </w:rPr>
            </w:pPr>
            <w:r>
              <w:rPr>
                <w:rFonts w:ascii="Times New Roman"/>
                <w:spacing w:val="-1"/>
                <w:sz w:val="21"/>
              </w:rPr>
              <w:t>-25,848,958.83</w:t>
            </w:r>
            <w:r>
              <w:rPr>
                <w:rFonts w:ascii="Times New Roman"/>
                <w:sz w:val="21"/>
              </w:rPr>
            </w:r>
          </w:p>
        </w:tc>
      </w:tr>
    </w:tbl>
    <w:p>
      <w:pPr>
        <w:pStyle w:val="BodyText"/>
        <w:tabs>
          <w:tab w:pos="3303" w:val="left" w:leader="none"/>
          <w:tab w:pos="7398" w:val="left" w:leader="none"/>
        </w:tabs>
        <w:spacing w:line="240" w:lineRule="auto" w:before="86"/>
        <w:ind w:right="0"/>
        <w:jc w:val="left"/>
      </w:pPr>
      <w:r>
        <w:rPr/>
        <w:t>法定代表人：李仲初</w:t>
        <w:tab/>
      </w:r>
      <w:r>
        <w:rPr>
          <w:spacing w:val="-1"/>
        </w:rPr>
        <w:t>主管会计工作负责人：赖德源</w:t>
        <w:tab/>
        <w:t>会计机构负责人：李天达</w:t>
      </w:r>
    </w:p>
    <w:p>
      <w:pPr>
        <w:spacing w:after="0" w:line="240" w:lineRule="auto"/>
        <w:jc w:val="left"/>
        <w:sectPr>
          <w:pgSz w:w="11910" w:h="16840"/>
          <w:pgMar w:header="720" w:footer="707" w:top="1060" w:bottom="900" w:left="980" w:right="1000"/>
        </w:sectPr>
      </w:pPr>
    </w:p>
    <w:p>
      <w:pPr>
        <w:spacing w:before="13"/>
        <w:ind w:left="179" w:right="164" w:firstLine="0"/>
        <w:jc w:val="center"/>
        <w:rPr>
          <w:rFonts w:ascii="黑体" w:hAnsi="黑体" w:cs="黑体" w:eastAsia="黑体" w:hint="default"/>
          <w:sz w:val="32"/>
          <w:szCs w:val="32"/>
        </w:rPr>
      </w:pPr>
      <w:r>
        <w:rPr/>
        <w:pict>
          <v:group style="position:absolute;margin-left:55.200001pt;margin-top:2.957793pt;width:484.65pt;height:.1pt;mso-position-horizontal-relative:page;mso-position-vertical-relative:paragraph;z-index:-708880" coordorigin="1104,59" coordsize="9693,2">
            <v:shape style="position:absolute;left:1104;top:59;width:9693;height:2" coordorigin="1104,59" coordsize="9693,0" path="m1104,59l10796,59e" filled="false" stroked="true" strokeweight=".72pt" strokecolor="#000000">
              <v:path arrowok="t"/>
            </v:shape>
            <w10:wrap type="none"/>
          </v:group>
        </w:pict>
      </w:r>
      <w:r>
        <w:rPr>
          <w:rFonts w:ascii="黑体" w:hAnsi="黑体" w:cs="黑体" w:eastAsia="黑体" w:hint="default"/>
          <w:b/>
          <w:bCs/>
          <w:sz w:val="32"/>
          <w:szCs w:val="32"/>
        </w:rPr>
        <w:t>母公司现金流量表</w:t>
      </w:r>
      <w:r>
        <w:rPr>
          <w:rFonts w:ascii="黑体" w:hAnsi="黑体" w:cs="黑体" w:eastAsia="黑体" w:hint="default"/>
          <w:sz w:val="32"/>
          <w:szCs w:val="32"/>
        </w:rPr>
      </w:r>
    </w:p>
    <w:p>
      <w:pPr>
        <w:pStyle w:val="BodyText"/>
        <w:tabs>
          <w:tab w:pos="7365" w:val="left" w:leader="none"/>
        </w:tabs>
        <w:spacing w:line="240" w:lineRule="auto" w:before="43"/>
        <w:ind w:left="15" w:right="0"/>
        <w:jc w:val="center"/>
      </w:pPr>
      <w:r>
        <w:rPr/>
        <w:t>编制单位：北京中长石基信息技术股份有限公司</w:t>
        <w:tab/>
        <w:t>单位：人民币元</w:t>
      </w:r>
    </w:p>
    <w:p>
      <w:pPr>
        <w:spacing w:line="240" w:lineRule="auto" w:before="6"/>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790"/>
        <w:gridCol w:w="1980"/>
        <w:gridCol w:w="1800"/>
      </w:tblGrid>
      <w:tr>
        <w:trPr>
          <w:trHeight w:val="332" w:hRule="exact"/>
        </w:trPr>
        <w:tc>
          <w:tcPr>
            <w:tcW w:w="5790" w:type="dxa"/>
            <w:tcBorders>
              <w:top w:val="single" w:sz="12" w:space="0" w:color="000000"/>
              <w:left w:val="nil" w:sz="6" w:space="0" w:color="auto"/>
              <w:bottom w:val="single" w:sz="4" w:space="0" w:color="000000"/>
              <w:right w:val="single" w:sz="4" w:space="0" w:color="000000"/>
            </w:tcBorders>
          </w:tcPr>
          <w:p>
            <w:pPr>
              <w:pStyle w:val="TableParagraph"/>
              <w:tabs>
                <w:tab w:pos="2327" w:val="left" w:leader="none"/>
              </w:tabs>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75" w:lineRule="exact"/>
              <w:ind w:left="5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75" w:lineRule="exact"/>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年度</w:t>
            </w:r>
          </w:p>
        </w:tc>
      </w:tr>
      <w:tr>
        <w:trPr>
          <w:trHeight w:val="335" w:hRule="exact"/>
        </w:trPr>
        <w:tc>
          <w:tcPr>
            <w:tcW w:w="5790"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98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
        </w:tc>
      </w:tr>
      <w:tr>
        <w:trPr>
          <w:trHeight w:val="32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34"/>
              <w:jc w:val="right"/>
              <w:rPr>
                <w:rFonts w:ascii="Times New Roman" w:hAnsi="Times New Roman" w:cs="Times New Roman" w:eastAsia="Times New Roman" w:hint="default"/>
                <w:sz w:val="21"/>
                <w:szCs w:val="21"/>
              </w:rPr>
            </w:pPr>
            <w:r>
              <w:rPr>
                <w:rFonts w:ascii="Times New Roman"/>
                <w:spacing w:val="-1"/>
                <w:sz w:val="21"/>
              </w:rPr>
              <w:t>134,763,483.08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1"/>
                <w:szCs w:val="21"/>
              </w:rPr>
            </w:pPr>
            <w:r>
              <w:rPr>
                <w:rFonts w:ascii="Times New Roman"/>
                <w:spacing w:val="-1"/>
                <w:sz w:val="21"/>
              </w:rPr>
              <w:t>116,428,544.01</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3"/>
              <w:jc w:val="right"/>
              <w:rPr>
                <w:rFonts w:ascii="Times New Roman" w:hAnsi="Times New Roman" w:cs="Times New Roman" w:eastAsia="Times New Roman" w:hint="default"/>
                <w:sz w:val="21"/>
                <w:szCs w:val="21"/>
              </w:rPr>
            </w:pPr>
            <w:r>
              <w:rPr>
                <w:rFonts w:ascii="Times New Roman"/>
                <w:spacing w:val="-1"/>
                <w:sz w:val="21"/>
              </w:rPr>
              <w:t>1,429,328.01</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4"/>
              <w:jc w:val="right"/>
              <w:rPr>
                <w:rFonts w:ascii="Times New Roman" w:hAnsi="Times New Roman" w:cs="Times New Roman" w:eastAsia="Times New Roman" w:hint="default"/>
                <w:sz w:val="21"/>
                <w:szCs w:val="21"/>
              </w:rPr>
            </w:pPr>
            <w:r>
              <w:rPr>
                <w:rFonts w:ascii="Times New Roman"/>
                <w:spacing w:val="-1"/>
                <w:sz w:val="21"/>
              </w:rPr>
              <w:t>4,997,234.46</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68,783,187.07</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141,542,776.84</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117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3"/>
              <w:jc w:val="right"/>
              <w:rPr>
                <w:rFonts w:ascii="Times New Roman" w:hAnsi="Times New Roman" w:cs="Times New Roman" w:eastAsia="Times New Roman" w:hint="default"/>
                <w:sz w:val="21"/>
                <w:szCs w:val="21"/>
              </w:rPr>
            </w:pPr>
            <w:r>
              <w:rPr>
                <w:rFonts w:ascii="Times New Roman"/>
                <w:spacing w:val="-1"/>
                <w:sz w:val="21"/>
              </w:rPr>
              <w:t>204,975,998.16</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262,968,555.31</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97,739,974.42</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21"/>
                <w:szCs w:val="21"/>
              </w:rPr>
            </w:pPr>
            <w:r>
              <w:rPr>
                <w:rFonts w:ascii="Times New Roman"/>
                <w:spacing w:val="-1"/>
                <w:sz w:val="21"/>
              </w:rPr>
              <w:t>92,053,157.35</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6,195,676.29</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2"/>
                <w:sz w:val="21"/>
              </w:rPr>
              <w:t>15,511,711.43</w:t>
            </w:r>
            <w:r>
              <w:rPr>
                <w:rFonts w:ascii="Times New Roman"/>
                <w:sz w:val="21"/>
              </w:rPr>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20,418,191.40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4"/>
              <w:jc w:val="right"/>
              <w:rPr>
                <w:rFonts w:ascii="Times New Roman" w:hAnsi="Times New Roman" w:cs="Times New Roman" w:eastAsia="Times New Roman" w:hint="default"/>
                <w:sz w:val="21"/>
                <w:szCs w:val="21"/>
              </w:rPr>
            </w:pPr>
            <w:r>
              <w:rPr>
                <w:rFonts w:ascii="Times New Roman"/>
                <w:spacing w:val="-1"/>
                <w:sz w:val="21"/>
              </w:rPr>
              <w:t>11,408,080.24</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55,950,274.76</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21"/>
                <w:szCs w:val="21"/>
              </w:rPr>
            </w:pPr>
            <w:r>
              <w:rPr>
                <w:rFonts w:ascii="Times New Roman"/>
                <w:spacing w:val="-1"/>
                <w:sz w:val="21"/>
              </w:rPr>
              <w:t>28,833,128.51</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127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9"/>
              <w:jc w:val="right"/>
              <w:rPr>
                <w:rFonts w:ascii="Times New Roman" w:hAnsi="Times New Roman" w:cs="Times New Roman" w:eastAsia="Times New Roman" w:hint="default"/>
                <w:sz w:val="21"/>
                <w:szCs w:val="21"/>
              </w:rPr>
            </w:pPr>
            <w:r>
              <w:rPr>
                <w:rFonts w:ascii="Times New Roman"/>
                <w:spacing w:val="-1"/>
                <w:sz w:val="21"/>
              </w:rPr>
              <w:t>180,304,116.87</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147,806,077.53</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24,671,881.29</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115,162,477.78</w:t>
            </w:r>
          </w:p>
        </w:tc>
      </w:tr>
      <w:tr>
        <w:trPr>
          <w:trHeight w:val="298"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收回投资所收到的现金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0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32"/>
              <w:jc w:val="right"/>
              <w:rPr>
                <w:rFonts w:ascii="Times New Roman" w:hAnsi="Times New Roman" w:cs="Times New Roman" w:eastAsia="Times New Roman" w:hint="default"/>
                <w:sz w:val="21"/>
                <w:szCs w:val="21"/>
              </w:rPr>
            </w:pPr>
            <w:r>
              <w:rPr>
                <w:rFonts w:ascii="Times New Roman"/>
                <w:spacing w:val="-1"/>
                <w:sz w:val="21"/>
              </w:rPr>
              <w:t>70,948,756.87</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1"/>
                <w:szCs w:val="21"/>
              </w:rPr>
            </w:pPr>
            <w:r>
              <w:rPr>
                <w:rFonts w:ascii="Times New Roman"/>
                <w:spacing w:val="-1"/>
                <w:sz w:val="21"/>
              </w:rPr>
              <w:t>1,648,000.00</w:t>
            </w:r>
          </w:p>
        </w:tc>
      </w:tr>
      <w:tr>
        <w:trPr>
          <w:trHeight w:val="551"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26" w:lineRule="exact"/>
              <w:ind w:left="963"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处置固定资产、无形资产和其他长期资产所收回的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right="830"/>
              <w:jc w:val="right"/>
              <w:rPr>
                <w:rFonts w:ascii="宋体" w:hAnsi="宋体" w:cs="宋体" w:eastAsia="宋体" w:hint="default"/>
                <w:sz w:val="21"/>
                <w:szCs w:val="21"/>
              </w:rPr>
            </w:pPr>
            <w:r>
              <w:rPr>
                <w:rFonts w:ascii="宋体" w:hAnsi="宋体" w:cs="宋体" w:eastAsia="宋体" w:hint="default"/>
                <w:spacing w:val="-1"/>
                <w:sz w:val="21"/>
                <w:szCs w:val="21"/>
              </w:rPr>
              <w:t>处置子公司及其他营业单位收到的现金净额</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0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138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31"/>
              <w:jc w:val="right"/>
              <w:rPr>
                <w:rFonts w:ascii="Times New Roman" w:hAnsi="Times New Roman" w:cs="Times New Roman" w:eastAsia="Times New Roman" w:hint="default"/>
                <w:sz w:val="21"/>
                <w:szCs w:val="21"/>
              </w:rPr>
            </w:pPr>
            <w:r>
              <w:rPr>
                <w:rFonts w:ascii="Times New Roman"/>
                <w:spacing w:val="-1"/>
                <w:sz w:val="21"/>
              </w:rPr>
              <w:t>70,948,756.87</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1"/>
                <w:szCs w:val="21"/>
              </w:rPr>
            </w:pPr>
            <w:r>
              <w:rPr>
                <w:rFonts w:ascii="Times New Roman"/>
                <w:spacing w:val="-1"/>
                <w:sz w:val="21"/>
              </w:rPr>
              <w:t>1,648,000.00</w:t>
            </w:r>
          </w:p>
        </w:tc>
      </w:tr>
      <w:tr>
        <w:trPr>
          <w:trHeight w:val="565"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26" w:lineRule="exact"/>
              <w:ind w:left="963"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购建固定资产、无形资产和其他长期资产所支付的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40"/>
              <w:jc w:val="right"/>
              <w:rPr>
                <w:rFonts w:ascii="Times New Roman" w:hAnsi="Times New Roman" w:cs="Times New Roman" w:eastAsia="Times New Roman" w:hint="default"/>
                <w:sz w:val="21"/>
                <w:szCs w:val="21"/>
              </w:rPr>
            </w:pPr>
            <w:r>
              <w:rPr>
                <w:rFonts w:ascii="Times New Roman"/>
                <w:spacing w:val="-1"/>
                <w:sz w:val="21"/>
              </w:rPr>
              <w:t>2,115,652.80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49,832,892.58</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8" w:lineRule="exact"/>
              <w:ind w:left="963" w:right="0"/>
              <w:jc w:val="left"/>
              <w:rPr>
                <w:rFonts w:ascii="宋体" w:hAnsi="宋体" w:cs="宋体" w:eastAsia="宋体" w:hint="default"/>
                <w:sz w:val="21"/>
                <w:szCs w:val="21"/>
              </w:rPr>
            </w:pPr>
            <w:r>
              <w:rPr>
                <w:rFonts w:ascii="宋体" w:hAnsi="宋体" w:cs="宋体" w:eastAsia="宋体" w:hint="default"/>
                <w:sz w:val="21"/>
                <w:szCs w:val="21"/>
              </w:rPr>
              <w:t>投资所支付的现金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4"/>
              <w:jc w:val="right"/>
              <w:rPr>
                <w:rFonts w:ascii="Times New Roman" w:hAnsi="Times New Roman" w:cs="Times New Roman" w:eastAsia="Times New Roman" w:hint="default"/>
                <w:sz w:val="21"/>
                <w:szCs w:val="21"/>
              </w:rPr>
            </w:pPr>
            <w:r>
              <w:rPr>
                <w:rFonts w:ascii="Times New Roman"/>
                <w:spacing w:val="-1"/>
                <w:sz w:val="21"/>
              </w:rPr>
              <w:t>15,750,000.00</w:t>
            </w:r>
            <w:r>
              <w:rPr>
                <w:rFonts w:ascii="Times New Roman"/>
                <w:sz w:val="21"/>
              </w:rPr>
            </w: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right="830"/>
              <w:jc w:val="right"/>
              <w:rPr>
                <w:rFonts w:ascii="宋体" w:hAnsi="宋体" w:cs="宋体" w:eastAsia="宋体" w:hint="default"/>
                <w:sz w:val="21"/>
                <w:szCs w:val="21"/>
              </w:rPr>
            </w:pPr>
            <w:r>
              <w:rPr>
                <w:rFonts w:ascii="宋体" w:hAnsi="宋体" w:cs="宋体" w:eastAsia="宋体" w:hint="default"/>
                <w:spacing w:val="-1"/>
                <w:sz w:val="21"/>
                <w:szCs w:val="21"/>
              </w:rPr>
              <w:t>取得子公司及其他营业单位支付的现金净额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2"/>
              <w:jc w:val="right"/>
              <w:rPr>
                <w:rFonts w:ascii="Times New Roman" w:hAnsi="Times New Roman" w:cs="Times New Roman" w:eastAsia="Times New Roman" w:hint="default"/>
                <w:sz w:val="21"/>
                <w:szCs w:val="21"/>
              </w:rPr>
            </w:pPr>
            <w:r>
              <w:rPr>
                <w:rFonts w:ascii="Times New Roman"/>
                <w:spacing w:val="-1"/>
                <w:sz w:val="21"/>
              </w:rPr>
              <w:t>55,000,000.00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21"/>
                <w:szCs w:val="21"/>
              </w:rPr>
            </w:pPr>
            <w:r>
              <w:rPr>
                <w:rFonts w:ascii="Times New Roman"/>
                <w:spacing w:val="-1"/>
                <w:sz w:val="21"/>
              </w:rPr>
              <w:t>23,375,000.00</w:t>
            </w:r>
          </w:p>
        </w:tc>
      </w:tr>
      <w:tr>
        <w:trPr>
          <w:trHeight w:val="298"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2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138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31"/>
              <w:jc w:val="right"/>
              <w:rPr>
                <w:rFonts w:ascii="Times New Roman" w:hAnsi="Times New Roman" w:cs="Times New Roman" w:eastAsia="Times New Roman" w:hint="default"/>
                <w:sz w:val="21"/>
                <w:szCs w:val="21"/>
              </w:rPr>
            </w:pPr>
            <w:r>
              <w:rPr>
                <w:rFonts w:ascii="Times New Roman"/>
                <w:spacing w:val="-1"/>
                <w:sz w:val="21"/>
              </w:rPr>
              <w:t>72,865,652.80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73,207,892.58</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66"/>
              <w:jc w:val="right"/>
              <w:rPr>
                <w:rFonts w:ascii="Times New Roman" w:hAnsi="Times New Roman" w:cs="Times New Roman" w:eastAsia="Times New Roman" w:hint="default"/>
                <w:sz w:val="21"/>
                <w:szCs w:val="21"/>
              </w:rPr>
            </w:pPr>
            <w:r>
              <w:rPr>
                <w:rFonts w:ascii="Times New Roman"/>
                <w:spacing w:val="-1"/>
                <w:sz w:val="21"/>
              </w:rPr>
              <w:t>-1,916,895.93</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8"/>
              <w:jc w:val="right"/>
              <w:rPr>
                <w:rFonts w:ascii="Times New Roman" w:hAnsi="Times New Roman" w:cs="Times New Roman" w:eastAsia="Times New Roman" w:hint="default"/>
                <w:sz w:val="21"/>
                <w:szCs w:val="21"/>
              </w:rPr>
            </w:pPr>
            <w:r>
              <w:rPr>
                <w:rFonts w:ascii="Times New Roman"/>
                <w:spacing w:val="-1"/>
                <w:sz w:val="21"/>
              </w:rPr>
              <w:t>-71,559,892.58</w:t>
            </w:r>
            <w:r>
              <w:rPr>
                <w:rFonts w:ascii="Times New Roman"/>
                <w:sz w:val="21"/>
              </w:rPr>
            </w:r>
          </w:p>
        </w:tc>
      </w:tr>
      <w:tr>
        <w:trPr>
          <w:trHeight w:val="298"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吸收投资所收到的现金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借款所收到的现金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138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3" w:right="0"/>
              <w:jc w:val="left"/>
              <w:rPr>
                <w:rFonts w:ascii="宋体" w:hAnsi="宋体" w:cs="宋体" w:eastAsia="宋体" w:hint="default"/>
                <w:sz w:val="21"/>
                <w:szCs w:val="21"/>
              </w:rPr>
            </w:pPr>
            <w:r>
              <w:rPr>
                <w:rFonts w:ascii="宋体" w:hAnsi="宋体" w:cs="宋体" w:eastAsia="宋体" w:hint="default"/>
                <w:sz w:val="21"/>
                <w:szCs w:val="21"/>
              </w:rPr>
              <w:t>偿还债务所支付的现金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2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96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分配股利、利润或偿付利息所支付的现金</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31"/>
              <w:jc w:val="right"/>
              <w:rPr>
                <w:rFonts w:ascii="Times New Roman" w:hAnsi="Times New Roman" w:cs="Times New Roman" w:eastAsia="Times New Roman" w:hint="default"/>
                <w:sz w:val="21"/>
                <w:szCs w:val="21"/>
              </w:rPr>
            </w:pPr>
            <w:r>
              <w:rPr>
                <w:rFonts w:ascii="Times New Roman"/>
                <w:spacing w:val="-1"/>
                <w:sz w:val="21"/>
              </w:rPr>
              <w:t>67,200,000.00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33,600,000.00</w:t>
            </w:r>
          </w:p>
        </w:tc>
      </w:tr>
      <w:tr>
        <w:trPr>
          <w:trHeight w:val="298"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支付的其他与筹资活动有关的现金</w:t>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2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138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31"/>
              <w:jc w:val="right"/>
              <w:rPr>
                <w:rFonts w:ascii="Times New Roman" w:hAnsi="Times New Roman" w:cs="Times New Roman" w:eastAsia="Times New Roman" w:hint="default"/>
                <w:sz w:val="21"/>
                <w:szCs w:val="21"/>
              </w:rPr>
            </w:pPr>
            <w:r>
              <w:rPr>
                <w:rFonts w:ascii="Times New Roman"/>
                <w:spacing w:val="-1"/>
                <w:sz w:val="21"/>
              </w:rPr>
              <w:t>67,200,000.00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33,600,000.00</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96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66"/>
              <w:jc w:val="right"/>
              <w:rPr>
                <w:rFonts w:ascii="Times New Roman" w:hAnsi="Times New Roman" w:cs="Times New Roman" w:eastAsia="Times New Roman" w:hint="default"/>
                <w:sz w:val="21"/>
                <w:szCs w:val="21"/>
              </w:rPr>
            </w:pPr>
            <w:r>
              <w:rPr>
                <w:rFonts w:ascii="Times New Roman"/>
                <w:spacing w:val="-1"/>
                <w:sz w:val="21"/>
              </w:rPr>
              <w:t>-67,200,000.00</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-33,600,000.00</w:t>
            </w:r>
          </w:p>
        </w:tc>
      </w:tr>
      <w:tr>
        <w:trPr>
          <w:trHeight w:val="298"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
        </w:tc>
      </w:tr>
      <w:tr>
        <w:trPr>
          <w:trHeight w:val="326"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65"/>
              <w:jc w:val="right"/>
              <w:rPr>
                <w:rFonts w:ascii="Times New Roman" w:hAnsi="Times New Roman" w:cs="Times New Roman" w:eastAsia="Times New Roman" w:hint="default"/>
                <w:sz w:val="21"/>
                <w:szCs w:val="21"/>
              </w:rPr>
            </w:pPr>
            <w:r>
              <w:rPr>
                <w:rFonts w:ascii="Times New Roman"/>
                <w:spacing w:val="-1"/>
                <w:sz w:val="21"/>
              </w:rPr>
              <w:t>-44,445,014.64</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10,002,585.20</w:t>
            </w:r>
          </w:p>
        </w:tc>
      </w:tr>
      <w:tr>
        <w:trPr>
          <w:trHeight w:val="312" w:hRule="exact"/>
        </w:trPr>
        <w:tc>
          <w:tcPr>
            <w:tcW w:w="579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33"/>
              <w:jc w:val="right"/>
              <w:rPr>
                <w:rFonts w:ascii="Times New Roman" w:hAnsi="Times New Roman" w:cs="Times New Roman" w:eastAsia="Times New Roman" w:hint="default"/>
                <w:sz w:val="21"/>
                <w:szCs w:val="21"/>
              </w:rPr>
            </w:pPr>
            <w:r>
              <w:rPr>
                <w:rFonts w:ascii="Times New Roman"/>
                <w:spacing w:val="-1"/>
                <w:sz w:val="21"/>
              </w:rPr>
              <w:t>268,808,574.98</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258,805,989.78</w:t>
            </w:r>
          </w:p>
        </w:tc>
      </w:tr>
      <w:tr>
        <w:trPr>
          <w:trHeight w:val="295" w:hRule="exact"/>
        </w:trPr>
        <w:tc>
          <w:tcPr>
            <w:tcW w:w="5790" w:type="dxa"/>
            <w:tcBorders>
              <w:top w:val="nil" w:sz="6" w:space="0" w:color="auto"/>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9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7"/>
              <w:ind w:right="133"/>
              <w:jc w:val="right"/>
              <w:rPr>
                <w:rFonts w:ascii="Times New Roman" w:hAnsi="Times New Roman" w:cs="Times New Roman" w:eastAsia="Times New Roman" w:hint="default"/>
                <w:sz w:val="21"/>
                <w:szCs w:val="21"/>
              </w:rPr>
            </w:pPr>
            <w:r>
              <w:rPr>
                <w:rFonts w:ascii="Times New Roman"/>
                <w:spacing w:val="-1"/>
                <w:sz w:val="21"/>
              </w:rPr>
              <w:t>224,363,560.34</w:t>
            </w:r>
            <w:r>
              <w:rPr>
                <w:rFonts w:ascii="Times New Roman"/>
                <w:sz w:val="21"/>
              </w:rPr>
            </w:r>
          </w:p>
        </w:tc>
        <w:tc>
          <w:tcPr>
            <w:tcW w:w="1800" w:type="dxa"/>
            <w:tcBorders>
              <w:top w:val="nil" w:sz="6" w:space="0" w:color="auto"/>
              <w:left w:val="single" w:sz="4" w:space="0" w:color="000000"/>
              <w:bottom w:val="single" w:sz="12" w:space="0" w:color="000000"/>
              <w:right w:val="nil" w:sz="6" w:space="0" w:color="auto"/>
            </w:tcBorders>
          </w:tcPr>
          <w:p>
            <w:pPr>
              <w:pStyle w:val="TableParagraph"/>
              <w:spacing w:line="240" w:lineRule="auto" w:before="37"/>
              <w:ind w:left="313" w:right="0"/>
              <w:jc w:val="left"/>
              <w:rPr>
                <w:rFonts w:ascii="Times New Roman" w:hAnsi="Times New Roman" w:cs="Times New Roman" w:eastAsia="Times New Roman" w:hint="default"/>
                <w:sz w:val="21"/>
                <w:szCs w:val="21"/>
              </w:rPr>
            </w:pPr>
            <w:r>
              <w:rPr>
                <w:rFonts w:ascii="Times New Roman"/>
                <w:sz w:val="21"/>
              </w:rPr>
              <w:t>268,808,574.98</w:t>
            </w:r>
          </w:p>
        </w:tc>
      </w:tr>
    </w:tbl>
    <w:p>
      <w:pPr>
        <w:pStyle w:val="BodyText"/>
        <w:tabs>
          <w:tab w:pos="2779" w:val="left" w:leader="none"/>
          <w:tab w:pos="6662" w:val="left" w:leader="none"/>
        </w:tabs>
        <w:spacing w:line="240" w:lineRule="auto" w:before="86"/>
        <w:ind w:right="0"/>
        <w:jc w:val="left"/>
      </w:pPr>
      <w:r>
        <w:rPr/>
        <w:t>法定代表人：李仲初</w:t>
        <w:tab/>
      </w:r>
      <w:r>
        <w:rPr>
          <w:spacing w:val="-1"/>
        </w:rPr>
        <w:t>主管会计工作负责人：赖德源</w:t>
        <w:tab/>
      </w:r>
      <w:r>
        <w:rPr/>
        <w:t>会计机构负责人：李天达</w:t>
      </w:r>
    </w:p>
    <w:p>
      <w:pPr>
        <w:spacing w:after="0" w:line="240" w:lineRule="auto"/>
        <w:jc w:val="left"/>
        <w:sectPr>
          <w:pgSz w:w="11910" w:h="16840"/>
          <w:pgMar w:header="720" w:footer="707" w:top="1060" w:bottom="900" w:left="980" w:right="1000"/>
        </w:sectPr>
      </w:pPr>
    </w:p>
    <w:p>
      <w:pPr>
        <w:spacing w:line="240" w:lineRule="auto" w:before="7"/>
        <w:rPr>
          <w:rFonts w:ascii="宋体" w:hAnsi="宋体" w:cs="宋体" w:eastAsia="宋体" w:hint="default"/>
          <w:sz w:val="3"/>
          <w:szCs w:val="3"/>
        </w:rPr>
      </w:pPr>
      <w:r>
        <w:rPr/>
        <w:pict>
          <v:shape style="position:absolute;margin-left:56.690994pt;margin-top:36pt;width:31.003998pt;height:19.440002pt;mso-position-horizontal-relative:page;mso-position-vertical-relative:page;z-index:-708856" type="#_x0000_t75" stroked="false">
            <v:imagedata r:id="rId24" o:title=""/>
          </v:shape>
        </w:pict>
      </w:r>
      <w:r>
        <w:rPr/>
        <w:pict>
          <v:group style="position:absolute;margin-left:55.191002pt;margin-top:59.880001pt;width:731.6pt;height:.1pt;mso-position-horizontal-relative:page;mso-position-vertical-relative:page;z-index:-708832" coordorigin="1104,1198" coordsize="14632,2">
            <v:shape style="position:absolute;left:1104;top:1198;width:14632;height:2" coordorigin="1104,1198" coordsize="14632,0" path="m1104,1198l15735,1198e" filled="false" stroked="true" strokeweight=".72pt" strokecolor="#000000">
              <v:path arrowok="t"/>
            </v:shape>
            <w10:wrap type="none"/>
          </v:group>
        </w:pict>
      </w:r>
    </w:p>
    <w:tbl>
      <w:tblPr>
        <w:tblW w:w="0" w:type="auto"/>
        <w:jc w:val="left"/>
        <w:tblInd w:w="127" w:type="dxa"/>
        <w:tblLayout w:type="fixed"/>
        <w:tblCellMar>
          <w:top w:w="0" w:type="dxa"/>
          <w:left w:w="0" w:type="dxa"/>
          <w:bottom w:w="0" w:type="dxa"/>
          <w:right w:w="0" w:type="dxa"/>
        </w:tblCellMar>
        <w:tblLook w:val="01E0"/>
      </w:tblPr>
      <w:tblGrid>
        <w:gridCol w:w="4530"/>
        <w:gridCol w:w="1686"/>
        <w:gridCol w:w="1790"/>
        <w:gridCol w:w="844"/>
        <w:gridCol w:w="720"/>
        <w:gridCol w:w="1580"/>
        <w:gridCol w:w="1686"/>
        <w:gridCol w:w="1774"/>
      </w:tblGrid>
      <w:tr>
        <w:trPr>
          <w:trHeight w:val="273" w:hRule="exact"/>
        </w:trPr>
        <w:tc>
          <w:tcPr>
            <w:tcW w:w="4530" w:type="dxa"/>
            <w:vMerge w:val="restart"/>
            <w:tcBorders>
              <w:top w:val="single" w:sz="12" w:space="0" w:color="000000"/>
              <w:left w:val="nil" w:sz="6" w:space="0" w:color="auto"/>
              <w:right w:val="single" w:sz="4" w:space="0" w:color="000000"/>
            </w:tcBorders>
          </w:tcPr>
          <w:p>
            <w:pPr>
              <w:pStyle w:val="TableParagraph"/>
              <w:tabs>
                <w:tab w:pos="544" w:val="left" w:leader="none"/>
              </w:tabs>
              <w:spacing w:line="240" w:lineRule="auto" w:before="97"/>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080" w:type="dxa"/>
            <w:gridSpan w:val="7"/>
            <w:tcBorders>
              <w:top w:val="single" w:sz="12"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84" w:hRule="exact"/>
        </w:trPr>
        <w:tc>
          <w:tcPr>
            <w:tcW w:w="4530"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3" w:right="0"/>
              <w:jc w:val="left"/>
              <w:rPr>
                <w:rFonts w:ascii="宋体" w:hAnsi="宋体" w:cs="宋体" w:eastAsia="宋体" w:hint="default"/>
                <w:sz w:val="21"/>
                <w:szCs w:val="21"/>
              </w:rPr>
            </w:pPr>
            <w:r>
              <w:rPr>
                <w:rFonts w:ascii="宋体" w:hAnsi="宋体" w:cs="宋体" w:eastAsia="宋体" w:hint="default"/>
                <w:sz w:val="21"/>
                <w:szCs w:val="21"/>
              </w:rPr>
              <w:t>专项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50"/>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0" w:hRule="exact"/>
        </w:trPr>
        <w:tc>
          <w:tcPr>
            <w:tcW w:w="4530"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224,000,000.00</w:t>
            </w:r>
          </w:p>
        </w:tc>
        <w:tc>
          <w:tcPr>
            <w:tcW w:w="179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102,170,000.00</w:t>
            </w:r>
            <w:r>
              <w:rPr>
                <w:rFonts w:ascii="宋体"/>
                <w:sz w:val="21"/>
              </w:rPr>
            </w:r>
          </w:p>
        </w:tc>
        <w:tc>
          <w:tcPr>
            <w:tcW w:w="844"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58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32,255,696.32</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129,379,648.56</w:t>
            </w:r>
            <w:r>
              <w:rPr>
                <w:rFonts w:ascii="宋体"/>
                <w:sz w:val="21"/>
              </w:rPr>
            </w:r>
          </w:p>
        </w:tc>
        <w:tc>
          <w:tcPr>
            <w:tcW w:w="1774" w:type="dxa"/>
            <w:tcBorders>
              <w:top w:val="single" w:sz="4" w:space="0" w:color="000000"/>
              <w:left w:val="single" w:sz="4" w:space="0" w:color="000000"/>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487,805,344.88</w:t>
            </w:r>
            <w:r>
              <w:rPr>
                <w:rFonts w:ascii="宋体"/>
                <w:sz w:val="21"/>
              </w:rPr>
            </w:r>
          </w:p>
        </w:tc>
      </w:tr>
      <w:tr>
        <w:trPr>
          <w:trHeight w:val="281"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5" w:lineRule="exact"/>
              <w:ind w:left="332"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
                <w:sz w:val="21"/>
                <w:szCs w:val="21"/>
              </w:rPr>
              <w:t> </w:t>
            </w:r>
            <w:r>
              <w:rPr>
                <w:rFonts w:ascii="宋体" w:hAnsi="宋体" w:cs="宋体" w:eastAsia="宋体" w:hint="default"/>
                <w:sz w:val="21"/>
                <w:szCs w:val="21"/>
              </w:rPr>
              <w:t>1.会计政策变更</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590" w:right="0"/>
              <w:jc w:val="left"/>
              <w:rPr>
                <w:rFonts w:ascii="宋体" w:hAnsi="宋体" w:cs="宋体" w:eastAsia="宋体" w:hint="default"/>
                <w:sz w:val="21"/>
                <w:szCs w:val="21"/>
              </w:rPr>
            </w:pPr>
            <w:r>
              <w:rPr>
                <w:rFonts w:ascii="宋体" w:hAnsi="宋体" w:cs="宋体" w:eastAsia="宋体" w:hint="default"/>
                <w:sz w:val="21"/>
                <w:szCs w:val="21"/>
              </w:rPr>
              <w:t>2.前期差错更正</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right="708"/>
              <w:jc w:val="center"/>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224,000,000.00</w:t>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102,170,000.00</w:t>
            </w:r>
            <w:r>
              <w:rPr>
                <w:rFonts w:ascii="宋体"/>
                <w:sz w:val="21"/>
              </w:rPr>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32,255,696.32</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129,379,648.56</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487,805,344.88</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三、本年增减变动金额（减少以“-”号填列）</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7,602,355.17</w:t>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13,932,122.05</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pacing w:val="-1"/>
                <w:sz w:val="21"/>
              </w:rPr>
              <w:t>58,189,098.48</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5"/>
              <w:jc w:val="right"/>
              <w:rPr>
                <w:rFonts w:ascii="宋体" w:hAnsi="宋体" w:cs="宋体" w:eastAsia="宋体" w:hint="default"/>
                <w:sz w:val="21"/>
                <w:szCs w:val="21"/>
              </w:rPr>
            </w:pPr>
            <w:r>
              <w:rPr>
                <w:rFonts w:ascii="宋体"/>
                <w:spacing w:val="-1"/>
                <w:sz w:val="21"/>
              </w:rPr>
              <w:t>72,121,220.53</w:t>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139,321,220.53</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139,321,220.53</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132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139,321,220.53</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139,321,220.53</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所有者投入资本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股份支付计入股东权益的金额</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13,932,122.05</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-81,132,122.05</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-67,200,000.00</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13,932,122.05</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-13,932,122.05</w:t>
            </w: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-67,200,000.00</w:t>
            </w:r>
            <w:r>
              <w:rPr>
                <w:rFonts w:ascii="宋体"/>
                <w:sz w:val="21"/>
              </w:rPr>
            </w: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-67,200,000.00</w:t>
            </w:r>
            <w:r>
              <w:rPr>
                <w:rFonts w:ascii="宋体"/>
                <w:sz w:val="21"/>
              </w:rPr>
            </w: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437"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7" w:lineRule="exact"/>
              <w:ind w:left="54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6" w:type="dxa"/>
            <w:tcBorders>
              <w:top w:val="nil" w:sz="6" w:space="0" w:color="auto"/>
              <w:left w:val="single" w:sz="4" w:space="0" w:color="000000"/>
              <w:bottom w:val="nil" w:sz="6" w:space="0" w:color="auto"/>
              <w:right w:val="single" w:sz="4" w:space="0" w:color="000000"/>
            </w:tcBorders>
          </w:tcPr>
          <w:p>
            <w:pP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7,602,355.17</w:t>
            </w:r>
          </w:p>
        </w:tc>
        <w:tc>
          <w:tcPr>
            <w:tcW w:w="844"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580"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7,602,355.17</w:t>
            </w:r>
          </w:p>
        </w:tc>
      </w:tr>
      <w:tr>
        <w:trPr>
          <w:trHeight w:val="301" w:hRule="exact"/>
        </w:trPr>
        <w:tc>
          <w:tcPr>
            <w:tcW w:w="4530" w:type="dxa"/>
            <w:tcBorders>
              <w:top w:val="nil" w:sz="6" w:space="0" w:color="auto"/>
              <w:left w:val="nil" w:sz="6" w:space="0" w:color="auto"/>
              <w:bottom w:val="single" w:sz="12"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sz w:val="21"/>
              </w:rPr>
              <w:t>224,000,000.00</w:t>
            </w:r>
          </w:p>
        </w:tc>
        <w:tc>
          <w:tcPr>
            <w:tcW w:w="1790"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109,772,355.17</w:t>
            </w:r>
            <w:r>
              <w:rPr>
                <w:rFonts w:ascii="宋体"/>
                <w:sz w:val="21"/>
              </w:rPr>
            </w:r>
          </w:p>
        </w:tc>
        <w:tc>
          <w:tcPr>
            <w:tcW w:w="844" w:type="dxa"/>
            <w:vMerge/>
            <w:tcBorders>
              <w:left w:val="single" w:sz="4" w:space="0" w:color="000000"/>
              <w:bottom w:val="single" w:sz="12" w:space="0" w:color="000000"/>
              <w:right w:val="single" w:sz="4" w:space="0" w:color="000000"/>
            </w:tcBorders>
          </w:tcPr>
          <w:p>
            <w:pPr/>
          </w:p>
        </w:tc>
        <w:tc>
          <w:tcPr>
            <w:tcW w:w="720" w:type="dxa"/>
            <w:vMerge/>
            <w:tcBorders>
              <w:left w:val="single" w:sz="4" w:space="0" w:color="000000"/>
              <w:bottom w:val="single" w:sz="12" w:space="0" w:color="000000"/>
              <w:right w:val="single" w:sz="4" w:space="0" w:color="000000"/>
            </w:tcBorders>
          </w:tcPr>
          <w:p>
            <w:pPr/>
          </w:p>
        </w:tc>
        <w:tc>
          <w:tcPr>
            <w:tcW w:w="1580"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sz w:val="21"/>
              </w:rPr>
              <w:t>46,187,818.37</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7" w:lineRule="exact"/>
              <w:ind w:right="102"/>
              <w:jc w:val="right"/>
              <w:rPr>
                <w:rFonts w:ascii="宋体" w:hAnsi="宋体" w:cs="宋体" w:eastAsia="宋体" w:hint="default"/>
                <w:sz w:val="21"/>
                <w:szCs w:val="21"/>
              </w:rPr>
            </w:pPr>
            <w:r>
              <w:rPr>
                <w:rFonts w:ascii="宋体"/>
                <w:spacing w:val="-1"/>
                <w:sz w:val="21"/>
              </w:rPr>
              <w:t>187,568,747.04</w:t>
            </w:r>
            <w:r>
              <w:rPr>
                <w:rFonts w:ascii="宋体"/>
                <w:sz w:val="21"/>
              </w:rPr>
            </w:r>
          </w:p>
        </w:tc>
        <w:tc>
          <w:tcPr>
            <w:tcW w:w="1774" w:type="dxa"/>
            <w:tcBorders>
              <w:top w:val="nil" w:sz="6" w:space="0" w:color="auto"/>
              <w:left w:val="single" w:sz="4" w:space="0" w:color="000000"/>
              <w:bottom w:val="single" w:sz="12" w:space="0" w:color="000000"/>
              <w:right w:val="nil" w:sz="6" w:space="0" w:color="auto"/>
            </w:tcBorders>
          </w:tcPr>
          <w:p>
            <w:pPr>
              <w:pStyle w:val="TableParagraph"/>
              <w:spacing w:line="247" w:lineRule="exact"/>
              <w:ind w:right="106"/>
              <w:jc w:val="right"/>
              <w:rPr>
                <w:rFonts w:ascii="宋体" w:hAnsi="宋体" w:cs="宋体" w:eastAsia="宋体" w:hint="default"/>
                <w:sz w:val="21"/>
                <w:szCs w:val="21"/>
              </w:rPr>
            </w:pPr>
            <w:r>
              <w:rPr>
                <w:rFonts w:ascii="宋体"/>
                <w:spacing w:val="-1"/>
                <w:sz w:val="21"/>
              </w:rPr>
              <w:t>567,528,920.58</w:t>
            </w:r>
            <w:r>
              <w:rPr>
                <w:rFonts w:ascii="宋体"/>
                <w:sz w:val="21"/>
              </w:rPr>
            </w:r>
          </w:p>
        </w:tc>
      </w:tr>
    </w:tbl>
    <w:p>
      <w:pPr>
        <w:pStyle w:val="BodyText"/>
        <w:tabs>
          <w:tab w:pos="5865" w:val="left" w:leader="none"/>
          <w:tab w:pos="12058" w:val="left" w:leader="none"/>
        </w:tabs>
        <w:spacing w:line="240" w:lineRule="exact"/>
        <w:ind w:left="511" w:right="0"/>
        <w:jc w:val="left"/>
      </w:pPr>
      <w:r>
        <w:rPr/>
        <w:t>法定代表人：李仲初</w:t>
        <w:tab/>
      </w:r>
      <w:r>
        <w:rPr>
          <w:spacing w:val="-1"/>
        </w:rPr>
        <w:t>主管会计工作负责人：赖德源</w:t>
        <w:tab/>
        <w:t>会计机构负责人：李天达</w:t>
      </w:r>
    </w:p>
    <w:p>
      <w:pPr>
        <w:spacing w:after="0" w:line="240" w:lineRule="exact"/>
        <w:jc w:val="left"/>
        <w:sectPr>
          <w:headerReference w:type="default" r:id="rId30"/>
          <w:footerReference w:type="default" r:id="rId31"/>
          <w:pgSz w:w="16840" w:h="11910" w:orient="landscape"/>
          <w:pgMar w:header="867" w:footer="0" w:top="1840" w:bottom="280" w:left="980" w:right="980"/>
        </w:sectPr>
      </w:pPr>
    </w:p>
    <w:tbl>
      <w:tblPr>
        <w:tblW w:w="0" w:type="auto"/>
        <w:jc w:val="left"/>
        <w:tblInd w:w="111" w:type="dxa"/>
        <w:tblLayout w:type="fixed"/>
        <w:tblCellMar>
          <w:top w:w="0" w:type="dxa"/>
          <w:left w:w="0" w:type="dxa"/>
          <w:bottom w:w="0" w:type="dxa"/>
          <w:right w:w="0" w:type="dxa"/>
        </w:tblCellMar>
        <w:tblLook w:val="01E0"/>
      </w:tblPr>
      <w:tblGrid>
        <w:gridCol w:w="4320"/>
        <w:gridCol w:w="1676"/>
        <w:gridCol w:w="1780"/>
        <w:gridCol w:w="943"/>
        <w:gridCol w:w="1074"/>
        <w:gridCol w:w="1571"/>
        <w:gridCol w:w="1676"/>
        <w:gridCol w:w="1762"/>
      </w:tblGrid>
      <w:tr>
        <w:trPr>
          <w:trHeight w:val="273" w:hRule="exact"/>
        </w:trPr>
        <w:tc>
          <w:tcPr>
            <w:tcW w:w="4320" w:type="dxa"/>
            <w:vMerge w:val="restart"/>
            <w:tcBorders>
              <w:top w:val="single" w:sz="12" w:space="0" w:color="000000"/>
              <w:left w:val="nil" w:sz="6" w:space="0" w:color="auto"/>
              <w:right w:val="single" w:sz="4" w:space="0" w:color="000000"/>
            </w:tcBorders>
          </w:tcPr>
          <w:p>
            <w:pPr>
              <w:pStyle w:val="TableParagraph"/>
              <w:tabs>
                <w:tab w:pos="545" w:val="left" w:leader="none"/>
              </w:tabs>
              <w:spacing w:line="240" w:lineRule="auto" w:before="81"/>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482" w:type="dxa"/>
            <w:gridSpan w:val="7"/>
            <w:tcBorders>
              <w:top w:val="single" w:sz="12" w:space="0" w:color="000000"/>
              <w:left w:val="single" w:sz="4" w:space="0" w:color="000000"/>
              <w:bottom w:val="single" w:sz="4" w:space="0" w:color="000000"/>
              <w:right w:val="nil" w:sz="6" w:space="0" w:color="auto"/>
            </w:tcBorders>
          </w:tcPr>
          <w:p>
            <w:pPr>
              <w:pStyle w:val="TableParagraph"/>
              <w:spacing w:line="224" w:lineRule="exact"/>
              <w:ind w:right="2"/>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284" w:hRule="exact"/>
        </w:trPr>
        <w:tc>
          <w:tcPr>
            <w:tcW w:w="4320" w:type="dxa"/>
            <w:vMerge/>
            <w:tcBorders>
              <w:left w:val="nil" w:sz="6" w:space="0" w:color="auto"/>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1"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1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0" w:hRule="exact"/>
        </w:trPr>
        <w:tc>
          <w:tcPr>
            <w:tcW w:w="4320" w:type="dxa"/>
            <w:tcBorders>
              <w:top w:val="single" w:sz="4" w:space="0" w:color="000000"/>
              <w:left w:val="nil" w:sz="6" w:space="0" w:color="auto"/>
              <w:bottom w:val="nil" w:sz="6" w:space="0" w:color="auto"/>
              <w:right w:val="single" w:sz="4" w:space="0" w:color="000000"/>
            </w:tcBorders>
          </w:tcPr>
          <w:p>
            <w:pPr>
              <w:pStyle w:val="TableParagraph"/>
              <w:spacing w:line="226" w:lineRule="exact"/>
              <w:ind w:left="1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left="96" w:right="0"/>
              <w:jc w:val="center"/>
              <w:rPr>
                <w:rFonts w:ascii="宋体" w:hAnsi="宋体" w:cs="宋体" w:eastAsia="宋体" w:hint="default"/>
                <w:sz w:val="21"/>
                <w:szCs w:val="21"/>
              </w:rPr>
            </w:pPr>
            <w:r>
              <w:rPr>
                <w:rFonts w:ascii="宋体"/>
                <w:sz w:val="21"/>
              </w:rPr>
              <w:t>112,000,000.0</w:t>
            </w:r>
          </w:p>
        </w:tc>
        <w:tc>
          <w:tcPr>
            <w:tcW w:w="1780" w:type="dxa"/>
            <w:tcBorders>
              <w:top w:val="single" w:sz="4" w:space="0" w:color="000000"/>
              <w:left w:val="single" w:sz="4" w:space="0" w:color="000000"/>
              <w:bottom w:val="nil" w:sz="6" w:space="0" w:color="auto"/>
              <w:right w:val="single" w:sz="4" w:space="0" w:color="000000"/>
            </w:tcBorders>
          </w:tcPr>
          <w:p>
            <w:pPr>
              <w:pStyle w:val="TableParagraph"/>
              <w:spacing w:line="226" w:lineRule="exact"/>
              <w:ind w:left="92" w:right="0"/>
              <w:jc w:val="center"/>
              <w:rPr>
                <w:rFonts w:ascii="宋体" w:hAnsi="宋体" w:cs="宋体" w:eastAsia="宋体" w:hint="default"/>
                <w:sz w:val="21"/>
                <w:szCs w:val="21"/>
              </w:rPr>
            </w:pPr>
            <w:r>
              <w:rPr>
                <w:rFonts w:ascii="宋体"/>
                <w:sz w:val="21"/>
              </w:rPr>
              <w:t>214,170,000.00</w:t>
            </w:r>
          </w:p>
        </w:tc>
        <w:tc>
          <w:tcPr>
            <w:tcW w:w="943" w:type="dxa"/>
            <w:vMerge w:val="restart"/>
            <w:tcBorders>
              <w:top w:val="single" w:sz="4" w:space="0" w:color="000000"/>
              <w:left w:val="single" w:sz="4" w:space="0" w:color="000000"/>
              <w:right w:val="single" w:sz="4" w:space="0" w:color="000000"/>
            </w:tcBorders>
          </w:tcPr>
          <w:p>
            <w:pPr/>
          </w:p>
        </w:tc>
        <w:tc>
          <w:tcPr>
            <w:tcW w:w="1074" w:type="dxa"/>
            <w:vMerge w:val="restart"/>
            <w:tcBorders>
              <w:top w:val="single" w:sz="4" w:space="0" w:color="000000"/>
              <w:left w:val="single" w:sz="4" w:space="0" w:color="000000"/>
              <w:right w:val="single" w:sz="4" w:space="0" w:color="000000"/>
            </w:tcBorders>
          </w:tcPr>
          <w:p>
            <w:pPr/>
          </w:p>
        </w:tc>
        <w:tc>
          <w:tcPr>
            <w:tcW w:w="1571"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left="96" w:right="0"/>
              <w:jc w:val="center"/>
              <w:rPr>
                <w:rFonts w:ascii="宋体" w:hAnsi="宋体" w:cs="宋体" w:eastAsia="宋体" w:hint="default"/>
                <w:sz w:val="21"/>
                <w:szCs w:val="21"/>
              </w:rPr>
            </w:pPr>
            <w:r>
              <w:rPr>
                <w:rFonts w:ascii="宋体"/>
                <w:sz w:val="21"/>
              </w:rPr>
              <w:t>33,483,146.6</w:t>
            </w:r>
          </w:p>
        </w:tc>
        <w:tc>
          <w:tcPr>
            <w:tcW w:w="1676" w:type="dxa"/>
            <w:tcBorders>
              <w:top w:val="single" w:sz="4" w:space="0" w:color="000000"/>
              <w:left w:val="single" w:sz="4" w:space="0" w:color="000000"/>
              <w:bottom w:val="nil" w:sz="6" w:space="0" w:color="auto"/>
              <w:right w:val="single" w:sz="4" w:space="0" w:color="000000"/>
            </w:tcBorders>
          </w:tcPr>
          <w:p>
            <w:pPr>
              <w:pStyle w:val="TableParagraph"/>
              <w:spacing w:line="225" w:lineRule="exact"/>
              <w:ind w:left="96" w:right="0"/>
              <w:jc w:val="center"/>
              <w:rPr>
                <w:rFonts w:ascii="宋体" w:hAnsi="宋体" w:cs="宋体" w:eastAsia="宋体" w:hint="default"/>
                <w:sz w:val="21"/>
                <w:szCs w:val="21"/>
              </w:rPr>
            </w:pPr>
            <w:r>
              <w:rPr>
                <w:rFonts w:ascii="宋体"/>
                <w:sz w:val="21"/>
              </w:rPr>
              <w:t>199,875,660.7</w:t>
            </w:r>
          </w:p>
        </w:tc>
        <w:tc>
          <w:tcPr>
            <w:tcW w:w="1762" w:type="dxa"/>
            <w:tcBorders>
              <w:top w:val="single" w:sz="4" w:space="0" w:color="000000"/>
              <w:left w:val="single" w:sz="4" w:space="0" w:color="000000"/>
              <w:bottom w:val="nil" w:sz="6" w:space="0" w:color="auto"/>
              <w:right w:val="nil" w:sz="6" w:space="0" w:color="auto"/>
            </w:tcBorders>
          </w:tcPr>
          <w:p>
            <w:pPr>
              <w:pStyle w:val="TableParagraph"/>
              <w:spacing w:line="226" w:lineRule="exact"/>
              <w:ind w:left="178" w:right="0"/>
              <w:jc w:val="left"/>
              <w:rPr>
                <w:rFonts w:ascii="宋体" w:hAnsi="宋体" w:cs="宋体" w:eastAsia="宋体" w:hint="default"/>
                <w:sz w:val="21"/>
                <w:szCs w:val="21"/>
              </w:rPr>
            </w:pPr>
            <w:r>
              <w:rPr>
                <w:rFonts w:ascii="宋体"/>
                <w:sz w:val="21"/>
              </w:rPr>
              <w:t>559,528,807.39</w:t>
            </w:r>
          </w:p>
        </w:tc>
      </w:tr>
      <w:tr>
        <w:trPr>
          <w:trHeight w:val="281"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29" w:lineRule="exact"/>
              <w:ind w:left="332"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3"/>
                <w:sz w:val="21"/>
                <w:szCs w:val="21"/>
              </w:rPr>
              <w:t> </w:t>
            </w:r>
            <w:r>
              <w:rPr>
                <w:rFonts w:ascii="宋体" w:hAnsi="宋体" w:cs="宋体" w:eastAsia="宋体" w:hint="default"/>
                <w:sz w:val="21"/>
                <w:szCs w:val="21"/>
              </w:rPr>
              <w:t>1.会计政策变更</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857" w:right="0"/>
              <w:jc w:val="left"/>
              <w:rPr>
                <w:rFonts w:ascii="宋体" w:hAnsi="宋体" w:cs="宋体" w:eastAsia="宋体" w:hint="default"/>
                <w:sz w:val="21"/>
                <w:szCs w:val="21"/>
              </w:rPr>
            </w:pPr>
            <w:r>
              <w:rPr>
                <w:rFonts w:ascii="宋体" w:hAnsi="宋体" w:cs="宋体" w:eastAsia="宋体" w:hint="default"/>
                <w:sz w:val="21"/>
                <w:szCs w:val="21"/>
              </w:rPr>
              <w:t>2.前期差错更正</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-1,227,450.3</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-11,047,053.3</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2" w:lineRule="exact"/>
              <w:ind w:left="178" w:right="0"/>
              <w:jc w:val="left"/>
              <w:rPr>
                <w:rFonts w:ascii="宋体" w:hAnsi="宋体" w:cs="宋体" w:eastAsia="宋体" w:hint="default"/>
                <w:sz w:val="21"/>
                <w:szCs w:val="21"/>
              </w:rPr>
            </w:pPr>
            <w:r>
              <w:rPr>
                <w:rFonts w:ascii="宋体"/>
                <w:sz w:val="21"/>
              </w:rPr>
              <w:t>-12,274,503.68</w:t>
            </w: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857"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96" w:right="0"/>
              <w:jc w:val="center"/>
              <w:rPr>
                <w:rFonts w:ascii="宋体" w:hAnsi="宋体" w:cs="宋体" w:eastAsia="宋体" w:hint="default"/>
                <w:sz w:val="21"/>
                <w:szCs w:val="21"/>
              </w:rPr>
            </w:pPr>
            <w:r>
              <w:rPr>
                <w:rFonts w:ascii="宋体"/>
                <w:sz w:val="21"/>
              </w:rPr>
              <w:t>112,000,000.0</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92" w:right="0"/>
              <w:jc w:val="center"/>
              <w:rPr>
                <w:rFonts w:ascii="宋体" w:hAnsi="宋体" w:cs="宋体" w:eastAsia="宋体" w:hint="default"/>
                <w:sz w:val="21"/>
                <w:szCs w:val="21"/>
              </w:rPr>
            </w:pPr>
            <w:r>
              <w:rPr>
                <w:rFonts w:ascii="宋体"/>
                <w:sz w:val="21"/>
              </w:rPr>
              <w:t>214,170,000.00</w:t>
            </w: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96" w:right="0"/>
              <w:jc w:val="center"/>
              <w:rPr>
                <w:rFonts w:ascii="宋体" w:hAnsi="宋体" w:cs="宋体" w:eastAsia="宋体" w:hint="default"/>
                <w:sz w:val="21"/>
                <w:szCs w:val="21"/>
              </w:rPr>
            </w:pPr>
            <w:r>
              <w:rPr>
                <w:rFonts w:ascii="宋体"/>
                <w:sz w:val="21"/>
              </w:rPr>
              <w:t>32,255,696.3</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96" w:right="0"/>
              <w:jc w:val="center"/>
              <w:rPr>
                <w:rFonts w:ascii="宋体" w:hAnsi="宋体" w:cs="宋体" w:eastAsia="宋体" w:hint="default"/>
                <w:sz w:val="21"/>
                <w:szCs w:val="21"/>
              </w:rPr>
            </w:pPr>
            <w:r>
              <w:rPr>
                <w:rFonts w:ascii="宋体"/>
                <w:sz w:val="21"/>
              </w:rPr>
              <w:t>188,828,607.3</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2" w:lineRule="exact"/>
              <w:ind w:left="178" w:right="0"/>
              <w:jc w:val="left"/>
              <w:rPr>
                <w:rFonts w:ascii="宋体" w:hAnsi="宋体" w:cs="宋体" w:eastAsia="宋体" w:hint="default"/>
                <w:sz w:val="21"/>
                <w:szCs w:val="21"/>
              </w:rPr>
            </w:pPr>
            <w:r>
              <w:rPr>
                <w:rFonts w:ascii="宋体"/>
                <w:sz w:val="21"/>
              </w:rPr>
              <w:t>547,254,303.71</w:t>
            </w: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2"/>
              <w:jc w:val="left"/>
              <w:rPr>
                <w:rFonts w:ascii="宋体" w:hAnsi="宋体" w:cs="宋体" w:eastAsia="宋体" w:hint="default"/>
                <w:sz w:val="21"/>
                <w:szCs w:val="21"/>
              </w:rPr>
            </w:pPr>
            <w:r>
              <w:rPr>
                <w:rFonts w:ascii="宋体" w:hAnsi="宋体" w:cs="宋体" w:eastAsia="宋体" w:hint="default"/>
                <w:spacing w:val="-6"/>
                <w:sz w:val="21"/>
                <w:szCs w:val="21"/>
              </w:rPr>
              <w:t>三、本年增减变动金额（减少以“-”号填列）</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96" w:right="0"/>
              <w:jc w:val="center"/>
              <w:rPr>
                <w:rFonts w:ascii="宋体" w:hAnsi="宋体" w:cs="宋体" w:eastAsia="宋体" w:hint="default"/>
                <w:sz w:val="21"/>
                <w:szCs w:val="21"/>
              </w:rPr>
            </w:pPr>
            <w:r>
              <w:rPr>
                <w:rFonts w:ascii="宋体"/>
                <w:sz w:val="21"/>
              </w:rPr>
              <w:t>112,000,000.0</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94" w:right="0"/>
              <w:jc w:val="center"/>
              <w:rPr>
                <w:rFonts w:ascii="宋体" w:hAnsi="宋体" w:cs="宋体" w:eastAsia="宋体" w:hint="default"/>
                <w:sz w:val="21"/>
                <w:szCs w:val="21"/>
              </w:rPr>
            </w:pPr>
            <w:r>
              <w:rPr>
                <w:rFonts w:ascii="宋体"/>
                <w:sz w:val="21"/>
              </w:rPr>
              <w:t>-112,000,000.0</w:t>
            </w: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96" w:right="0"/>
              <w:jc w:val="center"/>
              <w:rPr>
                <w:rFonts w:ascii="宋体" w:hAnsi="宋体" w:cs="宋体" w:eastAsia="宋体" w:hint="default"/>
                <w:sz w:val="21"/>
                <w:szCs w:val="21"/>
              </w:rPr>
            </w:pPr>
            <w:r>
              <w:rPr>
                <w:rFonts w:ascii="宋体"/>
                <w:sz w:val="21"/>
              </w:rPr>
              <w:t>-59,448,958.8</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5" w:lineRule="exact"/>
              <w:ind w:left="178" w:right="0"/>
              <w:jc w:val="left"/>
              <w:rPr>
                <w:rFonts w:ascii="宋体" w:hAnsi="宋体" w:cs="宋体" w:eastAsia="宋体" w:hint="default"/>
                <w:sz w:val="21"/>
                <w:szCs w:val="21"/>
              </w:rPr>
            </w:pPr>
            <w:r>
              <w:rPr>
                <w:rFonts w:ascii="宋体"/>
                <w:sz w:val="21"/>
              </w:rPr>
              <w:t>-59,448,958.83</w:t>
            </w:r>
          </w:p>
        </w:tc>
      </w:tr>
      <w:tr>
        <w:trPr>
          <w:trHeight w:val="287"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5" w:lineRule="exact"/>
              <w:ind w:left="33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96" w:right="0"/>
              <w:jc w:val="center"/>
              <w:rPr>
                <w:rFonts w:ascii="宋体" w:hAnsi="宋体" w:cs="宋体" w:eastAsia="宋体" w:hint="default"/>
                <w:sz w:val="21"/>
                <w:szCs w:val="21"/>
              </w:rPr>
            </w:pPr>
            <w:r>
              <w:rPr>
                <w:rFonts w:ascii="宋体"/>
                <w:sz w:val="21"/>
              </w:rPr>
              <w:t>-25,848,958.8</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5" w:lineRule="exact"/>
              <w:ind w:left="178" w:right="0"/>
              <w:jc w:val="left"/>
              <w:rPr>
                <w:rFonts w:ascii="宋体" w:hAnsi="宋体" w:cs="宋体" w:eastAsia="宋体" w:hint="default"/>
                <w:sz w:val="21"/>
                <w:szCs w:val="21"/>
              </w:rPr>
            </w:pPr>
            <w:r>
              <w:rPr>
                <w:rFonts w:ascii="宋体"/>
                <w:sz w:val="21"/>
              </w:rPr>
              <w:t>-25,848,958.83</w:t>
            </w: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33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122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-25,848,958.8</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2" w:lineRule="exact"/>
              <w:ind w:left="178" w:right="0"/>
              <w:jc w:val="left"/>
              <w:rPr>
                <w:rFonts w:ascii="宋体" w:hAnsi="宋体" w:cs="宋体" w:eastAsia="宋体" w:hint="default"/>
                <w:sz w:val="21"/>
                <w:szCs w:val="21"/>
              </w:rPr>
            </w:pPr>
            <w:r>
              <w:rPr>
                <w:rFonts w:ascii="宋体"/>
                <w:sz w:val="21"/>
              </w:rPr>
              <w:t>-25,848,958.83</w:t>
            </w: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33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所有者投入资本</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股份支付计入股东权益的金额</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3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96" w:right="0"/>
              <w:jc w:val="center"/>
              <w:rPr>
                <w:rFonts w:ascii="宋体" w:hAnsi="宋体" w:cs="宋体" w:eastAsia="宋体" w:hint="default"/>
                <w:sz w:val="21"/>
                <w:szCs w:val="21"/>
              </w:rPr>
            </w:pPr>
            <w:r>
              <w:rPr>
                <w:rFonts w:ascii="宋体"/>
                <w:sz w:val="21"/>
              </w:rPr>
              <w:t>-33,600,000.0</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2" w:lineRule="exact"/>
              <w:ind w:left="178" w:right="0"/>
              <w:jc w:val="left"/>
              <w:rPr>
                <w:rFonts w:ascii="宋体" w:hAnsi="宋体" w:cs="宋体" w:eastAsia="宋体" w:hint="default"/>
                <w:sz w:val="21"/>
                <w:szCs w:val="21"/>
              </w:rPr>
            </w:pPr>
            <w:r>
              <w:rPr>
                <w:rFonts w:ascii="宋体"/>
                <w:sz w:val="21"/>
              </w:rPr>
              <w:t>-33,600,000.00</w:t>
            </w: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96" w:right="0"/>
              <w:jc w:val="center"/>
              <w:rPr>
                <w:rFonts w:ascii="宋体" w:hAnsi="宋体" w:cs="宋体" w:eastAsia="宋体" w:hint="default"/>
                <w:sz w:val="21"/>
                <w:szCs w:val="21"/>
              </w:rPr>
            </w:pPr>
            <w:r>
              <w:rPr>
                <w:rFonts w:ascii="宋体"/>
                <w:sz w:val="21"/>
              </w:rPr>
              <w:t>-33,600,000.0</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32" w:lineRule="exact"/>
              <w:ind w:left="178" w:right="0"/>
              <w:jc w:val="left"/>
              <w:rPr>
                <w:rFonts w:ascii="宋体" w:hAnsi="宋体" w:cs="宋体" w:eastAsia="宋体" w:hint="default"/>
                <w:sz w:val="21"/>
                <w:szCs w:val="21"/>
              </w:rPr>
            </w:pPr>
            <w:r>
              <w:rPr>
                <w:rFonts w:ascii="宋体"/>
                <w:sz w:val="21"/>
              </w:rPr>
              <w:t>-33,600,000.00</w:t>
            </w: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1"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33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112,000,000.0</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94" w:right="0"/>
              <w:jc w:val="center"/>
              <w:rPr>
                <w:rFonts w:ascii="宋体" w:hAnsi="宋体" w:cs="宋体" w:eastAsia="宋体" w:hint="default"/>
                <w:sz w:val="21"/>
                <w:szCs w:val="21"/>
              </w:rPr>
            </w:pPr>
            <w:r>
              <w:rPr>
                <w:rFonts w:ascii="宋体"/>
                <w:sz w:val="21"/>
              </w:rPr>
              <w:t>-112,000,000.0</w:t>
            </w: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6"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4" w:lineRule="exact"/>
              <w:ind w:left="437"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96" w:right="0"/>
              <w:jc w:val="center"/>
              <w:rPr>
                <w:rFonts w:ascii="宋体" w:hAnsi="宋体" w:cs="宋体" w:eastAsia="宋体" w:hint="default"/>
                <w:sz w:val="21"/>
                <w:szCs w:val="21"/>
              </w:rPr>
            </w:pPr>
            <w:r>
              <w:rPr>
                <w:rFonts w:ascii="宋体"/>
                <w:sz w:val="21"/>
              </w:rPr>
              <w:t>112,000,000.0</w:t>
            </w:r>
          </w:p>
        </w:tc>
        <w:tc>
          <w:tcPr>
            <w:tcW w:w="178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94" w:right="0"/>
              <w:jc w:val="center"/>
              <w:rPr>
                <w:rFonts w:ascii="宋体" w:hAnsi="宋体" w:cs="宋体" w:eastAsia="宋体" w:hint="default"/>
                <w:sz w:val="21"/>
                <w:szCs w:val="21"/>
              </w:rPr>
            </w:pPr>
            <w:r>
              <w:rPr>
                <w:rFonts w:ascii="宋体"/>
                <w:sz w:val="21"/>
              </w:rPr>
              <w:t>-112,000,000.0</w:t>
            </w: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437"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54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54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54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284" w:hRule="exact"/>
        </w:trPr>
        <w:tc>
          <w:tcPr>
            <w:tcW w:w="4320" w:type="dxa"/>
            <w:tcBorders>
              <w:top w:val="nil" w:sz="6" w:space="0" w:color="auto"/>
              <w:left w:val="nil" w:sz="6" w:space="0" w:color="auto"/>
              <w:bottom w:val="nil" w:sz="6" w:space="0" w:color="auto"/>
              <w:right w:val="single" w:sz="4" w:space="0" w:color="000000"/>
            </w:tcBorders>
          </w:tcPr>
          <w:p>
            <w:pPr>
              <w:pStyle w:val="TableParagraph"/>
              <w:spacing w:line="232" w:lineRule="exact"/>
              <w:ind w:left="54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76" w:type="dxa"/>
            <w:tcBorders>
              <w:top w:val="nil" w:sz="6" w:space="0" w:color="auto"/>
              <w:left w:val="single" w:sz="4" w:space="0" w:color="000000"/>
              <w:bottom w:val="nil" w:sz="6" w:space="0" w:color="auto"/>
              <w:right w:val="single" w:sz="4" w:space="0" w:color="000000"/>
            </w:tcBorders>
          </w:tcPr>
          <w:p>
            <w:pPr/>
          </w:p>
        </w:tc>
        <w:tc>
          <w:tcPr>
            <w:tcW w:w="1780" w:type="dxa"/>
            <w:tcBorders>
              <w:top w:val="nil" w:sz="6" w:space="0" w:color="auto"/>
              <w:left w:val="single" w:sz="4" w:space="0" w:color="000000"/>
              <w:bottom w:val="nil" w:sz="6" w:space="0" w:color="auto"/>
              <w:right w:val="single" w:sz="4" w:space="0" w:color="000000"/>
            </w:tcBorders>
          </w:tcPr>
          <w:p>
            <w:pPr/>
          </w:p>
        </w:tc>
        <w:tc>
          <w:tcPr>
            <w:tcW w:w="943" w:type="dxa"/>
            <w:vMerge/>
            <w:tcBorders>
              <w:left w:val="single" w:sz="4" w:space="0" w:color="000000"/>
              <w:right w:val="single" w:sz="4" w:space="0" w:color="000000"/>
            </w:tcBorders>
          </w:tcPr>
          <w:p>
            <w:pPr/>
          </w:p>
        </w:tc>
        <w:tc>
          <w:tcPr>
            <w:tcW w:w="1074" w:type="dxa"/>
            <w:vMerge/>
            <w:tcBorders>
              <w:left w:val="single" w:sz="4" w:space="0" w:color="000000"/>
              <w:right w:val="single" w:sz="4" w:space="0" w:color="000000"/>
            </w:tcBorders>
          </w:tcPr>
          <w:p>
            <w:pPr/>
          </w:p>
        </w:tc>
        <w:tc>
          <w:tcPr>
            <w:tcW w:w="1571"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01" w:hRule="exact"/>
        </w:trPr>
        <w:tc>
          <w:tcPr>
            <w:tcW w:w="4320"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7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224,000,000.0</w:t>
            </w:r>
          </w:p>
        </w:tc>
        <w:tc>
          <w:tcPr>
            <w:tcW w:w="1780"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left="92" w:right="0"/>
              <w:jc w:val="center"/>
              <w:rPr>
                <w:rFonts w:ascii="宋体" w:hAnsi="宋体" w:cs="宋体" w:eastAsia="宋体" w:hint="default"/>
                <w:sz w:val="21"/>
                <w:szCs w:val="21"/>
              </w:rPr>
            </w:pPr>
            <w:r>
              <w:rPr>
                <w:rFonts w:ascii="宋体"/>
                <w:sz w:val="21"/>
              </w:rPr>
              <w:t>102,170,000.00</w:t>
            </w:r>
          </w:p>
        </w:tc>
        <w:tc>
          <w:tcPr>
            <w:tcW w:w="943" w:type="dxa"/>
            <w:vMerge/>
            <w:tcBorders>
              <w:left w:val="single" w:sz="4" w:space="0" w:color="000000"/>
              <w:bottom w:val="single" w:sz="12" w:space="0" w:color="000000"/>
              <w:right w:val="single" w:sz="4" w:space="0" w:color="000000"/>
            </w:tcBorders>
          </w:tcPr>
          <w:p>
            <w:pPr/>
          </w:p>
        </w:tc>
        <w:tc>
          <w:tcPr>
            <w:tcW w:w="1074" w:type="dxa"/>
            <w:vMerge/>
            <w:tcBorders>
              <w:left w:val="single" w:sz="4" w:space="0" w:color="000000"/>
              <w:bottom w:val="single" w:sz="12" w:space="0" w:color="000000"/>
              <w:right w:val="single" w:sz="4" w:space="0" w:color="000000"/>
            </w:tcBorders>
          </w:tcPr>
          <w:p>
            <w:pPr/>
          </w:p>
        </w:tc>
        <w:tc>
          <w:tcPr>
            <w:tcW w:w="1571"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32,255,696.3</w:t>
            </w:r>
          </w:p>
        </w:tc>
        <w:tc>
          <w:tcPr>
            <w:tcW w:w="167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96" w:right="0"/>
              <w:jc w:val="center"/>
              <w:rPr>
                <w:rFonts w:ascii="宋体" w:hAnsi="宋体" w:cs="宋体" w:eastAsia="宋体" w:hint="default"/>
                <w:sz w:val="21"/>
                <w:szCs w:val="21"/>
              </w:rPr>
            </w:pPr>
            <w:r>
              <w:rPr>
                <w:rFonts w:ascii="宋体"/>
                <w:sz w:val="21"/>
              </w:rPr>
              <w:t>129,379,648.5</w:t>
            </w:r>
          </w:p>
        </w:tc>
        <w:tc>
          <w:tcPr>
            <w:tcW w:w="1762" w:type="dxa"/>
            <w:tcBorders>
              <w:top w:val="nil" w:sz="6" w:space="0" w:color="auto"/>
              <w:left w:val="single" w:sz="4" w:space="0" w:color="000000"/>
              <w:bottom w:val="single" w:sz="12" w:space="0" w:color="000000"/>
              <w:right w:val="nil" w:sz="6" w:space="0" w:color="auto"/>
            </w:tcBorders>
          </w:tcPr>
          <w:p>
            <w:pPr>
              <w:pStyle w:val="TableParagraph"/>
              <w:spacing w:line="232" w:lineRule="exact"/>
              <w:ind w:left="178" w:right="0"/>
              <w:jc w:val="left"/>
              <w:rPr>
                <w:rFonts w:ascii="宋体" w:hAnsi="宋体" w:cs="宋体" w:eastAsia="宋体" w:hint="default"/>
                <w:sz w:val="21"/>
                <w:szCs w:val="21"/>
              </w:rPr>
            </w:pPr>
            <w:r>
              <w:rPr>
                <w:rFonts w:ascii="宋体"/>
                <w:sz w:val="21"/>
              </w:rPr>
              <w:t>487,805,344.88</w:t>
            </w:r>
          </w:p>
        </w:tc>
      </w:tr>
    </w:tbl>
    <w:p>
      <w:pPr>
        <w:pStyle w:val="BodyText"/>
        <w:tabs>
          <w:tab w:pos="5945" w:val="left" w:leader="none"/>
          <w:tab w:pos="12138" w:val="left" w:leader="none"/>
        </w:tabs>
        <w:spacing w:line="225" w:lineRule="exact"/>
        <w:ind w:left="591" w:right="0"/>
        <w:jc w:val="left"/>
      </w:pPr>
      <w:r>
        <w:rPr/>
        <w:pict>
          <v:shape style="position:absolute;margin-left:56.751007pt;margin-top:36pt;width:25.679993pt;height:16.380005pt;mso-position-horizontal-relative:page;mso-position-vertical-relative:page;z-index:-708808" type="#_x0000_t75" stroked="false">
            <v:imagedata r:id="rId16" o:title=""/>
          </v:shape>
        </w:pict>
      </w:r>
      <w:r>
        <w:rPr/>
        <w:pict>
          <v:group style="position:absolute;margin-left:55.191002pt;margin-top:56.82pt;width:731.6pt;height:.1pt;mso-position-horizontal-relative:page;mso-position-vertical-relative:page;z-index:-708784" coordorigin="1104,1136" coordsize="14632,2">
            <v:shape style="position:absolute;left:1104;top:1136;width:14632;height:2" coordorigin="1104,1136" coordsize="14632,0" path="m1104,1136l15735,1136e" filled="false" stroked="true" strokeweight=".72pt" strokecolor="#000000">
              <v:path arrowok="t"/>
            </v:shape>
            <w10:wrap type="none"/>
          </v:group>
        </w:pict>
      </w:r>
      <w:r>
        <w:rPr/>
        <w:t>法定代表人：李仲初</w:t>
        <w:tab/>
      </w:r>
      <w:r>
        <w:rPr>
          <w:spacing w:val="-1"/>
        </w:rPr>
        <w:t>主管会计工作负责人：赖德源</w:t>
        <w:tab/>
        <w:t>会计机构负责人：李天达</w:t>
      </w:r>
    </w:p>
    <w:p>
      <w:pPr>
        <w:spacing w:line="240" w:lineRule="auto" w:before="10"/>
        <w:rPr>
          <w:rFonts w:ascii="宋体" w:hAnsi="宋体" w:cs="宋体" w:eastAsia="宋体" w:hint="default"/>
          <w:sz w:val="20"/>
          <w:szCs w:val="20"/>
        </w:rPr>
      </w:pPr>
    </w:p>
    <w:p>
      <w:pPr>
        <w:spacing w:before="76"/>
        <w:ind w:left="7408" w:right="7391" w:firstLine="0"/>
        <w:jc w:val="center"/>
        <w:rPr>
          <w:rFonts w:ascii="Times New Roman" w:hAnsi="Times New Roman" w:cs="Times New Roman" w:eastAsia="Times New Roman" w:hint="default"/>
          <w:sz w:val="18"/>
          <w:szCs w:val="18"/>
        </w:rPr>
      </w:pPr>
      <w:r>
        <w:rPr>
          <w:rFonts w:ascii="Times New Roman"/>
          <w:sz w:val="18"/>
        </w:rPr>
        <w:t>64</w:t>
      </w:r>
    </w:p>
    <w:p>
      <w:pPr>
        <w:spacing w:after="0"/>
        <w:jc w:val="center"/>
        <w:rPr>
          <w:rFonts w:ascii="Times New Roman" w:hAnsi="Times New Roman" w:cs="Times New Roman" w:eastAsia="Times New Roman" w:hint="default"/>
          <w:sz w:val="18"/>
          <w:szCs w:val="18"/>
        </w:rPr>
        <w:sectPr>
          <w:headerReference w:type="default" r:id="rId32"/>
          <w:footerReference w:type="default" r:id="rId33"/>
          <w:pgSz w:w="16840" w:h="11910" w:orient="landscape"/>
          <w:pgMar w:header="867" w:footer="0" w:top="1840" w:bottom="280" w:left="900" w:right="920"/>
        </w:sectPr>
      </w:pPr>
    </w:p>
    <w:p>
      <w:pPr>
        <w:spacing w:before="13"/>
        <w:ind w:left="219" w:right="199" w:firstLine="0"/>
        <w:jc w:val="center"/>
        <w:rPr>
          <w:rFonts w:ascii="黑体" w:hAnsi="黑体" w:cs="黑体" w:eastAsia="黑体" w:hint="default"/>
          <w:sz w:val="32"/>
          <w:szCs w:val="32"/>
        </w:rPr>
      </w:pPr>
      <w:r>
        <w:rPr/>
        <w:pict>
          <v:group style="position:absolute;margin-left:55.200001pt;margin-top:2.957815pt;width:484.95pt;height:.1pt;mso-position-horizontal-relative:page;mso-position-vertical-relative:paragraph;z-index:-708760" coordorigin="1104,59" coordsize="9699,2">
            <v:shape style="position:absolute;left:1104;top:59;width:9699;height:2" coordorigin="1104,59" coordsize="9699,0" path="m1104,59l10802,59e" filled="false" stroked="true" strokeweight=".72pt" strokecolor="#000000">
              <v:path arrowok="t"/>
            </v:shape>
            <w10:wrap type="none"/>
          </v:group>
        </w:pict>
      </w:r>
      <w:r>
        <w:rPr>
          <w:rFonts w:ascii="黑体" w:hAnsi="黑体" w:cs="黑体" w:eastAsia="黑体" w:hint="default"/>
          <w:b/>
          <w:bCs/>
          <w:sz w:val="32"/>
          <w:szCs w:val="32"/>
        </w:rPr>
        <w:t>资产减值准备明细表</w:t>
      </w:r>
      <w:r>
        <w:rPr>
          <w:rFonts w:ascii="黑体" w:hAnsi="黑体" w:cs="黑体" w:eastAsia="黑体" w:hint="default"/>
          <w:sz w:val="32"/>
          <w:szCs w:val="32"/>
        </w:rPr>
      </w:r>
    </w:p>
    <w:p>
      <w:pPr>
        <w:spacing w:line="240" w:lineRule="auto" w:before="11"/>
        <w:rPr>
          <w:rFonts w:ascii="黑体" w:hAnsi="黑体" w:cs="黑体" w:eastAsia="黑体" w:hint="default"/>
          <w:b/>
          <w:bCs/>
          <w:sz w:val="32"/>
          <w:szCs w:val="32"/>
        </w:rPr>
      </w:pPr>
    </w:p>
    <w:p>
      <w:pPr>
        <w:pStyle w:val="BodyText"/>
        <w:tabs>
          <w:tab w:pos="7688" w:val="left" w:leader="none"/>
        </w:tabs>
        <w:spacing w:line="240" w:lineRule="auto"/>
        <w:ind w:left="234" w:right="101"/>
        <w:jc w:val="left"/>
      </w:pPr>
      <w:r>
        <w:rPr/>
        <w:t>编制单位：北京中长石基信息技术股份有限公司</w:t>
        <w:tab/>
      </w:r>
      <w:r>
        <w:rPr>
          <w:spacing w:val="-2"/>
        </w:rPr>
        <w:t>单</w:t>
      </w:r>
      <w:r>
        <w:rPr/>
        <w:t>位</w:t>
      </w:r>
      <w:r>
        <w:rPr>
          <w:spacing w:val="-105"/>
        </w:rPr>
        <w:t>：</w:t>
      </w:r>
      <w:r>
        <w:rPr/>
        <w:t>（人民</w:t>
      </w:r>
      <w:r>
        <w:rPr>
          <w:spacing w:val="-2"/>
        </w:rPr>
        <w:t>币</w:t>
      </w:r>
      <w:r>
        <w:rPr/>
        <w:t>）元</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84"/>
        <w:gridCol w:w="1594"/>
        <w:gridCol w:w="1416"/>
        <w:gridCol w:w="1217"/>
        <w:gridCol w:w="426"/>
        <w:gridCol w:w="1416"/>
        <w:gridCol w:w="1517"/>
      </w:tblGrid>
      <w:tr>
        <w:trPr>
          <w:trHeight w:val="449" w:hRule="exact"/>
        </w:trPr>
        <w:tc>
          <w:tcPr>
            <w:tcW w:w="228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1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1217"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其他增加</w:t>
            </w:r>
          </w:p>
        </w:tc>
        <w:tc>
          <w:tcPr>
            <w:tcW w:w="184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389"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17"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870" w:hRule="exact"/>
        </w:trPr>
        <w:tc>
          <w:tcPr>
            <w:tcW w:w="2284" w:type="dxa"/>
            <w:vMerge/>
            <w:tcBorders>
              <w:left w:val="nil" w:sz="6" w:space="0" w:color="auto"/>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430" w:lineRule="exact" w:before="24"/>
              <w:ind w:left="102" w:right="102"/>
              <w:jc w:val="left"/>
              <w:rPr>
                <w:rFonts w:ascii="宋体" w:hAnsi="宋体" w:cs="宋体" w:eastAsia="宋体" w:hint="default"/>
                <w:sz w:val="21"/>
                <w:szCs w:val="21"/>
              </w:rPr>
            </w:pPr>
            <w:r>
              <w:rPr>
                <w:rFonts w:ascii="宋体" w:hAnsi="宋体" w:cs="宋体" w:eastAsia="宋体" w:hint="default"/>
                <w:sz w:val="21"/>
                <w:szCs w:val="21"/>
              </w:rPr>
              <w:t>转 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17" w:type="dxa"/>
            <w:vMerge/>
            <w:tcBorders>
              <w:left w:val="single" w:sz="4" w:space="0" w:color="000000"/>
              <w:bottom w:val="single" w:sz="4" w:space="0" w:color="000000"/>
              <w:right w:val="nil" w:sz="6" w:space="0" w:color="auto"/>
            </w:tcBorders>
          </w:tcPr>
          <w:p>
            <w:pPr/>
          </w:p>
        </w:tc>
      </w:tr>
      <w:tr>
        <w:trPr>
          <w:trHeight w:val="478" w:hRule="exact"/>
        </w:trPr>
        <w:tc>
          <w:tcPr>
            <w:tcW w:w="2284" w:type="dxa"/>
            <w:tcBorders>
              <w:top w:val="single" w:sz="4" w:space="0" w:color="000000"/>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pacing w:val="-1"/>
                <w:sz w:val="21"/>
              </w:rPr>
              <w:t>9,427,514.60</w:t>
            </w:r>
            <w:r>
              <w:rPr>
                <w:rFonts w:ascii="宋体"/>
                <w:sz w:val="21"/>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8"/>
              <w:ind w:right="101"/>
              <w:jc w:val="right"/>
              <w:rPr>
                <w:rFonts w:ascii="宋体" w:hAnsi="宋体" w:cs="宋体" w:eastAsia="宋体" w:hint="default"/>
                <w:sz w:val="20"/>
                <w:szCs w:val="20"/>
              </w:rPr>
            </w:pPr>
            <w:r>
              <w:rPr>
                <w:rFonts w:ascii="宋体"/>
                <w:spacing w:val="-1"/>
                <w:sz w:val="20"/>
              </w:rPr>
              <w:t>4,264,470.32</w:t>
            </w:r>
            <w:r>
              <w:rPr>
                <w:rFonts w:ascii="宋体"/>
                <w:sz w:val="20"/>
              </w:rPr>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sz w:val="20"/>
              </w:rPr>
              <w:t>868,172.55</w:t>
            </w:r>
          </w:p>
        </w:tc>
        <w:tc>
          <w:tcPr>
            <w:tcW w:w="426"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8"/>
              <w:ind w:right="101"/>
              <w:jc w:val="right"/>
              <w:rPr>
                <w:rFonts w:ascii="宋体" w:hAnsi="宋体" w:cs="宋体" w:eastAsia="宋体" w:hint="default"/>
                <w:sz w:val="20"/>
                <w:szCs w:val="20"/>
              </w:rPr>
            </w:pPr>
            <w:r>
              <w:rPr>
                <w:rFonts w:ascii="宋体"/>
                <w:spacing w:val="-1"/>
                <w:sz w:val="20"/>
              </w:rPr>
              <w:t>1,535,422.45</w:t>
            </w:r>
            <w:r>
              <w:rPr>
                <w:rFonts w:ascii="宋体"/>
                <w:sz w:val="20"/>
              </w:rPr>
            </w:r>
          </w:p>
        </w:tc>
        <w:tc>
          <w:tcPr>
            <w:tcW w:w="1517" w:type="dxa"/>
            <w:tcBorders>
              <w:top w:val="single" w:sz="4" w:space="0" w:color="000000"/>
              <w:left w:val="single" w:sz="4" w:space="0" w:color="000000"/>
              <w:bottom w:val="nil" w:sz="6" w:space="0" w:color="auto"/>
              <w:right w:val="nil" w:sz="6" w:space="0" w:color="auto"/>
            </w:tcBorders>
          </w:tcPr>
          <w:p>
            <w:pPr>
              <w:pStyle w:val="TableParagraph"/>
              <w:spacing w:line="240" w:lineRule="auto" w:before="138"/>
              <w:ind w:right="107"/>
              <w:jc w:val="right"/>
              <w:rPr>
                <w:rFonts w:ascii="宋体" w:hAnsi="宋体" w:cs="宋体" w:eastAsia="宋体" w:hint="default"/>
                <w:sz w:val="20"/>
                <w:szCs w:val="20"/>
              </w:rPr>
            </w:pPr>
            <w:r>
              <w:rPr>
                <w:rFonts w:ascii="宋体"/>
                <w:spacing w:val="-1"/>
                <w:sz w:val="20"/>
              </w:rPr>
              <w:t>13,024,735.02</w:t>
            </w:r>
            <w:r>
              <w:rPr>
                <w:rFonts w:ascii="宋体"/>
                <w:sz w:val="20"/>
              </w:rPr>
            </w:r>
          </w:p>
        </w:tc>
      </w:tr>
      <w:tr>
        <w:trPr>
          <w:trHeight w:val="466" w:hRule="exact"/>
        </w:trPr>
        <w:tc>
          <w:tcPr>
            <w:tcW w:w="2284"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21"/>
                <w:szCs w:val="21"/>
              </w:rPr>
            </w:pPr>
            <w:r>
              <w:rPr>
                <w:rFonts w:ascii="宋体" w:hAnsi="宋体" w:cs="宋体" w:eastAsia="宋体" w:hint="default"/>
                <w:sz w:val="21"/>
                <w:szCs w:val="21"/>
              </w:rPr>
              <w:t>1．应收账款坏账准备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宋体" w:hAnsi="宋体" w:cs="宋体" w:eastAsia="宋体" w:hint="default"/>
                <w:sz w:val="21"/>
                <w:szCs w:val="21"/>
              </w:rPr>
            </w:pPr>
            <w:r>
              <w:rPr>
                <w:rFonts w:ascii="宋体"/>
                <w:spacing w:val="-1"/>
                <w:sz w:val="21"/>
              </w:rPr>
              <w:t>8,801,273.37</w:t>
            </w:r>
            <w:r>
              <w:rPr>
                <w:rFonts w:ascii="宋体"/>
                <w:sz w:val="21"/>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
                <w:sz w:val="20"/>
              </w:rPr>
              <w:t>3,664,584.41</w:t>
            </w:r>
            <w:r>
              <w:rPr>
                <w:rFonts w:ascii="宋体"/>
                <w:sz w:val="20"/>
              </w:rPr>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sz w:val="20"/>
              </w:rPr>
              <w:t>733,337.06</w:t>
            </w:r>
          </w:p>
        </w:tc>
        <w:tc>
          <w:tcPr>
            <w:tcW w:w="426"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宋体" w:hAnsi="宋体" w:cs="宋体" w:eastAsia="宋体" w:hint="default"/>
                <w:sz w:val="20"/>
                <w:szCs w:val="20"/>
              </w:rPr>
            </w:pPr>
            <w:r>
              <w:rPr>
                <w:rFonts w:ascii="宋体"/>
                <w:spacing w:val="-1"/>
                <w:sz w:val="20"/>
              </w:rPr>
              <w:t>1,535,422.45</w:t>
            </w:r>
            <w:r>
              <w:rPr>
                <w:rFonts w:ascii="宋体"/>
                <w:sz w:val="20"/>
              </w:rPr>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20"/>
                <w:szCs w:val="20"/>
              </w:rPr>
            </w:pPr>
            <w:r>
              <w:rPr>
                <w:rFonts w:ascii="宋体"/>
                <w:spacing w:val="-1"/>
                <w:sz w:val="20"/>
              </w:rPr>
              <w:t>11,663,772.39</w:t>
            </w:r>
            <w:r>
              <w:rPr>
                <w:rFonts w:ascii="宋体"/>
                <w:sz w:val="20"/>
              </w:rPr>
            </w:r>
          </w:p>
        </w:tc>
      </w:tr>
      <w:tr>
        <w:trPr>
          <w:trHeight w:val="860" w:hRule="exact"/>
        </w:trPr>
        <w:tc>
          <w:tcPr>
            <w:tcW w:w="2284" w:type="dxa"/>
            <w:tcBorders>
              <w:top w:val="nil" w:sz="6" w:space="0" w:color="auto"/>
              <w:left w:val="nil" w:sz="6" w:space="0" w:color="auto"/>
              <w:bottom w:val="nil" w:sz="6" w:space="0" w:color="auto"/>
              <w:right w:val="single" w:sz="4" w:space="0" w:color="000000"/>
            </w:tcBorders>
          </w:tcPr>
          <w:p>
            <w:pPr>
              <w:pStyle w:val="TableParagraph"/>
              <w:spacing w:line="374" w:lineRule="auto" w:before="45"/>
              <w:ind w:left="122" w:right="96"/>
              <w:jc w:val="left"/>
              <w:rPr>
                <w:rFonts w:ascii="宋体" w:hAnsi="宋体" w:cs="宋体" w:eastAsia="宋体" w:hint="default"/>
                <w:sz w:val="21"/>
                <w:szCs w:val="21"/>
              </w:rPr>
            </w:pPr>
            <w:r>
              <w:rPr>
                <w:rFonts w:ascii="宋体" w:hAnsi="宋体" w:cs="宋体" w:eastAsia="宋体" w:hint="default"/>
                <w:spacing w:val="6"/>
                <w:sz w:val="21"/>
                <w:szCs w:val="21"/>
              </w:rPr>
              <w:t>2．其他应收账款坏账 </w:t>
            </w:r>
            <w:r>
              <w:rPr>
                <w:rFonts w:ascii="宋体" w:hAnsi="宋体" w:cs="宋体" w:eastAsia="宋体" w:hint="default"/>
                <w:sz w:val="21"/>
                <w:szCs w:val="21"/>
              </w:rPr>
              <w:t>准备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626,241.23</w:t>
            </w:r>
            <w:r>
              <w:rPr>
                <w:rFonts w:ascii="宋体"/>
                <w:sz w:val="20"/>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599,885.91</w:t>
            </w:r>
            <w:r>
              <w:rPr>
                <w:rFonts w:ascii="宋体"/>
                <w:sz w:val="20"/>
              </w:rPr>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sz w:val="20"/>
              </w:rPr>
              <w:t>134,835.49</w:t>
            </w:r>
          </w:p>
        </w:tc>
        <w:tc>
          <w:tcPr>
            <w:tcW w:w="426"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w w:val="100"/>
                <w:sz w:val="20"/>
              </w:rPr>
              <w:t>-</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1,360,962.63</w:t>
            </w:r>
            <w:r>
              <w:rPr>
                <w:rFonts w:ascii="宋体"/>
                <w:sz w:val="20"/>
              </w:rPr>
            </w:r>
          </w:p>
        </w:tc>
      </w:tr>
      <w:tr>
        <w:trPr>
          <w:trHeight w:val="395" w:hRule="exact"/>
        </w:trPr>
        <w:tc>
          <w:tcPr>
            <w:tcW w:w="228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z w:val="21"/>
              </w:rPr>
              <w:t>223,027.75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宋体" w:hAnsi="宋体" w:cs="宋体" w:eastAsia="宋体" w:hint="default"/>
                <w:sz w:val="20"/>
                <w:szCs w:val="20"/>
              </w:rPr>
            </w:pPr>
            <w:r>
              <w:rPr>
                <w:rFonts w:ascii="宋体"/>
                <w:spacing w:val="-1"/>
                <w:sz w:val="20"/>
              </w:rPr>
              <w:t>94,605.84</w:t>
            </w:r>
            <w:r>
              <w:rPr>
                <w:rFonts w:ascii="宋体"/>
                <w:sz w:val="20"/>
              </w:rPr>
            </w:r>
          </w:p>
        </w:tc>
        <w:tc>
          <w:tcPr>
            <w:tcW w:w="1217" w:type="dxa"/>
            <w:tcBorders>
              <w:top w:val="nil" w:sz="6" w:space="0" w:color="auto"/>
              <w:left w:val="single" w:sz="4" w:space="0" w:color="000000"/>
              <w:bottom w:val="nil" w:sz="6" w:space="0" w:color="auto"/>
              <w:right w:val="single" w:sz="4" w:space="0" w:color="000000"/>
            </w:tcBorders>
          </w:tcPr>
          <w:p>
            <w:pPr/>
          </w:p>
        </w:tc>
        <w:tc>
          <w:tcPr>
            <w:tcW w:w="426"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0"/>
              <w:jc w:val="right"/>
              <w:rPr>
                <w:rFonts w:ascii="宋体" w:hAnsi="宋体" w:cs="宋体" w:eastAsia="宋体" w:hint="default"/>
                <w:sz w:val="20"/>
                <w:szCs w:val="20"/>
              </w:rPr>
            </w:pPr>
            <w:r>
              <w:rPr>
                <w:rFonts w:ascii="宋体"/>
                <w:w w:val="100"/>
                <w:sz w:val="20"/>
              </w:rPr>
              <w:t>-</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20"/>
                <w:szCs w:val="20"/>
              </w:rPr>
            </w:pPr>
            <w:r>
              <w:rPr>
                <w:rFonts w:ascii="宋体"/>
                <w:spacing w:val="-1"/>
                <w:sz w:val="20"/>
              </w:rPr>
              <w:t>317,633.59</w:t>
            </w:r>
            <w:r>
              <w:rPr>
                <w:rFonts w:ascii="宋体"/>
                <w:sz w:val="20"/>
              </w:rPr>
            </w:r>
          </w:p>
        </w:tc>
      </w:tr>
      <w:tr>
        <w:trPr>
          <w:trHeight w:val="392" w:hRule="exact"/>
        </w:trPr>
        <w:tc>
          <w:tcPr>
            <w:tcW w:w="2284" w:type="dxa"/>
            <w:tcBorders>
              <w:top w:val="nil" w:sz="6" w:space="0" w:color="auto"/>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pacing w:val="-6"/>
                <w:sz w:val="21"/>
                <w:szCs w:val="21"/>
              </w:rPr>
              <w:t>三、固定资产减值准备</w:t>
            </w:r>
            <w:r>
              <w:rPr>
                <w:rFonts w:ascii="宋体" w:hAnsi="宋体" w:cs="宋体" w:eastAsia="宋体" w:hint="default"/>
                <w:sz w:val="21"/>
                <w:szCs w:val="21"/>
              </w:rPr>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1,271,148.60</w:t>
            </w:r>
            <w:r>
              <w:rPr>
                <w:rFonts w:ascii="宋体"/>
                <w:sz w:val="21"/>
              </w:rPr>
            </w:r>
          </w:p>
        </w:tc>
        <w:tc>
          <w:tcPr>
            <w:tcW w:w="1416"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0"/>
                <w:szCs w:val="20"/>
              </w:rPr>
            </w:pPr>
            <w:r>
              <w:rPr>
                <w:rFonts w:ascii="宋体"/>
                <w:w w:val="100"/>
                <w:sz w:val="20"/>
              </w:rPr>
              <w:t>-</w:t>
            </w:r>
          </w:p>
        </w:tc>
        <w:tc>
          <w:tcPr>
            <w:tcW w:w="1517"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1,271,148.60</w:t>
            </w:r>
            <w:r>
              <w:rPr>
                <w:rFonts w:ascii="宋体"/>
                <w:sz w:val="20"/>
              </w:rPr>
            </w:r>
          </w:p>
        </w:tc>
      </w:tr>
      <w:tr>
        <w:trPr>
          <w:trHeight w:val="539" w:hRule="exact"/>
        </w:trPr>
        <w:tc>
          <w:tcPr>
            <w:tcW w:w="22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4"/>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10,921,690.95</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4,359,076.16</w:t>
            </w:r>
            <w:r>
              <w:rPr>
                <w:rFonts w:ascii="宋体"/>
                <w:sz w:val="20"/>
              </w:rPr>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868,172.55</w:t>
            </w:r>
          </w:p>
        </w:tc>
        <w:tc>
          <w:tcPr>
            <w:tcW w:w="426"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1,535,422.45</w:t>
            </w:r>
            <w:r>
              <w:rPr>
                <w:rFonts w:ascii="宋体"/>
                <w:sz w:val="20"/>
              </w:rPr>
            </w:r>
          </w:p>
        </w:tc>
        <w:tc>
          <w:tcPr>
            <w:tcW w:w="15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0"/>
                <w:szCs w:val="20"/>
              </w:rPr>
            </w:pPr>
            <w:r>
              <w:rPr>
                <w:rFonts w:ascii="宋体"/>
                <w:spacing w:val="-1"/>
                <w:sz w:val="20"/>
              </w:rPr>
              <w:t>14,613,517.21</w:t>
            </w:r>
            <w:r>
              <w:rPr>
                <w:rFonts w:ascii="宋体"/>
                <w:sz w:val="20"/>
              </w:rPr>
            </w:r>
          </w:p>
        </w:tc>
      </w:tr>
    </w:tbl>
    <w:p>
      <w:pPr>
        <w:pStyle w:val="BodyText"/>
        <w:tabs>
          <w:tab w:pos="3272" w:val="left" w:leader="none"/>
          <w:tab w:pos="7569" w:val="left" w:leader="none"/>
        </w:tabs>
        <w:spacing w:line="240" w:lineRule="auto" w:before="86"/>
        <w:ind w:left="234" w:right="101"/>
        <w:jc w:val="left"/>
      </w:pPr>
      <w:r>
        <w:rPr>
          <w:spacing w:val="-1"/>
        </w:rPr>
        <w:t>法定代表人：李仲初</w:t>
        <w:tab/>
        <w:t>主管会计工作负责人：赖德源</w:t>
        <w:tab/>
        <w:t>会计机构负责人：李天达</w:t>
      </w:r>
    </w:p>
    <w:p>
      <w:pPr>
        <w:spacing w:after="0" w:line="240" w:lineRule="auto"/>
        <w:jc w:val="left"/>
        <w:sectPr>
          <w:headerReference w:type="default" r:id="rId34"/>
          <w:footerReference w:type="default" r:id="rId35"/>
          <w:pgSz w:w="11910" w:h="16840"/>
          <w:pgMar w:header="851" w:footer="982" w:top="1200" w:bottom="1180" w:left="900" w:right="920"/>
          <w:pgNumType w:start="65"/>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before="20"/>
        <w:ind w:left="3480" w:right="3117" w:firstLine="0"/>
        <w:jc w:val="center"/>
        <w:rPr>
          <w:rFonts w:ascii="黑体" w:hAnsi="黑体" w:cs="黑体" w:eastAsia="黑体" w:hint="default"/>
          <w:sz w:val="32"/>
          <w:szCs w:val="32"/>
        </w:rPr>
      </w:pPr>
      <w:r>
        <w:rPr>
          <w:rFonts w:ascii="黑体" w:hAnsi="黑体" w:cs="黑体" w:eastAsia="黑体" w:hint="default"/>
          <w:b/>
          <w:bCs/>
          <w:sz w:val="32"/>
          <w:szCs w:val="32"/>
        </w:rPr>
        <w:t>财务报表附注</w:t>
      </w:r>
      <w:r>
        <w:rPr>
          <w:rFonts w:ascii="黑体" w:hAnsi="黑体" w:cs="黑体" w:eastAsia="黑体" w:hint="default"/>
          <w:sz w:val="32"/>
          <w:szCs w:val="32"/>
        </w:rPr>
      </w:r>
    </w:p>
    <w:p>
      <w:pPr>
        <w:pStyle w:val="BodyText"/>
        <w:spacing w:line="240" w:lineRule="auto" w:before="210"/>
        <w:ind w:left="3480" w:right="3223"/>
        <w:jc w:val="center"/>
      </w:pP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9"/>
        <w:rPr>
          <w:rFonts w:ascii="宋体" w:hAnsi="宋体" w:cs="宋体" w:eastAsia="宋体" w:hint="default"/>
          <w:sz w:val="14"/>
          <w:szCs w:val="14"/>
        </w:rPr>
      </w:pPr>
    </w:p>
    <w:p>
      <w:pPr>
        <w:pStyle w:val="Heading3"/>
        <w:spacing w:line="240" w:lineRule="auto" w:before="35"/>
        <w:ind w:left="576" w:right="0"/>
        <w:jc w:val="left"/>
        <w:rPr>
          <w:b w:val="0"/>
          <w:bCs w:val="0"/>
        </w:rPr>
      </w:pPr>
      <w:r>
        <w:rPr/>
        <w:t>（一）</w:t>
      </w:r>
      <w:r>
        <w:rPr>
          <w:spacing w:val="-84"/>
        </w:rPr>
        <w:t> </w:t>
      </w:r>
      <w:r>
        <w:rPr/>
        <w:t>公司的基本情况</w:t>
      </w:r>
      <w:r>
        <w:rPr>
          <w:b w:val="0"/>
          <w:bCs w:val="0"/>
        </w:rPr>
      </w:r>
    </w:p>
    <w:p>
      <w:pPr>
        <w:spacing w:line="240" w:lineRule="auto" w:before="9"/>
        <w:rPr>
          <w:rFonts w:ascii="宋体" w:hAnsi="宋体" w:cs="宋体" w:eastAsia="宋体" w:hint="default"/>
          <w:b/>
          <w:bCs/>
          <w:sz w:val="15"/>
          <w:szCs w:val="15"/>
        </w:rPr>
      </w:pPr>
    </w:p>
    <w:p>
      <w:pPr>
        <w:pStyle w:val="BodyText"/>
        <w:spacing w:line="396" w:lineRule="auto"/>
        <w:ind w:left="153" w:right="209" w:firstLine="420"/>
        <w:jc w:val="both"/>
      </w:pPr>
      <w:r>
        <w:rPr>
          <w:spacing w:val="-3"/>
        </w:rPr>
        <w:t>北京中长石基信息技术股份有限公司（以下简称</w:t>
      </w:r>
      <w:r>
        <w:rPr>
          <w:spacing w:val="28"/>
        </w:rPr>
        <w:t> </w:t>
      </w:r>
      <w:r>
        <w:rPr>
          <w:rFonts w:ascii="Times New Roman" w:hAnsi="Times New Roman" w:cs="Times New Roman" w:eastAsia="Times New Roman" w:hint="default"/>
          <w:spacing w:val="-3"/>
        </w:rPr>
        <w:t>“</w:t>
      </w:r>
      <w:r>
        <w:rPr>
          <w:spacing w:val="-3"/>
        </w:rPr>
        <w:t>本公司或公司</w:t>
      </w:r>
      <w:r>
        <w:rPr>
          <w:rFonts w:ascii="Times New Roman" w:hAnsi="Times New Roman" w:cs="Times New Roman" w:eastAsia="Times New Roman" w:hint="default"/>
          <w:spacing w:val="-3"/>
        </w:rPr>
        <w:t>”</w:t>
      </w:r>
      <w:r>
        <w:rPr>
          <w:spacing w:val="-3"/>
        </w:rPr>
        <w:t>）是</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月经北京市人民政府经</w:t>
      </w:r>
      <w:r>
        <w:rPr/>
        <w:t> 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文批准，由原北京中长石基信息技术有限责任公司整体变更</w:t>
      </w:r>
      <w:r>
        <w:rPr>
          <w:spacing w:val="-50"/>
        </w:rPr>
        <w:t> </w:t>
      </w:r>
      <w:r>
        <w:rPr>
          <w:spacing w:val="-50"/>
        </w:rPr>
      </w:r>
      <w:r>
        <w:rPr/>
        <w:t>而成股份有限公司。</w:t>
      </w:r>
    </w:p>
    <w:p>
      <w:pPr>
        <w:pStyle w:val="BodyText"/>
        <w:spacing w:line="240" w:lineRule="auto" w:before="68"/>
        <w:ind w:left="573" w:right="0"/>
        <w:jc w:val="left"/>
      </w:pPr>
      <w:r>
        <w:rPr/>
        <w:t>公司变更前的北京中长石基信息技术有限责任公司系 </w:t>
      </w:r>
      <w:r>
        <w:rPr>
          <w:rFonts w:ascii="Times New Roman" w:hAnsi="Times New Roman" w:cs="Times New Roman" w:eastAsia="Times New Roman" w:hint="default"/>
        </w:rPr>
        <w:t>1998</w:t>
      </w:r>
      <w:r>
        <w:rPr>
          <w:rFonts w:ascii="Times New Roman" w:hAnsi="Times New Roman" w:cs="Times New Roman" w:eastAsia="Times New Roman" w:hint="default"/>
          <w:spacing w:val="28"/>
        </w:rPr>
        <w:t> </w:t>
      </w:r>
      <w:r>
        <w:rPr/>
        <w:t>年由李仲初、郭家满投资设立的有限责任</w:t>
      </w:r>
    </w:p>
    <w:p>
      <w:pPr>
        <w:pStyle w:val="BodyText"/>
        <w:spacing w:line="240" w:lineRule="auto" w:before="189"/>
        <w:ind w:left="153" w:right="0"/>
        <w:jc w:val="left"/>
      </w:pPr>
      <w:r>
        <w:rPr/>
        <w:t>公司，设立时的名称为北京中长石基网络系统工程技术有限公司，注册资本为人民币</w:t>
      </w:r>
      <w:r>
        <w:rPr>
          <w:spacing w:val="-68"/>
        </w:rPr>
        <w:t> </w:t>
      </w:r>
      <w:r>
        <w:rPr>
          <w:rFonts w:ascii="Times New Roman" w:hAnsi="Times New Roman" w:cs="Times New Roman" w:eastAsia="Times New Roman" w:hint="default"/>
        </w:rPr>
        <w:t>200</w:t>
      </w:r>
      <w:r>
        <w:rPr>
          <w:rFonts w:ascii="Times New Roman" w:hAnsi="Times New Roman" w:cs="Times New Roman" w:eastAsia="Times New Roman" w:hint="default"/>
          <w:spacing w:val="-15"/>
        </w:rPr>
        <w:t> </w:t>
      </w:r>
      <w:r>
        <w:rPr/>
        <w:t>万元，其中：李</w:t>
      </w:r>
    </w:p>
    <w:p>
      <w:pPr>
        <w:pStyle w:val="BodyText"/>
        <w:spacing w:line="396" w:lineRule="auto" w:before="189"/>
        <w:ind w:left="153" w:right="0"/>
        <w:jc w:val="left"/>
      </w:pPr>
      <w:r>
        <w:rPr/>
        <w:t>仲初出资</w:t>
      </w:r>
      <w:r>
        <w:rPr>
          <w:spacing w:val="-57"/>
        </w:rPr>
        <w:t> </w:t>
      </w:r>
      <w:r>
        <w:rPr>
          <w:rFonts w:ascii="Times New Roman" w:hAnsi="Times New Roman" w:cs="Times New Roman" w:eastAsia="Times New Roman" w:hint="default"/>
        </w:rPr>
        <w:t>160</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80%</w:t>
      </w:r>
      <w:r>
        <w:rPr/>
        <w:t>；郭家满出资</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spacing w:val="-4"/>
        </w:rPr>
        <w:t>20%</w:t>
      </w:r>
      <w:r>
        <w:rPr>
          <w:spacing w:val="-4"/>
        </w:rPr>
        <w:t>，于</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日在 北京市工商行政管理局登记注册。</w:t>
      </w:r>
    </w:p>
    <w:p>
      <w:pPr>
        <w:pStyle w:val="BodyText"/>
        <w:spacing w:line="240" w:lineRule="auto" w:before="68"/>
        <w:ind w:left="573"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月，经公司</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年度股东会决议，郭家满将其所持有公司</w:t>
      </w:r>
      <w:r>
        <w:rPr>
          <w:spacing w:val="-55"/>
        </w:rPr>
        <w:t> </w:t>
      </w:r>
      <w:r>
        <w:rPr>
          <w:rFonts w:ascii="Times New Roman" w:hAnsi="Times New Roman" w:cs="Times New Roman" w:eastAsia="Times New Roman" w:hint="default"/>
        </w:rPr>
        <w:t>20%</w:t>
      </w:r>
      <w:r>
        <w:rPr/>
        <w:t>的股权分别转让给李彩练、</w:t>
      </w:r>
    </w:p>
    <w:p>
      <w:pPr>
        <w:pStyle w:val="BodyText"/>
        <w:spacing w:line="240" w:lineRule="auto" w:before="189"/>
        <w:ind w:left="153" w:right="0"/>
        <w:jc w:val="left"/>
      </w:pPr>
      <w:r>
        <w:rPr>
          <w:spacing w:val="-7"/>
        </w:rPr>
        <w:t>焦梅荣、郭灵红和李殿坤，同时注册资本增加为</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spacing w:val="-14"/>
        </w:rPr>
        <w:t>万元，其中：李仲初出资</w:t>
      </w:r>
      <w:r>
        <w:rPr>
          <w:spacing w:val="-49"/>
        </w:rPr>
        <w:t> </w:t>
      </w:r>
      <w:r>
        <w:rPr>
          <w:rFonts w:ascii="Times New Roman" w:hAnsi="Times New Roman" w:cs="Times New Roman" w:eastAsia="Times New Roman" w:hint="default"/>
        </w:rPr>
        <w:t>400</w:t>
      </w:r>
      <w:r>
        <w:rPr>
          <w:rFonts w:ascii="Times New Roman" w:hAnsi="Times New Roman" w:cs="Times New Roman" w:eastAsia="Times New Roman" w:hint="default"/>
          <w:spacing w:val="4"/>
        </w:rPr>
        <w:t> </w:t>
      </w:r>
      <w:r>
        <w:rPr>
          <w:spacing w:val="-9"/>
        </w:rPr>
        <w:t>万元，占注册资本的</w:t>
      </w:r>
      <w:r>
        <w:rPr>
          <w:spacing w:val="-49"/>
        </w:rPr>
        <w:t> </w:t>
      </w:r>
      <w:r>
        <w:rPr>
          <w:rFonts w:ascii="Times New Roman" w:hAnsi="Times New Roman" w:cs="Times New Roman" w:eastAsia="Times New Roman" w:hint="default"/>
        </w:rPr>
        <w:t>80%</w:t>
      </w:r>
      <w:r>
        <w:rPr/>
        <w:t>；</w:t>
      </w:r>
    </w:p>
    <w:p>
      <w:pPr>
        <w:pStyle w:val="BodyText"/>
        <w:spacing w:line="396" w:lineRule="auto" w:before="189"/>
        <w:ind w:left="153" w:right="0"/>
        <w:jc w:val="left"/>
      </w:pPr>
      <w:r>
        <w:rPr/>
        <w:t>李彩练出资</w:t>
      </w:r>
      <w:r>
        <w:rPr>
          <w:spacing w:val="-49"/>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万元，占注册资本的</w:t>
      </w:r>
      <w:r>
        <w:rPr>
          <w:spacing w:val="-49"/>
        </w:rPr>
        <w:t> </w:t>
      </w:r>
      <w:r>
        <w:rPr>
          <w:rFonts w:ascii="Times New Roman" w:hAnsi="Times New Roman" w:cs="Times New Roman" w:eastAsia="Times New Roman" w:hint="default"/>
        </w:rPr>
        <w:t>8%</w:t>
      </w:r>
      <w:r>
        <w:rPr/>
        <w:t>；焦梅荣出资</w:t>
      </w:r>
      <w:r>
        <w:rPr>
          <w:spacing w:val="-49"/>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万元，占注册资本的</w:t>
      </w:r>
      <w:r>
        <w:rPr>
          <w:spacing w:val="-48"/>
        </w:rPr>
        <w:t> </w:t>
      </w:r>
      <w:r>
        <w:rPr>
          <w:rFonts w:ascii="Times New Roman" w:hAnsi="Times New Roman" w:cs="Times New Roman" w:eastAsia="Times New Roman" w:hint="default"/>
        </w:rPr>
        <w:t>7%</w:t>
      </w:r>
      <w:r>
        <w:rPr/>
        <w:t>；郭灵红出资</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 占注册资本的</w:t>
      </w:r>
      <w:r>
        <w:rPr>
          <w:spacing w:val="-55"/>
        </w:rPr>
        <w:t> </w:t>
      </w:r>
      <w:r>
        <w:rPr>
          <w:rFonts w:ascii="Times New Roman" w:hAnsi="Times New Roman" w:cs="Times New Roman" w:eastAsia="Times New Roman" w:hint="default"/>
        </w:rPr>
        <w:t>3%</w:t>
      </w:r>
      <w:r>
        <w:rPr/>
        <w:t>；李殿坤出资</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5"/>
        </w:rPr>
        <w:t> </w:t>
      </w:r>
      <w:r>
        <w:rPr>
          <w:rFonts w:ascii="Times New Roman" w:hAnsi="Times New Roman" w:cs="Times New Roman" w:eastAsia="Times New Roman" w:hint="default"/>
        </w:rPr>
        <w:t>2%</w:t>
      </w:r>
      <w:r>
        <w:rPr/>
        <w:t>。</w:t>
      </w:r>
    </w:p>
    <w:p>
      <w:pPr>
        <w:pStyle w:val="BodyText"/>
        <w:spacing w:line="240" w:lineRule="auto" w:before="38"/>
        <w:ind w:left="572"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月，经公司</w:t>
      </w:r>
      <w:r>
        <w:rPr>
          <w:spacing w:val="-49"/>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年度第一次临时股东大会决议，公司更名为北京中长石基信息技术有限公</w:t>
      </w:r>
    </w:p>
    <w:p>
      <w:pPr>
        <w:pStyle w:val="BodyText"/>
        <w:spacing w:line="396" w:lineRule="auto" w:before="189"/>
        <w:ind w:left="152" w:right="103"/>
        <w:jc w:val="left"/>
      </w:pPr>
      <w:r>
        <w:rPr>
          <w:spacing w:val="-3"/>
        </w:rPr>
        <w:t>司，同时引进新股东长春燃气股份有限公司，公司注册资本增加为</w:t>
      </w:r>
      <w:r>
        <w:rPr>
          <w:spacing w:val="-46"/>
        </w:rPr>
        <w:t> </w:t>
      </w:r>
      <w:r>
        <w:rPr>
          <w:rFonts w:ascii="Times New Roman" w:hAnsi="Times New Roman" w:cs="Times New Roman" w:eastAsia="Times New Roman" w:hint="default"/>
        </w:rPr>
        <w:t>625</w:t>
      </w:r>
      <w:r>
        <w:rPr>
          <w:rFonts w:ascii="Times New Roman" w:hAnsi="Times New Roman" w:cs="Times New Roman" w:eastAsia="Times New Roman" w:hint="default"/>
          <w:spacing w:val="5"/>
        </w:rPr>
        <w:t> </w:t>
      </w:r>
      <w:r>
        <w:rPr>
          <w:spacing w:val="-7"/>
        </w:rPr>
        <w:t>万元，其中：李仲初出资</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5"/>
        </w:rPr>
        <w:t> </w:t>
      </w:r>
      <w:r>
        <w:rPr/>
        <w:t>万元，</w:t>
      </w:r>
      <w:r>
        <w:rPr>
          <w:spacing w:val="-103"/>
        </w:rPr>
        <w:t> </w:t>
      </w:r>
      <w:r>
        <w:rPr/>
        <w:t>占注册资本的</w:t>
      </w:r>
      <w:r>
        <w:rPr>
          <w:spacing w:val="-46"/>
        </w:rPr>
        <w:t> </w:t>
      </w:r>
      <w:r>
        <w:rPr>
          <w:rFonts w:ascii="Times New Roman" w:hAnsi="Times New Roman" w:cs="Times New Roman" w:eastAsia="Times New Roman" w:hint="default"/>
        </w:rPr>
        <w:t>64%</w:t>
      </w:r>
      <w:r>
        <w:rPr/>
        <w:t>；长春燃气股份有限公司出资</w:t>
      </w:r>
      <w:r>
        <w:rPr>
          <w:spacing w:val="-46"/>
        </w:rPr>
        <w:t> </w:t>
      </w:r>
      <w:r>
        <w:rPr>
          <w:rFonts w:ascii="Times New Roman" w:hAnsi="Times New Roman" w:cs="Times New Roman" w:eastAsia="Times New Roman" w:hint="default"/>
        </w:rPr>
        <w:t>125</w:t>
      </w:r>
      <w:r>
        <w:rPr>
          <w:rFonts w:ascii="Times New Roman" w:hAnsi="Times New Roman" w:cs="Times New Roman" w:eastAsia="Times New Roman" w:hint="default"/>
          <w:spacing w:val="7"/>
        </w:rPr>
        <w:t> </w:t>
      </w:r>
      <w:r>
        <w:rPr/>
        <w:t>万元，占注册资本</w:t>
      </w:r>
      <w:r>
        <w:rPr>
          <w:spacing w:val="-46"/>
        </w:rPr>
        <w:t> </w:t>
      </w:r>
      <w:r>
        <w:rPr>
          <w:rFonts w:ascii="Times New Roman" w:hAnsi="Times New Roman" w:cs="Times New Roman" w:eastAsia="Times New Roman" w:hint="default"/>
        </w:rPr>
        <w:t>20%</w:t>
      </w:r>
      <w:r>
        <w:rPr/>
        <w:t>；李彩练出资</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t>万元，占注 册资本的</w:t>
      </w:r>
      <w:r>
        <w:rPr>
          <w:spacing w:val="-57"/>
        </w:rPr>
        <w:t> </w:t>
      </w:r>
      <w:r>
        <w:rPr>
          <w:rFonts w:ascii="Times New Roman" w:hAnsi="Times New Roman" w:cs="Times New Roman" w:eastAsia="Times New Roman" w:hint="default"/>
        </w:rPr>
        <w:t>6.4%</w:t>
      </w:r>
      <w:r>
        <w:rPr/>
        <w:t>；焦梅荣出资</w:t>
      </w:r>
      <w:r>
        <w:rPr>
          <w:spacing w:val="-57"/>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5.6%</w:t>
      </w:r>
      <w:r>
        <w:rPr/>
        <w:t>；郭灵红出资</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万元，占注册资本的</w:t>
      </w:r>
      <w:r>
        <w:rPr>
          <w:spacing w:val="-57"/>
        </w:rPr>
        <w:t> </w:t>
      </w:r>
      <w:r>
        <w:rPr>
          <w:rFonts w:ascii="Times New Roman" w:hAnsi="Times New Roman" w:cs="Times New Roman" w:eastAsia="Times New Roman" w:hint="default"/>
        </w:rPr>
        <w:t>2.4%</w:t>
      </w:r>
      <w:r>
        <w:rPr/>
        <w:t>；李</w:t>
      </w:r>
      <w:r>
        <w:rPr>
          <w:spacing w:val="-4"/>
        </w:rPr>
        <w:t> </w:t>
      </w:r>
      <w:r>
        <w:rPr/>
        <w:t>殿坤出资</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万元，占注册资本的</w:t>
      </w:r>
      <w:r>
        <w:rPr>
          <w:spacing w:val="-54"/>
        </w:rPr>
        <w:t> </w:t>
      </w:r>
      <w:r>
        <w:rPr>
          <w:rFonts w:ascii="Times New Roman" w:hAnsi="Times New Roman" w:cs="Times New Roman" w:eastAsia="Times New Roman" w:hint="default"/>
        </w:rPr>
        <w:t>1.6%</w:t>
      </w:r>
      <w:r>
        <w:rPr/>
        <w:t>。</w:t>
      </w:r>
    </w:p>
    <w:p>
      <w:pPr>
        <w:pStyle w:val="BodyText"/>
        <w:spacing w:line="396" w:lineRule="auto" w:before="38"/>
        <w:ind w:left="152" w:right="206" w:firstLine="42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月，经公司</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年度第二次临时股东大会决议，李彩练将其所持有公司</w:t>
      </w:r>
      <w:r>
        <w:rPr>
          <w:spacing w:val="-57"/>
        </w:rPr>
        <w:t> </w:t>
      </w:r>
      <w:r>
        <w:rPr>
          <w:rFonts w:ascii="Times New Roman" w:hAnsi="Times New Roman" w:cs="Times New Roman" w:eastAsia="Times New Roman" w:hint="default"/>
        </w:rPr>
        <w:t>6.4%</w:t>
      </w:r>
      <w:r>
        <w:rPr/>
        <w:t>的股权全部转 让给北京业勤投资顾问有限公司，郭灵红将其所持有公司</w:t>
      </w:r>
      <w:r>
        <w:rPr>
          <w:spacing w:val="-57"/>
        </w:rPr>
        <w:t> </w:t>
      </w:r>
      <w:r>
        <w:rPr>
          <w:rFonts w:ascii="Times New Roman" w:hAnsi="Times New Roman" w:cs="Times New Roman" w:eastAsia="Times New Roman" w:hint="default"/>
        </w:rPr>
        <w:t>2.4%</w:t>
      </w:r>
      <w:r>
        <w:rPr/>
        <w:t>的股权全部转让给陈国强。</w:t>
      </w:r>
    </w:p>
    <w:p>
      <w:pPr>
        <w:pStyle w:val="BodyText"/>
        <w:spacing w:line="240" w:lineRule="auto" w:before="38"/>
        <w:ind w:left="572"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8"/>
        </w:rPr>
        <w:t>月，经公司</w:t>
      </w:r>
      <w:r>
        <w:rPr>
          <w:spacing w:val="-6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年度第四次临时股东大会决议，并经北京市人民政府经济体制改革办公室</w:t>
      </w:r>
    </w:p>
    <w:p>
      <w:pPr>
        <w:pStyle w:val="BodyText"/>
        <w:spacing w:line="396" w:lineRule="auto" w:before="189"/>
        <w:ind w:left="152" w:right="210"/>
        <w:jc w:val="both"/>
      </w:pP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 </w:t>
      </w:r>
      <w:r>
        <w:rPr/>
        <w:t>号</w:t>
      </w:r>
      <w:r>
        <w:rPr>
          <w:rFonts w:ascii="Times New Roman" w:hAnsi="Times New Roman" w:cs="Times New Roman" w:eastAsia="Times New Roman" w:hint="default"/>
        </w:rPr>
        <w:t>”</w:t>
      </w:r>
      <w:r>
        <w:rPr/>
        <w:t>文批准，公司由有限责任公司整体变更为股份有限公司，以 </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10 </w:t>
      </w:r>
      <w:r>
        <w:rPr/>
        <w:t>月</w:t>
      </w:r>
      <w:r>
        <w:rPr>
          <w:spacing w:val="10"/>
        </w:rPr>
        <w:t> </w:t>
      </w:r>
      <w:r>
        <w:rPr>
          <w:rFonts w:ascii="Times New Roman" w:hAnsi="Times New Roman" w:cs="Times New Roman" w:eastAsia="Times New Roman" w:hint="default"/>
        </w:rPr>
        <w:t>31 </w:t>
      </w:r>
      <w:r>
        <w:rPr/>
        <w:t>日经审计后净资产，按 </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t>的折股比率，原有股东持股比例不变，折为股本 </w:t>
      </w:r>
      <w:r>
        <w:rPr>
          <w:rFonts w:ascii="Times New Roman" w:hAnsi="Times New Roman" w:cs="Times New Roman" w:eastAsia="Times New Roman" w:hint="default"/>
        </w:rPr>
        <w:t>3,300.00</w:t>
      </w:r>
      <w:r>
        <w:rPr>
          <w:rFonts w:ascii="Times New Roman" w:hAnsi="Times New Roman" w:cs="Times New Roman" w:eastAsia="Times New Roman" w:hint="default"/>
          <w:spacing w:val="-28"/>
        </w:rPr>
        <w:t> </w:t>
      </w:r>
      <w:r>
        <w:rPr/>
        <w:t>万股。其中：李仲 初</w:t>
      </w:r>
      <w:r>
        <w:rPr>
          <w:spacing w:val="-56"/>
        </w:rPr>
        <w:t> </w:t>
      </w:r>
      <w:r>
        <w:rPr>
          <w:rFonts w:ascii="Times New Roman" w:hAnsi="Times New Roman" w:cs="Times New Roman" w:eastAsia="Times New Roman" w:hint="default"/>
        </w:rPr>
        <w:t>2,112</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64%</w:t>
      </w:r>
      <w:r>
        <w:rPr/>
        <w:t>；长春燃气股份有限公司</w:t>
      </w:r>
      <w:r>
        <w:rPr>
          <w:spacing w:val="-56"/>
        </w:rPr>
        <w:t> </w:t>
      </w:r>
      <w:r>
        <w:rPr>
          <w:rFonts w:ascii="Times New Roman" w:hAnsi="Times New Roman" w:cs="Times New Roman" w:eastAsia="Times New Roman" w:hint="default"/>
        </w:rPr>
        <w:t>660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20%</w:t>
      </w:r>
      <w:r>
        <w:rPr/>
        <w:t>；北京业勤投资顾问 有限公司</w:t>
      </w:r>
      <w:r>
        <w:rPr>
          <w:spacing w:val="-56"/>
        </w:rPr>
        <w:t> </w:t>
      </w:r>
      <w:r>
        <w:rPr>
          <w:rFonts w:ascii="Times New Roman" w:hAnsi="Times New Roman" w:cs="Times New Roman" w:eastAsia="Times New Roman" w:hint="default"/>
        </w:rPr>
        <w:t>211.20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6.4%</w:t>
      </w:r>
      <w:r>
        <w:rPr/>
        <w:t>；焦梅荣</w:t>
      </w:r>
      <w:r>
        <w:rPr>
          <w:spacing w:val="-56"/>
        </w:rPr>
        <w:t> </w:t>
      </w:r>
      <w:r>
        <w:rPr>
          <w:rFonts w:ascii="Times New Roman" w:hAnsi="Times New Roman" w:cs="Times New Roman" w:eastAsia="Times New Roman" w:hint="default"/>
        </w:rPr>
        <w:t>184.80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5.6%</w:t>
      </w:r>
      <w:r>
        <w:rPr/>
        <w:t>；陈国强</w:t>
      </w:r>
      <w:r>
        <w:rPr>
          <w:spacing w:val="-5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3"/>
        </w:rPr>
        <w:t> </w:t>
      </w:r>
      <w:r>
        <w:rPr/>
        <w:t>万股，占 总股本的</w:t>
      </w:r>
      <w:r>
        <w:rPr>
          <w:spacing w:val="-56"/>
        </w:rPr>
        <w:t> </w:t>
      </w:r>
      <w:r>
        <w:rPr>
          <w:rFonts w:ascii="Times New Roman" w:hAnsi="Times New Roman" w:cs="Times New Roman" w:eastAsia="Times New Roman" w:hint="default"/>
        </w:rPr>
        <w:t>2.4%</w:t>
      </w:r>
      <w:r>
        <w:rPr/>
        <w:t>；李殿坤</w:t>
      </w:r>
      <w:r>
        <w:rPr>
          <w:spacing w:val="-56"/>
        </w:rPr>
        <w:t> </w:t>
      </w:r>
      <w:r>
        <w:rPr>
          <w:rFonts w:ascii="Times New Roman" w:hAnsi="Times New Roman" w:cs="Times New Roman" w:eastAsia="Times New Roman" w:hint="default"/>
        </w:rPr>
        <w:t>52.80</w:t>
      </w:r>
      <w:r>
        <w:rPr>
          <w:rFonts w:ascii="Times New Roman" w:hAnsi="Times New Roman" w:cs="Times New Roman" w:eastAsia="Times New Roman" w:hint="default"/>
          <w:spacing w:val="-2"/>
        </w:rPr>
        <w:t> </w:t>
      </w:r>
      <w:r>
        <w:rPr/>
        <w:t>万股，占总股本的</w:t>
      </w:r>
      <w:r>
        <w:rPr>
          <w:spacing w:val="-56"/>
        </w:rPr>
        <w:t> </w:t>
      </w:r>
      <w:r>
        <w:rPr>
          <w:rFonts w:ascii="Times New Roman" w:hAnsi="Times New Roman" w:cs="Times New Roman" w:eastAsia="Times New Roman" w:hint="default"/>
        </w:rPr>
        <w:t>1.6%</w:t>
      </w:r>
      <w:r>
        <w:rPr/>
        <w:t>。</w:t>
      </w:r>
    </w:p>
    <w:p>
      <w:pPr>
        <w:pStyle w:val="BodyText"/>
        <w:spacing w:line="240" w:lineRule="auto" w:before="18"/>
        <w:ind w:left="572" w:right="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6"/>
        </w:rPr>
        <w:t>月，经公司</w:t>
      </w:r>
      <w:r>
        <w:rPr>
          <w:spacing w:val="-53"/>
        </w:rPr>
        <w:t> </w:t>
      </w:r>
      <w:r>
        <w:rPr>
          <w:rFonts w:ascii="Times New Roman" w:hAnsi="Times New Roman" w:cs="Times New Roman" w:eastAsia="Times New Roman" w:hint="default"/>
        </w:rPr>
        <w:t>2003 </w:t>
      </w:r>
      <w:r>
        <w:rPr>
          <w:spacing w:val="-3"/>
        </w:rPr>
        <w:t>年度股东大会决议，以</w:t>
      </w:r>
      <w:r>
        <w:rPr>
          <w:spacing w:val="-53"/>
        </w:rPr>
        <w:t> </w:t>
      </w:r>
      <w:r>
        <w:rPr>
          <w:rFonts w:ascii="Times New Roman" w:hAnsi="Times New Roman" w:cs="Times New Roman" w:eastAsia="Times New Roman" w:hint="default"/>
        </w:rPr>
        <w:t>2003 </w:t>
      </w:r>
      <w:r>
        <w:rPr/>
        <w:t>年末未分配利润中的</w:t>
      </w:r>
      <w:r>
        <w:rPr>
          <w:spacing w:val="-53"/>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spacing w:val="-4"/>
        </w:rPr>
        <w:t>万元转增股本，转增</w:t>
      </w:r>
    </w:p>
    <w:p>
      <w:pPr>
        <w:pStyle w:val="BodyText"/>
        <w:spacing w:line="240" w:lineRule="auto" w:before="170"/>
        <w:ind w:left="152" w:right="0"/>
        <w:jc w:val="left"/>
        <w:rPr>
          <w:rFonts w:ascii="Times New Roman" w:hAnsi="Times New Roman" w:cs="Times New Roman" w:eastAsia="Times New Roman" w:hint="default"/>
        </w:rPr>
      </w:pPr>
      <w:r>
        <w:rPr/>
        <w:t>后公司总股本增至</w:t>
      </w:r>
      <w:r>
        <w:rPr>
          <w:spacing w:val="-34"/>
        </w:rPr>
        <w:t> </w:t>
      </w:r>
      <w:r>
        <w:rPr>
          <w:rFonts w:ascii="Times New Roman" w:hAnsi="Times New Roman" w:cs="Times New Roman" w:eastAsia="Times New Roman" w:hint="default"/>
        </w:rPr>
        <w:t>4,200</w:t>
      </w:r>
      <w:r>
        <w:rPr>
          <w:rFonts w:ascii="Times New Roman" w:hAnsi="Times New Roman" w:cs="Times New Roman" w:eastAsia="Times New Roman" w:hint="default"/>
          <w:spacing w:val="19"/>
        </w:rPr>
        <w:t> </w:t>
      </w:r>
      <w:r>
        <w:rPr/>
        <w:t>万元，其中：李仲初</w:t>
      </w:r>
      <w:r>
        <w:rPr>
          <w:spacing w:val="-34"/>
        </w:rPr>
        <w:t> </w:t>
      </w:r>
      <w:r>
        <w:rPr>
          <w:rFonts w:ascii="Times New Roman" w:hAnsi="Times New Roman" w:cs="Times New Roman" w:eastAsia="Times New Roman" w:hint="default"/>
        </w:rPr>
        <w:t>2,688</w:t>
      </w:r>
      <w:r>
        <w:rPr>
          <w:rFonts w:ascii="Times New Roman" w:hAnsi="Times New Roman" w:cs="Times New Roman" w:eastAsia="Times New Roman" w:hint="default"/>
          <w:spacing w:val="19"/>
        </w:rPr>
        <w:t> </w:t>
      </w:r>
      <w:r>
        <w:rPr/>
        <w:t>万股，占总股本的</w:t>
      </w:r>
      <w:r>
        <w:rPr>
          <w:spacing w:val="-34"/>
        </w:rPr>
        <w:t> </w:t>
      </w:r>
      <w:r>
        <w:rPr>
          <w:rFonts w:ascii="Times New Roman" w:hAnsi="Times New Roman" w:cs="Times New Roman" w:eastAsia="Times New Roman" w:hint="default"/>
        </w:rPr>
        <w:t>64%</w:t>
      </w:r>
      <w:r>
        <w:rPr/>
        <w:t>；长春燃气股份有限公司</w:t>
      </w:r>
      <w:r>
        <w:rPr>
          <w:spacing w:val="-34"/>
        </w:rPr>
        <w:t> </w:t>
      </w:r>
      <w:r>
        <w:rPr>
          <w:rFonts w:ascii="Times New Roman" w:hAnsi="Times New Roman" w:cs="Times New Roman" w:eastAsia="Times New Roman" w:hint="default"/>
        </w:rPr>
        <w:t>840</w:t>
      </w:r>
    </w:p>
    <w:p>
      <w:pPr>
        <w:spacing w:after="0" w:line="240" w:lineRule="auto"/>
        <w:jc w:val="left"/>
        <w:rPr>
          <w:rFonts w:ascii="Times New Roman" w:hAnsi="Times New Roman" w:cs="Times New Roman" w:eastAsia="Times New Roman" w:hint="default"/>
        </w:rPr>
        <w:sectPr>
          <w:pgSz w:w="11910" w:h="16840"/>
          <w:pgMar w:header="851" w:footer="982" w:top="1200" w:bottom="1180" w:left="980" w:right="920"/>
        </w:sectPr>
      </w:pPr>
    </w:p>
    <w:p>
      <w:pPr>
        <w:spacing w:line="240" w:lineRule="auto" w:before="6"/>
        <w:rPr>
          <w:rFonts w:ascii="Times New Roman" w:hAnsi="Times New Roman" w:cs="Times New Roman" w:eastAsia="Times New Roman" w:hint="default"/>
          <w:sz w:val="4"/>
          <w:szCs w:val="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9"/>
          <w:szCs w:val="9"/>
        </w:rPr>
      </w:pPr>
    </w:p>
    <w:p>
      <w:pPr>
        <w:pStyle w:val="BodyText"/>
        <w:spacing w:line="379" w:lineRule="auto" w:before="35"/>
        <w:ind w:left="153" w:right="102"/>
        <w:jc w:val="left"/>
      </w:pPr>
      <w:r>
        <w:rPr>
          <w:spacing w:val="-4"/>
        </w:rPr>
        <w:t>万股，占总股本的</w:t>
      </w:r>
      <w:r>
        <w:rPr>
          <w:spacing w:val="-57"/>
        </w:rPr>
        <w:t> </w:t>
      </w:r>
      <w:r>
        <w:rPr>
          <w:rFonts w:ascii="Times New Roman" w:hAnsi="Times New Roman" w:cs="Times New Roman" w:eastAsia="Times New Roman" w:hint="default"/>
        </w:rPr>
        <w:t>20%</w:t>
      </w:r>
      <w:r>
        <w:rPr/>
        <w:t>；北京业勤投资顾问有限公司</w:t>
      </w:r>
      <w:r>
        <w:rPr>
          <w:spacing w:val="-57"/>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5"/>
        </w:rPr>
        <w:t> </w:t>
      </w:r>
      <w:r>
        <w:rPr>
          <w:spacing w:val="-4"/>
        </w:rPr>
        <w:t>万股，占总股本的</w:t>
      </w:r>
      <w:r>
        <w:rPr>
          <w:spacing w:val="-57"/>
        </w:rPr>
        <w:t> </w:t>
      </w:r>
      <w:r>
        <w:rPr>
          <w:rFonts w:ascii="Times New Roman" w:hAnsi="Times New Roman" w:cs="Times New Roman" w:eastAsia="Times New Roman" w:hint="default"/>
          <w:spacing w:val="-4"/>
        </w:rPr>
        <w:t>6.4%</w:t>
      </w:r>
      <w:r>
        <w:rPr>
          <w:spacing w:val="-4"/>
        </w:rPr>
        <w:t>；焦梅荣</w:t>
      </w:r>
      <w:r>
        <w:rPr>
          <w:spacing w:val="-57"/>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4"/>
        </w:rPr>
        <w:t> </w:t>
      </w:r>
      <w:r>
        <w:rPr/>
        <w:t>万股，</w:t>
      </w:r>
      <w:r>
        <w:rPr>
          <w:spacing w:val="1"/>
        </w:rPr>
        <w:t> </w:t>
      </w:r>
      <w:r>
        <w:rPr/>
        <w:t>占总股本的</w:t>
      </w:r>
      <w:r>
        <w:rPr>
          <w:spacing w:val="-55"/>
        </w:rPr>
        <w:t> </w:t>
      </w:r>
      <w:r>
        <w:rPr>
          <w:rFonts w:ascii="Times New Roman" w:hAnsi="Times New Roman" w:cs="Times New Roman" w:eastAsia="Times New Roman" w:hint="default"/>
        </w:rPr>
        <w:t>5.6%</w:t>
      </w:r>
      <w:r>
        <w:rPr/>
        <w:t>；陈国强</w:t>
      </w:r>
      <w:r>
        <w:rPr>
          <w:spacing w:val="-5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2"/>
        </w:rPr>
        <w:t> </w:t>
      </w:r>
      <w:r>
        <w:rPr/>
        <w:t>万股，占总股本的</w:t>
      </w:r>
      <w:r>
        <w:rPr>
          <w:spacing w:val="-55"/>
        </w:rPr>
        <w:t> </w:t>
      </w:r>
      <w:r>
        <w:rPr>
          <w:rFonts w:ascii="Times New Roman" w:hAnsi="Times New Roman" w:cs="Times New Roman" w:eastAsia="Times New Roman" w:hint="default"/>
        </w:rPr>
        <w:t>2.4%</w:t>
      </w:r>
      <w:r>
        <w:rPr/>
        <w:t>；李殿坤</w:t>
      </w:r>
      <w:r>
        <w:rPr>
          <w:spacing w:val="-55"/>
        </w:rPr>
        <w:t> </w:t>
      </w:r>
      <w:r>
        <w:rPr>
          <w:rFonts w:ascii="Times New Roman" w:hAnsi="Times New Roman" w:cs="Times New Roman" w:eastAsia="Times New Roman" w:hint="default"/>
        </w:rPr>
        <w:t>67.20</w:t>
      </w:r>
      <w:r>
        <w:rPr>
          <w:rFonts w:ascii="Times New Roman" w:hAnsi="Times New Roman" w:cs="Times New Roman" w:eastAsia="Times New Roman" w:hint="default"/>
          <w:spacing w:val="-2"/>
        </w:rPr>
        <w:t> </w:t>
      </w:r>
      <w:r>
        <w:rPr/>
        <w:t>万股，占总股本的</w:t>
      </w:r>
      <w:r>
        <w:rPr>
          <w:spacing w:val="-55"/>
        </w:rPr>
        <w:t> </w:t>
      </w:r>
      <w:r>
        <w:rPr>
          <w:rFonts w:ascii="Times New Roman" w:hAnsi="Times New Roman" w:cs="Times New Roman" w:eastAsia="Times New Roman" w:hint="default"/>
        </w:rPr>
        <w:t>1.6%</w:t>
      </w:r>
      <w:r>
        <w:rPr/>
        <w:t>。</w:t>
      </w:r>
    </w:p>
    <w:p>
      <w:pPr>
        <w:pStyle w:val="BodyText"/>
        <w:spacing w:line="379" w:lineRule="auto" w:before="35"/>
        <w:ind w:right="197" w:firstLine="420"/>
        <w:jc w:val="left"/>
      </w:pP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 </w:t>
      </w:r>
      <w:r>
        <w:rPr/>
        <w:t>月经公司股东大会决议，长春燃气股份有限公司将其所持有公司</w:t>
      </w:r>
      <w:r>
        <w:rPr>
          <w:spacing w:val="-27"/>
        </w:rPr>
        <w:t> </w:t>
      </w:r>
      <w:r>
        <w:rPr>
          <w:rFonts w:ascii="Times New Roman" w:hAnsi="Times New Roman" w:cs="Times New Roman" w:eastAsia="Times New Roman" w:hint="default"/>
        </w:rPr>
        <w:t>20</w:t>
      </w:r>
      <w:r>
        <w:rPr/>
        <w:t>％的股权全部转让给李 仲初。</w:t>
      </w:r>
    </w:p>
    <w:p>
      <w:pPr>
        <w:pStyle w:val="BodyText"/>
        <w:spacing w:line="240" w:lineRule="auto" w:before="63"/>
        <w:ind w:left="574"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14"/>
        </w:rPr>
        <w:t> </w:t>
      </w:r>
      <w:r>
        <w:rPr/>
        <w:t>号文核准，同意公司向社会公开发行</w:t>
      </w:r>
    </w:p>
    <w:p>
      <w:pPr>
        <w:pStyle w:val="BodyText"/>
        <w:spacing w:line="379" w:lineRule="auto" w:before="170"/>
        <w:ind w:left="153" w:right="187"/>
        <w:jc w:val="both"/>
      </w:pPr>
      <w:r>
        <w:rPr/>
        <w:t>人民币普通股股票</w:t>
      </w:r>
      <w:r>
        <w:rPr>
          <w:spacing w:val="-55"/>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2"/>
        </w:rPr>
        <w:t> </w:t>
      </w:r>
      <w:r>
        <w:rPr/>
        <w:t>万股，变更后的公司注册资本为</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万元，其中：李仲初</w:t>
      </w:r>
      <w:r>
        <w:rPr>
          <w:spacing w:val="-55"/>
        </w:rPr>
        <w:t> </w:t>
      </w:r>
      <w:r>
        <w:rPr>
          <w:rFonts w:ascii="Times New Roman" w:hAnsi="Times New Roman" w:cs="Times New Roman" w:eastAsia="Times New Roman" w:hint="default"/>
        </w:rPr>
        <w:t>3,528.00</w:t>
      </w:r>
      <w:r>
        <w:rPr>
          <w:rFonts w:ascii="Times New Roman" w:hAnsi="Times New Roman" w:cs="Times New Roman" w:eastAsia="Times New Roman" w:hint="default"/>
          <w:spacing w:val="-2"/>
        </w:rPr>
        <w:t> </w:t>
      </w:r>
      <w:r>
        <w:rPr/>
        <w:t>万股， 占总股本的</w:t>
      </w:r>
      <w:r>
        <w:rPr>
          <w:spacing w:val="-47"/>
        </w:rPr>
        <w:t> </w:t>
      </w:r>
      <w:r>
        <w:rPr>
          <w:rFonts w:ascii="Times New Roman" w:hAnsi="Times New Roman" w:cs="Times New Roman" w:eastAsia="Times New Roman" w:hint="default"/>
        </w:rPr>
        <w:t>63.00%</w:t>
      </w:r>
      <w:r>
        <w:rPr/>
        <w:t>；北京业勤投资顾问有限公司</w:t>
      </w:r>
      <w:r>
        <w:rPr>
          <w:spacing w:val="-47"/>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6"/>
        </w:rPr>
        <w:t> </w:t>
      </w:r>
      <w:r>
        <w:rPr/>
        <w:t>万股，占总股本的</w:t>
      </w:r>
      <w:r>
        <w:rPr>
          <w:spacing w:val="-47"/>
        </w:rPr>
        <w:t> </w:t>
      </w:r>
      <w:r>
        <w:rPr>
          <w:rFonts w:ascii="Times New Roman" w:hAnsi="Times New Roman" w:cs="Times New Roman" w:eastAsia="Times New Roman" w:hint="default"/>
        </w:rPr>
        <w:t>4.80%</w:t>
      </w:r>
      <w:r>
        <w:rPr/>
        <w:t>；焦梅荣</w:t>
      </w:r>
      <w:r>
        <w:rPr>
          <w:spacing w:val="-48"/>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6"/>
        </w:rPr>
        <w:t> </w:t>
      </w:r>
      <w:r>
        <w:rPr/>
        <w:t>万股， 占总股本的</w:t>
      </w:r>
      <w:r>
        <w:rPr>
          <w:spacing w:val="-56"/>
        </w:rPr>
        <w:t> </w:t>
      </w:r>
      <w:r>
        <w:rPr>
          <w:rFonts w:ascii="Times New Roman" w:hAnsi="Times New Roman" w:cs="Times New Roman" w:eastAsia="Times New Roman" w:hint="default"/>
          <w:spacing w:val="-3"/>
        </w:rPr>
        <w:t>4.20%</w:t>
      </w:r>
      <w:r>
        <w:rPr>
          <w:spacing w:val="-3"/>
        </w:rPr>
        <w:t>；陈国强</w:t>
      </w:r>
      <w:r>
        <w:rPr>
          <w:spacing w:val="-5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3"/>
        </w:rPr>
        <w:t> </w:t>
      </w:r>
      <w:r>
        <w:rPr>
          <w:spacing w:val="-3"/>
        </w:rPr>
        <w:t>万股，占总股本的</w:t>
      </w:r>
      <w:r>
        <w:rPr>
          <w:spacing w:val="-56"/>
        </w:rPr>
        <w:t> </w:t>
      </w:r>
      <w:r>
        <w:rPr>
          <w:rFonts w:ascii="Times New Roman" w:hAnsi="Times New Roman" w:cs="Times New Roman" w:eastAsia="Times New Roman" w:hint="default"/>
        </w:rPr>
        <w:t>1.80%</w:t>
      </w:r>
      <w:r>
        <w:rPr/>
        <w:t>；李殿坤</w:t>
      </w:r>
      <w:r>
        <w:rPr>
          <w:spacing w:val="-56"/>
        </w:rPr>
        <w:t> </w:t>
      </w:r>
      <w:r>
        <w:rPr>
          <w:rFonts w:ascii="Times New Roman" w:hAnsi="Times New Roman" w:cs="Times New Roman" w:eastAsia="Times New Roman" w:hint="default"/>
        </w:rPr>
        <w:t>67.20</w:t>
      </w:r>
      <w:r>
        <w:rPr>
          <w:rFonts w:ascii="Times New Roman" w:hAnsi="Times New Roman" w:cs="Times New Roman" w:eastAsia="Times New Roman" w:hint="default"/>
          <w:spacing w:val="-4"/>
        </w:rPr>
        <w:t> </w:t>
      </w:r>
      <w:r>
        <w:rPr/>
        <w:t>万股</w:t>
      </w:r>
      <w:r>
        <w:rPr>
          <w:rFonts w:ascii="Times New Roman" w:hAnsi="Times New Roman" w:cs="Times New Roman" w:eastAsia="Times New Roman" w:hint="default"/>
        </w:rPr>
        <w:t>,</w:t>
      </w:r>
      <w:r>
        <w:rPr/>
        <w:t>，占总股本的</w:t>
      </w:r>
      <w:r>
        <w:rPr>
          <w:spacing w:val="-56"/>
        </w:rPr>
        <w:t> </w:t>
      </w:r>
      <w:r>
        <w:rPr>
          <w:rFonts w:ascii="Times New Roman" w:hAnsi="Times New Roman" w:cs="Times New Roman" w:eastAsia="Times New Roman" w:hint="default"/>
          <w:spacing w:val="-3"/>
        </w:rPr>
        <w:t>1.2%</w:t>
      </w:r>
      <w:r>
        <w:rPr>
          <w:spacing w:val="-3"/>
        </w:rPr>
        <w:t>；社会</w:t>
      </w:r>
      <w:r>
        <w:rPr/>
        <w:t> 公众股</w:t>
      </w:r>
      <w:r>
        <w:rPr>
          <w:spacing w:val="-56"/>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25.00%</w:t>
      </w:r>
      <w:r>
        <w:rPr/>
        <w:t>。</w:t>
      </w:r>
    </w:p>
    <w:p>
      <w:pPr>
        <w:pStyle w:val="BodyText"/>
        <w:spacing w:line="240" w:lineRule="auto" w:before="34"/>
        <w:ind w:left="57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月，根据公司股东会决议和修改后章程的规定，由资本公积转增股本人民币</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w:t>
      </w:r>
    </w:p>
    <w:p>
      <w:pPr>
        <w:pStyle w:val="BodyText"/>
        <w:spacing w:line="240" w:lineRule="auto" w:before="169"/>
        <w:ind w:left="153" w:right="0"/>
        <w:jc w:val="both"/>
      </w:pPr>
      <w:r>
        <w:rPr/>
        <w:t>变更后的公司注册资本为人民币普通股</w:t>
      </w:r>
      <w:r>
        <w:rPr>
          <w:spacing w:val="-44"/>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9"/>
        </w:rPr>
        <w:t> </w:t>
      </w:r>
      <w:r>
        <w:rPr/>
        <w:t>万元。公司于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日完成了工商变更登记，</w:t>
      </w:r>
    </w:p>
    <w:p>
      <w:pPr>
        <w:pStyle w:val="BodyText"/>
        <w:spacing w:line="240" w:lineRule="auto" w:before="170"/>
        <w:ind w:right="0"/>
        <w:jc w:val="both"/>
      </w:pPr>
      <w:r>
        <w:rPr/>
        <w:t>领取了北京市工商行政管理局颁发的</w:t>
      </w:r>
      <w:r>
        <w:rPr>
          <w:spacing w:val="-61"/>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8"/>
        </w:rPr>
        <w:t> </w:t>
      </w:r>
      <w:r>
        <w:rPr/>
        <w:t>号企业法人营业执照。</w:t>
      </w:r>
    </w:p>
    <w:p>
      <w:pPr>
        <w:pStyle w:val="BodyText"/>
        <w:spacing w:line="240" w:lineRule="auto" w:before="169"/>
        <w:ind w:left="574"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月，根据公司股东会决议和修改后章程的规定，由资本公积转增股本人民币</w:t>
      </w:r>
      <w:r>
        <w:rPr>
          <w:spacing w:val="-51"/>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3"/>
        </w:rPr>
        <w:t> </w:t>
      </w:r>
      <w:r>
        <w:rPr/>
        <w:t>万元，</w:t>
      </w:r>
    </w:p>
    <w:p>
      <w:pPr>
        <w:pStyle w:val="BodyText"/>
        <w:spacing w:line="240" w:lineRule="auto" w:before="169"/>
        <w:ind w:left="153" w:right="0"/>
        <w:jc w:val="both"/>
      </w:pPr>
      <w:r>
        <w:rPr/>
        <w:t>变更后的公司注册资本为人民币普通股</w:t>
      </w:r>
      <w:r>
        <w:rPr>
          <w:spacing w:val="-55"/>
        </w:rPr>
        <w:t> </w:t>
      </w:r>
      <w:r>
        <w:rPr>
          <w:rFonts w:ascii="Times New Roman" w:hAnsi="Times New Roman" w:cs="Times New Roman" w:eastAsia="Times New Roman" w:hint="default"/>
        </w:rPr>
        <w:t>22,400.00</w:t>
      </w:r>
      <w:r>
        <w:rPr>
          <w:rFonts w:ascii="Times New Roman" w:hAnsi="Times New Roman" w:cs="Times New Roman" w:eastAsia="Times New Roman" w:hint="default"/>
          <w:spacing w:val="-2"/>
        </w:rPr>
        <w:t> </w:t>
      </w:r>
      <w:r>
        <w:rPr>
          <w:spacing w:val="-3"/>
        </w:rPr>
        <w:t>万元。公司于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日完成了工商变更登记，领</w:t>
      </w:r>
    </w:p>
    <w:p>
      <w:pPr>
        <w:pStyle w:val="BodyText"/>
        <w:spacing w:line="240" w:lineRule="auto" w:before="170"/>
        <w:ind w:left="153" w:right="0"/>
        <w:jc w:val="both"/>
      </w:pPr>
      <w:r>
        <w:rPr/>
        <w:t>取了北京市工商行政管理局颁发的</w:t>
      </w:r>
      <w:r>
        <w:rPr>
          <w:spacing w:val="-62"/>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9"/>
        </w:rPr>
        <w:t> </w:t>
      </w:r>
      <w:r>
        <w:rPr/>
        <w:t>号企业法人营业执照。</w:t>
      </w:r>
    </w:p>
    <w:p>
      <w:pPr>
        <w:pStyle w:val="BodyText"/>
        <w:spacing w:line="240" w:lineRule="auto" w:before="169"/>
        <w:ind w:left="573" w:right="0"/>
        <w:jc w:val="left"/>
      </w:pPr>
      <w:r>
        <w:rPr>
          <w:rFonts w:ascii="Times New Roman" w:hAnsi="Times New Roman" w:cs="Times New Roman" w:eastAsia="Times New Roman" w:hint="default"/>
        </w:rPr>
        <w:t>1</w:t>
      </w:r>
      <w:r>
        <w:rPr/>
        <w:t>．本公司注册资本</w:t>
      </w:r>
    </w:p>
    <w:p>
      <w:pPr>
        <w:pStyle w:val="BodyText"/>
        <w:spacing w:line="379" w:lineRule="auto" w:before="169"/>
        <w:ind w:left="572" w:right="2915"/>
        <w:jc w:val="left"/>
      </w:pPr>
      <w:r>
        <w:rPr/>
        <w:t>公司注册资本为人民币</w:t>
      </w:r>
      <w:r>
        <w:rPr>
          <w:spacing w:val="-48"/>
        </w:rPr>
        <w:t> </w:t>
      </w:r>
      <w:r>
        <w:rPr>
          <w:rFonts w:ascii="Times New Roman" w:hAnsi="Times New Roman" w:cs="Times New Roman" w:eastAsia="Times New Roman" w:hint="default"/>
          <w:spacing w:val="-1"/>
        </w:rPr>
        <w:t>22,400.00</w:t>
      </w:r>
      <w:r>
        <w:rPr>
          <w:rFonts w:ascii="Times New Roman" w:hAnsi="Times New Roman" w:cs="Times New Roman" w:eastAsia="Times New Roman" w:hint="default"/>
          <w:spacing w:val="5"/>
        </w:rPr>
        <w:t> </w:t>
      </w:r>
      <w:r>
        <w:rPr>
          <w:spacing w:val="-7"/>
        </w:rPr>
        <w:t>万元（大写：贰亿贰仟肆佰万元整）。</w:t>
      </w:r>
      <w:r>
        <w:rPr>
          <w:spacing w:val="-103"/>
        </w:rPr>
        <w:t> </w:t>
      </w:r>
      <w:r>
        <w:rPr>
          <w:spacing w:val="-103"/>
        </w:rPr>
      </w:r>
      <w:r>
        <w:rPr>
          <w:rFonts w:ascii="Times New Roman" w:hAnsi="Times New Roman" w:cs="Times New Roman" w:eastAsia="Times New Roman" w:hint="default"/>
        </w:rPr>
        <w:t>2</w:t>
      </w:r>
      <w:r>
        <w:rPr/>
        <w:t>．本公司注册地、组织结构和总部地址 公司注册地址为：北京市海淀区复兴路甲</w:t>
      </w:r>
      <w:r>
        <w:rPr>
          <w:spacing w:val="-52"/>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A11</w:t>
      </w:r>
      <w:r>
        <w:rPr>
          <w:rFonts w:ascii="Times New Roman" w:hAnsi="Times New Roman" w:cs="Times New Roman" w:eastAsia="Times New Roman" w:hint="default"/>
          <w:spacing w:val="1"/>
        </w:rPr>
        <w:t> </w:t>
      </w:r>
      <w:r>
        <w:rPr/>
        <w:t>层。</w:t>
      </w:r>
    </w:p>
    <w:p>
      <w:pPr>
        <w:pStyle w:val="BodyText"/>
        <w:spacing w:line="393" w:lineRule="auto" w:before="34"/>
        <w:ind w:left="152" w:right="0" w:firstLine="420"/>
        <w:jc w:val="left"/>
      </w:pPr>
      <w:r>
        <w:rPr/>
        <w:t>公司组织结构为：截止至报告期末，公司设立有北京中长石基信息技术股份有限公司软件分公司，投 资控股上海石基信息技术有限公司、北京石基昆仑软件有限公司、北京中长石基软件有限公司、杭州西软 科技有限公司、北海石基信息技术有限公司、现化电脑系统（北京）有限公司、南京银石计算机系统有限 </w:t>
      </w:r>
      <w:r>
        <w:rPr>
          <w:spacing w:val="-2"/>
        </w:rPr>
        <w:t>公司、南京银石电脑系统工程有限公司、南京银石支付系统科技有限公司、焦点信息技术</w:t>
      </w:r>
      <w:r>
        <w:rPr>
          <w:rFonts w:ascii="Times New Roman" w:hAnsi="Times New Roman" w:cs="Times New Roman" w:eastAsia="Times New Roman" w:hint="default"/>
          <w:spacing w:val="-2"/>
        </w:rPr>
        <w:t>(</w:t>
      </w:r>
      <w:r>
        <w:rPr>
          <w:spacing w:val="-2"/>
        </w:rPr>
        <w:t>香港</w:t>
      </w:r>
      <w:r>
        <w:rPr>
          <w:rFonts w:ascii="Times New Roman" w:hAnsi="Times New Roman" w:cs="Times New Roman" w:eastAsia="Times New Roman" w:hint="default"/>
          <w:spacing w:val="-2"/>
        </w:rPr>
        <w:t>)</w:t>
      </w:r>
      <w:r>
        <w:rPr>
          <w:spacing w:val="-2"/>
        </w:rPr>
        <w:t>有限公司、</w:t>
      </w:r>
      <w:r>
        <w:rPr>
          <w:spacing w:val="-71"/>
        </w:rPr>
        <w:t> </w:t>
      </w:r>
      <w:r>
        <w:rPr>
          <w:rFonts w:ascii="Times New Roman" w:hAnsi="Times New Roman" w:cs="Times New Roman" w:eastAsia="Times New Roman" w:hint="default"/>
        </w:rPr>
        <w:t>Infrasys International </w:t>
      </w:r>
      <w:r>
        <w:rPr>
          <w:rFonts w:ascii="Times New Roman" w:hAnsi="Times New Roman" w:cs="Times New Roman" w:eastAsia="Times New Roman" w:hint="default"/>
          <w:spacing w:val="-8"/>
        </w:rPr>
        <w:t>Ltd</w:t>
      </w:r>
      <w:r>
        <w:rPr>
          <w:spacing w:val="-8"/>
        </w:rPr>
        <w:t>、</w:t>
      </w:r>
      <w:r>
        <w:rPr>
          <w:rFonts w:ascii="Times New Roman" w:hAnsi="Times New Roman" w:cs="Times New Roman" w:eastAsia="Times New Roman" w:hint="default"/>
          <w:spacing w:val="-8"/>
        </w:rPr>
        <w:t>Infrasys</w:t>
      </w:r>
      <w:r>
        <w:rPr>
          <w:rFonts w:ascii="Times New Roman" w:hAnsi="Times New Roman" w:cs="Times New Roman" w:eastAsia="Times New Roman" w:hint="default"/>
        </w:rPr>
        <w:t> Singapore Pte </w:t>
      </w:r>
      <w:r>
        <w:rPr>
          <w:rFonts w:ascii="Times New Roman" w:hAnsi="Times New Roman" w:cs="Times New Roman" w:eastAsia="Times New Roman" w:hint="default"/>
          <w:spacing w:val="-8"/>
        </w:rPr>
        <w:t>Ltd</w:t>
      </w:r>
      <w:r>
        <w:rPr>
          <w:spacing w:val="-8"/>
        </w:rPr>
        <w:t>、</w:t>
      </w:r>
      <w:r>
        <w:rPr>
          <w:rFonts w:ascii="Times New Roman" w:hAnsi="Times New Roman" w:cs="Times New Roman" w:eastAsia="Times New Roman" w:hint="default"/>
          <w:spacing w:val="-8"/>
        </w:rPr>
        <w:t>Infrasys</w:t>
      </w:r>
      <w:r>
        <w:rPr>
          <w:rFonts w:ascii="Times New Roman" w:hAnsi="Times New Roman" w:cs="Times New Roman" w:eastAsia="Times New Roman" w:hint="default"/>
        </w:rPr>
        <w:t> Malaysia Sdn</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3"/>
        </w:rPr>
        <w:t>Bhd</w:t>
      </w:r>
      <w:r>
        <w:rPr>
          <w:spacing w:val="-13"/>
        </w:rPr>
        <w:t>、</w:t>
      </w:r>
      <w:r>
        <w:rPr>
          <w:rFonts w:ascii="Times New Roman" w:hAnsi="Times New Roman" w:cs="Times New Roman" w:eastAsia="Times New Roman" w:hint="default"/>
          <w:spacing w:val="-13"/>
        </w:rPr>
        <w:t>Pos</w:t>
      </w:r>
      <w:r>
        <w:rPr>
          <w:rFonts w:ascii="Times New Roman" w:hAnsi="Times New Roman" w:cs="Times New Roman" w:eastAsia="Times New Roman" w:hint="default"/>
        </w:rPr>
        <w:t> Master</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8"/>
        </w:rPr>
        <w:t>Ltd</w:t>
      </w:r>
      <w:r>
        <w:rPr>
          <w:spacing w:val="-8"/>
        </w:rPr>
        <w:t>、</w:t>
      </w:r>
      <w:r>
        <w:rPr>
          <w:rFonts w:ascii="Times New Roman" w:hAnsi="Times New Roman" w:cs="Times New Roman" w:eastAsia="Times New Roman" w:hint="default"/>
          <w:spacing w:val="-8"/>
        </w:rPr>
        <w:t>Infrasys</w:t>
      </w:r>
      <w:r>
        <w:rPr>
          <w:rFonts w:ascii="Times New Roman" w:hAnsi="Times New Roman" w:cs="Times New Roman" w:eastAsia="Times New Roman" w:hint="default"/>
        </w:rPr>
        <w:t> (HK)</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rFonts w:ascii="Times New Roman" w:hAnsi="Times New Roman" w:cs="Times New Roman" w:eastAsia="Times New Roman" w:hint="default"/>
        </w:rPr>
        <w:t>Ltd</w:t>
      </w:r>
      <w:r>
        <w:rPr/>
        <w:t>，并在大连、深圳、长沙等地建立有非独立核算的办事处或研发中心。</w:t>
      </w:r>
    </w:p>
    <w:p>
      <w:pPr>
        <w:pStyle w:val="BodyText"/>
        <w:spacing w:line="396" w:lineRule="auto" w:before="40"/>
        <w:ind w:left="572" w:right="0"/>
        <w:jc w:val="left"/>
      </w:pPr>
      <w:r>
        <w:rPr>
          <w:rFonts w:ascii="Times New Roman" w:hAnsi="Times New Roman" w:cs="Times New Roman" w:eastAsia="Times New Roman" w:hint="default"/>
        </w:rPr>
        <w:t>3</w:t>
      </w:r>
      <w:r>
        <w:rPr/>
        <w:t>．本公司的经营范围、业务性质和主要经营活动 </w:t>
      </w:r>
      <w:r>
        <w:rPr>
          <w:spacing w:val="-1"/>
        </w:rPr>
        <w:t>公司经营范围为：技术开发、技术咨询、技术转让、技术服务、技术培训；销售开发后的产品、计算</w:t>
      </w:r>
    </w:p>
    <w:p>
      <w:pPr>
        <w:pStyle w:val="BodyText"/>
        <w:spacing w:line="408" w:lineRule="auto" w:before="68"/>
        <w:ind w:left="152" w:right="209"/>
        <w:jc w:val="both"/>
      </w:pPr>
      <w:r>
        <w:rPr/>
        <w:t>机及外围设备；提供信息源服务；网络技术服务；电子商务</w:t>
      </w:r>
      <w:r>
        <w:rPr>
          <w:rFonts w:ascii="Times New Roman" w:hAnsi="Times New Roman" w:cs="Times New Roman" w:eastAsia="Times New Roman" w:hint="default"/>
        </w:rPr>
        <w:t>(</w:t>
      </w:r>
      <w:r>
        <w:rPr/>
        <w:t>未取得专项审批的项目除外</w:t>
      </w:r>
      <w:r>
        <w:rPr>
          <w:rFonts w:ascii="Times New Roman" w:hAnsi="Times New Roman" w:cs="Times New Roman" w:eastAsia="Times New Roman" w:hint="default"/>
        </w:rPr>
        <w:t>)</w:t>
      </w:r>
      <w:r>
        <w:rPr/>
        <w:t>；安装计算机；</w:t>
      </w:r>
      <w:r>
        <w:rPr>
          <w:spacing w:val="-71"/>
        </w:rPr>
        <w:t> </w:t>
      </w:r>
      <w:r>
        <w:rPr>
          <w:spacing w:val="-71"/>
        </w:rPr>
      </w:r>
      <w:r>
        <w:rPr>
          <w:spacing w:val="-1"/>
        </w:rPr>
        <w:t>货物进出口、技术进出口、代理进出口；法律、行政法规、国务院决定禁止的，不得经营；法律、行政法</w:t>
      </w:r>
      <w:r>
        <w:rPr>
          <w:spacing w:val="-85"/>
        </w:rPr>
        <w:t> </w:t>
      </w:r>
      <w:r>
        <w:rPr>
          <w:spacing w:val="-85"/>
        </w:rPr>
      </w:r>
      <w:r>
        <w:rPr>
          <w:spacing w:val="-1"/>
        </w:rPr>
        <w:t>规、国务院决定应经许可的，经审批机关批准并经工商行政管理机关登记注册后方可经营；法律、行政法</w:t>
      </w:r>
    </w:p>
    <w:p>
      <w:pPr>
        <w:spacing w:after="0" w:line="408" w:lineRule="auto"/>
        <w:jc w:val="both"/>
        <w:sectPr>
          <w:pgSz w:w="11910" w:h="16840"/>
          <w:pgMar w:header="851" w:footer="982" w:top="1200" w:bottom="1180" w:left="980" w:right="920"/>
        </w:sectPr>
      </w:pPr>
    </w:p>
    <w:p>
      <w:pPr>
        <w:spacing w:line="240" w:lineRule="auto" w:before="9"/>
        <w:rPr>
          <w:rFonts w:ascii="宋体" w:hAnsi="宋体" w:cs="宋体" w:eastAsia="宋体" w:hint="default"/>
          <w:sz w:val="15"/>
          <w:szCs w:val="15"/>
        </w:rPr>
      </w:pPr>
    </w:p>
    <w:p>
      <w:pPr>
        <w:pStyle w:val="BodyText"/>
        <w:spacing w:line="420" w:lineRule="auto" w:before="35"/>
        <w:ind w:left="574" w:right="0" w:hanging="420"/>
        <w:jc w:val="left"/>
      </w:pPr>
      <w:r>
        <w:rPr/>
        <w:t>规、国务院决定未规定许可的，自主选择经营项目开展经营活动。 </w:t>
      </w:r>
      <w:r>
        <w:rPr>
          <w:spacing w:val="-1"/>
        </w:rPr>
        <w:t>公司属知识密集型企业，主要从事酒店管理系统集成、软件开发、技术支持与服务，开发的酒店管理</w:t>
      </w:r>
    </w:p>
    <w:p>
      <w:pPr>
        <w:pStyle w:val="BodyText"/>
        <w:spacing w:line="240" w:lineRule="auto" w:before="47"/>
        <w:ind w:right="0"/>
        <w:jc w:val="left"/>
      </w:pPr>
      <w:r>
        <w:rPr/>
        <w:t>系统软件目前已在国内大部分五星级酒店中安装使用。</w:t>
      </w:r>
    </w:p>
    <w:p>
      <w:pPr>
        <w:spacing w:line="240" w:lineRule="auto" w:before="9"/>
        <w:rPr>
          <w:rFonts w:ascii="宋体" w:hAnsi="宋体" w:cs="宋体" w:eastAsia="宋体" w:hint="default"/>
          <w:sz w:val="15"/>
          <w:szCs w:val="15"/>
        </w:rPr>
      </w:pPr>
    </w:p>
    <w:p>
      <w:pPr>
        <w:pStyle w:val="BodyText"/>
        <w:spacing w:line="396" w:lineRule="auto"/>
        <w:ind w:left="574" w:right="0"/>
        <w:jc w:val="left"/>
      </w:pPr>
      <w:r>
        <w:rPr>
          <w:rFonts w:ascii="Times New Roman" w:hAnsi="Times New Roman" w:cs="Times New Roman" w:eastAsia="Times New Roman" w:hint="default"/>
        </w:rPr>
        <w:t>4</w:t>
      </w:r>
      <w:r>
        <w:rPr/>
        <w:t>．本公司以及集团最终母公司的名称 </w:t>
      </w:r>
      <w:r>
        <w:rPr>
          <w:spacing w:val="-1"/>
        </w:rPr>
        <w:t>公司母公司为北京中长石基信息技术股份有限公司，北京中长石基信息技术股份有限公司的最终控制</w:t>
      </w:r>
    </w:p>
    <w:p>
      <w:pPr>
        <w:pStyle w:val="BodyText"/>
        <w:spacing w:line="408" w:lineRule="auto" w:before="68"/>
        <w:ind w:left="574" w:right="4580" w:hanging="420"/>
        <w:jc w:val="left"/>
      </w:pPr>
      <w:r>
        <w:rPr/>
        <w:t>人为李仲初先生。 </w:t>
      </w:r>
      <w:r>
        <w:rPr>
          <w:rFonts w:ascii="Times New Roman" w:hAnsi="Times New Roman" w:cs="Times New Roman" w:eastAsia="Times New Roman" w:hint="default"/>
        </w:rPr>
        <w:t>5</w:t>
      </w:r>
      <w:r>
        <w:rPr/>
        <w:t>．财务报告的批准报出者和财务报告批准报出日 本财务报表于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日经公司董事会批准报出。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pStyle w:val="Heading3"/>
        <w:spacing w:line="240" w:lineRule="auto"/>
        <w:ind w:left="576" w:right="0"/>
        <w:jc w:val="left"/>
        <w:rPr>
          <w:b w:val="0"/>
          <w:bCs w:val="0"/>
        </w:rPr>
      </w:pPr>
      <w:r>
        <w:rPr/>
        <w:t>（二）公司重要会计政策、会计估计</w:t>
      </w:r>
      <w:r>
        <w:rPr>
          <w:b w:val="0"/>
          <w:bCs w:val="0"/>
        </w:rPr>
      </w:r>
    </w:p>
    <w:p>
      <w:pPr>
        <w:spacing w:line="240" w:lineRule="auto" w:before="9"/>
        <w:rPr>
          <w:rFonts w:ascii="宋体" w:hAnsi="宋体" w:cs="宋体" w:eastAsia="宋体" w:hint="default"/>
          <w:b/>
          <w:bCs/>
          <w:sz w:val="15"/>
          <w:szCs w:val="15"/>
        </w:rPr>
      </w:pPr>
    </w:p>
    <w:p>
      <w:pPr>
        <w:pStyle w:val="BodyText"/>
        <w:spacing w:line="396" w:lineRule="auto"/>
        <w:ind w:left="573" w:right="0"/>
        <w:jc w:val="left"/>
      </w:pPr>
      <w:r>
        <w:rPr>
          <w:rFonts w:ascii="Times New Roman" w:hAnsi="Times New Roman" w:cs="Times New Roman" w:eastAsia="Times New Roman" w:hint="default"/>
        </w:rPr>
        <w:t>1</w:t>
      </w:r>
      <w:r>
        <w:rPr/>
        <w:t>、财务报表的编制基础 </w:t>
      </w:r>
      <w:r>
        <w:rPr>
          <w:spacing w:val="-1"/>
        </w:rPr>
        <w:t>本公司以持续经营为前提，根据实际发生的交易和事项，按照《企业会计准则</w:t>
      </w:r>
      <w:r>
        <w:rPr>
          <w:rFonts w:ascii="Times New Roman" w:hAnsi="Times New Roman" w:cs="Times New Roman" w:eastAsia="Times New Roman" w:hint="default"/>
          <w:spacing w:val="-1"/>
        </w:rPr>
        <w:t>——</w:t>
      </w:r>
      <w:r>
        <w:rPr>
          <w:spacing w:val="-1"/>
        </w:rPr>
        <w:t>基本准则》和其他</w:t>
      </w:r>
    </w:p>
    <w:p>
      <w:pPr>
        <w:pStyle w:val="BodyText"/>
        <w:spacing w:line="240" w:lineRule="auto" w:before="38"/>
        <w:ind w:left="153" w:right="0"/>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61"/>
        <w:ind w:left="573" w:right="171"/>
        <w:jc w:val="left"/>
      </w:pPr>
      <w:r>
        <w:rPr>
          <w:rFonts w:ascii="Times New Roman" w:hAnsi="Times New Roman" w:cs="Times New Roman" w:eastAsia="Times New Roman" w:hint="default"/>
        </w:rPr>
        <w:t>2</w:t>
      </w:r>
      <w:r>
        <w:rPr/>
        <w:t>、遵循企业会计准则的声明 本公司编制的财务报表符合企业会计准则的要求，真实、完整地反映了公司的财务状况、经营成果、</w:t>
      </w:r>
    </w:p>
    <w:p>
      <w:pPr>
        <w:pStyle w:val="BodyText"/>
        <w:spacing w:line="240" w:lineRule="auto" w:before="68"/>
        <w:ind w:left="153" w:right="0"/>
        <w:jc w:val="left"/>
      </w:pPr>
      <w:r>
        <w:rPr/>
        <w:t>股东权益变动和现金流量等有关信息。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573" w:right="0"/>
        <w:jc w:val="left"/>
      </w:pPr>
      <w:r>
        <w:rPr>
          <w:rFonts w:ascii="Times New Roman" w:hAnsi="Times New Roman" w:cs="Times New Roman" w:eastAsia="Times New Roman" w:hint="default"/>
        </w:rPr>
        <w:t>3</w:t>
      </w:r>
      <w:r>
        <w:rPr/>
        <w:t>、会计期间</w:t>
      </w:r>
    </w:p>
    <w:p>
      <w:pPr>
        <w:pStyle w:val="BodyText"/>
        <w:spacing w:line="240" w:lineRule="auto" w:before="189"/>
        <w:ind w:left="573" w:right="0"/>
        <w:jc w:val="left"/>
      </w:pPr>
      <w:r>
        <w:rPr/>
        <w:t>本公司会计期间为公历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396" w:lineRule="auto"/>
        <w:ind w:left="573" w:right="6471"/>
        <w:jc w:val="left"/>
      </w:pPr>
      <w:r>
        <w:rPr>
          <w:rFonts w:ascii="Times New Roman" w:hAnsi="Times New Roman" w:cs="Times New Roman" w:eastAsia="Times New Roman" w:hint="default"/>
        </w:rPr>
        <w:t>4</w:t>
      </w:r>
      <w:r>
        <w:rPr/>
        <w:t>、记账本位币 本公司以人民币为记账本位币。</w:t>
      </w:r>
    </w:p>
    <w:p>
      <w:pPr>
        <w:pStyle w:val="BodyText"/>
        <w:spacing w:line="240" w:lineRule="auto" w:before="38"/>
        <w:ind w:left="573" w:right="0"/>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388" w:lineRule="auto" w:before="159"/>
        <w:ind w:left="153" w:right="102" w:firstLine="420"/>
        <w:jc w:val="left"/>
      </w:pPr>
      <w:r>
        <w:rPr/>
        <w:t>（</w:t>
      </w:r>
      <w:r>
        <w:rPr>
          <w:rFonts w:ascii="Times New Roman" w:hAnsi="Times New Roman" w:cs="Times New Roman" w:eastAsia="Times New Roman" w:hint="default"/>
        </w:rPr>
        <w:t>1</w:t>
      </w:r>
      <w:r>
        <w:rPr/>
        <w:t>）本公司报告期内发生同一控制下企业合并的，采用权益结合法进行会计处理。合并方在企业合 并中取得的资产和负债，按照合并日在被合并方的账面价值计量。合并方取得的净资产账面价值与支付的 </w:t>
      </w:r>
      <w:r>
        <w:rPr>
          <w:spacing w:val="-3"/>
        </w:rPr>
        <w:t>合并对价账面价值（或发行股份面值总额）的差额，调整资本公积；资本公积不足冲减的，调整留存收益。</w:t>
      </w:r>
      <w:r>
        <w:rPr>
          <w:spacing w:val="-94"/>
        </w:rPr>
        <w:t> </w:t>
      </w:r>
      <w:r>
        <w:rPr>
          <w:spacing w:val="-94"/>
        </w:rPr>
      </w:r>
      <w:r>
        <w:rPr/>
        <w:t>合并方为进行企业合并发生的各项直接相关费用，包括为进行企业合并而支付的审计费用、评估费用、法</w:t>
      </w:r>
      <w:r>
        <w:rPr/>
        <w:t> 律服务费用等，于发生时计入当期损益。为企业合并发行的债券或承担其他债务支付的手续费、佣金等， 计入所发行债券及其他债务的初始计量金额。企业合并中发行权益性证券发生的手续费、佣金等费用，抵</w:t>
      </w:r>
    </w:p>
    <w:p>
      <w:pPr>
        <w:spacing w:after="0" w:line="388" w:lineRule="auto"/>
        <w:jc w:val="left"/>
        <w:sectPr>
          <w:pgSz w:w="11910" w:h="16840"/>
          <w:pgMar w:header="851" w:footer="982" w:top="1200" w:bottom="1180" w:left="980" w:right="920"/>
        </w:sectPr>
      </w:pPr>
    </w:p>
    <w:p>
      <w:pPr>
        <w:spacing w:line="240" w:lineRule="auto" w:before="5"/>
        <w:rPr>
          <w:rFonts w:ascii="宋体" w:hAnsi="宋体" w:cs="宋体" w:eastAsia="宋体" w:hint="default"/>
          <w:sz w:val="13"/>
          <w:szCs w:val="13"/>
        </w:rPr>
      </w:pPr>
    </w:p>
    <w:p>
      <w:pPr>
        <w:pStyle w:val="BodyText"/>
        <w:spacing w:line="393" w:lineRule="auto" w:before="35"/>
        <w:ind w:right="0"/>
        <w:jc w:val="left"/>
      </w:pPr>
      <w:r>
        <w:rPr>
          <w:spacing w:val="-1"/>
        </w:rPr>
        <w:t>减权益性证券溢价收入，溢价收入不足冲减的，冲减留存收益。企业合并形成母子公司关系的，母公司应</w:t>
      </w:r>
      <w:r>
        <w:rPr>
          <w:spacing w:val="-86"/>
        </w:rPr>
        <w:t> </w:t>
      </w:r>
      <w:r>
        <w:rPr>
          <w:spacing w:val="-86"/>
        </w:rPr>
      </w:r>
      <w:r>
        <w:rPr/>
        <w:t>当编制合并报表，按照本公司制定的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会计政策执行。</w:t>
      </w:r>
    </w:p>
    <w:p>
      <w:pPr>
        <w:pStyle w:val="BodyText"/>
        <w:spacing w:line="388" w:lineRule="auto" w:before="10"/>
        <w:ind w:right="0" w:firstLine="420"/>
        <w:jc w:val="left"/>
      </w:pPr>
      <w:r>
        <w:rPr/>
        <w:t>（</w:t>
      </w:r>
      <w:r>
        <w:rPr>
          <w:rFonts w:ascii="Times New Roman" w:hAnsi="Times New Roman" w:cs="Times New Roman" w:eastAsia="Times New Roman" w:hint="default"/>
        </w:rPr>
        <w:t>2</w:t>
      </w:r>
      <w:r>
        <w:rPr/>
        <w:t>）本公司报告期内发生非同一控制下的企业合并的，采用购买法进行会计处理。购买方区别下列 </w:t>
      </w:r>
      <w:r>
        <w:rPr>
          <w:spacing w:val="-1"/>
        </w:rPr>
        <w:t>情况确定合并成本：①一次交换交易实现的企业合并，合并成本为购买方在购买日为取得对被购买方的控</w:t>
      </w:r>
      <w:r>
        <w:rPr>
          <w:spacing w:val="-81"/>
        </w:rPr>
        <w:t> </w:t>
      </w:r>
      <w:r>
        <w:rPr>
          <w:spacing w:val="-81"/>
        </w:rPr>
      </w:r>
      <w:r>
        <w:rPr>
          <w:spacing w:val="-1"/>
        </w:rPr>
        <w:t>制权而付出的资产、发生或承担的负债以及发行的权益性证券的公允价值。②通过多次交换交易分步实现</w:t>
      </w:r>
      <w:r>
        <w:rPr>
          <w:spacing w:val="-81"/>
        </w:rPr>
        <w:t> </w:t>
      </w:r>
      <w:r>
        <w:rPr>
          <w:spacing w:val="-81"/>
        </w:rPr>
      </w:r>
      <w:r>
        <w:rPr>
          <w:spacing w:val="-1"/>
        </w:rPr>
        <w:t>的企业合并，对于购买日之前持有的被购买方的股权，应当区分个别财务报表和合并财务报表进行相关会</w:t>
      </w:r>
      <w:r>
        <w:rPr>
          <w:spacing w:val="-81"/>
        </w:rPr>
        <w:t> </w:t>
      </w:r>
      <w:r>
        <w:rPr>
          <w:spacing w:val="-81"/>
        </w:rPr>
      </w:r>
      <w:r>
        <w:rPr/>
        <w:t>计处理：</w:t>
      </w:r>
    </w:p>
    <w:p>
      <w:pPr>
        <w:pStyle w:val="BodyText"/>
        <w:spacing w:line="386" w:lineRule="auto" w:before="45"/>
        <w:ind w:right="101" w:firstLine="420"/>
        <w:jc w:val="left"/>
      </w:pPr>
      <w:r>
        <w:rPr>
          <w:rFonts w:ascii="Times New Roman" w:hAnsi="Times New Roman" w:cs="Times New Roman" w:eastAsia="Times New Roman" w:hint="default"/>
        </w:rPr>
        <w:t>A</w:t>
      </w:r>
      <w:r>
        <w:rPr/>
        <w:t>、在个别财务报表中，应当以购买日之前所持被购买方的股权投资的账面价值与购买日新增投资成 本之和，作为该项投资的初始投资成本；购买日之前持有的被购买方的股权涉及其他综合收益的，应当在 </w:t>
      </w:r>
      <w:r>
        <w:rPr>
          <w:spacing w:val="-3"/>
        </w:rPr>
        <w:t>处置该项投资时将与其相关的其他综合收益（例如，可供出售金融资产公允价值变动计入资本公积的部分，</w:t>
      </w:r>
      <w:r>
        <w:rPr>
          <w:spacing w:val="-92"/>
        </w:rPr>
        <w:t> </w:t>
      </w:r>
      <w:r>
        <w:rPr>
          <w:spacing w:val="-92"/>
        </w:rPr>
      </w:r>
      <w:r>
        <w:rPr/>
        <w:t>下同）转入当期投资收益。</w:t>
      </w:r>
    </w:p>
    <w:p>
      <w:pPr>
        <w:pStyle w:val="BodyText"/>
        <w:spacing w:line="388" w:lineRule="auto" w:before="47"/>
        <w:ind w:right="209" w:firstLine="420"/>
        <w:jc w:val="both"/>
      </w:pPr>
      <w:r>
        <w:rPr>
          <w:rFonts w:ascii="Times New Roman" w:hAnsi="Times New Roman" w:cs="Times New Roman" w:eastAsia="Times New Roman" w:hint="default"/>
        </w:rPr>
        <w:t>B</w:t>
      </w:r>
      <w:r>
        <w:rPr/>
        <w:t>、在合并财务报表中，对于购买日之前持有的被购买方的股权，应当按照该股权在购买日的公允价 </w:t>
      </w:r>
      <w:r>
        <w:rPr>
          <w:spacing w:val="-1"/>
        </w:rPr>
        <w:t>值进行重新计量，公允价值与其账面价值的差额计入当期投资收益；购买日之前持有的被购买方的股权涉</w:t>
      </w:r>
      <w:r>
        <w:rPr>
          <w:spacing w:val="-81"/>
        </w:rPr>
        <w:t> </w:t>
      </w:r>
      <w:r>
        <w:rPr>
          <w:spacing w:val="-81"/>
        </w:rPr>
      </w:r>
      <w:r>
        <w:rPr>
          <w:spacing w:val="-1"/>
        </w:rPr>
        <w:t>及其他综合收益的，与其相关的其他综合收益应当转为购买日所属当期投资收益。购买方应当在附注中披</w:t>
      </w:r>
      <w:r>
        <w:rPr>
          <w:spacing w:val="-81"/>
        </w:rPr>
        <w:t> </w:t>
      </w:r>
      <w:r>
        <w:rPr>
          <w:spacing w:val="-81"/>
        </w:rPr>
      </w:r>
      <w:r>
        <w:rPr>
          <w:spacing w:val="-1"/>
        </w:rPr>
        <w:t>露其在购买日之前持有的被购买方的股权在购买日的公允价值、按照公允价值重新计量产生的相关利得或</w:t>
      </w:r>
      <w:r>
        <w:rPr>
          <w:spacing w:val="-81"/>
        </w:rPr>
        <w:t> </w:t>
      </w:r>
      <w:r>
        <w:rPr>
          <w:spacing w:val="-81"/>
        </w:rPr>
      </w:r>
      <w:r>
        <w:rPr/>
        <w:t>损失的金额。</w:t>
      </w:r>
    </w:p>
    <w:p>
      <w:pPr>
        <w:pStyle w:val="BodyText"/>
        <w:spacing w:line="393" w:lineRule="auto" w:before="45"/>
        <w:ind w:right="188" w:firstLine="630"/>
        <w:jc w:val="both"/>
      </w:pPr>
      <w:r>
        <w:rPr>
          <w:spacing w:val="-1"/>
        </w:rPr>
        <w:t>③购买方为企业合并发生的审计、法律服务、评估咨询等中介费用以及其他相关管理费用，应当于</w:t>
      </w:r>
      <w:r>
        <w:rPr/>
        <w:t> </w:t>
      </w:r>
      <w:r>
        <w:rPr>
          <w:spacing w:val="-1"/>
        </w:rPr>
        <w:t>发生时计入当期损益；购买方作为合并对价发行的权益性证券或债务性证券的交易费用，应当计入权益性</w:t>
      </w:r>
      <w:r>
        <w:rPr>
          <w:spacing w:val="-81"/>
        </w:rPr>
        <w:t> </w:t>
      </w:r>
      <w:r>
        <w:rPr>
          <w:spacing w:val="-81"/>
        </w:rPr>
      </w:r>
      <w:r>
        <w:rPr/>
        <w:t>证券或债务性证券的初始确认金额。④在合并合同或协议中对可能影响合并成本的未来事项作出约定的， </w:t>
      </w:r>
      <w:r>
        <w:rPr>
          <w:spacing w:val="-1"/>
        </w:rPr>
        <w:t>购买日如果估计未来事项很可能发生并且对合并成本的影响金额能够可靠计量的，购买方应当将其计入合</w:t>
      </w:r>
      <w:r>
        <w:rPr>
          <w:spacing w:val="-81"/>
        </w:rPr>
        <w:t> </w:t>
      </w:r>
      <w:r>
        <w:rPr>
          <w:spacing w:val="-81"/>
        </w:rPr>
      </w:r>
      <w:r>
        <w:rPr/>
        <w:t>并成本。</w:t>
      </w:r>
    </w:p>
    <w:p>
      <w:pPr>
        <w:pStyle w:val="BodyText"/>
        <w:spacing w:line="393" w:lineRule="auto" w:before="41"/>
        <w:ind w:right="209" w:firstLine="420"/>
        <w:jc w:val="both"/>
      </w:pPr>
      <w:r>
        <w:rPr>
          <w:spacing w:val="-1"/>
        </w:rPr>
        <w:t>购买方在购买日对作为企业合并对价付出的资产、发生或承担的负债按照公允价值计量，公允价值与</w:t>
      </w:r>
      <w:r>
        <w:rPr/>
        <w:t> 其账面价值的差额，计入当期损益。</w:t>
      </w:r>
    </w:p>
    <w:p>
      <w:pPr>
        <w:pStyle w:val="BodyText"/>
        <w:spacing w:line="400" w:lineRule="auto" w:before="50"/>
        <w:ind w:right="209" w:firstLine="420"/>
        <w:jc w:val="both"/>
      </w:pPr>
      <w:r>
        <w:rPr>
          <w:spacing w:val="-1"/>
        </w:rPr>
        <w:t>购买方在购买日应当对合并成本进行分配，按照规定确认所取得的被购买方各项可辨认资产、负债及</w:t>
      </w:r>
      <w:r>
        <w:rPr/>
        <w:t> </w:t>
      </w:r>
      <w:r>
        <w:rPr>
          <w:spacing w:val="-1"/>
        </w:rPr>
        <w:t>或有负债。①购买方对合并成本大于合并中取得的被购买方可辨认净资产公允价值份额的差额，确认为商</w:t>
      </w:r>
      <w:r>
        <w:rPr>
          <w:spacing w:val="-81"/>
        </w:rPr>
        <w:t> </w:t>
      </w:r>
      <w:r>
        <w:rPr>
          <w:spacing w:val="-81"/>
        </w:rPr>
      </w:r>
      <w:r>
        <w:rPr>
          <w:spacing w:val="-1"/>
        </w:rPr>
        <w:t>誉。②购买方对合并成本小于合并中取得的被购买方可辨认净资产公允价值份额的差额，则对取得的被购</w:t>
      </w:r>
      <w:r>
        <w:rPr>
          <w:spacing w:val="-81"/>
        </w:rPr>
        <w:t> </w:t>
      </w:r>
      <w:r>
        <w:rPr>
          <w:spacing w:val="-81"/>
        </w:rPr>
      </w:r>
      <w:r>
        <w:rPr>
          <w:spacing w:val="-1"/>
        </w:rPr>
        <w:t>买方各项可辨认资产、负债及或有负债的公允价值以及合并成本的计量进行复核；经复核后合并成本仍小</w:t>
      </w:r>
      <w:r>
        <w:rPr>
          <w:spacing w:val="-81"/>
        </w:rPr>
        <w:t> </w:t>
      </w:r>
      <w:r>
        <w:rPr>
          <w:spacing w:val="-81"/>
        </w:rPr>
      </w:r>
      <w:r>
        <w:rPr/>
        <w:t>于合并中取得的被购买方可辨认净资产公允价值份额的，其差额计入当期损益。</w:t>
      </w:r>
    </w:p>
    <w:p>
      <w:pPr>
        <w:pStyle w:val="BodyText"/>
        <w:spacing w:line="400" w:lineRule="auto" w:before="45"/>
        <w:ind w:right="188" w:firstLine="420"/>
        <w:jc w:val="both"/>
      </w:pPr>
      <w:r>
        <w:rPr/>
        <w:t>企业合并形成母子公司关系的，母公司设置备查簿，记录企业合并中取得的子公司各项可辨认资产、 </w:t>
      </w:r>
      <w:r>
        <w:rPr>
          <w:spacing w:val="-1"/>
        </w:rPr>
        <w:t>负债及或有负债等在购买日的公允价值。编制合并财务报表时，应当以购买日确定的各项可辨认资产、负</w:t>
      </w:r>
      <w:r>
        <w:rPr>
          <w:spacing w:val="-83"/>
        </w:rPr>
        <w:t> </w:t>
      </w:r>
      <w:r>
        <w:rPr>
          <w:spacing w:val="-83"/>
        </w:rPr>
      </w:r>
      <w:r>
        <w:rPr/>
        <w:t>债及或有负债的公允价值为基础对子公司的财务报表进行调整，按照本公司制定的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w:t>
      </w:r>
    </w:p>
    <w:p>
      <w:pPr>
        <w:spacing w:after="0" w:line="400" w:lineRule="auto"/>
        <w:jc w:val="both"/>
        <w:sectPr>
          <w:footerReference w:type="default" r:id="rId36"/>
          <w:pgSz w:w="11910" w:h="16840"/>
          <w:pgMar w:footer="982" w:header="851" w:top="1200" w:bottom="1180" w:left="980" w:right="920"/>
          <w:pgNumType w:start="69"/>
        </w:sectPr>
      </w:pPr>
    </w:p>
    <w:p>
      <w:pPr>
        <w:spacing w:line="240" w:lineRule="auto" w:before="1"/>
        <w:rPr>
          <w:rFonts w:ascii="宋体" w:hAnsi="宋体" w:cs="宋体" w:eastAsia="宋体" w:hint="default"/>
          <w:sz w:val="14"/>
          <w:szCs w:val="14"/>
        </w:rPr>
      </w:pPr>
    </w:p>
    <w:p>
      <w:pPr>
        <w:pStyle w:val="BodyText"/>
        <w:spacing w:line="240" w:lineRule="auto" w:before="35"/>
        <w:ind w:right="0"/>
        <w:jc w:val="left"/>
      </w:pPr>
      <w:r>
        <w:rPr/>
        <w:t>策执行。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74" w:right="0"/>
        <w:jc w:val="left"/>
      </w:pPr>
      <w:r>
        <w:rPr>
          <w:rFonts w:ascii="Times New Roman" w:hAnsi="Times New Roman" w:cs="Times New Roman" w:eastAsia="Times New Roman" w:hint="default"/>
        </w:rPr>
        <w:t>6</w:t>
      </w:r>
      <w:r>
        <w:rPr/>
        <w:t>、合并财务报表的编制方法</w:t>
      </w:r>
    </w:p>
    <w:p>
      <w:pPr>
        <w:pStyle w:val="BodyText"/>
        <w:spacing w:line="379" w:lineRule="auto" w:before="169"/>
        <w:ind w:left="574" w:right="4160"/>
        <w:jc w:val="left"/>
      </w:pPr>
      <w:r>
        <w:rPr/>
        <w:t>（</w:t>
      </w:r>
      <w:r>
        <w:rPr>
          <w:rFonts w:ascii="Times New Roman" w:hAnsi="Times New Roman" w:cs="Times New Roman" w:eastAsia="Times New Roman" w:hint="default"/>
        </w:rPr>
        <w:t>1</w:t>
      </w:r>
      <w:r>
        <w:rPr/>
        <w:t>）合并范围 本公司合并财务报表的合并范围以控制为基础予以确定。</w:t>
      </w:r>
    </w:p>
    <w:p>
      <w:pPr>
        <w:pStyle w:val="BodyText"/>
        <w:spacing w:line="400" w:lineRule="auto" w:before="64"/>
        <w:ind w:right="188" w:firstLine="420"/>
        <w:jc w:val="both"/>
      </w:pPr>
      <w:r>
        <w:rPr/>
        <w:t>母公司直接或通过子公司间接拥有被投资单位半数以上的表决权，表明母公司能够控制被投资单位， </w:t>
      </w:r>
      <w:r>
        <w:rPr>
          <w:spacing w:val="-1"/>
        </w:rPr>
        <w:t>将该被投资单位认定为子公司，纳入合并财务报表的合并范围；母公司拥有被投资单位半数或以下的表决</w:t>
      </w:r>
      <w:r>
        <w:rPr>
          <w:spacing w:val="-81"/>
        </w:rPr>
        <w:t> </w:t>
      </w:r>
      <w:r>
        <w:rPr>
          <w:spacing w:val="-81"/>
        </w:rPr>
      </w:r>
      <w:r>
        <w:rPr>
          <w:spacing w:val="-1"/>
        </w:rPr>
        <w:t>权，满足下列条件之一的，视为母公司能够控制被投资单位，将该被投资单位认定为子公司，纳入合并财</w:t>
      </w:r>
      <w:r>
        <w:rPr>
          <w:spacing w:val="-86"/>
        </w:rPr>
        <w:t> </w:t>
      </w:r>
      <w:r>
        <w:rPr>
          <w:spacing w:val="-86"/>
        </w:rPr>
      </w:r>
      <w:r>
        <w:rPr/>
        <w:t>务报表的合并范围：</w:t>
      </w:r>
    </w:p>
    <w:p>
      <w:pPr>
        <w:pStyle w:val="BodyText"/>
        <w:spacing w:line="379" w:lineRule="auto" w:before="44"/>
        <w:ind w:left="574" w:right="1698"/>
        <w:jc w:val="left"/>
      </w:pPr>
      <w:r>
        <w:rPr>
          <w:rFonts w:ascii="Times New Roman" w:hAnsi="Times New Roman" w:cs="Times New Roman" w:eastAsia="Times New Roman" w:hint="default"/>
        </w:rPr>
        <w:t>A</w:t>
      </w:r>
      <w:r>
        <w:rPr/>
        <w:t>、通过与被投资单位其他投资者之间的协议，拥有被投资单位半数以上的表决权； </w:t>
      </w:r>
      <w:r>
        <w:rPr>
          <w:rFonts w:ascii="Times New Roman" w:hAnsi="Times New Roman" w:cs="Times New Roman" w:eastAsia="Times New Roman" w:hint="default"/>
        </w:rPr>
        <w:t>B</w:t>
      </w:r>
      <w:r>
        <w:rPr/>
        <w:t>、根据公司章程或协议，有权决定被投资单位的财务和经营政策； </w:t>
      </w:r>
      <w:r>
        <w:rPr>
          <w:rFonts w:ascii="Times New Roman" w:hAnsi="Times New Roman" w:cs="Times New Roman" w:eastAsia="Times New Roman" w:hint="default"/>
        </w:rPr>
        <w:t>C</w:t>
      </w:r>
      <w:r>
        <w:rPr/>
        <w:t>、有权任免被投资单位的董事会或类似机构的多数成员； </w:t>
      </w:r>
      <w:r>
        <w:rPr>
          <w:rFonts w:ascii="Times New Roman" w:hAnsi="Times New Roman" w:cs="Times New Roman" w:eastAsia="Times New Roman" w:hint="default"/>
        </w:rPr>
        <w:t>D</w:t>
      </w:r>
      <w:r>
        <w:rPr/>
        <w:t>、在被投资单位的董事会或类似机构占多数表决权。 有证据表明母公司不能控制被投资单位，不纳入合并财务报表的合并范围。</w:t>
      </w:r>
    </w:p>
    <w:p>
      <w:pPr>
        <w:pStyle w:val="BodyText"/>
        <w:spacing w:line="379" w:lineRule="auto" w:before="64"/>
        <w:ind w:left="574" w:right="0"/>
        <w:jc w:val="left"/>
      </w:pPr>
      <w:r>
        <w:rPr/>
        <w:t>（</w:t>
      </w:r>
      <w:r>
        <w:rPr>
          <w:rFonts w:ascii="Times New Roman" w:hAnsi="Times New Roman" w:cs="Times New Roman" w:eastAsia="Times New Roman" w:hint="default"/>
        </w:rPr>
        <w:t>2</w:t>
      </w:r>
      <w:r>
        <w:rPr/>
        <w:t>）合并财务报表编制方法 </w:t>
      </w:r>
      <w:r>
        <w:rPr>
          <w:spacing w:val="-1"/>
        </w:rPr>
        <w:t>本公司合并财务报表以纳入合并范围的各子公司的个别财务报表为基础，根据其他相关资料，按照权</w:t>
      </w:r>
    </w:p>
    <w:p>
      <w:pPr>
        <w:pStyle w:val="BodyText"/>
        <w:spacing w:line="403" w:lineRule="auto" w:before="63"/>
        <w:ind w:right="0"/>
        <w:jc w:val="left"/>
      </w:pPr>
      <w:r>
        <w:rPr>
          <w:spacing w:val="-1"/>
        </w:rPr>
        <w:t>益法调整对子公司的长期股权投资后，抵消母公司与子公司、子公司与子公司之间发生内部交易对合并报</w:t>
      </w:r>
      <w:r>
        <w:rPr>
          <w:spacing w:val="-81"/>
        </w:rPr>
        <w:t> </w:t>
      </w:r>
      <w:r>
        <w:rPr>
          <w:spacing w:val="-81"/>
        </w:rPr>
      </w:r>
      <w:r>
        <w:rPr/>
        <w:t>表的影响编制。</w:t>
      </w:r>
    </w:p>
    <w:p>
      <w:pPr>
        <w:pStyle w:val="BodyText"/>
        <w:spacing w:line="379" w:lineRule="auto" w:before="42"/>
        <w:ind w:left="574" w:right="0"/>
        <w:jc w:val="left"/>
      </w:pPr>
      <w:r>
        <w:rPr/>
        <w:t>（</w:t>
      </w:r>
      <w:r>
        <w:rPr>
          <w:rFonts w:ascii="Times New Roman" w:hAnsi="Times New Roman" w:cs="Times New Roman" w:eastAsia="Times New Roman" w:hint="default"/>
        </w:rPr>
        <w:t>3</w:t>
      </w:r>
      <w:r>
        <w:rPr/>
        <w:t>）少数股东权益和损益的列报 </w:t>
      </w:r>
      <w:r>
        <w:rPr>
          <w:spacing w:val="-1"/>
        </w:rPr>
        <w:t>子公司所有者权益中不属于母公司的份额，作为少数股东权益，在合并资产负债表中所有者权益项目</w:t>
      </w:r>
    </w:p>
    <w:p>
      <w:pPr>
        <w:pStyle w:val="BodyText"/>
        <w:spacing w:line="345" w:lineRule="auto" w:before="64"/>
        <w:ind w:left="574" w:right="194"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p>
    <w:p>
      <w:pPr>
        <w:pStyle w:val="BodyText"/>
        <w:spacing w:line="240" w:lineRule="auto" w:before="27"/>
        <w:ind w:right="0"/>
        <w:jc w:val="left"/>
      </w:pPr>
      <w:r>
        <w:rPr/>
        <w:t>列示。</w:t>
      </w:r>
    </w:p>
    <w:p>
      <w:pPr>
        <w:pStyle w:val="BodyText"/>
        <w:spacing w:line="345" w:lineRule="auto" w:before="145"/>
        <w:ind w:left="574" w:right="0"/>
        <w:jc w:val="left"/>
      </w:pPr>
      <w:r>
        <w:rPr/>
        <w:t>（</w:t>
      </w:r>
      <w:r>
        <w:rPr>
          <w:rFonts w:ascii="Times New Roman" w:hAnsi="Times New Roman" w:cs="Times New Roman" w:eastAsia="Times New Roman" w:hint="default"/>
        </w:rPr>
        <w:t>4</w:t>
      </w:r>
      <w:r>
        <w:rPr/>
        <w:t>）超额亏损的处理 </w:t>
      </w:r>
      <w:r>
        <w:rPr>
          <w:spacing w:val="-1"/>
        </w:rPr>
        <w:t>在合并财务报表中，子公司少数股东分担的当期亏损超过了少数股东在该子公司期初所有者权益中所</w:t>
      </w:r>
    </w:p>
    <w:p>
      <w:pPr>
        <w:pStyle w:val="BodyText"/>
        <w:spacing w:line="240" w:lineRule="auto" w:before="52"/>
        <w:ind w:right="0"/>
        <w:jc w:val="left"/>
      </w:pPr>
      <w:r>
        <w:rPr/>
        <w:t>享有的份额的，其余额仍应当冲减少数股东权益。</w:t>
      </w:r>
    </w:p>
    <w:p>
      <w:pPr>
        <w:pStyle w:val="BodyText"/>
        <w:spacing w:line="345" w:lineRule="auto" w:before="145"/>
        <w:ind w:left="574" w:right="0"/>
        <w:jc w:val="left"/>
      </w:pPr>
      <w:r>
        <w:rPr/>
        <w:t>（</w:t>
      </w:r>
      <w:r>
        <w:rPr>
          <w:rFonts w:ascii="Times New Roman" w:hAnsi="Times New Roman" w:cs="Times New Roman" w:eastAsia="Times New Roman" w:hint="default"/>
        </w:rPr>
        <w:t>5</w:t>
      </w:r>
      <w:r>
        <w:rPr/>
        <w:t>）当期增加减少子公司的合并报表处理 </w:t>
      </w:r>
      <w:r>
        <w:rPr>
          <w:spacing w:val="-1"/>
        </w:rPr>
        <w:t>在报告期内，因同一控制下企业合并增加的子公司，编制合并资产负债表时，调整合并资产负债表的</w:t>
      </w:r>
    </w:p>
    <w:p>
      <w:pPr>
        <w:pStyle w:val="BodyText"/>
        <w:spacing w:line="367" w:lineRule="auto" w:before="52"/>
        <w:ind w:right="0"/>
        <w:jc w:val="left"/>
      </w:pPr>
      <w:r>
        <w:rPr>
          <w:spacing w:val="-1"/>
        </w:rPr>
        <w:t>年初余额。因非同一控制下企业合并增加的子公司，编制合并资产负债表时，不调整合并资产负债表的年</w:t>
      </w:r>
      <w:r>
        <w:rPr>
          <w:spacing w:val="-83"/>
        </w:rPr>
        <w:t> </w:t>
      </w:r>
      <w:r>
        <w:rPr>
          <w:spacing w:val="-83"/>
        </w:rPr>
      </w:r>
      <w:r>
        <w:rPr/>
        <w:t>初余额。在报告期内处置子公司，编制合并资产负债表时，不调整合并资产负债表的年初余额。</w:t>
      </w:r>
    </w:p>
    <w:p>
      <w:pPr>
        <w:pStyle w:val="BodyText"/>
        <w:spacing w:line="367" w:lineRule="auto" w:before="34"/>
        <w:ind w:right="105" w:firstLine="420"/>
        <w:jc w:val="both"/>
      </w:pPr>
      <w:r>
        <w:rPr>
          <w:spacing w:val="-3"/>
        </w:rPr>
        <w:t>在报告期内，因同一控制下企业合并增加的子公司，将该子公司在合并当期的期初至报告期末的收入、</w:t>
      </w:r>
      <w:r>
        <w:rPr/>
        <w:t> 费用、利润纳入合并利润表。因非同一控制下企业合并增加的子公司，将该子公司自购买日至报告期末的</w:t>
      </w:r>
    </w:p>
    <w:p>
      <w:pPr>
        <w:spacing w:after="0" w:line="367" w:lineRule="auto"/>
        <w:jc w:val="both"/>
        <w:sectPr>
          <w:pgSz w:w="11910" w:h="16840"/>
          <w:pgMar w:header="851" w:footer="982" w:top="1200" w:bottom="1180" w:left="980" w:right="920"/>
        </w:sectPr>
      </w:pPr>
    </w:p>
    <w:p>
      <w:pPr>
        <w:spacing w:line="240" w:lineRule="auto" w:before="1"/>
        <w:rPr>
          <w:rFonts w:ascii="宋体" w:hAnsi="宋体" w:cs="宋体" w:eastAsia="宋体" w:hint="default"/>
          <w:sz w:val="11"/>
          <w:szCs w:val="11"/>
        </w:rPr>
      </w:pPr>
    </w:p>
    <w:p>
      <w:pPr>
        <w:pStyle w:val="BodyText"/>
        <w:spacing w:line="367" w:lineRule="auto" w:before="35"/>
        <w:ind w:right="209"/>
        <w:jc w:val="both"/>
      </w:pPr>
      <w:r>
        <w:rPr>
          <w:spacing w:val="-1"/>
        </w:rPr>
        <w:t>收入、费用、利润纳入合并利润表。在报告期内处置子公司，将该子公司期初至处置日的收入、费用、利</w:t>
      </w:r>
      <w:r>
        <w:rPr>
          <w:spacing w:val="-83"/>
        </w:rPr>
        <w:t> </w:t>
      </w:r>
      <w:r>
        <w:rPr>
          <w:spacing w:val="-83"/>
        </w:rPr>
      </w:r>
      <w:r>
        <w:rPr/>
        <w:t>润纳入合并利润表。</w:t>
      </w:r>
    </w:p>
    <w:p>
      <w:pPr>
        <w:pStyle w:val="BodyText"/>
        <w:spacing w:line="367" w:lineRule="auto" w:before="34"/>
        <w:ind w:right="105" w:firstLine="420"/>
        <w:jc w:val="both"/>
      </w:pPr>
      <w:r>
        <w:rPr/>
        <w:t>在报告期内，因同一控制下企业合并增加的子公司，将该子公司合并当期期初至报告期末的现金流量 纳入合并现金流量表。因非同一控制下企业合并增加的子公司，将该子公司购买日至报告期末的现金流量 </w:t>
      </w:r>
      <w:r>
        <w:rPr>
          <w:spacing w:val="-3"/>
        </w:rPr>
        <w:t>纳入合并现金流量表。在报告期内处置子公司，将该子公司期初至处置日的现金流量纳入合并现金流量表。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45" w:lineRule="auto"/>
        <w:ind w:left="574" w:right="0"/>
        <w:jc w:val="left"/>
      </w:pPr>
      <w:r>
        <w:rPr>
          <w:rFonts w:ascii="Times New Roman" w:hAnsi="Times New Roman" w:cs="Times New Roman" w:eastAsia="Times New Roman" w:hint="default"/>
        </w:rPr>
        <w:t>7</w:t>
      </w:r>
      <w:r>
        <w:rPr/>
        <w:t>、现金及现金等价物的确定标准 </w:t>
      </w:r>
      <w:r>
        <w:rPr>
          <w:spacing w:val="-1"/>
        </w:rPr>
        <w:t>现金及现金等价物是指企业持有的期限短（一般指从购买日起三个月内到期）、流动性强、易于转换</w:t>
      </w:r>
    </w:p>
    <w:p>
      <w:pPr>
        <w:pStyle w:val="BodyText"/>
        <w:spacing w:line="240" w:lineRule="auto" w:before="52"/>
        <w:ind w:right="0"/>
        <w:jc w:val="both"/>
      </w:pPr>
      <w:r>
        <w:rPr/>
        <w:t>为已知金额现金、价值变动风险很小的投资。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345" w:lineRule="auto"/>
        <w:ind w:left="574" w:right="3530"/>
        <w:jc w:val="left"/>
      </w:pPr>
      <w:r>
        <w:rPr>
          <w:rFonts w:ascii="Times New Roman" w:hAnsi="Times New Roman" w:cs="Times New Roman" w:eastAsia="Times New Roman" w:hint="default"/>
        </w:rPr>
        <w:t>8</w:t>
      </w:r>
      <w:r>
        <w:rPr/>
        <w:t>、</w:t>
      </w:r>
      <w:r>
        <w:rPr>
          <w:spacing w:val="-1"/>
        </w:rPr>
        <w:t> </w:t>
      </w:r>
      <w:r>
        <w:rPr/>
        <w:t>外币业务核算方法</w:t>
      </w:r>
      <w:r>
        <w:rPr/>
        <w:t> 本公司外币交易均按交易发生日的即期汇率折算为记账本位币。</w:t>
      </w:r>
    </w:p>
    <w:p>
      <w:pPr>
        <w:pStyle w:val="BodyText"/>
        <w:spacing w:line="345" w:lineRule="auto" w:before="52"/>
        <w:ind w:left="574" w:right="170"/>
        <w:jc w:val="left"/>
      </w:pPr>
      <w:r>
        <w:rPr/>
        <w:t>（</w:t>
      </w:r>
      <w:r>
        <w:rPr>
          <w:rFonts w:ascii="Times New Roman" w:hAnsi="Times New Roman" w:cs="Times New Roman" w:eastAsia="Times New Roman" w:hint="default"/>
        </w:rPr>
        <w:t>1</w:t>
      </w:r>
      <w:r>
        <w:rPr/>
        <w:t>）汇兑差额的处理 在资产负债表日，按照下列规定对外币货币性项目和外币非货币性项目进行处理：外币货币性项目，</w:t>
      </w:r>
    </w:p>
    <w:p>
      <w:pPr>
        <w:pStyle w:val="BodyText"/>
        <w:spacing w:line="367" w:lineRule="auto" w:before="52"/>
        <w:ind w:right="188"/>
        <w:jc w:val="both"/>
      </w:pPr>
      <w:r>
        <w:rPr>
          <w:spacing w:val="-1"/>
        </w:rPr>
        <w:t>采用资产负债表日即期汇率折算。因资产负债表日即期汇率与初始确认时或前一资产负债表日即期汇率不</w:t>
      </w:r>
      <w:r>
        <w:rPr>
          <w:spacing w:val="-81"/>
        </w:rPr>
        <w:t> </w:t>
      </w:r>
      <w:r>
        <w:rPr>
          <w:spacing w:val="-81"/>
        </w:rPr>
      </w:r>
      <w:r>
        <w:rPr>
          <w:spacing w:val="-1"/>
        </w:rPr>
        <w:t>同而产生的汇兑差额，计入当期损益；以历史成本计量的外币非货币性项目，仍采用交易发生日的即期汇</w:t>
      </w:r>
      <w:r>
        <w:rPr>
          <w:spacing w:val="-83"/>
        </w:rPr>
        <w:t> </w:t>
      </w:r>
      <w:r>
        <w:rPr>
          <w:spacing w:val="-83"/>
        </w:rPr>
      </w:r>
      <w:r>
        <w:rPr>
          <w:spacing w:val="-1"/>
        </w:rPr>
        <w:t>率折算，不改变其记账本位币金额；以公允价值计量的外币非货币性项目，采用公允价值确定日的即期汇</w:t>
      </w:r>
      <w:r>
        <w:rPr>
          <w:spacing w:val="-83"/>
        </w:rPr>
        <w:t> </w:t>
      </w:r>
      <w:r>
        <w:rPr>
          <w:spacing w:val="-83"/>
        </w:rPr>
      </w:r>
      <w:r>
        <w:rPr/>
        <w:t>率折算，折算后的记账本位币金额与原记账本位币金额的差额，作为公允价值变动（含汇率变动）处理， </w:t>
      </w:r>
      <w:r>
        <w:rPr>
          <w:spacing w:val="-1"/>
        </w:rPr>
        <w:t>计入当期损益；在资本化期间内，外币专门借款本金及利息的汇兑差额，予以资本化，计入符合资本化条</w:t>
      </w:r>
      <w:r>
        <w:rPr>
          <w:spacing w:val="-86"/>
        </w:rPr>
        <w:t> </w:t>
      </w:r>
      <w:r>
        <w:rPr>
          <w:spacing w:val="-86"/>
        </w:rPr>
      </w:r>
      <w:r>
        <w:rPr/>
        <w:t>件的资产的成本。</w:t>
      </w:r>
    </w:p>
    <w:p>
      <w:pPr>
        <w:pStyle w:val="BodyText"/>
        <w:spacing w:line="379" w:lineRule="auto" w:before="73"/>
        <w:ind w:left="574" w:right="0"/>
        <w:jc w:val="left"/>
      </w:pPr>
      <w:r>
        <w:rPr/>
        <w:t>（</w:t>
      </w:r>
      <w:r>
        <w:rPr>
          <w:rFonts w:ascii="Times New Roman" w:hAnsi="Times New Roman" w:cs="Times New Roman" w:eastAsia="Times New Roman" w:hint="default"/>
        </w:rPr>
        <w:t>2</w:t>
      </w:r>
      <w:r>
        <w:rPr/>
        <w:t>）外币财务报表的折算 </w:t>
      </w:r>
      <w:r>
        <w:rPr>
          <w:spacing w:val="-1"/>
        </w:rPr>
        <w:t>本公司对境外经营的财务报表进行折算时，遵循下列规定：资产负债表中的资产和负债项目，采用资</w:t>
      </w:r>
    </w:p>
    <w:p>
      <w:pPr>
        <w:pStyle w:val="BodyText"/>
        <w:spacing w:line="393" w:lineRule="auto" w:before="64"/>
        <w:ind w:right="209"/>
        <w:jc w:val="both"/>
      </w:pPr>
      <w:r>
        <w:rPr/>
        <w:t>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 </w:t>
      </w:r>
      <w:r>
        <w:rPr>
          <w:spacing w:val="-1"/>
        </w:rPr>
        <w:t>算；利润表中的收入和费用项目，采用按照系统合理的方法确定的、与交易发生日即期汇率近似的汇率折</w:t>
      </w:r>
      <w:r>
        <w:rPr>
          <w:spacing w:val="-83"/>
        </w:rPr>
        <w:t> </w:t>
      </w:r>
      <w:r>
        <w:rPr>
          <w:spacing w:val="-83"/>
        </w:rPr>
      </w:r>
      <w:r>
        <w:rPr>
          <w:spacing w:val="-1"/>
        </w:rPr>
        <w:t>算。按照上述折算产生的外币财务报表折算差额，在资产负债表中所有者权益项目下单独列示。比较财务</w:t>
      </w:r>
      <w:r>
        <w:rPr>
          <w:spacing w:val="-83"/>
        </w:rPr>
        <w:t> </w:t>
      </w:r>
      <w:r>
        <w:rPr>
          <w:spacing w:val="-83"/>
        </w:rPr>
      </w:r>
      <w:r>
        <w:rPr/>
        <w:t>报表的折算比照上述规定处理。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574" w:right="0"/>
        <w:jc w:val="left"/>
      </w:pPr>
      <w:r>
        <w:rPr>
          <w:rFonts w:ascii="Times New Roman" w:hAnsi="Times New Roman" w:cs="Times New Roman" w:eastAsia="Times New Roman" w:hint="default"/>
        </w:rPr>
        <w:t>9</w:t>
      </w:r>
      <w:r>
        <w:rPr/>
        <w:t>、</w:t>
      </w:r>
      <w:r>
        <w:rPr>
          <w:spacing w:val="-2"/>
        </w:rPr>
        <w:t> </w:t>
      </w:r>
      <w:r>
        <w:rPr/>
        <w:t>金融工具的确认和计量</w:t>
      </w:r>
    </w:p>
    <w:p>
      <w:pPr>
        <w:pStyle w:val="BodyText"/>
        <w:spacing w:line="379" w:lineRule="auto" w:before="170"/>
        <w:ind w:left="574" w:right="3110"/>
        <w:jc w:val="left"/>
      </w:pPr>
      <w:r>
        <w:rPr/>
        <w:t>（</w:t>
      </w:r>
      <w:r>
        <w:rPr>
          <w:rFonts w:ascii="Times New Roman" w:hAnsi="Times New Roman" w:cs="Times New Roman" w:eastAsia="Times New Roman" w:hint="default"/>
        </w:rPr>
        <w:t>1</w:t>
      </w:r>
      <w:r>
        <w:rPr/>
        <w:t>）金融工具的确认 本公司成为金融工具合同的一方时，确认一项金融资产或金融负债。</w:t>
      </w:r>
    </w:p>
    <w:p>
      <w:pPr>
        <w:pStyle w:val="BodyText"/>
        <w:spacing w:line="240" w:lineRule="auto" w:before="63"/>
        <w:ind w:left="574" w:right="0"/>
        <w:jc w:val="left"/>
      </w:pPr>
      <w:r>
        <w:rPr/>
        <w:t>（</w:t>
      </w:r>
      <w:r>
        <w:rPr>
          <w:rFonts w:ascii="Times New Roman" w:hAnsi="Times New Roman" w:cs="Times New Roman" w:eastAsia="Times New Roman" w:hint="default"/>
        </w:rPr>
        <w:t>2</w:t>
      </w:r>
      <w:r>
        <w:rPr/>
        <w:t>）金融资产的分类和计量</w:t>
      </w:r>
    </w:p>
    <w:p>
      <w:pPr>
        <w:pStyle w:val="BodyText"/>
        <w:spacing w:line="240" w:lineRule="auto" w:before="170"/>
        <w:ind w:left="574" w:right="0"/>
        <w:jc w:val="left"/>
      </w:pPr>
      <w:r>
        <w:rPr/>
        <w:t>①本公司将持有的金融资产划分为以公允价值计量且其变动计入当期损益的金融资产、持有至到期投</w:t>
      </w:r>
    </w:p>
    <w:p>
      <w:pPr>
        <w:spacing w:after="0" w:line="240" w:lineRule="auto"/>
        <w:jc w:val="left"/>
        <w:sectPr>
          <w:pgSz w:w="11910" w:h="16840"/>
          <w:pgMar w:header="851" w:footer="982" w:top="1200" w:bottom="1180" w:left="980" w:right="920"/>
        </w:sectPr>
      </w:pPr>
    </w:p>
    <w:p>
      <w:pPr>
        <w:spacing w:line="240" w:lineRule="auto" w:before="1"/>
        <w:rPr>
          <w:rFonts w:ascii="宋体" w:hAnsi="宋体" w:cs="宋体" w:eastAsia="宋体" w:hint="default"/>
          <w:sz w:val="14"/>
          <w:szCs w:val="14"/>
        </w:rPr>
      </w:pPr>
    </w:p>
    <w:p>
      <w:pPr>
        <w:pStyle w:val="BodyText"/>
        <w:spacing w:line="240" w:lineRule="auto" w:before="35"/>
        <w:ind w:right="0"/>
        <w:jc w:val="both"/>
      </w:pPr>
      <w:r>
        <w:rPr/>
        <w:t>资、贷款和应收款项、可供出售金融资产。</w:t>
      </w:r>
    </w:p>
    <w:p>
      <w:pPr>
        <w:spacing w:line="240" w:lineRule="auto" w:before="2"/>
        <w:rPr>
          <w:rFonts w:ascii="宋体" w:hAnsi="宋体" w:cs="宋体" w:eastAsia="宋体" w:hint="default"/>
          <w:sz w:val="14"/>
          <w:szCs w:val="14"/>
        </w:rPr>
      </w:pPr>
    </w:p>
    <w:p>
      <w:pPr>
        <w:pStyle w:val="BodyText"/>
        <w:spacing w:line="403" w:lineRule="auto"/>
        <w:ind w:right="128" w:firstLine="420"/>
        <w:jc w:val="both"/>
      </w:pPr>
      <w:r>
        <w:rPr/>
        <w:t>②金融资产在初始确认时以公允价值计量。对于以公允价值计量且其变动计入当期损益的金融资产， 相关交易费用直接计入当期损益；对于其他类别的金融资产，相关交易费用计入初始确认金额。</w:t>
      </w:r>
    </w:p>
    <w:p>
      <w:pPr>
        <w:pStyle w:val="BodyText"/>
        <w:spacing w:line="240" w:lineRule="auto" w:before="42"/>
        <w:ind w:left="574" w:right="3476"/>
        <w:jc w:val="left"/>
      </w:pPr>
      <w:r>
        <w:rPr/>
        <w:t>③金融资产的后续计量</w:t>
      </w:r>
    </w:p>
    <w:p>
      <w:pPr>
        <w:spacing w:line="240" w:lineRule="auto" w:before="2"/>
        <w:rPr>
          <w:rFonts w:ascii="宋体" w:hAnsi="宋体" w:cs="宋体" w:eastAsia="宋体" w:hint="default"/>
          <w:sz w:val="14"/>
          <w:szCs w:val="14"/>
        </w:rPr>
      </w:pPr>
    </w:p>
    <w:p>
      <w:pPr>
        <w:pStyle w:val="BodyText"/>
        <w:spacing w:line="391" w:lineRule="auto"/>
        <w:ind w:right="149" w:firstLine="420"/>
        <w:jc w:val="both"/>
      </w:pPr>
      <w:r>
        <w:rPr>
          <w:rFonts w:ascii="Times New Roman" w:hAnsi="Times New Roman" w:cs="Times New Roman" w:eastAsia="Times New Roman" w:hint="default"/>
        </w:rPr>
        <w:t>A</w:t>
      </w:r>
      <w:r>
        <w:rPr/>
        <w:t>、以公允价值计量且其变动计入当期损益的金融资产，包括交易性金融资产和指定为以公允价值计 </w:t>
      </w:r>
      <w:r>
        <w:rPr>
          <w:spacing w:val="-1"/>
        </w:rPr>
        <w:t>量且其变动计入当期损益的金融资产，采用公允价值进行后续计量，公允价值变动形成的利得或损失，计</w:t>
      </w:r>
      <w:r>
        <w:rPr>
          <w:spacing w:val="-83"/>
        </w:rPr>
        <w:t> </w:t>
      </w:r>
      <w:r>
        <w:rPr>
          <w:spacing w:val="-83"/>
        </w:rPr>
      </w:r>
      <w:r>
        <w:rPr/>
        <w:t>入当期损益。</w:t>
      </w:r>
    </w:p>
    <w:p>
      <w:pPr>
        <w:pStyle w:val="BodyText"/>
        <w:spacing w:line="379" w:lineRule="auto" w:before="52"/>
        <w:ind w:right="197" w:firstLine="420"/>
        <w:jc w:val="both"/>
      </w:pPr>
      <w:r>
        <w:rPr>
          <w:rFonts w:ascii="Times New Roman" w:hAnsi="Times New Roman" w:cs="Times New Roman" w:eastAsia="Times New Roman" w:hint="default"/>
        </w:rPr>
        <w:t>B</w:t>
      </w:r>
      <w:r>
        <w:rPr/>
        <w:t>、持有至到期投资，采用实际利率法，按摊余成本进行后续计量，终止确认、减值以及摊销形成的 利得或损失，计入当期损益。</w:t>
      </w:r>
    </w:p>
    <w:p>
      <w:pPr>
        <w:pStyle w:val="BodyText"/>
        <w:spacing w:line="379" w:lineRule="auto" w:before="63"/>
        <w:ind w:right="197" w:firstLine="420"/>
        <w:jc w:val="both"/>
      </w:pPr>
      <w:r>
        <w:rPr>
          <w:rFonts w:ascii="Times New Roman" w:hAnsi="Times New Roman" w:cs="Times New Roman" w:eastAsia="Times New Roman" w:hint="default"/>
        </w:rPr>
        <w:t>C</w:t>
      </w:r>
      <w:r>
        <w:rPr/>
        <w:t>、贷款和应收款项，采用实际利率法，按摊余成本进行后续计量，终止确认、减值以及摊销形成的 利得或损失，计入当期损益。</w:t>
      </w:r>
    </w:p>
    <w:p>
      <w:pPr>
        <w:pStyle w:val="BodyText"/>
        <w:spacing w:line="391" w:lineRule="auto" w:before="64"/>
        <w:ind w:right="128" w:firstLine="420"/>
        <w:jc w:val="both"/>
      </w:pPr>
      <w:r>
        <w:rPr>
          <w:rFonts w:ascii="Times New Roman" w:hAnsi="Times New Roman" w:cs="Times New Roman" w:eastAsia="Times New Roman" w:hint="default"/>
        </w:rPr>
        <w:t>D</w:t>
      </w:r>
      <w:r>
        <w:rPr/>
        <w:t>、可供出售金融资产，采用公允价值进行后续计量，公允价值变动计入资本公积，在该可供出售金 融资产发生减值或终止确认时转出，计入当期损益。可供出售金融资产持有期间实现的利息或现金股利， 计入当期损益。</w:t>
      </w:r>
    </w:p>
    <w:p>
      <w:pPr>
        <w:pStyle w:val="BodyText"/>
        <w:spacing w:line="240" w:lineRule="auto" w:before="53"/>
        <w:ind w:left="574" w:right="3476"/>
        <w:jc w:val="left"/>
      </w:pPr>
      <w:r>
        <w:rPr/>
        <w:t>④金融资产的减值准备</w:t>
      </w:r>
    </w:p>
    <w:p>
      <w:pPr>
        <w:spacing w:line="240" w:lineRule="auto" w:before="2"/>
        <w:rPr>
          <w:rFonts w:ascii="宋体" w:hAnsi="宋体" w:cs="宋体" w:eastAsia="宋体" w:hint="default"/>
          <w:sz w:val="14"/>
          <w:szCs w:val="14"/>
        </w:rPr>
      </w:pPr>
    </w:p>
    <w:p>
      <w:pPr>
        <w:pStyle w:val="BodyText"/>
        <w:spacing w:line="379" w:lineRule="auto"/>
        <w:ind w:right="187" w:firstLine="420"/>
        <w:jc w:val="both"/>
      </w:pPr>
      <w:r>
        <w:rPr>
          <w:rFonts w:ascii="Times New Roman" w:hAnsi="Times New Roman" w:cs="Times New Roman" w:eastAsia="Times New Roman" w:hint="default"/>
        </w:rPr>
        <w:t>A</w:t>
      </w:r>
      <w:r>
        <w:rPr/>
        <w:t>、本公司在期末对以公允价值计量且其变动计入当期损益的金融资产以外的金融资产的账面价值进 行检查，有客观证据表明该金融资产发生减值的，确认减值损失，计提减值准备。</w:t>
      </w:r>
    </w:p>
    <w:p>
      <w:pPr>
        <w:pStyle w:val="BodyText"/>
        <w:spacing w:line="345" w:lineRule="auto" w:before="24"/>
        <w:ind w:left="574" w:right="146"/>
        <w:jc w:val="left"/>
      </w:pPr>
      <w:r>
        <w:rPr>
          <w:rFonts w:ascii="Times New Roman" w:hAnsi="Times New Roman" w:cs="Times New Roman" w:eastAsia="Times New Roman" w:hint="default"/>
        </w:rPr>
        <w:t>B</w:t>
      </w:r>
      <w:r>
        <w:rPr/>
        <w:t>、本公司确定金融资产发生减值的客观证据包括下列各项：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）债权人出于经济或法律等方面因素的考虑，对发生财务困难的债务人作出让步；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w:t>
      </w:r>
    </w:p>
    <w:p>
      <w:pPr>
        <w:pStyle w:val="BodyText"/>
        <w:spacing w:line="367" w:lineRule="auto" w:before="27"/>
        <w:ind w:right="149"/>
        <w:jc w:val="both"/>
      </w:pP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BodyText"/>
        <w:spacing w:line="345" w:lineRule="auto" w:before="34"/>
        <w:ind w:right="215" w:firstLine="420"/>
        <w:jc w:val="left"/>
      </w:pPr>
      <w:r>
        <w:rPr>
          <w:rFonts w:ascii="Times New Roman" w:hAnsi="Times New Roman" w:cs="Times New Roman" w:eastAsia="Times New Roman" w:hint="default"/>
        </w:rPr>
        <w:t>g</w:t>
      </w:r>
      <w:r>
        <w:rPr/>
        <w:t>）债务人经营所处的技术、市场、经济或法律环境等发生重大不利变化，使权益工具投资人可能无 法收回投资成本；</w:t>
      </w:r>
    </w:p>
    <w:p>
      <w:pPr>
        <w:pStyle w:val="BodyText"/>
        <w:spacing w:line="345" w:lineRule="auto" w:before="52"/>
        <w:ind w:left="574" w:right="4205"/>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C</w:t>
      </w:r>
      <w:r>
        <w:rPr/>
        <w:t>、金融资产减值损失的计量</w:t>
      </w:r>
    </w:p>
    <w:p>
      <w:pPr>
        <w:spacing w:after="0" w:line="345" w:lineRule="auto"/>
        <w:jc w:val="left"/>
        <w:sectPr>
          <w:pgSz w:w="11910" w:h="16840"/>
          <w:pgMar w:header="851" w:footer="982" w:top="1200" w:bottom="1180" w:left="980" w:right="980"/>
        </w:sectPr>
      </w:pPr>
    </w:p>
    <w:p>
      <w:pPr>
        <w:spacing w:line="240" w:lineRule="auto" w:before="1"/>
        <w:rPr>
          <w:rFonts w:ascii="宋体" w:hAnsi="宋体" w:cs="宋体" w:eastAsia="宋体" w:hint="default"/>
          <w:sz w:val="11"/>
          <w:szCs w:val="11"/>
        </w:rPr>
      </w:pPr>
    </w:p>
    <w:p>
      <w:pPr>
        <w:pStyle w:val="BodyText"/>
        <w:spacing w:line="345" w:lineRule="auto" w:before="35"/>
        <w:ind w:left="574" w:right="0"/>
        <w:jc w:val="left"/>
      </w:pPr>
      <w:r>
        <w:rPr>
          <w:rFonts w:ascii="Times New Roman" w:hAnsi="Times New Roman" w:cs="Times New Roman" w:eastAsia="Times New Roman" w:hint="default"/>
        </w:rPr>
        <w:t>a</w:t>
      </w:r>
      <w:r>
        <w:rPr/>
        <w:t>）持有至到期投资、贷款和应收款项减值损失的计量 </w:t>
      </w:r>
      <w:r>
        <w:rPr>
          <w:spacing w:val="-1"/>
        </w:rPr>
        <w:t>持有至到期投资、贷款和应收款项（以摊余成本后续计量的金融资产）的减值准备，按该金融资产预</w:t>
      </w:r>
    </w:p>
    <w:p>
      <w:pPr>
        <w:pStyle w:val="BodyText"/>
        <w:spacing w:line="367" w:lineRule="auto" w:before="52"/>
        <w:ind w:left="574" w:right="0" w:hanging="420"/>
        <w:jc w:val="left"/>
      </w:pPr>
      <w:r>
        <w:rPr/>
        <w:t>计未来现金流量现值低于其账面价值的差额计提，计入当期损益。 </w:t>
      </w:r>
      <w:r>
        <w:rPr>
          <w:spacing w:val="-1"/>
        </w:rPr>
        <w:t>本公司对单项金额重大的金融资产单独进行减值测试，对单项金额不重大的金融资产，单独或包括在</w:t>
      </w:r>
    </w:p>
    <w:p>
      <w:pPr>
        <w:pStyle w:val="BodyText"/>
        <w:spacing w:line="367" w:lineRule="auto" w:before="34"/>
        <w:ind w:right="209"/>
        <w:jc w:val="both"/>
      </w:pPr>
      <w:r>
        <w:rPr>
          <w:spacing w:val="-1"/>
        </w:rPr>
        <w:t>具有类似信用风险特征的金融资产组合中进行减值测试。单独测试未发生减值的金融资产，无论单项金额</w:t>
      </w:r>
      <w:r>
        <w:rPr>
          <w:spacing w:val="-81"/>
        </w:rPr>
        <w:t> </w:t>
      </w:r>
      <w:r>
        <w:rPr>
          <w:spacing w:val="-81"/>
        </w:rPr>
      </w:r>
      <w:r>
        <w:rPr>
          <w:spacing w:val="-1"/>
        </w:rPr>
        <w:t>重大与否，仍将包括在具有类似信用风险特征的金融资产组合中再进行减值测试。已单独确认减值损失的</w:t>
      </w:r>
      <w:r>
        <w:rPr>
          <w:spacing w:val="-81"/>
        </w:rPr>
        <w:t> </w:t>
      </w:r>
      <w:r>
        <w:rPr>
          <w:spacing w:val="-81"/>
        </w:rPr>
      </w:r>
      <w:r>
        <w:rPr/>
        <w:t>金融资产，不包括在具有类似信用风险特征的金融资产组合中进行减值测试。</w:t>
      </w:r>
    </w:p>
    <w:p>
      <w:pPr>
        <w:pStyle w:val="BodyText"/>
        <w:spacing w:line="367" w:lineRule="auto" w:before="34"/>
        <w:ind w:right="0" w:firstLine="420"/>
        <w:jc w:val="left"/>
      </w:pPr>
      <w:r>
        <w:rPr>
          <w:spacing w:val="-1"/>
        </w:rPr>
        <w:t>本公司对以摊余成本计量的金融资产确认资产减值损失后，如有客观证据表明该金融资产价值已经恢</w:t>
      </w:r>
      <w:r>
        <w:rPr/>
        <w:t> 复，且客观上与确认该损失后发生的事项有关，原确认的减值损失予以转回，计入当期损益。</w:t>
      </w:r>
    </w:p>
    <w:p>
      <w:pPr>
        <w:pStyle w:val="BodyText"/>
        <w:spacing w:line="345" w:lineRule="auto" w:before="34"/>
        <w:ind w:left="574" w:right="0"/>
        <w:jc w:val="left"/>
      </w:pPr>
      <w:r>
        <w:rPr>
          <w:rFonts w:ascii="Times New Roman" w:hAnsi="Times New Roman" w:cs="Times New Roman" w:eastAsia="Times New Roman" w:hint="default"/>
        </w:rPr>
        <w:t>b</w:t>
      </w:r>
      <w:r>
        <w:rPr/>
        <w:t>）可供出售金融资产 </w:t>
      </w:r>
      <w:r>
        <w:rPr>
          <w:spacing w:val="-1"/>
        </w:rPr>
        <w:t>可供出售金融资产的公允价值发生非暂时性下跌时，即使该金融资产没有终止确认，原直接计入资本</w:t>
      </w:r>
    </w:p>
    <w:p>
      <w:pPr>
        <w:pStyle w:val="BodyText"/>
        <w:spacing w:line="367" w:lineRule="auto" w:before="52"/>
        <w:ind w:left="574" w:right="0" w:hanging="420"/>
        <w:jc w:val="left"/>
      </w:pPr>
      <w:r>
        <w:rPr/>
        <w:t>公积的因公允价值下降形成的累计损失，亦予以转出，计入当期损益。 </w:t>
      </w:r>
      <w:r>
        <w:rPr>
          <w:spacing w:val="-1"/>
        </w:rPr>
        <w:t>在活跃市场中没有报价且其公允价值不能可靠计量的可供出售权益工具投资，或与该权益工具挂钩并</w:t>
      </w:r>
    </w:p>
    <w:p>
      <w:pPr>
        <w:pStyle w:val="BodyText"/>
        <w:spacing w:line="367" w:lineRule="auto" w:before="34"/>
        <w:ind w:right="101"/>
        <w:jc w:val="left"/>
      </w:pPr>
      <w:r>
        <w:rPr/>
        <w:t>须通过交付该权益工具结算的衍生金融资产发生减值时，本公司将该权益工具投资或衍生金融资产的账面 </w:t>
      </w:r>
      <w:r>
        <w:rPr>
          <w:spacing w:val="-3"/>
        </w:rPr>
        <w:t>价值，与按照类似金融资产当时市场收益率对未来现金流量折现确定的现值之间的差额，确认为减值损失，</w:t>
      </w:r>
      <w:r>
        <w:rPr>
          <w:spacing w:val="-92"/>
        </w:rPr>
        <w:t> </w:t>
      </w:r>
      <w:r>
        <w:rPr>
          <w:spacing w:val="-92"/>
        </w:rPr>
      </w:r>
      <w:r>
        <w:rPr/>
        <w:t>计入当期损益。</w:t>
      </w:r>
    </w:p>
    <w:p>
      <w:pPr>
        <w:pStyle w:val="BodyText"/>
        <w:spacing w:line="400" w:lineRule="auto" w:before="73"/>
        <w:ind w:right="0" w:firstLine="420"/>
        <w:jc w:val="left"/>
      </w:pPr>
      <w:r>
        <w:rPr>
          <w:spacing w:val="-1"/>
        </w:rPr>
        <w:t>对可供出售债务工具确认资产减值损失后，如有客观证据表明该金融资产价值已经恢复，且客观上与</w:t>
      </w:r>
      <w:r>
        <w:rPr/>
        <w:t> 确认损失后发生的事项有关，原确认的减值损失予以转回，计入当期损益。</w:t>
      </w:r>
    </w:p>
    <w:p>
      <w:pPr>
        <w:pStyle w:val="BodyText"/>
        <w:spacing w:line="400" w:lineRule="auto" w:before="45"/>
        <w:ind w:right="0" w:firstLine="420"/>
        <w:jc w:val="left"/>
      </w:pPr>
      <w:r>
        <w:rPr>
          <w:spacing w:val="-1"/>
        </w:rPr>
        <w:t>可供出售权益工具投资发生的减值损失，不得通过损益转回。同时，在活跃市场中没有报价且其公允</w:t>
      </w:r>
      <w:r>
        <w:rPr/>
        <w:t> 价值不能可靠计量的权益工具投资或与该权益工具挂钩并须通过交付该权益工具结算的衍生金融资产发 生的减值损失，不予转回。</w:t>
      </w:r>
    </w:p>
    <w:p>
      <w:pPr>
        <w:pStyle w:val="BodyText"/>
        <w:spacing w:line="240" w:lineRule="auto" w:before="45"/>
        <w:ind w:left="574" w:right="0"/>
        <w:jc w:val="left"/>
      </w:pPr>
      <w:r>
        <w:rPr/>
        <w:t>（</w:t>
      </w:r>
      <w:r>
        <w:rPr>
          <w:rFonts w:ascii="Times New Roman" w:hAnsi="Times New Roman" w:cs="Times New Roman" w:eastAsia="Times New Roman" w:hint="default"/>
        </w:rPr>
        <w:t>3</w:t>
      </w:r>
      <w:r>
        <w:rPr/>
        <w:t>）金融负债的分类和计量</w:t>
      </w:r>
    </w:p>
    <w:p>
      <w:pPr>
        <w:pStyle w:val="BodyText"/>
        <w:spacing w:line="240" w:lineRule="auto" w:before="169"/>
        <w:ind w:left="574" w:right="0"/>
        <w:jc w:val="left"/>
      </w:pPr>
      <w:r>
        <w:rPr/>
        <w:t>①本公司将持有的金融负债分为以公允价值计量且其变动计入当期损益的金融负债和其他金融负债。</w:t>
      </w:r>
    </w:p>
    <w:p>
      <w:pPr>
        <w:spacing w:line="240" w:lineRule="auto" w:before="2"/>
        <w:rPr>
          <w:rFonts w:ascii="宋体" w:hAnsi="宋体" w:cs="宋体" w:eastAsia="宋体" w:hint="default"/>
          <w:sz w:val="14"/>
          <w:szCs w:val="14"/>
        </w:rPr>
      </w:pPr>
    </w:p>
    <w:p>
      <w:pPr>
        <w:pStyle w:val="BodyText"/>
        <w:spacing w:line="403" w:lineRule="auto"/>
        <w:ind w:right="170" w:firstLine="420"/>
        <w:jc w:val="left"/>
      </w:pPr>
      <w:r>
        <w:rPr/>
        <w:t>②金融负债在初始确认时以公允价值计量。对于以公允价值计量且其变动计入当期损益的金融负债， 相关交易费用直接计入当期损益；对于其他金融负债，相关交易费用计入初始确认金额。</w:t>
      </w:r>
    </w:p>
    <w:p>
      <w:pPr>
        <w:pStyle w:val="BodyText"/>
        <w:spacing w:line="240" w:lineRule="auto" w:before="42"/>
        <w:ind w:left="574" w:right="0"/>
        <w:jc w:val="left"/>
      </w:pPr>
      <w:r>
        <w:rPr/>
        <w:t>③金融负债的后续计量</w:t>
      </w:r>
    </w:p>
    <w:p>
      <w:pPr>
        <w:spacing w:line="240" w:lineRule="auto" w:before="2"/>
        <w:rPr>
          <w:rFonts w:ascii="宋体" w:hAnsi="宋体" w:cs="宋体" w:eastAsia="宋体" w:hint="default"/>
          <w:sz w:val="14"/>
          <w:szCs w:val="14"/>
        </w:rPr>
      </w:pPr>
    </w:p>
    <w:p>
      <w:pPr>
        <w:pStyle w:val="BodyText"/>
        <w:spacing w:line="391" w:lineRule="auto"/>
        <w:ind w:right="209" w:firstLine="420"/>
        <w:jc w:val="both"/>
      </w:pPr>
      <w:r>
        <w:rPr>
          <w:rFonts w:ascii="Times New Roman" w:hAnsi="Times New Roman" w:cs="Times New Roman" w:eastAsia="Times New Roman" w:hint="default"/>
        </w:rPr>
        <w:t>A</w:t>
      </w:r>
      <w:r>
        <w:rPr/>
        <w:t>、以公允价值计量且其变动计入当期损益的金融负债，包括交易性金融负债和指定为以公允价值计 </w:t>
      </w:r>
      <w:r>
        <w:rPr>
          <w:spacing w:val="-1"/>
        </w:rPr>
        <w:t>量且其变动计入当期损益的金融负债，采用公允价值进行后续计量，公允价值变动形成的利得或损失，计</w:t>
      </w:r>
      <w:r>
        <w:rPr>
          <w:spacing w:val="-83"/>
        </w:rPr>
        <w:t> </w:t>
      </w:r>
      <w:r>
        <w:rPr>
          <w:spacing w:val="-83"/>
        </w:rPr>
      </w:r>
      <w:r>
        <w:rPr/>
        <w:t>入当期损益。</w:t>
      </w:r>
    </w:p>
    <w:p>
      <w:pPr>
        <w:pStyle w:val="BodyText"/>
        <w:spacing w:line="240" w:lineRule="auto" w:before="52"/>
        <w:ind w:left="574" w:right="0"/>
        <w:jc w:val="left"/>
      </w:pPr>
      <w:r>
        <w:rPr>
          <w:rFonts w:ascii="Times New Roman" w:hAnsi="Times New Roman" w:cs="Times New Roman" w:eastAsia="Times New Roman" w:hint="default"/>
        </w:rPr>
        <w:t>B</w:t>
      </w:r>
      <w:r>
        <w:rPr/>
        <w:t>、其他金融负债，采用实际利率法，按摊余成本进行后续计量。</w:t>
      </w:r>
    </w:p>
    <w:p>
      <w:pPr>
        <w:pStyle w:val="BodyText"/>
        <w:spacing w:line="240" w:lineRule="auto" w:before="170"/>
        <w:ind w:left="574" w:right="0"/>
        <w:jc w:val="left"/>
      </w:pPr>
      <w:r>
        <w:rPr/>
        <w:t>（</w:t>
      </w:r>
      <w:r>
        <w:rPr>
          <w:rFonts w:ascii="Times New Roman" w:hAnsi="Times New Roman" w:cs="Times New Roman" w:eastAsia="Times New Roman" w:hint="default"/>
        </w:rPr>
        <w:t>4</w:t>
      </w:r>
      <w:r>
        <w:rPr/>
        <w:t>）金融工具公允价值的确定方法</w:t>
      </w:r>
    </w:p>
    <w:p>
      <w:pPr>
        <w:pStyle w:val="BodyText"/>
        <w:spacing w:line="240" w:lineRule="auto" w:before="169"/>
        <w:ind w:left="574" w:right="0"/>
        <w:jc w:val="left"/>
      </w:pPr>
      <w:r>
        <w:rPr/>
        <w:t>①如果该金融工具存在活跃市场，则采用活跃市场中的报价确定其公允价值。</w:t>
      </w:r>
    </w:p>
    <w:p>
      <w:pPr>
        <w:spacing w:after="0" w:line="240" w:lineRule="auto"/>
        <w:jc w:val="left"/>
        <w:sectPr>
          <w:footerReference w:type="default" r:id="rId37"/>
          <w:pgSz w:w="11910" w:h="16840"/>
          <w:pgMar w:footer="982" w:header="851" w:top="1200" w:bottom="1180" w:left="980" w:right="920"/>
          <w:pgNumType w:start="73"/>
        </w:sectPr>
      </w:pPr>
    </w:p>
    <w:p>
      <w:pPr>
        <w:spacing w:line="240" w:lineRule="auto" w:before="1"/>
        <w:rPr>
          <w:rFonts w:ascii="宋体" w:hAnsi="宋体" w:cs="宋体" w:eastAsia="宋体" w:hint="default"/>
          <w:sz w:val="14"/>
          <w:szCs w:val="14"/>
        </w:rPr>
      </w:pPr>
    </w:p>
    <w:p>
      <w:pPr>
        <w:pStyle w:val="BodyText"/>
        <w:spacing w:line="240" w:lineRule="auto" w:before="35"/>
        <w:ind w:left="674" w:right="210"/>
        <w:jc w:val="left"/>
      </w:pPr>
      <w:r>
        <w:rPr/>
        <w:t>②如果该金融工具不存在活跃市场，则采用估值技术确定其公允价值。</w:t>
      </w:r>
    </w:p>
    <w:p>
      <w:pPr>
        <w:spacing w:line="240" w:lineRule="auto" w:before="2"/>
        <w:rPr>
          <w:rFonts w:ascii="宋体" w:hAnsi="宋体" w:cs="宋体" w:eastAsia="宋体" w:hint="default"/>
          <w:sz w:val="14"/>
          <w:szCs w:val="14"/>
        </w:rPr>
      </w:pPr>
    </w:p>
    <w:p>
      <w:pPr>
        <w:pStyle w:val="BodyText"/>
        <w:spacing w:line="379" w:lineRule="auto"/>
        <w:ind w:left="674" w:right="210"/>
        <w:jc w:val="left"/>
      </w:pPr>
      <w:r>
        <w:rPr/>
        <w:t>（</w:t>
      </w:r>
      <w:r>
        <w:rPr>
          <w:rFonts w:ascii="Times New Roman" w:hAnsi="Times New Roman" w:cs="Times New Roman" w:eastAsia="Times New Roman" w:hint="default"/>
        </w:rPr>
        <w:t>5</w:t>
      </w:r>
      <w:r>
        <w:rPr/>
        <w:t>）</w:t>
      </w:r>
      <w:r>
        <w:rPr>
          <w:spacing w:val="-1"/>
        </w:rPr>
        <w:t> </w:t>
      </w:r>
      <w:r>
        <w:rPr/>
        <w:t>金融资产转移确认依据和计量</w:t>
      </w:r>
      <w:r>
        <w:rPr/>
        <w:t> 本公司在已将金融资产所有权上几乎所有的风险和报酬转移给转入方时终止对该项金融资产的确认。</w:t>
      </w:r>
    </w:p>
    <w:p>
      <w:pPr>
        <w:pStyle w:val="BodyText"/>
        <w:spacing w:line="240" w:lineRule="auto" w:before="63"/>
        <w:ind w:left="254" w:right="210"/>
        <w:jc w:val="left"/>
      </w:pPr>
      <w:r>
        <w:rPr/>
        <w:t>本公司在金融资产整体转移满足终止确认条件的，将下列两项的差额计入当期损益：</w:t>
      </w:r>
    </w:p>
    <w:p>
      <w:pPr>
        <w:spacing w:line="240" w:lineRule="auto" w:before="2"/>
        <w:rPr>
          <w:rFonts w:ascii="宋体" w:hAnsi="宋体" w:cs="宋体" w:eastAsia="宋体" w:hint="default"/>
          <w:sz w:val="14"/>
          <w:szCs w:val="14"/>
        </w:rPr>
      </w:pPr>
    </w:p>
    <w:p>
      <w:pPr>
        <w:pStyle w:val="BodyText"/>
        <w:spacing w:line="240" w:lineRule="auto"/>
        <w:ind w:left="674" w:right="210"/>
        <w:jc w:val="left"/>
      </w:pPr>
      <w:r>
        <w:rPr/>
        <w:t>①所转移金融资产的账面价值；</w:t>
      </w:r>
    </w:p>
    <w:p>
      <w:pPr>
        <w:spacing w:line="240" w:lineRule="auto" w:before="3"/>
        <w:rPr>
          <w:rFonts w:ascii="宋体" w:hAnsi="宋体" w:cs="宋体" w:eastAsia="宋体" w:hint="default"/>
          <w:sz w:val="14"/>
          <w:szCs w:val="14"/>
        </w:rPr>
      </w:pPr>
    </w:p>
    <w:p>
      <w:pPr>
        <w:pStyle w:val="BodyText"/>
        <w:spacing w:line="400" w:lineRule="auto"/>
        <w:ind w:left="254" w:right="210" w:firstLine="420"/>
        <w:jc w:val="left"/>
      </w:pPr>
      <w:r>
        <w:rPr>
          <w:spacing w:val="-1"/>
        </w:rPr>
        <w:t>②因转移而收到的对价，与原直接计入所有者权益的公允价值变动累计额（涉及转移的金融资产为可</w:t>
      </w:r>
      <w:r>
        <w:rPr/>
        <w:t> 供出售金融资产的情形）之和。</w:t>
      </w:r>
    </w:p>
    <w:p>
      <w:pPr>
        <w:pStyle w:val="BodyText"/>
        <w:spacing w:line="403" w:lineRule="auto" w:before="44"/>
        <w:ind w:left="254" w:right="210" w:firstLine="420"/>
        <w:jc w:val="left"/>
      </w:pPr>
      <w:r>
        <w:rPr>
          <w:spacing w:val="-1"/>
        </w:rPr>
        <w:t>本公司的金融资产部分转移满足终止确认条件的，将所转移金融资产整体的账面价值，在终止确认部</w:t>
      </w:r>
      <w:r>
        <w:rPr/>
        <w:t> 分和未终止确认部分之间，按照各自的相对公允价值进行分摊，并将下列两项金额的差额计入当期损益：</w:t>
      </w:r>
    </w:p>
    <w:p>
      <w:pPr>
        <w:pStyle w:val="BodyText"/>
        <w:spacing w:line="240" w:lineRule="auto" w:before="42"/>
        <w:ind w:left="674" w:right="210"/>
        <w:jc w:val="left"/>
      </w:pPr>
      <w:r>
        <w:rPr/>
        <w:t>①终止确认部分的账面价值；</w:t>
      </w:r>
    </w:p>
    <w:p>
      <w:pPr>
        <w:spacing w:line="240" w:lineRule="auto" w:before="2"/>
        <w:rPr>
          <w:rFonts w:ascii="宋体" w:hAnsi="宋体" w:cs="宋体" w:eastAsia="宋体" w:hint="default"/>
          <w:sz w:val="14"/>
          <w:szCs w:val="14"/>
        </w:rPr>
      </w:pPr>
    </w:p>
    <w:p>
      <w:pPr>
        <w:pStyle w:val="BodyText"/>
        <w:spacing w:line="240" w:lineRule="auto"/>
        <w:ind w:left="674" w:right="142"/>
        <w:jc w:val="left"/>
      </w:pPr>
      <w:r>
        <w:rPr/>
        <w:t>②终止确认部分的对价，与原直接计入所有者权益的公允价值变动累计额中对应终止确认部分的金额</w:t>
      </w:r>
    </w:p>
    <w:p>
      <w:pPr>
        <w:spacing w:line="240" w:lineRule="auto" w:before="3"/>
        <w:rPr>
          <w:rFonts w:ascii="宋体" w:hAnsi="宋体" w:cs="宋体" w:eastAsia="宋体" w:hint="default"/>
          <w:sz w:val="14"/>
          <w:szCs w:val="14"/>
        </w:rPr>
      </w:pPr>
    </w:p>
    <w:p>
      <w:pPr>
        <w:pStyle w:val="BodyText"/>
        <w:spacing w:line="357" w:lineRule="auto"/>
        <w:ind w:left="674" w:right="210" w:hanging="420"/>
        <w:jc w:val="left"/>
      </w:pPr>
      <w:r>
        <w:rPr/>
        <w:t>（涉及转移的金融资产为可供出售金融资产的情形）之和。 </w:t>
      </w:r>
      <w:r>
        <w:rPr>
          <w:spacing w:val="-1"/>
        </w:rPr>
        <w:t>原直接计入所有者权益的公允价值变动累计额中对应终止确认部分的金额，应当按照金融资产终止确</w:t>
      </w:r>
    </w:p>
    <w:p>
      <w:pPr>
        <w:pStyle w:val="BodyText"/>
        <w:spacing w:line="357" w:lineRule="auto" w:before="32"/>
        <w:ind w:left="674" w:right="210" w:hanging="420"/>
        <w:jc w:val="left"/>
      </w:pPr>
      <w:r>
        <w:rPr/>
        <w:t>认部分和未终止确认部分的相对公允价值，对该累计额进行分摊后确定。 </w:t>
      </w:r>
      <w:r>
        <w:rPr>
          <w:spacing w:val="-1"/>
        </w:rPr>
        <w:t>金融资产转移不满足终止确认条件的，继续确认所转移金融资产整体，并将所收到的对价确认为一项</w:t>
      </w:r>
    </w:p>
    <w:p>
      <w:pPr>
        <w:pStyle w:val="BodyText"/>
        <w:spacing w:line="240" w:lineRule="auto" w:before="32"/>
        <w:ind w:left="254" w:right="210"/>
        <w:jc w:val="left"/>
      </w:pPr>
      <w:r>
        <w:rPr/>
        <w:t>金融负债。</w:t>
      </w:r>
    </w:p>
    <w:p>
      <w:pPr>
        <w:pStyle w:val="BodyText"/>
        <w:spacing w:line="357" w:lineRule="auto" w:before="135"/>
        <w:ind w:left="254" w:right="210" w:firstLine="420"/>
        <w:jc w:val="left"/>
      </w:pPr>
      <w:r>
        <w:rPr>
          <w:spacing w:val="-1"/>
        </w:rPr>
        <w:t>对于继续涉入条件下的金融资产转移，公司根据继续涉入所转移金融资产的程度确认有关金融资产和</w:t>
      </w:r>
      <w:r>
        <w:rPr/>
        <w:t> 金融负债，以充分反映企业所保留的权利和承担的义务。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38" w:lineRule="auto"/>
        <w:ind w:left="674" w:right="4795"/>
        <w:jc w:val="left"/>
      </w:pPr>
      <w:r>
        <w:rPr/>
        <w:pict>
          <v:shape style="position:absolute;margin-left:49.830002pt;margin-top:35.815582pt;width:495.7pt;height:105.75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66"/>
                    <w:gridCol w:w="5203"/>
                  </w:tblGrid>
                  <w:tr>
                    <w:trPr>
                      <w:trHeight w:val="837" w:hRule="exact"/>
                    </w:trPr>
                    <w:tc>
                      <w:tcPr>
                        <w:tcW w:w="4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03" w:type="dxa"/>
                        <w:tcBorders>
                          <w:top w:val="single" w:sz="12" w:space="0" w:color="000000"/>
                          <w:left w:val="single" w:sz="2" w:space="0" w:color="000000"/>
                          <w:bottom w:val="single" w:sz="2" w:space="0" w:color="000000"/>
                          <w:right w:val="nil" w:sz="6" w:space="0" w:color="auto"/>
                        </w:tcBorders>
                      </w:tcPr>
                      <w:p>
                        <w:pPr>
                          <w:pStyle w:val="TableParagraph"/>
                          <w:spacing w:line="410" w:lineRule="exact" w:before="28"/>
                          <w:ind w:left="105" w:right="143" w:firstLine="270"/>
                          <w:jc w:val="left"/>
                          <w:rPr>
                            <w:rFonts w:ascii="宋体" w:hAnsi="宋体" w:cs="宋体" w:eastAsia="宋体" w:hint="default"/>
                            <w:sz w:val="18"/>
                            <w:szCs w:val="18"/>
                          </w:rPr>
                        </w:pPr>
                        <w:r>
                          <w:rPr>
                            <w:rFonts w:ascii="宋体" w:hAnsi="宋体" w:cs="宋体" w:eastAsia="宋体" w:hint="default"/>
                            <w:sz w:val="18"/>
                            <w:szCs w:val="18"/>
                          </w:rPr>
                          <w:t>公司将占应收款项比重超过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％的客户定义为单项金额重大 的应收款项。</w:t>
                        </w:r>
                      </w:p>
                    </w:tc>
                  </w:tr>
                  <w:tr>
                    <w:trPr>
                      <w:trHeight w:val="1247" w:hRule="exact"/>
                    </w:trPr>
                    <w:tc>
                      <w:tcPr>
                        <w:tcW w:w="4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03" w:type="dxa"/>
                        <w:tcBorders>
                          <w:top w:val="single" w:sz="2" w:space="0" w:color="000000"/>
                          <w:left w:val="single" w:sz="2" w:space="0" w:color="000000"/>
                          <w:bottom w:val="single" w:sz="12" w:space="0" w:color="000000"/>
                          <w:right w:val="nil" w:sz="6" w:space="0" w:color="auto"/>
                        </w:tcBorders>
                      </w:tcPr>
                      <w:p>
                        <w:pPr>
                          <w:pStyle w:val="TableParagraph"/>
                          <w:spacing w:line="410" w:lineRule="exact" w:before="28"/>
                          <w:ind w:left="105" w:right="107" w:firstLine="270"/>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单独进行减值测试，如有客观证据表明已发生减值，确认差 </w:t>
                        </w:r>
                        <w:r>
                          <w:rPr>
                            <w:rFonts w:ascii="宋体" w:hAnsi="宋体" w:cs="宋体" w:eastAsia="宋体" w:hint="default"/>
                            <w:spacing w:val="-2"/>
                            <w:sz w:val="18"/>
                            <w:szCs w:val="18"/>
                          </w:rPr>
                          <w:t>值损失，计入当期损益；单独测试未发生减值的应收款项，包括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在具有类似信用风险特征的应收款项组合中再进行减值测试。</w:t>
                        </w:r>
                      </w:p>
                    </w:tc>
                  </w:tr>
                </w:tbl>
                <w:p>
                  <w:pPr/>
                </w:p>
              </w:txbxContent>
            </v:textbox>
            <w10:wrap type="none"/>
          </v:shape>
        </w:pict>
      </w:r>
      <w:r>
        <w:rPr>
          <w:rFonts w:ascii="Times New Roman" w:hAnsi="Times New Roman" w:cs="Times New Roman" w:eastAsia="Times New Roman" w:hint="default"/>
        </w:rPr>
        <w:t>10</w:t>
      </w:r>
      <w:r>
        <w:rPr/>
        <w:t>、应收款项坏账准备的确认和计提 </w:t>
      </w:r>
      <w:r>
        <w:rPr>
          <w:rFonts w:ascii="Times New Roman" w:hAnsi="Times New Roman" w:cs="Times New Roman" w:eastAsia="Times New Roman" w:hint="default"/>
        </w:rPr>
        <w:t>(1)</w:t>
      </w:r>
      <w:r>
        <w:rPr/>
        <w:t>单项金额重大并单项计提坏账准备的应收款项：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5"/>
        <w:ind w:left="674" w:right="21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按组合计提坏账准备的应收款项：</w:t>
      </w:r>
    </w:p>
    <w:tbl>
      <w:tblPr>
        <w:tblW w:w="0" w:type="auto"/>
        <w:jc w:val="left"/>
        <w:tblInd w:w="131" w:type="dxa"/>
        <w:tblLayout w:type="fixed"/>
        <w:tblCellMar>
          <w:top w:w="0" w:type="dxa"/>
          <w:left w:w="0" w:type="dxa"/>
          <w:bottom w:w="0" w:type="dxa"/>
          <w:right w:w="0" w:type="dxa"/>
        </w:tblCellMar>
        <w:tblLook w:val="01E0"/>
      </w:tblPr>
      <w:tblGrid>
        <w:gridCol w:w="4666"/>
        <w:gridCol w:w="5203"/>
      </w:tblGrid>
      <w:tr>
        <w:trPr>
          <w:trHeight w:val="428" w:hRule="exact"/>
        </w:trPr>
        <w:tc>
          <w:tcPr>
            <w:tcW w:w="4666" w:type="dxa"/>
            <w:tcBorders>
              <w:top w:val="single" w:sz="12" w:space="0" w:color="000000"/>
              <w:left w:val="nil" w:sz="6" w:space="0" w:color="auto"/>
              <w:bottom w:val="single" w:sz="2" w:space="0" w:color="000000"/>
              <w:right w:val="nil" w:sz="6" w:space="0" w:color="auto"/>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203" w:type="dxa"/>
            <w:tcBorders>
              <w:top w:val="single" w:sz="12" w:space="0" w:color="000000"/>
              <w:left w:val="nil" w:sz="6" w:space="0" w:color="auto"/>
              <w:bottom w:val="single" w:sz="2" w:space="0" w:color="000000"/>
              <w:right w:val="nil" w:sz="6" w:space="0" w:color="auto"/>
            </w:tcBorders>
          </w:tcPr>
          <w:p>
            <w:pPr/>
          </w:p>
        </w:tc>
      </w:tr>
      <w:tr>
        <w:trPr>
          <w:trHeight w:val="1658" w:hRule="exact"/>
        </w:trPr>
        <w:tc>
          <w:tcPr>
            <w:tcW w:w="4666"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203" w:type="dxa"/>
            <w:tcBorders>
              <w:top w:val="single" w:sz="2" w:space="0" w:color="000000"/>
              <w:left w:val="single" w:sz="2" w:space="0" w:color="000000"/>
              <w:bottom w:val="single" w:sz="12" w:space="0" w:color="000000"/>
              <w:right w:val="nil" w:sz="6" w:space="0" w:color="auto"/>
            </w:tcBorders>
          </w:tcPr>
          <w:p>
            <w:pPr>
              <w:pStyle w:val="TableParagraph"/>
              <w:spacing w:line="417" w:lineRule="auto" w:before="146"/>
              <w:ind w:left="105" w:right="105" w:firstLine="360"/>
              <w:jc w:val="both"/>
              <w:rPr>
                <w:rFonts w:ascii="宋体" w:hAnsi="宋体" w:cs="宋体" w:eastAsia="宋体" w:hint="default"/>
                <w:sz w:val="18"/>
                <w:szCs w:val="18"/>
              </w:rPr>
            </w:pPr>
            <w:r>
              <w:rPr>
                <w:rFonts w:ascii="宋体" w:hAnsi="宋体" w:cs="宋体" w:eastAsia="宋体" w:hint="default"/>
                <w:spacing w:val="-3"/>
                <w:sz w:val="18"/>
                <w:szCs w:val="18"/>
              </w:rPr>
              <w:t>已单独计提减值准备的应收款项外，根据以前年度与之相同</w:t>
            </w:r>
            <w:r>
              <w:rPr>
                <w:rFonts w:ascii="宋体" w:hAnsi="宋体" w:cs="宋体" w:eastAsia="宋体" w:hint="default"/>
                <w:sz w:val="18"/>
                <w:szCs w:val="18"/>
              </w:rPr>
              <w:t> </w:t>
            </w:r>
            <w:r>
              <w:rPr>
                <w:rFonts w:ascii="宋体" w:hAnsi="宋体" w:cs="宋体" w:eastAsia="宋体" w:hint="default"/>
                <w:spacing w:val="-2"/>
                <w:sz w:val="18"/>
                <w:szCs w:val="18"/>
              </w:rPr>
              <w:t>或类似的、按账龄段划分的具有类似信用风险特征的应收款项组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合的实际损失率为基础，结合现实情况分析法确定坏账准备计提</w:t>
            </w:r>
          </w:p>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的比例。</w:t>
            </w:r>
          </w:p>
        </w:tc>
      </w:tr>
    </w:tbl>
    <w:p>
      <w:pPr>
        <w:spacing w:line="240" w:lineRule="auto" w:before="6"/>
        <w:rPr>
          <w:rFonts w:ascii="宋体" w:hAnsi="宋体" w:cs="宋体" w:eastAsia="宋体" w:hint="default"/>
          <w:sz w:val="6"/>
          <w:szCs w:val="6"/>
        </w:rPr>
      </w:pPr>
    </w:p>
    <w:p>
      <w:pPr>
        <w:pStyle w:val="BodyText"/>
        <w:spacing w:line="240" w:lineRule="auto" w:before="35"/>
        <w:ind w:left="674" w:right="210"/>
        <w:jc w:val="left"/>
      </w:pPr>
      <w:r>
        <w:rPr/>
        <w:t>组合中，采用账龄分析法计提坏账准备的：</w:t>
      </w:r>
    </w:p>
    <w:p>
      <w:pPr>
        <w:spacing w:after="0" w:line="240" w:lineRule="auto"/>
        <w:jc w:val="left"/>
        <w:sectPr>
          <w:footerReference w:type="default" r:id="rId38"/>
          <w:pgSz w:w="11910" w:h="16840"/>
          <w:pgMar w:footer="982" w:header="851" w:top="1200" w:bottom="1180" w:left="880" w:right="880"/>
          <w:pgNumType w:start="74"/>
        </w:sectPr>
      </w:pP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4498"/>
        <w:gridCol w:w="2580"/>
        <w:gridCol w:w="2791"/>
      </w:tblGrid>
      <w:tr>
        <w:trPr>
          <w:trHeight w:val="435" w:hRule="exact"/>
        </w:trPr>
        <w:tc>
          <w:tcPr>
            <w:tcW w:w="4498" w:type="dxa"/>
            <w:tcBorders>
              <w:top w:val="single" w:sz="18" w:space="0" w:color="000000"/>
              <w:left w:val="nil" w:sz="6" w:space="0" w:color="auto"/>
              <w:bottom w:val="single" w:sz="2" w:space="0" w:color="000000"/>
              <w:right w:val="single" w:sz="2" w:space="0" w:color="000000"/>
            </w:tcBorders>
          </w:tcPr>
          <w:p>
            <w:pPr>
              <w:pStyle w:val="TableParagraph"/>
              <w:tabs>
                <w:tab w:pos="649" w:val="left" w:leader="none"/>
              </w:tabs>
              <w:spacing w:line="240" w:lineRule="auto" w:before="102"/>
              <w:ind w:left="17"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580" w:type="dxa"/>
            <w:tcBorders>
              <w:top w:val="single" w:sz="18"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791" w:type="dxa"/>
            <w:tcBorders>
              <w:top w:val="single" w:sz="18" w:space="0" w:color="000000"/>
              <w:left w:val="single" w:sz="2" w:space="0" w:color="000000"/>
              <w:bottom w:val="single" w:sz="2" w:space="0" w:color="000000"/>
              <w:right w:val="nil" w:sz="6" w:space="0" w:color="auto"/>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93" w:hRule="exact"/>
        </w:trPr>
        <w:tc>
          <w:tcPr>
            <w:tcW w:w="4498" w:type="dxa"/>
            <w:tcBorders>
              <w:top w:val="single" w:sz="2" w:space="0" w:color="000000"/>
              <w:left w:val="nil" w:sz="6" w:space="0" w:color="auto"/>
              <w:bottom w:val="nil" w:sz="6" w:space="0" w:color="auto"/>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58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5</w:t>
            </w:r>
          </w:p>
        </w:tc>
        <w:tc>
          <w:tcPr>
            <w:tcW w:w="2791" w:type="dxa"/>
            <w:tcBorders>
              <w:top w:val="single" w:sz="2" w:space="0" w:color="000000"/>
              <w:left w:val="single" w:sz="2" w:space="0" w:color="000000"/>
              <w:bottom w:val="nil" w:sz="6" w:space="0" w:color="auto"/>
              <w:right w:val="nil" w:sz="6" w:space="0" w:color="auto"/>
            </w:tcBorders>
          </w:tcPr>
          <w:p>
            <w:pPr>
              <w:pStyle w:val="TableParagraph"/>
              <w:spacing w:line="240" w:lineRule="auto" w:before="166"/>
              <w:ind w:right="1"/>
              <w:jc w:val="center"/>
              <w:rPr>
                <w:rFonts w:ascii="Times New Roman" w:hAnsi="Times New Roman" w:cs="Times New Roman" w:eastAsia="Times New Roman" w:hint="default"/>
                <w:sz w:val="21"/>
                <w:szCs w:val="21"/>
              </w:rPr>
            </w:pPr>
            <w:r>
              <w:rPr>
                <w:rFonts w:ascii="Times New Roman"/>
                <w:sz w:val="21"/>
              </w:rPr>
              <w:t>5</w:t>
            </w:r>
          </w:p>
        </w:tc>
      </w:tr>
      <w:tr>
        <w:trPr>
          <w:trHeight w:val="41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580" w:type="dxa"/>
            <w:tcBorders>
              <w:top w:val="nil" w:sz="6" w:space="0" w:color="auto"/>
              <w:left w:val="single" w:sz="2" w:space="0" w:color="000000"/>
              <w:bottom w:val="nil" w:sz="6" w:space="0" w:color="auto"/>
              <w:right w:val="single" w:sz="2" w:space="0" w:color="000000"/>
            </w:tcBorders>
          </w:tcPr>
          <w:p>
            <w:pPr>
              <w:pStyle w:val="TableParagraph"/>
              <w:spacing w:line="240" w:lineRule="auto" w:before="85"/>
              <w:ind w:right="0"/>
              <w:jc w:val="center"/>
              <w:rPr>
                <w:rFonts w:ascii="Times New Roman" w:hAnsi="Times New Roman" w:cs="Times New Roman" w:eastAsia="Times New Roman" w:hint="default"/>
                <w:sz w:val="21"/>
                <w:szCs w:val="21"/>
              </w:rPr>
            </w:pPr>
            <w:r>
              <w:rPr>
                <w:rFonts w:ascii="Times New Roman"/>
                <w:sz w:val="21"/>
              </w:rPr>
              <w:t>10</w:t>
            </w:r>
          </w:p>
        </w:tc>
        <w:tc>
          <w:tcPr>
            <w:tcW w:w="2791" w:type="dxa"/>
            <w:tcBorders>
              <w:top w:val="nil" w:sz="6" w:space="0" w:color="auto"/>
              <w:left w:val="single" w:sz="2" w:space="0" w:color="000000"/>
              <w:bottom w:val="nil" w:sz="6" w:space="0" w:color="auto"/>
              <w:right w:val="nil" w:sz="6" w:space="0" w:color="auto"/>
            </w:tcBorders>
          </w:tcPr>
          <w:p>
            <w:pPr>
              <w:pStyle w:val="TableParagraph"/>
              <w:spacing w:line="240" w:lineRule="auto" w:before="85"/>
              <w:ind w:right="0"/>
              <w:jc w:val="center"/>
              <w:rPr>
                <w:rFonts w:ascii="Times New Roman" w:hAnsi="Times New Roman" w:cs="Times New Roman" w:eastAsia="Times New Roman" w:hint="default"/>
                <w:sz w:val="21"/>
                <w:szCs w:val="21"/>
              </w:rPr>
            </w:pPr>
            <w:r>
              <w:rPr>
                <w:rFonts w:ascii="Times New Roman"/>
                <w:sz w:val="21"/>
              </w:rPr>
              <w:t>10</w:t>
            </w:r>
          </w:p>
        </w:tc>
      </w:tr>
      <w:tr>
        <w:trPr>
          <w:trHeight w:val="41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580" w:type="dxa"/>
            <w:tcBorders>
              <w:top w:val="nil" w:sz="6" w:space="0" w:color="auto"/>
              <w:left w:val="single" w:sz="2" w:space="0" w:color="000000"/>
              <w:bottom w:val="nil" w:sz="6" w:space="0" w:color="auto"/>
              <w:right w:val="single" w:sz="2"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20</w:t>
            </w:r>
          </w:p>
        </w:tc>
        <w:tc>
          <w:tcPr>
            <w:tcW w:w="2791" w:type="dxa"/>
            <w:tcBorders>
              <w:top w:val="nil" w:sz="6" w:space="0" w:color="auto"/>
              <w:left w:val="single" w:sz="2" w:space="0" w:color="000000"/>
              <w:bottom w:val="nil" w:sz="6" w:space="0" w:color="auto"/>
              <w:right w:val="nil" w:sz="6" w:space="0" w:color="auto"/>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20</w:t>
            </w:r>
          </w:p>
        </w:tc>
      </w:tr>
      <w:tr>
        <w:trPr>
          <w:trHeight w:val="344" w:hRule="exact"/>
        </w:trPr>
        <w:tc>
          <w:tcPr>
            <w:tcW w:w="4498" w:type="dxa"/>
            <w:tcBorders>
              <w:top w:val="nil" w:sz="6" w:space="0" w:color="auto"/>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5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c>
          <w:tcPr>
            <w:tcW w:w="2791" w:type="dxa"/>
            <w:tcBorders>
              <w:top w:val="nil" w:sz="6" w:space="0" w:color="auto"/>
              <w:left w:val="single" w:sz="2" w:space="0" w:color="000000"/>
              <w:bottom w:val="single" w:sz="12" w:space="0" w:color="000000"/>
              <w:right w:val="nil" w:sz="6" w:space="0" w:color="auto"/>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30</w:t>
            </w:r>
          </w:p>
        </w:tc>
      </w:tr>
    </w:tbl>
    <w:p>
      <w:pPr>
        <w:spacing w:line="240" w:lineRule="auto" w:before="2"/>
        <w:rPr>
          <w:rFonts w:ascii="宋体" w:hAnsi="宋体" w:cs="宋体" w:eastAsia="宋体" w:hint="default"/>
          <w:sz w:val="5"/>
          <w:szCs w:val="5"/>
        </w:rPr>
      </w:pPr>
    </w:p>
    <w:p>
      <w:pPr>
        <w:pStyle w:val="BodyText"/>
        <w:spacing w:line="240" w:lineRule="auto" w:before="35"/>
        <w:ind w:left="675" w:right="210"/>
        <w:jc w:val="left"/>
      </w:pPr>
      <w:r>
        <w:rPr>
          <w:rFonts w:ascii="Times New Roman" w:hAnsi="Times New Roman" w:cs="Times New Roman" w:eastAsia="Times New Roman" w:hint="default"/>
        </w:rPr>
        <w:t>(3)</w:t>
      </w:r>
      <w:r>
        <w:rPr/>
        <w:t>单项金额虽不重大但单项计提坏账准备的应收款项：</w:t>
      </w:r>
    </w:p>
    <w:tbl>
      <w:tblPr>
        <w:tblW w:w="0" w:type="auto"/>
        <w:jc w:val="left"/>
        <w:tblInd w:w="116" w:type="dxa"/>
        <w:tblLayout w:type="fixed"/>
        <w:tblCellMar>
          <w:top w:w="0" w:type="dxa"/>
          <w:left w:w="0" w:type="dxa"/>
          <w:bottom w:w="0" w:type="dxa"/>
          <w:right w:w="0" w:type="dxa"/>
        </w:tblCellMar>
        <w:tblLook w:val="01E0"/>
      </w:tblPr>
      <w:tblGrid>
        <w:gridCol w:w="4507"/>
        <w:gridCol w:w="5362"/>
      </w:tblGrid>
      <w:tr>
        <w:trPr>
          <w:trHeight w:val="428" w:hRule="exact"/>
        </w:trPr>
        <w:tc>
          <w:tcPr>
            <w:tcW w:w="45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3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6"/>
              <w:ind w:left="465" w:right="0"/>
              <w:jc w:val="left"/>
              <w:rPr>
                <w:rFonts w:ascii="宋体" w:hAnsi="宋体" w:cs="宋体" w:eastAsia="宋体" w:hint="default"/>
                <w:sz w:val="18"/>
                <w:szCs w:val="18"/>
              </w:rPr>
            </w:pPr>
            <w:r>
              <w:rPr>
                <w:rFonts w:ascii="宋体" w:hAnsi="宋体" w:cs="宋体" w:eastAsia="宋体" w:hint="default"/>
                <w:sz w:val="18"/>
                <w:szCs w:val="18"/>
              </w:rPr>
              <w:t>公司将有确凿证据证明难以收回的应收款项</w:t>
            </w:r>
          </w:p>
        </w:tc>
      </w:tr>
      <w:tr>
        <w:trPr>
          <w:trHeight w:val="1247" w:hRule="exact"/>
        </w:trPr>
        <w:tc>
          <w:tcPr>
            <w:tcW w:w="4507"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3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6"/>
              <w:ind w:left="465"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单独进行减值测试，如有客观证据表明已发生减值，确认差值</w:t>
            </w:r>
          </w:p>
          <w:p>
            <w:pPr>
              <w:pStyle w:val="TableParagraph"/>
              <w:spacing w:line="410" w:lineRule="atLeast"/>
              <w:ind w:left="105" w:right="107"/>
              <w:jc w:val="left"/>
              <w:rPr>
                <w:rFonts w:ascii="宋体" w:hAnsi="宋体" w:cs="宋体" w:eastAsia="宋体" w:hint="default"/>
                <w:sz w:val="18"/>
                <w:szCs w:val="18"/>
              </w:rPr>
            </w:pPr>
            <w:r>
              <w:rPr>
                <w:rFonts w:ascii="宋体" w:hAnsi="宋体" w:cs="宋体" w:eastAsia="宋体" w:hint="default"/>
                <w:spacing w:val="-3"/>
                <w:sz w:val="18"/>
                <w:szCs w:val="18"/>
              </w:rPr>
              <w:t>损失，计入当期损益；单独测试未发生减值的应收款项，包括在具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有类似信用风险特征的应收款项组合中再进行减值测试</w:t>
            </w:r>
          </w:p>
        </w:tc>
      </w:tr>
    </w:tbl>
    <w:p>
      <w:pPr>
        <w:spacing w:line="240" w:lineRule="auto" w:before="4"/>
        <w:rPr>
          <w:rFonts w:ascii="宋体" w:hAnsi="宋体" w:cs="宋体" w:eastAsia="宋体" w:hint="default"/>
          <w:sz w:val="10"/>
          <w:szCs w:val="10"/>
        </w:rPr>
      </w:pPr>
    </w:p>
    <w:p>
      <w:pPr>
        <w:pStyle w:val="BodyText"/>
        <w:spacing w:line="240" w:lineRule="auto" w:before="35"/>
        <w:ind w:left="674" w:right="210"/>
        <w:jc w:val="left"/>
      </w:pPr>
      <w:r>
        <w:rPr>
          <w:rFonts w:ascii="Times New Roman" w:hAnsi="Times New Roman" w:cs="Times New Roman" w:eastAsia="Times New Roman" w:hint="default"/>
        </w:rPr>
        <w:t>11</w:t>
      </w:r>
      <w:r>
        <w:rPr/>
        <w:t>、存货的分类和计量</w:t>
      </w:r>
    </w:p>
    <w:p>
      <w:pPr>
        <w:pStyle w:val="BodyText"/>
        <w:spacing w:line="391" w:lineRule="auto" w:before="169"/>
        <w:ind w:left="253" w:right="142" w:firstLine="420"/>
        <w:jc w:val="left"/>
      </w:pPr>
      <w:r>
        <w:rPr/>
        <w:t>（</w:t>
      </w:r>
      <w:r>
        <w:rPr>
          <w:rFonts w:ascii="Times New Roman" w:hAnsi="Times New Roman" w:cs="Times New Roman" w:eastAsia="Times New Roman" w:hint="default"/>
        </w:rPr>
        <w:t>1</w:t>
      </w:r>
      <w:r>
        <w:rPr/>
        <w:t>）存货分类：本公司存货包括在日常活动中持有以备出售的产成品或商品、处于生产过程中的在</w:t>
      </w:r>
      <w:r>
        <w:rPr>
          <w:spacing w:val="2"/>
        </w:rPr>
        <w:t> </w:t>
      </w:r>
      <w:r>
        <w:rPr>
          <w:spacing w:val="-3"/>
        </w:rPr>
        <w:t>产品、在生产过程或提供劳务过程中耗用的材料和物料等。具体划分为库存商品、在建系统集成项目成本、</w:t>
      </w:r>
      <w:r>
        <w:rPr>
          <w:spacing w:val="-90"/>
        </w:rPr>
        <w:t> </w:t>
      </w:r>
      <w:r>
        <w:rPr>
          <w:spacing w:val="-90"/>
        </w:rPr>
      </w:r>
      <w:r>
        <w:rPr/>
        <w:t>低值易耗品等。</w:t>
      </w:r>
    </w:p>
    <w:p>
      <w:pPr>
        <w:pStyle w:val="BodyText"/>
        <w:spacing w:line="240" w:lineRule="auto" w:before="52"/>
        <w:ind w:left="673" w:right="210"/>
        <w:jc w:val="left"/>
      </w:pPr>
      <w:r>
        <w:rPr/>
        <w:t>（</w:t>
      </w:r>
      <w:r>
        <w:rPr>
          <w:rFonts w:ascii="Times New Roman" w:hAnsi="Times New Roman" w:cs="Times New Roman" w:eastAsia="Times New Roman" w:hint="default"/>
        </w:rPr>
        <w:t>2</w:t>
      </w:r>
      <w:r>
        <w:rPr/>
        <w:t>）存货的确认：本公司存货同时满足下列条件的，予以确认：</w:t>
      </w:r>
    </w:p>
    <w:p>
      <w:pPr>
        <w:pStyle w:val="BodyText"/>
        <w:spacing w:line="240" w:lineRule="auto" w:before="170"/>
        <w:ind w:left="673" w:right="210"/>
        <w:jc w:val="left"/>
      </w:pPr>
      <w:r>
        <w:rPr/>
        <w:t>①与该存货有关的经济利益很可能流入企业；</w:t>
      </w:r>
    </w:p>
    <w:p>
      <w:pPr>
        <w:spacing w:line="240" w:lineRule="auto" w:before="2"/>
        <w:rPr>
          <w:rFonts w:ascii="宋体" w:hAnsi="宋体" w:cs="宋体" w:eastAsia="宋体" w:hint="default"/>
          <w:sz w:val="14"/>
          <w:szCs w:val="14"/>
        </w:rPr>
      </w:pPr>
    </w:p>
    <w:p>
      <w:pPr>
        <w:pStyle w:val="BodyText"/>
        <w:spacing w:line="240" w:lineRule="auto"/>
        <w:ind w:left="673" w:right="210"/>
        <w:jc w:val="left"/>
      </w:pPr>
      <w:r>
        <w:rPr/>
        <w:t>②该存货的成本能够可靠地计量。</w:t>
      </w:r>
    </w:p>
    <w:p>
      <w:pPr>
        <w:spacing w:line="240" w:lineRule="auto" w:before="2"/>
        <w:rPr>
          <w:rFonts w:ascii="宋体" w:hAnsi="宋体" w:cs="宋体" w:eastAsia="宋体" w:hint="default"/>
          <w:sz w:val="14"/>
          <w:szCs w:val="14"/>
        </w:rPr>
      </w:pPr>
    </w:p>
    <w:p>
      <w:pPr>
        <w:pStyle w:val="BodyText"/>
        <w:spacing w:line="379" w:lineRule="auto"/>
        <w:ind w:left="253" w:right="210" w:firstLine="420"/>
        <w:jc w:val="left"/>
      </w:pPr>
      <w:r>
        <w:rPr/>
        <w:t>（</w:t>
      </w:r>
      <w:r>
        <w:rPr>
          <w:rFonts w:ascii="Times New Roman" w:hAnsi="Times New Roman" w:cs="Times New Roman" w:eastAsia="Times New Roman" w:hint="default"/>
        </w:rPr>
        <w:t>3</w:t>
      </w:r>
      <w:r>
        <w:rPr/>
        <w:t>）存货取得和发出的计价方法：本公司取得的存货按成本进行初始计量，发出按个别计价法确定</w:t>
      </w:r>
      <w:r>
        <w:rPr>
          <w:spacing w:val="2"/>
        </w:rPr>
        <w:t> </w:t>
      </w:r>
      <w:r>
        <w:rPr/>
        <w:t>发出存货的实际成本。</w:t>
      </w:r>
    </w:p>
    <w:p>
      <w:pPr>
        <w:pStyle w:val="BodyText"/>
        <w:spacing w:line="379" w:lineRule="auto" w:before="63"/>
        <w:ind w:left="254" w:right="234" w:firstLine="419"/>
        <w:jc w:val="left"/>
      </w:pPr>
      <w:r>
        <w:rPr/>
        <w:t>（</w:t>
      </w:r>
      <w:r>
        <w:rPr>
          <w:rFonts w:ascii="Times New Roman" w:hAnsi="Times New Roman" w:cs="Times New Roman" w:eastAsia="Times New Roman" w:hint="default"/>
        </w:rPr>
        <w:t>4</w:t>
      </w:r>
      <w:r>
        <w:rPr/>
        <w:t>）</w:t>
      </w:r>
      <w:r>
        <w:rPr>
          <w:spacing w:val="-23"/>
        </w:rPr>
        <w:t> </w:t>
      </w:r>
      <w:r>
        <w:rPr/>
        <w:t>低值易耗品和包装物的摊销方法：低值易耗品和包装物在领用时根据实际情况采用一次摊销法</w:t>
      </w:r>
      <w:r>
        <w:rPr/>
        <w:t> 进行摊销。</w:t>
      </w:r>
    </w:p>
    <w:p>
      <w:pPr>
        <w:pStyle w:val="BodyText"/>
        <w:spacing w:line="379" w:lineRule="auto" w:before="64"/>
        <w:ind w:left="254" w:right="236" w:firstLine="420"/>
        <w:jc w:val="left"/>
      </w:pPr>
      <w:r>
        <w:rPr/>
        <w:t>（</w:t>
      </w:r>
      <w:r>
        <w:rPr>
          <w:rFonts w:ascii="Times New Roman" w:hAnsi="Times New Roman" w:cs="Times New Roman" w:eastAsia="Times New Roman" w:hint="default"/>
        </w:rPr>
        <w:t>5</w:t>
      </w:r>
      <w:r>
        <w:rPr/>
        <w:t>）</w:t>
      </w:r>
      <w:r>
        <w:rPr>
          <w:spacing w:val="-26"/>
        </w:rPr>
        <w:t> </w:t>
      </w:r>
      <w:r>
        <w:rPr/>
        <w:t>期末存货的计量：资产负债表日，存货按成本与可变现净值孰低计量，存货成本高于其可变现</w:t>
      </w:r>
      <w:r>
        <w:rPr/>
        <w:t> 净值的，计提存货跌价准备，计入当期损益。</w:t>
      </w:r>
    </w:p>
    <w:p>
      <w:pPr>
        <w:pStyle w:val="BodyText"/>
        <w:spacing w:line="403" w:lineRule="auto" w:before="63"/>
        <w:ind w:left="674" w:right="210"/>
        <w:jc w:val="left"/>
      </w:pPr>
      <w:r>
        <w:rPr/>
        <w:t>①可变现净值的确定方法： </w:t>
      </w:r>
      <w:r>
        <w:rPr>
          <w:spacing w:val="-1"/>
        </w:rPr>
        <w:t>本公司确定存货的可变现净值，以取得的确凿证据为基础，并且考虑持有存货的目的、资产负债表日</w:t>
      </w:r>
    </w:p>
    <w:p>
      <w:pPr>
        <w:pStyle w:val="BodyText"/>
        <w:spacing w:line="400" w:lineRule="auto" w:before="42"/>
        <w:ind w:left="674" w:right="210" w:hanging="420"/>
        <w:jc w:val="left"/>
      </w:pPr>
      <w:r>
        <w:rPr/>
        <w:t>后事项的影响等因素。 </w:t>
      </w:r>
      <w:r>
        <w:rPr>
          <w:spacing w:val="-1"/>
        </w:rPr>
        <w:t>为生产而持有的材料等，用其生产的产成品的可变现净值高于成本的，该材料仍然按照成本计量；材</w:t>
      </w:r>
    </w:p>
    <w:p>
      <w:pPr>
        <w:pStyle w:val="BodyText"/>
        <w:spacing w:line="400" w:lineRule="auto" w:before="45"/>
        <w:ind w:left="674" w:right="210" w:hanging="420"/>
        <w:jc w:val="left"/>
      </w:pPr>
      <w:r>
        <w:rPr/>
        <w:t>料价格的下降表明产成品的可变现净值低于成本的，该材料按照可变现净值计量。 为执行销售合同或者劳务合同而持有的存货，其可变现净值以合同价格为基础计算。 </w:t>
      </w:r>
      <w:r>
        <w:rPr>
          <w:spacing w:val="-1"/>
        </w:rPr>
        <w:t>企业持有存货的数量多于销售合同订购数量的，超出部分的存货的可变现净值以一般销售价格为基础</w:t>
      </w:r>
    </w:p>
    <w:p>
      <w:pPr>
        <w:pStyle w:val="BodyText"/>
        <w:spacing w:line="240" w:lineRule="auto" w:before="45"/>
        <w:ind w:left="254" w:right="210"/>
        <w:jc w:val="left"/>
      </w:pPr>
      <w:r>
        <w:rPr/>
        <w:t>计算。</w:t>
      </w:r>
    </w:p>
    <w:p>
      <w:pPr>
        <w:spacing w:line="240" w:lineRule="auto" w:before="2"/>
        <w:rPr>
          <w:rFonts w:ascii="宋体" w:hAnsi="宋体" w:cs="宋体" w:eastAsia="宋体" w:hint="default"/>
          <w:sz w:val="14"/>
          <w:szCs w:val="14"/>
        </w:rPr>
      </w:pPr>
    </w:p>
    <w:p>
      <w:pPr>
        <w:pStyle w:val="BodyText"/>
        <w:spacing w:line="240" w:lineRule="auto"/>
        <w:ind w:left="674" w:right="210"/>
        <w:jc w:val="left"/>
      </w:pPr>
      <w:r>
        <w:rPr/>
        <w:t>②本公司通常按照单个存货项目计提存货跌价准备。</w:t>
      </w:r>
    </w:p>
    <w:p>
      <w:pPr>
        <w:spacing w:after="0" w:line="240" w:lineRule="auto"/>
        <w:jc w:val="left"/>
        <w:sectPr>
          <w:footerReference w:type="default" r:id="rId39"/>
          <w:pgSz w:w="11910" w:h="16840"/>
          <w:pgMar w:footer="982" w:header="851" w:top="1200" w:bottom="1180" w:left="880" w:right="880"/>
          <w:pgNumType w:start="75"/>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400" w:lineRule="auto" w:before="35"/>
        <w:ind w:left="574" w:right="0"/>
        <w:jc w:val="left"/>
      </w:pPr>
      <w:r>
        <w:rPr/>
        <w:t>对于数量繁多、单价较低的存货，按照存货类别计提存货跌价准备。 </w:t>
      </w:r>
      <w:r>
        <w:rPr>
          <w:spacing w:val="-1"/>
        </w:rPr>
        <w:t>与在同一地区生产和销售的产品系列相关、具有相同或类似最终用途或目的，且难以与其他项目分开</w:t>
      </w:r>
    </w:p>
    <w:p>
      <w:pPr>
        <w:pStyle w:val="BodyText"/>
        <w:spacing w:line="240" w:lineRule="auto" w:before="45"/>
        <w:ind w:right="0"/>
        <w:jc w:val="left"/>
      </w:pPr>
      <w:r>
        <w:rPr/>
        <w:t>计量的存货，合并计提存货跌价准备。</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6</w:t>
      </w:r>
      <w:r>
        <w:rPr/>
        <w:t>）</w:t>
      </w:r>
      <w:r>
        <w:rPr>
          <w:spacing w:val="-2"/>
        </w:rPr>
        <w:t> </w:t>
      </w:r>
      <w:r>
        <w:rPr/>
        <w:t>存货的盘存制度：本公司采用永续盘存制。</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574" w:right="0"/>
        <w:jc w:val="left"/>
      </w:pPr>
      <w:r>
        <w:rPr>
          <w:rFonts w:ascii="Times New Roman" w:hAnsi="Times New Roman" w:cs="Times New Roman" w:eastAsia="Times New Roman" w:hint="default"/>
        </w:rPr>
        <w:t>12</w:t>
      </w:r>
      <w:r>
        <w:rPr/>
        <w:t>、长期股权投资的计量</w:t>
      </w:r>
    </w:p>
    <w:p>
      <w:pPr>
        <w:pStyle w:val="BodyText"/>
        <w:spacing w:line="379" w:lineRule="auto" w:before="169"/>
        <w:ind w:left="574" w:right="4160"/>
        <w:jc w:val="left"/>
      </w:pPr>
      <w:r>
        <w:rPr/>
        <w:t>（</w:t>
      </w:r>
      <w:r>
        <w:rPr>
          <w:rFonts w:ascii="Times New Roman" w:hAnsi="Times New Roman" w:cs="Times New Roman" w:eastAsia="Times New Roman" w:hint="default"/>
        </w:rPr>
        <w:t>1</w:t>
      </w:r>
      <w:r>
        <w:rPr/>
        <w:t>）初始计量 本公司分别下列两种情况对长期股权投资进行初始计量：</w:t>
      </w:r>
    </w:p>
    <w:p>
      <w:pPr>
        <w:pStyle w:val="BodyText"/>
        <w:spacing w:line="240" w:lineRule="auto" w:before="54"/>
        <w:ind w:left="574" w:right="0"/>
        <w:jc w:val="left"/>
      </w:pPr>
      <w:r>
        <w:rPr/>
        <w:t>①企业合并形成的长期股权投资，按照下列规定确定其初始投资成本：</w:t>
      </w:r>
    </w:p>
    <w:p>
      <w:pPr>
        <w:pStyle w:val="BodyText"/>
        <w:spacing w:line="388" w:lineRule="auto" w:before="175"/>
        <w:ind w:right="0" w:firstLine="420"/>
        <w:jc w:val="left"/>
      </w:pPr>
      <w:r>
        <w:rPr>
          <w:rFonts w:ascii="Times New Roman" w:hAnsi="Times New Roman" w:cs="Times New Roman" w:eastAsia="Times New Roman" w:hint="default"/>
          <w:spacing w:val="-2"/>
        </w:rPr>
        <w:t>A</w:t>
      </w:r>
      <w:r>
        <w:rPr>
          <w:spacing w:val="-2"/>
        </w:rPr>
        <w:t>、同一控制下的企业合并中，合并方以支付现金、转让非现金资产或承担债务方式作为合并对价的，</w:t>
      </w:r>
      <w:r>
        <w:rPr/>
        <w:t> 在合并日按照取得被合并方所有者权益账面价值的份额作为长期股权投资的初始投资成本。长期股权投资 初始投资成本与支付的现金、转让的非现金资产以及所承担债务账面价值之间的差额，调整资本公积；资 本公积不足冲减的，调整留存收益。为进行企业合并发生的各项直接相关费用，包括为进行企业合并而支 付的审计费用、评估费用、法律服务费用等，于发生时计入当期损益。</w:t>
      </w:r>
    </w:p>
    <w:p>
      <w:pPr>
        <w:pStyle w:val="BodyText"/>
        <w:spacing w:line="393" w:lineRule="auto" w:before="45"/>
        <w:ind w:right="209" w:firstLine="420"/>
        <w:jc w:val="both"/>
      </w:pPr>
      <w:r>
        <w:rPr>
          <w:spacing w:val="-1"/>
        </w:rPr>
        <w:t>合并方以发行权益性证券作为合并对价的，在合并日按照取得被合并方所有者权益账面价值的份额作</w:t>
      </w:r>
      <w:r>
        <w:rPr/>
        <w:t> </w:t>
      </w:r>
      <w:r>
        <w:rPr>
          <w:spacing w:val="-1"/>
        </w:rPr>
        <w:t>为长期股权投资的初始投资成本。按照发行股份的面值总额作为股本，长期股权投资初始投资成本与所发</w:t>
      </w:r>
      <w:r>
        <w:rPr>
          <w:spacing w:val="-81"/>
        </w:rPr>
        <w:t> </w:t>
      </w:r>
      <w:r>
        <w:rPr>
          <w:spacing w:val="-81"/>
        </w:rPr>
      </w:r>
      <w:r>
        <w:rPr>
          <w:spacing w:val="-1"/>
        </w:rPr>
        <w:t>行股份面值总额之间的差额，调整资本公积；资本公积不足冲减的，调整留存收益。合并中发行权益性证</w:t>
      </w:r>
      <w:r>
        <w:rPr>
          <w:spacing w:val="-86"/>
        </w:rPr>
        <w:t> </w:t>
      </w:r>
      <w:r>
        <w:rPr>
          <w:spacing w:val="-86"/>
        </w:rPr>
      </w:r>
      <w:r>
        <w:rPr/>
        <w:t>券发生的手续费、佣金等费用，抵减权益性证券溢价收入，溢价收入不足冲减的，冲减留存收益。</w:t>
      </w:r>
    </w:p>
    <w:p>
      <w:pPr>
        <w:pStyle w:val="BodyText"/>
        <w:spacing w:line="372" w:lineRule="auto" w:before="41"/>
        <w:ind w:left="574" w:right="0"/>
        <w:jc w:val="left"/>
      </w:pPr>
      <w:r>
        <w:rPr>
          <w:rFonts w:ascii="Times New Roman" w:hAnsi="Times New Roman" w:cs="Times New Roman" w:eastAsia="Times New Roman" w:hint="default"/>
        </w:rPr>
        <w:t>B</w:t>
      </w:r>
      <w:r>
        <w:rPr/>
        <w:t>、非同一控制下的企业合并中，购买方区别下列情况确定合并成本： </w:t>
      </w:r>
      <w:r>
        <w:rPr>
          <w:rFonts w:ascii="Times New Roman" w:hAnsi="Times New Roman" w:cs="Times New Roman" w:eastAsia="Times New Roman" w:hint="default"/>
        </w:rPr>
        <w:t>a</w:t>
      </w:r>
      <w:r>
        <w:rPr/>
        <w:t>）一次交换交易实现的企业合并，合并成本为购买方在购买日为取得对被购买方的控制权而付出的</w:t>
      </w:r>
    </w:p>
    <w:p>
      <w:pPr>
        <w:pStyle w:val="BodyText"/>
        <w:spacing w:line="381" w:lineRule="auto" w:before="31"/>
        <w:ind w:left="574" w:right="0" w:hanging="420"/>
        <w:jc w:val="left"/>
      </w:pPr>
      <w:r>
        <w:rPr/>
        <w:t>资产、发生或承担的负债以及发行的权益性证券的公允价值； </w:t>
      </w:r>
      <w:r>
        <w:rPr>
          <w:rFonts w:ascii="Times New Roman" w:hAnsi="Times New Roman" w:cs="Times New Roman" w:eastAsia="Times New Roman" w:hint="default"/>
        </w:rPr>
        <w:t>b</w:t>
      </w:r>
      <w:r>
        <w:rPr/>
        <w:t>）通过多次交换交易分步实现的企业合并，合并成本为每一单项交易成本之和； </w:t>
      </w:r>
      <w:r>
        <w:rPr>
          <w:rFonts w:ascii="Times New Roman" w:hAnsi="Times New Roman" w:cs="Times New Roman" w:eastAsia="Times New Roman" w:hint="default"/>
        </w:rPr>
        <w:t>c</w:t>
      </w:r>
      <w:r>
        <w:rPr/>
        <w:t>）购买方为企业合并发生的审计、法律服务、评估咨询等中介费用以及其他相关管理费用，应当于</w:t>
      </w:r>
    </w:p>
    <w:p>
      <w:pPr>
        <w:pStyle w:val="BodyText"/>
        <w:spacing w:line="393" w:lineRule="auto" w:before="22"/>
        <w:ind w:right="0"/>
        <w:jc w:val="left"/>
      </w:pPr>
      <w:r>
        <w:rPr>
          <w:spacing w:val="-1"/>
        </w:rPr>
        <w:t>发生时计入当期损益；购买方作为合并对价发行的权益性证券或债务性证券的交易费用，应当计入权益性</w:t>
      </w:r>
      <w:r>
        <w:rPr>
          <w:spacing w:val="-81"/>
        </w:rPr>
        <w:t> </w:t>
      </w:r>
      <w:r>
        <w:rPr>
          <w:spacing w:val="-81"/>
        </w:rPr>
      </w:r>
      <w:r>
        <w:rPr/>
        <w:t>证券或债务性证券的初始确认金额；</w:t>
      </w:r>
    </w:p>
    <w:p>
      <w:pPr>
        <w:pStyle w:val="BodyText"/>
        <w:spacing w:line="372" w:lineRule="auto" w:before="41"/>
        <w:ind w:right="0" w:firstLine="420"/>
        <w:jc w:val="left"/>
      </w:pPr>
      <w:r>
        <w:rPr>
          <w:rFonts w:ascii="Times New Roman" w:hAnsi="Times New Roman" w:cs="Times New Roman" w:eastAsia="Times New Roman" w:hint="default"/>
        </w:rPr>
        <w:t>d</w:t>
      </w:r>
      <w:r>
        <w:rPr/>
        <w:t>）在合并合同或协议中对可能影响合并成本的未来事项作出约定的，购买日如果估计未来事项很可</w:t>
      </w:r>
      <w:r>
        <w:rPr>
          <w:spacing w:val="2"/>
        </w:rPr>
        <w:t> </w:t>
      </w:r>
      <w:r>
        <w:rPr/>
        <w:t>能发生并且对合并成本的影响金额能够可靠计量的，将其计入合并成本。</w:t>
      </w:r>
    </w:p>
    <w:p>
      <w:pPr>
        <w:pStyle w:val="BodyText"/>
        <w:spacing w:line="393" w:lineRule="auto" w:before="59"/>
        <w:ind w:right="0" w:firstLine="420"/>
        <w:jc w:val="left"/>
      </w:pPr>
      <w:r>
        <w:rPr>
          <w:spacing w:val="-1"/>
        </w:rPr>
        <w:t>②除企业合并形成的长期股权投资以外，其他方式取得的长期股权投资，按照下列规定确定其初始投</w:t>
      </w:r>
      <w:r>
        <w:rPr/>
        <w:t> 资成本：</w:t>
      </w:r>
    </w:p>
    <w:p>
      <w:pPr>
        <w:pStyle w:val="BodyText"/>
        <w:spacing w:line="372" w:lineRule="auto" w:before="41"/>
        <w:ind w:right="276" w:firstLine="420"/>
        <w:jc w:val="left"/>
      </w:pPr>
      <w:r>
        <w:rPr>
          <w:rFonts w:ascii="Times New Roman" w:hAnsi="Times New Roman" w:cs="Times New Roman" w:eastAsia="Times New Roman" w:hint="default"/>
        </w:rPr>
        <w:t>A</w:t>
      </w:r>
      <w:r>
        <w:rPr/>
        <w:t>、</w:t>
      </w:r>
      <w:r>
        <w:rPr>
          <w:spacing w:val="-66"/>
        </w:rPr>
        <w:t> </w:t>
      </w:r>
      <w:r>
        <w:rPr/>
        <w:t>以支付现金取得的长期股权投资，按照实际支付的购买价款作为初始投资成本。初始投资成本包</w:t>
      </w:r>
      <w:r>
        <w:rPr/>
        <w:t> 括与取得长期股权投资直接相关的费用、税金及其他必要支出。</w:t>
      </w:r>
    </w:p>
    <w:p>
      <w:pPr>
        <w:spacing w:after="0" w:line="372" w:lineRule="auto"/>
        <w:jc w:val="left"/>
        <w:sectPr>
          <w:pgSz w:w="11910" w:h="16840"/>
          <w:pgMar w:header="851" w:footer="982" w:top="1200" w:bottom="1180" w:left="980" w:right="920"/>
        </w:sectPr>
      </w:pPr>
    </w:p>
    <w:p>
      <w:pPr>
        <w:spacing w:line="240" w:lineRule="auto" w:before="5"/>
        <w:rPr>
          <w:rFonts w:ascii="宋体" w:hAnsi="宋体" w:cs="宋体" w:eastAsia="宋体" w:hint="default"/>
          <w:sz w:val="13"/>
          <w:szCs w:val="13"/>
        </w:rPr>
      </w:pPr>
    </w:p>
    <w:p>
      <w:pPr>
        <w:pStyle w:val="BodyText"/>
        <w:spacing w:line="386" w:lineRule="auto" w:before="35"/>
        <w:ind w:right="128" w:firstLine="420"/>
        <w:jc w:val="both"/>
      </w:pPr>
      <w:r>
        <w:rPr>
          <w:rFonts w:ascii="Times New Roman" w:hAnsi="Times New Roman" w:cs="Times New Roman" w:eastAsia="Times New Roman" w:hint="default"/>
        </w:rPr>
        <w:t>B</w:t>
      </w:r>
      <w:r>
        <w:rPr/>
        <w:t>、以发行权益性证券取得的长期股权投资，按照发行权益性证券的公允价值作为初始投资成本。但 不包括应自被投资单位收取的已宣告但尚未发放的现金股利或利润。支付给有关证券承销机构的手续费、 </w:t>
      </w:r>
      <w:r>
        <w:rPr>
          <w:spacing w:val="-1"/>
        </w:rPr>
        <w:t>佣金等与权益性证券发行直接相关的费用，自权益性证券的溢价发行收入中扣除，溢价发行收入不足冲减</w:t>
      </w:r>
      <w:r>
        <w:rPr>
          <w:spacing w:val="-81"/>
        </w:rPr>
        <w:t> </w:t>
      </w:r>
      <w:r>
        <w:rPr>
          <w:spacing w:val="-81"/>
        </w:rPr>
      </w:r>
      <w:r>
        <w:rPr/>
        <w:t>的，冲减盈余公积和未分配利润。</w:t>
      </w:r>
    </w:p>
    <w:p>
      <w:pPr>
        <w:pStyle w:val="BodyText"/>
        <w:spacing w:line="372" w:lineRule="auto" w:before="47"/>
        <w:ind w:right="149" w:firstLine="420"/>
        <w:jc w:val="both"/>
      </w:pPr>
      <w:r>
        <w:rPr>
          <w:rFonts w:ascii="Times New Roman" w:hAnsi="Times New Roman" w:cs="Times New Roman" w:eastAsia="Times New Roman" w:hint="default"/>
        </w:rPr>
        <w:t>C</w:t>
      </w:r>
      <w:r>
        <w:rPr/>
        <w:t>、投资者投入的长期股权投资，按照投资合同或协议约定的价值作为初始投资成本，但合同或协议 约定价值不公允的除外。</w:t>
      </w:r>
    </w:p>
    <w:p>
      <w:pPr>
        <w:pStyle w:val="BodyText"/>
        <w:spacing w:line="372" w:lineRule="auto" w:before="59"/>
        <w:ind w:left="153" w:right="150" w:firstLine="420"/>
        <w:jc w:val="both"/>
      </w:pPr>
      <w:r>
        <w:rPr>
          <w:rFonts w:ascii="Times New Roman" w:hAnsi="Times New Roman" w:cs="Times New Roman" w:eastAsia="Times New Roman" w:hint="default"/>
        </w:rPr>
        <w:t>D</w:t>
      </w:r>
      <w:r>
        <w:rPr/>
        <w:t>、通过非货币性资产交换取得的长期股权投资，其初始投资成本按照《企业会计准则第</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非货币 性资产交换》确定。</w:t>
      </w:r>
    </w:p>
    <w:p>
      <w:pPr>
        <w:pStyle w:val="BodyText"/>
        <w:spacing w:line="372" w:lineRule="auto" w:before="59"/>
        <w:ind w:left="153" w:right="151" w:firstLine="420"/>
        <w:jc w:val="both"/>
      </w:pPr>
      <w:r>
        <w:rPr>
          <w:rFonts w:ascii="Times New Roman" w:hAnsi="Times New Roman" w:cs="Times New Roman" w:eastAsia="Times New Roman" w:hint="default"/>
        </w:rPr>
        <w:t>E</w:t>
      </w:r>
      <w:r>
        <w:rPr/>
        <w:t>、通过债务重组取得的长期股权投资，其初始投资成本按照《企业会计准则第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债务重组》确 定。</w:t>
      </w:r>
    </w:p>
    <w:p>
      <w:pPr>
        <w:pStyle w:val="BodyText"/>
        <w:spacing w:line="393" w:lineRule="auto" w:before="59"/>
        <w:ind w:left="153" w:right="149" w:firstLine="420"/>
        <w:jc w:val="both"/>
      </w:pPr>
      <w:r>
        <w:rPr>
          <w:spacing w:val="-1"/>
        </w:rPr>
        <w:t>③企业无论是以何种方式取得长期股权投资，取得投资时，对于支付的对价中包含的应享有被投资单</w:t>
      </w:r>
      <w:r>
        <w:rPr/>
        <w:t> </w:t>
      </w:r>
      <w:r>
        <w:rPr>
          <w:spacing w:val="-1"/>
        </w:rPr>
        <w:t>位已经宣告但尚未发放的现金股利或利润都作为应收项目单独核算，不构成取得长期股权投资的初始投资</w:t>
      </w:r>
      <w:r>
        <w:rPr>
          <w:spacing w:val="-81"/>
        </w:rPr>
        <w:t> </w:t>
      </w:r>
      <w:r>
        <w:rPr>
          <w:spacing w:val="-81"/>
        </w:rPr>
      </w:r>
      <w:r>
        <w:rPr/>
        <w:t>成本。</w:t>
      </w:r>
    </w:p>
    <w:p>
      <w:pPr>
        <w:pStyle w:val="BodyText"/>
        <w:spacing w:line="372" w:lineRule="auto" w:before="41"/>
        <w:ind w:left="573" w:right="0"/>
        <w:jc w:val="left"/>
      </w:pPr>
      <w:r>
        <w:rPr/>
        <w:t>（</w:t>
      </w:r>
      <w:r>
        <w:rPr>
          <w:rFonts w:ascii="Times New Roman" w:hAnsi="Times New Roman" w:cs="Times New Roman" w:eastAsia="Times New Roman" w:hint="default"/>
        </w:rPr>
        <w:t>2</w:t>
      </w:r>
      <w:r>
        <w:rPr/>
        <w:t>）</w:t>
      </w:r>
      <w:r>
        <w:rPr>
          <w:spacing w:val="-1"/>
        </w:rPr>
        <w:t> </w:t>
      </w:r>
      <w:r>
        <w:rPr/>
        <w:t>后续计量</w:t>
      </w:r>
      <w:r>
        <w:rPr/>
        <w:t> </w:t>
      </w:r>
      <w:r>
        <w:rPr>
          <w:spacing w:val="-1"/>
        </w:rPr>
        <w:t>本公司在长期股权投资持有期间，根据对被投资单位的影响程度及是否存在活跃市场、公允价值能否</w:t>
      </w:r>
    </w:p>
    <w:p>
      <w:pPr>
        <w:pStyle w:val="BodyText"/>
        <w:spacing w:line="393" w:lineRule="auto" w:before="59"/>
        <w:ind w:left="153" w:right="149"/>
        <w:jc w:val="both"/>
      </w:pPr>
      <w:r>
        <w:rPr>
          <w:spacing w:val="-1"/>
        </w:rPr>
        <w:t>可靠取得等进行划分，并分别采用成本法及权益法进行核算。对被投资单位具有共同控制或重大影响的长</w:t>
      </w:r>
      <w:r>
        <w:rPr>
          <w:spacing w:val="-81"/>
        </w:rPr>
        <w:t> </w:t>
      </w:r>
      <w:r>
        <w:rPr>
          <w:spacing w:val="-81"/>
        </w:rPr>
      </w:r>
      <w:r>
        <w:rPr>
          <w:spacing w:val="-1"/>
        </w:rPr>
        <w:t>期股权投资，采用权益法核算；对被投资单位能够实施控制的长期股权投资，以及对被投资单位不具有共</w:t>
      </w:r>
      <w:r>
        <w:rPr>
          <w:spacing w:val="-83"/>
        </w:rPr>
        <w:t> </w:t>
      </w:r>
      <w:r>
        <w:rPr>
          <w:spacing w:val="-83"/>
        </w:rPr>
      </w:r>
      <w:r>
        <w:rPr>
          <w:spacing w:val="-1"/>
        </w:rPr>
        <w:t>同控制或重大影响、并且在活跃市场中没有报价、公允价值不能可靠计量的长期股权投资，采用成本法核</w:t>
      </w:r>
      <w:r>
        <w:rPr>
          <w:spacing w:val="-83"/>
        </w:rPr>
        <w:t> </w:t>
      </w:r>
      <w:r>
        <w:rPr>
          <w:spacing w:val="-83"/>
        </w:rPr>
      </w:r>
      <w:r>
        <w:rPr/>
        <w:t>算。</w:t>
      </w:r>
    </w:p>
    <w:p>
      <w:pPr>
        <w:pStyle w:val="BodyText"/>
        <w:spacing w:line="393" w:lineRule="auto" w:before="41"/>
        <w:ind w:left="153" w:right="149" w:firstLine="420"/>
        <w:jc w:val="both"/>
      </w:pPr>
      <w:r>
        <w:rPr>
          <w:spacing w:val="-1"/>
        </w:rPr>
        <w:t>①采用成本法核算的长期股权投资，除取得投资时实际支付的价款或对价中包含的已宣告但尚未发放</w:t>
      </w:r>
      <w:r>
        <w:rPr/>
        <w:t> </w:t>
      </w:r>
      <w:r>
        <w:rPr>
          <w:spacing w:val="-1"/>
        </w:rPr>
        <w:t>的现金股利或利润外，投资企业应当按照享有被投资单位宣告发放的现金股利或利润确认投资收益，不再</w:t>
      </w:r>
      <w:r>
        <w:rPr>
          <w:spacing w:val="-81"/>
        </w:rPr>
        <w:t> </w:t>
      </w:r>
      <w:r>
        <w:rPr>
          <w:spacing w:val="-81"/>
        </w:rPr>
      </w:r>
      <w:r>
        <w:rPr/>
        <w:t>划分是否属于投资前和投资后被投资单位实现的净利润。</w:t>
      </w:r>
    </w:p>
    <w:p>
      <w:pPr>
        <w:pStyle w:val="BodyText"/>
        <w:spacing w:line="388" w:lineRule="auto" w:before="41"/>
        <w:ind w:left="153" w:right="147" w:firstLine="420"/>
        <w:jc w:val="both"/>
      </w:pPr>
      <w:r>
        <w:rPr>
          <w:spacing w:val="-1"/>
        </w:rPr>
        <w:t>公司按照上述规定确认自被投资单位应分得的现金股利或利润后，应当考虑长期股权投资是否发生减</w:t>
      </w:r>
      <w:r>
        <w:rPr/>
        <w:t> </w:t>
      </w:r>
      <w:r>
        <w:rPr>
          <w:spacing w:val="-1"/>
        </w:rPr>
        <w:t>值。在判断该类长期股权投资是否存在减值迹象时，应当关注长期股权投资的账面价值是否大于享有被投</w:t>
      </w:r>
      <w:r>
        <w:rPr>
          <w:spacing w:val="-81"/>
        </w:rPr>
        <w:t> </w:t>
      </w:r>
      <w:r>
        <w:rPr>
          <w:spacing w:val="-81"/>
        </w:rPr>
      </w:r>
      <w:r>
        <w:rPr>
          <w:spacing w:val="-1"/>
        </w:rPr>
        <w:t>资单位净资产（包括相关商誉）账面价值的份额等类似情况。出现类似情况时，应当按照《企业会计准则</w:t>
      </w:r>
      <w:r>
        <w:rPr>
          <w:spacing w:val="-83"/>
        </w:rPr>
        <w:t> </w:t>
      </w:r>
      <w:r>
        <w:rPr>
          <w:spacing w:val="-83"/>
        </w:rPr>
      </w:r>
      <w:r>
        <w:rPr/>
        <w:t>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资产减值》对长期股权投资进行减值测试，可收回金额低于长期股权投资账面价值的，应当计</w:t>
      </w:r>
      <w:r>
        <w:rPr>
          <w:spacing w:val="-34"/>
        </w:rPr>
        <w:t> </w:t>
      </w:r>
      <w:r>
        <w:rPr>
          <w:spacing w:val="-34"/>
        </w:rPr>
      </w:r>
      <w:r>
        <w:rPr/>
        <w:t>提减值准备。</w:t>
      </w:r>
    </w:p>
    <w:p>
      <w:pPr>
        <w:pStyle w:val="BodyText"/>
        <w:spacing w:line="393" w:lineRule="auto" w:before="45"/>
        <w:ind w:left="153" w:right="149" w:firstLine="420"/>
        <w:jc w:val="both"/>
      </w:pPr>
      <w:r>
        <w:rPr>
          <w:spacing w:val="-1"/>
        </w:rPr>
        <w:t>②采用权益法核算的长期股权投资，本公司在取得长期股权投资以后，按照应享有或应分担的被投资</w:t>
      </w:r>
      <w:r>
        <w:rPr/>
        <w:t> </w:t>
      </w:r>
      <w:r>
        <w:rPr>
          <w:spacing w:val="-1"/>
        </w:rPr>
        <w:t>单位实现的净损益的份额，确认投资损益并调整长期股权投资的账面价值。本公司按照被投资单位宣告分</w:t>
      </w:r>
      <w:r>
        <w:rPr>
          <w:spacing w:val="-81"/>
        </w:rPr>
        <w:t> </w:t>
      </w:r>
      <w:r>
        <w:rPr>
          <w:spacing w:val="-81"/>
        </w:rPr>
      </w:r>
      <w:r>
        <w:rPr/>
        <w:t>派的利润或现金股利计算应分得的部分，相应减少长期股权投资的账面价值。</w:t>
      </w:r>
    </w:p>
    <w:p>
      <w:pPr>
        <w:pStyle w:val="BodyText"/>
        <w:spacing w:line="240" w:lineRule="auto" w:before="41"/>
        <w:ind w:left="573" w:right="0"/>
        <w:jc w:val="left"/>
      </w:pPr>
      <w:r>
        <w:rPr/>
        <w:t>采用权益法核算的长期投资，本公司确认被投资单位发生的净亏损，以长期股权投资的账面价值以及</w:t>
      </w:r>
    </w:p>
    <w:p>
      <w:pPr>
        <w:spacing w:after="0" w:line="240" w:lineRule="auto"/>
        <w:jc w:val="left"/>
        <w:sectPr>
          <w:pgSz w:w="11910" w:h="16840"/>
          <w:pgMar w:header="851" w:footer="982" w:top="1200" w:bottom="1180" w:left="980" w:right="980"/>
        </w:sectPr>
      </w:pPr>
    </w:p>
    <w:p>
      <w:pPr>
        <w:spacing w:line="240" w:lineRule="auto" w:before="5"/>
        <w:rPr>
          <w:rFonts w:ascii="宋体" w:hAnsi="宋体" w:cs="宋体" w:eastAsia="宋体" w:hint="default"/>
          <w:sz w:val="13"/>
          <w:szCs w:val="13"/>
        </w:rPr>
      </w:pPr>
    </w:p>
    <w:p>
      <w:pPr>
        <w:pStyle w:val="BodyText"/>
        <w:spacing w:line="393" w:lineRule="auto" w:before="35"/>
        <w:ind w:right="209"/>
        <w:jc w:val="both"/>
      </w:pPr>
      <w:r>
        <w:rPr>
          <w:spacing w:val="-1"/>
        </w:rPr>
        <w:t>其他实质上构成对被投资单位净投资的长期权益减记至零为限，公司负有承担额外损失义务的除外。被投</w:t>
      </w:r>
      <w:r>
        <w:rPr>
          <w:spacing w:val="-81"/>
        </w:rPr>
        <w:t> </w:t>
      </w:r>
      <w:r>
        <w:rPr>
          <w:spacing w:val="-81"/>
        </w:rPr>
      </w:r>
      <w:r>
        <w:rPr/>
        <w:t>资单位以后实现净利润的，公司在其收益分享额弥补未确认的亏损分担额后，恢复确认收益分享额。</w:t>
      </w:r>
    </w:p>
    <w:p>
      <w:pPr>
        <w:pStyle w:val="BodyText"/>
        <w:spacing w:line="381" w:lineRule="auto" w:before="41"/>
        <w:ind w:right="209" w:firstLine="420"/>
        <w:jc w:val="both"/>
      </w:pPr>
      <w:r>
        <w:rPr>
          <w:spacing w:val="-1"/>
        </w:rPr>
        <w:t>③按照公司会计政策规定采用成本法核算的、在活跃市场中没有报价、公允价值不能可靠计量的长期</w:t>
      </w:r>
      <w:r>
        <w:rPr/>
        <w:t> 股权投资，其减值按照公司</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相关会计政策处理；其他按照公司会计政策核算的长 期股权投资，其减值按照公司制定的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会计政策处理。</w:t>
      </w:r>
    </w:p>
    <w:p>
      <w:pPr>
        <w:pStyle w:val="BodyText"/>
        <w:spacing w:line="400" w:lineRule="auto" w:before="31"/>
        <w:ind w:right="208" w:firstLine="435"/>
        <w:jc w:val="both"/>
      </w:pPr>
      <w:r>
        <w:rPr>
          <w:spacing w:val="-1"/>
        </w:rPr>
        <w:t>④本公司处置长期股权投资，其账面价值与实际取得价款的差额，计入当期损益。采用权益法核算的</w:t>
      </w:r>
      <w:r>
        <w:rPr/>
        <w:t> </w:t>
      </w:r>
      <w:r>
        <w:rPr>
          <w:spacing w:val="-1"/>
        </w:rPr>
        <w:t>长期股权投资，因被投资单位除净损益以外所有者权益的其他变动而计入所有者权益的，处置该项投资时</w:t>
      </w:r>
      <w:r>
        <w:rPr>
          <w:spacing w:val="-81"/>
        </w:rPr>
        <w:t> </w:t>
      </w:r>
      <w:r>
        <w:rPr>
          <w:spacing w:val="-81"/>
        </w:rPr>
      </w:r>
      <w:r>
        <w:rPr/>
        <w:t>将原计入所有者权益的部分按相应比例转入当期损益。</w:t>
      </w:r>
    </w:p>
    <w:p>
      <w:pPr>
        <w:pStyle w:val="BodyText"/>
        <w:spacing w:line="379" w:lineRule="auto" w:before="44"/>
        <w:ind w:left="589" w:right="199"/>
        <w:jc w:val="left"/>
      </w:pPr>
      <w:r>
        <w:rPr/>
        <w:t>（</w:t>
      </w:r>
      <w:r>
        <w:rPr>
          <w:rFonts w:ascii="Times New Roman" w:hAnsi="Times New Roman" w:cs="Times New Roman" w:eastAsia="Times New Roman" w:hint="default"/>
        </w:rPr>
        <w:t>3</w:t>
      </w:r>
      <w:r>
        <w:rPr/>
        <w:t>）确定对被投资单位具有共同控制、重大影响的依据 </w:t>
      </w:r>
      <w:r>
        <w:rPr>
          <w:spacing w:val="-1"/>
        </w:rPr>
        <w:t>本公司对外投资符合下列情况时，确定为投资单位具有共同控制：①任何一个合营方均不能单独控制</w:t>
      </w:r>
    </w:p>
    <w:p>
      <w:pPr>
        <w:pStyle w:val="BodyText"/>
        <w:spacing w:line="400" w:lineRule="auto" w:before="64"/>
        <w:ind w:right="209"/>
        <w:jc w:val="both"/>
      </w:pPr>
      <w:r>
        <w:rPr>
          <w:spacing w:val="-1"/>
        </w:rPr>
        <w:t>合营企业的生产经营活动；②涉及合营企业基本经营活动的决策需要各合营方一致同意；③各合营方可能</w:t>
      </w:r>
      <w:r>
        <w:rPr>
          <w:spacing w:val="-81"/>
        </w:rPr>
        <w:t> </w:t>
      </w:r>
      <w:r>
        <w:rPr>
          <w:spacing w:val="-81"/>
        </w:rPr>
      </w:r>
      <w:r>
        <w:rPr>
          <w:spacing w:val="-1"/>
        </w:rPr>
        <w:t>通过合同或协议的形式任命其中的一个合营方对合营企业的日常活动进行管理，但其必须在各合营方已经</w:t>
      </w:r>
      <w:r>
        <w:rPr>
          <w:spacing w:val="-81"/>
        </w:rPr>
        <w:t> </w:t>
      </w:r>
      <w:r>
        <w:rPr>
          <w:spacing w:val="-81"/>
        </w:rPr>
      </w:r>
      <w:r>
        <w:rPr/>
        <w:t>一致同意的财务和经营政策范围内行使管理权。</w:t>
      </w:r>
    </w:p>
    <w:p>
      <w:pPr>
        <w:pStyle w:val="BodyText"/>
        <w:spacing w:line="400" w:lineRule="auto" w:before="45"/>
        <w:ind w:right="104" w:firstLine="435"/>
        <w:jc w:val="both"/>
      </w:pPr>
      <w:r>
        <w:rPr/>
        <w:t>本公司对外投资符合下列情况时，确定为对投资单位具有重大影响：①在被投资单位的董事会或类似 权力机构中派有代表；②参与被投资单位的政策制定过程，包括股利分配政策等的制定；③与被投资单位 之间发生重要交易；④向被投资单位派出管理人员；⑤向被投资单位提供关键技术资料。本公司直接或通 </w:t>
      </w:r>
      <w:r>
        <w:rPr>
          <w:spacing w:val="-2"/>
        </w:rPr>
        <w:t>过子公司间接拥有被投资企业</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的表决权股份时，一般认为对被投资单位具有重大影响。</w:t>
      </w:r>
    </w:p>
    <w:p>
      <w:pPr>
        <w:pStyle w:val="BodyText"/>
        <w:spacing w:line="379" w:lineRule="auto" w:before="13"/>
        <w:ind w:left="589" w:right="199"/>
        <w:jc w:val="left"/>
      </w:pPr>
      <w:r>
        <w:rPr/>
        <w:t>（</w:t>
      </w:r>
      <w:r>
        <w:rPr>
          <w:rFonts w:ascii="Times New Roman" w:hAnsi="Times New Roman" w:cs="Times New Roman" w:eastAsia="Times New Roman" w:hint="default"/>
        </w:rPr>
        <w:t>4</w:t>
      </w:r>
      <w:r>
        <w:rPr/>
        <w:t>）减值测试方法及减值准备计提方法 </w:t>
      </w:r>
      <w:r>
        <w:rPr>
          <w:spacing w:val="-1"/>
        </w:rPr>
        <w:t>按照成本法核算的、在活跃市场中没有报价、公允价值不能可靠计量的长期股权投资，其减值应当按</w:t>
      </w:r>
    </w:p>
    <w:p>
      <w:pPr>
        <w:pStyle w:val="BodyText"/>
        <w:spacing w:line="379" w:lineRule="auto" w:before="64"/>
        <w:ind w:right="211"/>
        <w:jc w:val="both"/>
      </w:pPr>
      <w:r>
        <w:rPr/>
        <w:t>照本公司</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会计政策处理；其他长期股权投资，其减值按照本公司制定的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会计政策执行。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574" w:right="0"/>
        <w:jc w:val="left"/>
      </w:pPr>
      <w:r>
        <w:rPr>
          <w:rFonts w:ascii="Times New Roman" w:hAnsi="Times New Roman" w:cs="Times New Roman" w:eastAsia="Times New Roman" w:hint="default"/>
        </w:rPr>
        <w:t>13</w:t>
      </w:r>
      <w:r>
        <w:rPr/>
        <w:t>、</w:t>
      </w:r>
      <w:r>
        <w:rPr>
          <w:spacing w:val="-3"/>
        </w:rPr>
        <w:t> </w:t>
      </w:r>
      <w:r>
        <w:rPr/>
        <w:t>投资性房地产的确认和计量</w:t>
      </w:r>
    </w:p>
    <w:p>
      <w:pPr>
        <w:pStyle w:val="BodyText"/>
        <w:spacing w:line="240" w:lineRule="auto" w:before="169"/>
        <w:ind w:left="574" w:right="0"/>
        <w:jc w:val="left"/>
      </w:pPr>
      <w:r>
        <w:rPr/>
        <w:t>（</w:t>
      </w:r>
      <w:r>
        <w:rPr>
          <w:rFonts w:ascii="Times New Roman" w:hAnsi="Times New Roman" w:cs="Times New Roman" w:eastAsia="Times New Roman" w:hint="default"/>
        </w:rPr>
        <w:t>1</w:t>
      </w:r>
      <w:r>
        <w:rPr/>
        <w:t>）本公司的投资性房地产是指为赚取租金或资本增值，或两者兼有而持有的房地产。主要包括：</w:t>
      </w:r>
    </w:p>
    <w:p>
      <w:pPr>
        <w:pStyle w:val="BodyText"/>
        <w:spacing w:line="240" w:lineRule="auto" w:before="169"/>
        <w:ind w:left="574" w:right="0"/>
        <w:jc w:val="left"/>
      </w:pPr>
      <w:r>
        <w:rPr/>
        <w:t>①已出租的土地使用权；</w:t>
      </w:r>
    </w:p>
    <w:p>
      <w:pPr>
        <w:spacing w:line="240" w:lineRule="auto" w:before="3"/>
        <w:rPr>
          <w:rFonts w:ascii="宋体" w:hAnsi="宋体" w:cs="宋体" w:eastAsia="宋体" w:hint="default"/>
          <w:sz w:val="14"/>
          <w:szCs w:val="14"/>
        </w:rPr>
      </w:pPr>
    </w:p>
    <w:p>
      <w:pPr>
        <w:pStyle w:val="BodyText"/>
        <w:spacing w:line="240" w:lineRule="auto"/>
        <w:ind w:left="574" w:right="0"/>
        <w:jc w:val="left"/>
      </w:pPr>
      <w:r>
        <w:rPr/>
        <w:t>②持有并准备增值后转让的土地使用权；</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③已出租的建筑物。</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2</w:t>
      </w:r>
      <w:r>
        <w:rPr/>
        <w:t>）本公司投资性房地产同时满足下列条件的，予以确认：</w:t>
      </w:r>
    </w:p>
    <w:p>
      <w:pPr>
        <w:pStyle w:val="BodyText"/>
        <w:spacing w:line="240" w:lineRule="auto" w:before="170"/>
        <w:ind w:left="574" w:right="0"/>
        <w:jc w:val="left"/>
      </w:pPr>
      <w:r>
        <w:rPr/>
        <w:t>①与该投资性房地产有关的经济利益很可能流入企业；</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②该投资性房地产的成本能够可靠地计量。</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3</w:t>
      </w:r>
      <w:r>
        <w:rPr/>
        <w:t>）初始计量</w:t>
      </w:r>
    </w:p>
    <w:p>
      <w:pPr>
        <w:spacing w:after="0" w:line="240" w:lineRule="auto"/>
        <w:jc w:val="left"/>
        <w:sectPr>
          <w:pgSz w:w="11910" w:h="16840"/>
          <w:pgMar w:header="851" w:footer="982" w:top="1200" w:bottom="1180" w:left="980" w:right="920"/>
        </w:sectPr>
      </w:pPr>
    </w:p>
    <w:p>
      <w:pPr>
        <w:spacing w:line="240" w:lineRule="auto" w:before="1"/>
        <w:rPr>
          <w:rFonts w:ascii="宋体" w:hAnsi="宋体" w:cs="宋体" w:eastAsia="宋体" w:hint="default"/>
          <w:sz w:val="14"/>
          <w:szCs w:val="14"/>
        </w:rPr>
      </w:pPr>
    </w:p>
    <w:p>
      <w:pPr>
        <w:pStyle w:val="BodyText"/>
        <w:spacing w:line="240" w:lineRule="auto" w:before="35"/>
        <w:ind w:left="654" w:right="101"/>
        <w:jc w:val="left"/>
      </w:pPr>
      <w:r>
        <w:rPr/>
        <w:t>投资性房地产按照成本进行初始计量。</w:t>
      </w:r>
    </w:p>
    <w:p>
      <w:pPr>
        <w:spacing w:line="240" w:lineRule="auto" w:before="2"/>
        <w:rPr>
          <w:rFonts w:ascii="宋体" w:hAnsi="宋体" w:cs="宋体" w:eastAsia="宋体" w:hint="default"/>
          <w:sz w:val="14"/>
          <w:szCs w:val="14"/>
        </w:rPr>
      </w:pPr>
    </w:p>
    <w:p>
      <w:pPr>
        <w:pStyle w:val="BodyText"/>
        <w:spacing w:line="240" w:lineRule="auto"/>
        <w:ind w:left="654" w:right="101"/>
        <w:jc w:val="left"/>
      </w:pPr>
      <w:r>
        <w:rPr/>
        <w:t>①外购投资性房地产的成本，包括购买价款、相关税费和可直接归属于该资产的其他支出；</w:t>
      </w:r>
    </w:p>
    <w:p>
      <w:pPr>
        <w:spacing w:line="240" w:lineRule="auto" w:before="3"/>
        <w:rPr>
          <w:rFonts w:ascii="宋体" w:hAnsi="宋体" w:cs="宋体" w:eastAsia="宋体" w:hint="default"/>
          <w:sz w:val="14"/>
          <w:szCs w:val="14"/>
        </w:rPr>
      </w:pPr>
    </w:p>
    <w:p>
      <w:pPr>
        <w:pStyle w:val="BodyText"/>
        <w:spacing w:line="240" w:lineRule="auto"/>
        <w:ind w:left="654" w:right="101"/>
        <w:jc w:val="left"/>
      </w:pPr>
      <w:r>
        <w:rPr/>
        <w:t>②自行建造投资性房地产的成本，由建造该项资产达到预定可使用状态前所发生的必要支出构成；</w:t>
      </w:r>
    </w:p>
    <w:p>
      <w:pPr>
        <w:spacing w:line="240" w:lineRule="auto" w:before="2"/>
        <w:rPr>
          <w:rFonts w:ascii="宋体" w:hAnsi="宋体" w:cs="宋体" w:eastAsia="宋体" w:hint="default"/>
          <w:sz w:val="14"/>
          <w:szCs w:val="14"/>
        </w:rPr>
      </w:pPr>
    </w:p>
    <w:p>
      <w:pPr>
        <w:pStyle w:val="BodyText"/>
        <w:spacing w:line="240" w:lineRule="auto"/>
        <w:ind w:left="654" w:right="101"/>
        <w:jc w:val="left"/>
      </w:pPr>
      <w:r>
        <w:rPr/>
        <w:t>③以其他方式取得的投资性房地产的成本，按照相关会计准则的规定确定。</w:t>
      </w:r>
    </w:p>
    <w:p>
      <w:pPr>
        <w:spacing w:line="240" w:lineRule="auto" w:before="2"/>
        <w:rPr>
          <w:rFonts w:ascii="宋体" w:hAnsi="宋体" w:cs="宋体" w:eastAsia="宋体" w:hint="default"/>
          <w:sz w:val="14"/>
          <w:szCs w:val="14"/>
        </w:rPr>
      </w:pPr>
    </w:p>
    <w:p>
      <w:pPr>
        <w:pStyle w:val="BodyText"/>
        <w:spacing w:line="379" w:lineRule="auto"/>
        <w:ind w:left="654" w:right="5420"/>
        <w:jc w:val="left"/>
      </w:pPr>
      <w:r>
        <w:rPr/>
        <w:t>（</w:t>
      </w:r>
      <w:r>
        <w:rPr>
          <w:rFonts w:ascii="Times New Roman" w:hAnsi="Times New Roman" w:cs="Times New Roman" w:eastAsia="Times New Roman" w:hint="default"/>
        </w:rPr>
        <w:t>4</w:t>
      </w:r>
      <w:r>
        <w:rPr/>
        <w:t>）后续计量 本公司的投资性房地产采用成本模式计量。</w:t>
      </w:r>
    </w:p>
    <w:p>
      <w:pPr>
        <w:pStyle w:val="BodyText"/>
        <w:spacing w:line="400" w:lineRule="auto" w:before="63"/>
        <w:ind w:left="654" w:right="101"/>
        <w:jc w:val="left"/>
      </w:pPr>
      <w:r>
        <w:rPr/>
        <w:t>采用成本模式计量的投资性房地产，采用与固定资产和无形资产相同的方法计提折旧或进行摊销。 </w:t>
      </w:r>
      <w:r>
        <w:rPr>
          <w:spacing w:val="-1"/>
        </w:rPr>
        <w:t>本公司期末对采用成本模式计量的投资性房地产按其成本与可收回金额孰低计价，可收回金额低于成</w:t>
      </w:r>
    </w:p>
    <w:p>
      <w:pPr>
        <w:pStyle w:val="BodyText"/>
        <w:spacing w:line="240" w:lineRule="auto" w:before="45"/>
        <w:ind w:left="234" w:right="101"/>
        <w:jc w:val="left"/>
      </w:pPr>
      <w:r>
        <w:rPr/>
        <w:t>本的，按两者的差额计提减值准备。减值准备一经计提，不予转回。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79" w:lineRule="auto"/>
        <w:ind w:left="654" w:right="101"/>
        <w:jc w:val="left"/>
      </w:pPr>
      <w:r>
        <w:rPr>
          <w:rFonts w:ascii="Times New Roman" w:hAnsi="Times New Roman" w:cs="Times New Roman" w:eastAsia="Times New Roman" w:hint="default"/>
        </w:rPr>
        <w:t>14</w:t>
      </w:r>
      <w:r>
        <w:rPr/>
        <w:t>、</w:t>
      </w:r>
      <w:r>
        <w:rPr>
          <w:spacing w:val="-2"/>
        </w:rPr>
        <w:t> </w:t>
      </w:r>
      <w:r>
        <w:rPr/>
        <w:t>固定资产的确认和计量</w:t>
      </w:r>
      <w:r>
        <w:rPr/>
        <w:t> </w:t>
      </w:r>
      <w:r>
        <w:rPr>
          <w:spacing w:val="-1"/>
        </w:rPr>
        <w:t>本公司固定资产是指为生产商品、提供劳务、出租或经营管理而持有的使用寿命超过一个会计年度的</w:t>
      </w:r>
    </w:p>
    <w:p>
      <w:pPr>
        <w:pStyle w:val="BodyText"/>
        <w:spacing w:line="240" w:lineRule="auto" w:before="63"/>
        <w:ind w:left="234" w:right="101"/>
        <w:jc w:val="left"/>
      </w:pPr>
      <w:r>
        <w:rPr/>
        <w:t>有形资产。</w:t>
      </w:r>
    </w:p>
    <w:p>
      <w:pPr>
        <w:spacing w:line="240" w:lineRule="auto" w:before="2"/>
        <w:rPr>
          <w:rFonts w:ascii="宋体" w:hAnsi="宋体" w:cs="宋体" w:eastAsia="宋体" w:hint="default"/>
          <w:sz w:val="14"/>
          <w:szCs w:val="14"/>
        </w:rPr>
      </w:pPr>
    </w:p>
    <w:p>
      <w:pPr>
        <w:pStyle w:val="BodyText"/>
        <w:spacing w:line="240" w:lineRule="auto"/>
        <w:ind w:left="654" w:right="101"/>
        <w:jc w:val="left"/>
      </w:pPr>
      <w:r>
        <w:rPr/>
        <w:t>（</w:t>
      </w:r>
      <w:r>
        <w:rPr>
          <w:rFonts w:ascii="Times New Roman" w:hAnsi="Times New Roman" w:cs="Times New Roman" w:eastAsia="Times New Roman" w:hint="default"/>
        </w:rPr>
        <w:t>1</w:t>
      </w:r>
      <w:r>
        <w:rPr/>
        <w:t>）固定资产在同时满足下列条件时，按照成本进行初始计量：</w:t>
      </w:r>
    </w:p>
    <w:p>
      <w:pPr>
        <w:pStyle w:val="BodyText"/>
        <w:spacing w:line="240" w:lineRule="auto" w:before="170"/>
        <w:ind w:left="654" w:right="101"/>
        <w:jc w:val="left"/>
      </w:pPr>
      <w:r>
        <w:rPr/>
        <w:t>①与该固定资产有关的经济利益很可能流入企业；</w:t>
      </w:r>
    </w:p>
    <w:p>
      <w:pPr>
        <w:spacing w:line="240" w:lineRule="auto" w:before="2"/>
        <w:rPr>
          <w:rFonts w:ascii="宋体" w:hAnsi="宋体" w:cs="宋体" w:eastAsia="宋体" w:hint="default"/>
          <w:sz w:val="14"/>
          <w:szCs w:val="14"/>
        </w:rPr>
      </w:pPr>
    </w:p>
    <w:p>
      <w:pPr>
        <w:pStyle w:val="BodyText"/>
        <w:spacing w:line="240" w:lineRule="auto"/>
        <w:ind w:left="654" w:right="101"/>
        <w:jc w:val="left"/>
      </w:pPr>
      <w:r>
        <w:rPr/>
        <w:t>②该固定资产的成本能够可靠地计量。</w:t>
      </w:r>
    </w:p>
    <w:p>
      <w:pPr>
        <w:spacing w:line="240" w:lineRule="auto" w:before="2"/>
        <w:rPr>
          <w:rFonts w:ascii="宋体" w:hAnsi="宋体" w:cs="宋体" w:eastAsia="宋体" w:hint="default"/>
          <w:sz w:val="14"/>
          <w:szCs w:val="14"/>
        </w:rPr>
      </w:pPr>
    </w:p>
    <w:p>
      <w:pPr>
        <w:pStyle w:val="BodyText"/>
        <w:spacing w:line="379" w:lineRule="auto"/>
        <w:ind w:left="654" w:right="101"/>
        <w:jc w:val="left"/>
      </w:pPr>
      <w:r>
        <w:rPr/>
        <w:t>（</w:t>
      </w:r>
      <w:r>
        <w:rPr>
          <w:rFonts w:ascii="Times New Roman" w:hAnsi="Times New Roman" w:cs="Times New Roman" w:eastAsia="Times New Roman" w:hint="default"/>
        </w:rPr>
        <w:t>2</w:t>
      </w:r>
      <w:r>
        <w:rPr/>
        <w:t>）固定资产折旧 </w:t>
      </w:r>
      <w:r>
        <w:rPr>
          <w:spacing w:val="-1"/>
        </w:rPr>
        <w:t>与固定资产有关的后续支出，符合规定的固定资产确认条件的计入固定资产成本；不符合规定的固定</w:t>
      </w:r>
    </w:p>
    <w:p>
      <w:pPr>
        <w:pStyle w:val="BodyText"/>
        <w:spacing w:line="400" w:lineRule="auto" w:before="63"/>
        <w:ind w:left="654" w:right="4160" w:hanging="420"/>
        <w:jc w:val="left"/>
      </w:pPr>
      <w:r>
        <w:rPr/>
        <w:pict>
          <v:shape style="position:absolute;margin-left:50.580002pt;margin-top:64.468575pt;width:493.45pt;height:118.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1"/>
                    <w:gridCol w:w="2261"/>
                    <w:gridCol w:w="2260"/>
                    <w:gridCol w:w="2257"/>
                  </w:tblGrid>
                  <w:tr>
                    <w:trPr>
                      <w:trHeight w:val="479" w:hRule="exact"/>
                    </w:trPr>
                    <w:tc>
                      <w:tcPr>
                        <w:tcW w:w="3091"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53"/>
                          <w:ind w:left="20"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2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4"/>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72" w:hRule="exact"/>
                    </w:trPr>
                    <w:tc>
                      <w:tcPr>
                        <w:tcW w:w="3091"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5-35</w:t>
                        </w:r>
                      </w:p>
                    </w:tc>
                    <w:tc>
                      <w:tcPr>
                        <w:tcW w:w="2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2.71-19</w:t>
                        </w:r>
                      </w:p>
                    </w:tc>
                  </w:tr>
                  <w:tr>
                    <w:trPr>
                      <w:trHeight w:val="460" w:hRule="exact"/>
                    </w:trPr>
                    <w:tc>
                      <w:tcPr>
                        <w:tcW w:w="309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3-5</w:t>
                        </w:r>
                      </w:p>
                    </w:tc>
                    <w:tc>
                      <w:tcPr>
                        <w:tcW w:w="2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3"/>
                          <w:jc w:val="center"/>
                          <w:rPr>
                            <w:rFonts w:ascii="Times New Roman" w:hAnsi="Times New Roman" w:cs="Times New Roman" w:eastAsia="Times New Roman" w:hint="default"/>
                            <w:sz w:val="21"/>
                            <w:szCs w:val="21"/>
                          </w:rPr>
                        </w:pPr>
                        <w:r>
                          <w:rPr>
                            <w:rFonts w:ascii="Times New Roman"/>
                            <w:sz w:val="21"/>
                          </w:rPr>
                          <w:t>19-31.67</w:t>
                        </w:r>
                      </w:p>
                    </w:tc>
                  </w:tr>
                  <w:tr>
                    <w:trPr>
                      <w:trHeight w:val="460" w:hRule="exact"/>
                    </w:trPr>
                    <w:tc>
                      <w:tcPr>
                        <w:tcW w:w="309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5-12</w:t>
                        </w:r>
                      </w:p>
                    </w:tc>
                    <w:tc>
                      <w:tcPr>
                        <w:tcW w:w="2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2"/>
                          <w:jc w:val="center"/>
                          <w:rPr>
                            <w:rFonts w:ascii="Times New Roman" w:hAnsi="Times New Roman" w:cs="Times New Roman" w:eastAsia="Times New Roman" w:hint="default"/>
                            <w:sz w:val="21"/>
                            <w:szCs w:val="21"/>
                          </w:rPr>
                        </w:pPr>
                        <w:r>
                          <w:rPr>
                            <w:rFonts w:ascii="Times New Roman"/>
                            <w:sz w:val="21"/>
                          </w:rPr>
                          <w:t>7.92-19</w:t>
                        </w:r>
                      </w:p>
                    </w:tc>
                  </w:tr>
                  <w:tr>
                    <w:trPr>
                      <w:trHeight w:val="369" w:hRule="exact"/>
                    </w:trPr>
                    <w:tc>
                      <w:tcPr>
                        <w:tcW w:w="3091"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2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w:t>
                        </w:r>
                      </w:p>
                    </w:tc>
                    <w:tc>
                      <w:tcPr>
                        <w:tcW w:w="22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5</w:t>
                        </w:r>
                      </w:p>
                    </w:tc>
                    <w:tc>
                      <w:tcPr>
                        <w:tcW w:w="225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19</w:t>
                        </w:r>
                      </w:p>
                    </w:tc>
                  </w:tr>
                </w:tbl>
                <w:p>
                  <w:pPr/>
                </w:p>
              </w:txbxContent>
            </v:textbox>
            <w10:wrap type="none"/>
          </v:shape>
        </w:pict>
      </w:r>
      <w:r>
        <w:rPr/>
        <w:t>资产确认条件的在发生时直接计入当期损益。 本公司的固定资产折旧方法为年限平均法。 各类固定资产的使用年限、残值率、年折旧率列示如下：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400" w:lineRule="auto" w:before="35"/>
        <w:ind w:left="234" w:right="101" w:firstLine="420"/>
        <w:jc w:val="left"/>
      </w:pPr>
      <w:r>
        <w:rPr/>
        <w:t>本公司在每个会计年度终了，对固定资产的使用寿命、预计净残值和折旧方法进行复核。使用寿命与 原先估计数有差异的，调整固定资产使用寿命；预计净残值预计数与原先估计数有差异的，调整预计净残 </w:t>
      </w:r>
      <w:r>
        <w:rPr>
          <w:spacing w:val="-3"/>
        </w:rPr>
        <w:t>值；与固定资产有关的经济利益预期实现方式有重大改变的，改变固定资产折旧方法。固定资产使用寿命、</w:t>
      </w:r>
      <w:r>
        <w:rPr>
          <w:spacing w:val="-90"/>
        </w:rPr>
        <w:t> </w:t>
      </w:r>
      <w:r>
        <w:rPr>
          <w:spacing w:val="-90"/>
        </w:rPr>
      </w:r>
      <w:r>
        <w:rPr/>
        <w:t>预计净残值和折旧方法的改变作为会计估计变更。</w:t>
      </w:r>
    </w:p>
    <w:p>
      <w:pPr>
        <w:pStyle w:val="BodyText"/>
        <w:spacing w:line="240" w:lineRule="auto" w:before="44"/>
        <w:ind w:left="654" w:right="101"/>
        <w:jc w:val="left"/>
      </w:pPr>
      <w:r>
        <w:rPr/>
        <w:t>（</w:t>
      </w:r>
      <w:r>
        <w:rPr>
          <w:rFonts w:ascii="Times New Roman" w:hAnsi="Times New Roman" w:cs="Times New Roman" w:eastAsia="Times New Roman" w:hint="default"/>
        </w:rPr>
        <w:t>3</w:t>
      </w:r>
      <w:r>
        <w:rPr/>
        <w:t>）融资租入固定资产</w:t>
      </w:r>
    </w:p>
    <w:p>
      <w:pPr>
        <w:spacing w:after="0" w:line="240" w:lineRule="auto"/>
        <w:jc w:val="left"/>
        <w:sectPr>
          <w:footerReference w:type="default" r:id="rId40"/>
          <w:pgSz w:w="11910" w:h="16840"/>
          <w:pgMar w:footer="982" w:header="851" w:top="1200" w:bottom="1180" w:left="900" w:right="920"/>
          <w:pgNumType w:start="79"/>
        </w:sectPr>
      </w:pPr>
    </w:p>
    <w:p>
      <w:pPr>
        <w:spacing w:line="240" w:lineRule="auto" w:before="1"/>
        <w:rPr>
          <w:rFonts w:ascii="宋体" w:hAnsi="宋体" w:cs="宋体" w:eastAsia="宋体" w:hint="default"/>
          <w:sz w:val="14"/>
          <w:szCs w:val="14"/>
        </w:rPr>
      </w:pPr>
    </w:p>
    <w:p>
      <w:pPr>
        <w:pStyle w:val="BodyText"/>
        <w:spacing w:line="400" w:lineRule="auto" w:before="35"/>
        <w:ind w:right="0" w:firstLine="420"/>
        <w:jc w:val="left"/>
      </w:pPr>
      <w:r>
        <w:rPr>
          <w:spacing w:val="3"/>
        </w:rPr>
        <w:t>本公司在租入的固定资产实质上转移了与资产有关的全部风险和报酬时确认该项固定资产的租赁为</w:t>
      </w:r>
      <w:r>
        <w:rPr/>
        <w:t> 融资租赁。</w:t>
      </w:r>
    </w:p>
    <w:p>
      <w:pPr>
        <w:pStyle w:val="BodyText"/>
        <w:spacing w:line="400" w:lineRule="auto" w:before="45"/>
        <w:ind w:right="0" w:firstLine="420"/>
        <w:jc w:val="left"/>
      </w:pPr>
      <w:r>
        <w:rPr>
          <w:spacing w:val="-1"/>
        </w:rPr>
        <w:t>本公司融资租赁取得的固定资产的成本，按租赁开始日租赁资产公允价值与最低租赁付款额现值两者</w:t>
      </w:r>
      <w:r>
        <w:rPr/>
        <w:t> 中较低者确定。</w:t>
      </w:r>
    </w:p>
    <w:p>
      <w:pPr>
        <w:pStyle w:val="BodyText"/>
        <w:spacing w:line="400" w:lineRule="auto" w:before="44"/>
        <w:ind w:right="149" w:firstLine="420"/>
        <w:jc w:val="both"/>
      </w:pPr>
      <w:r>
        <w:rPr>
          <w:spacing w:val="-1"/>
        </w:rPr>
        <w:t>本公司融资租入的固定资产采用与自有应计折旧资产相一致的折旧政策。能够合理确定租赁期届满时</w:t>
      </w:r>
      <w:r>
        <w:rPr/>
        <w:t> </w:t>
      </w:r>
      <w:r>
        <w:rPr>
          <w:spacing w:val="-1"/>
        </w:rPr>
        <w:t>取得租赁资产所有权的，在租赁资产尚可使用年限内计提折旧；无法合理确定租赁期届满时能够取得租赁</w:t>
      </w:r>
      <w:r>
        <w:rPr>
          <w:spacing w:val="-81"/>
        </w:rPr>
        <w:t> </w:t>
      </w:r>
      <w:r>
        <w:rPr>
          <w:spacing w:val="-81"/>
        </w:rPr>
      </w:r>
      <w:r>
        <w:rPr/>
        <w:t>资产所有权的，在租赁期与租赁资产尚可使用年限两者中较短的期间内计提折旧。</w:t>
      </w:r>
    </w:p>
    <w:p>
      <w:pPr>
        <w:pStyle w:val="BodyText"/>
        <w:spacing w:line="240" w:lineRule="auto" w:before="44"/>
        <w:ind w:left="574" w:right="172"/>
        <w:jc w:val="left"/>
      </w:pPr>
      <w:r>
        <w:rPr/>
        <w:t>（</w:t>
      </w:r>
      <w:r>
        <w:rPr>
          <w:rFonts w:ascii="Times New Roman" w:hAnsi="Times New Roman" w:cs="Times New Roman" w:eastAsia="Times New Roman" w:hint="default"/>
        </w:rPr>
        <w:t>4</w:t>
      </w:r>
      <w:r>
        <w:rPr/>
        <w:t>）固定资产的减值，按照本公司制定的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573" w:right="3476"/>
        <w:jc w:val="left"/>
      </w:pPr>
      <w:r>
        <w:rPr>
          <w:rFonts w:ascii="Times New Roman" w:hAnsi="Times New Roman" w:cs="Times New Roman" w:eastAsia="Times New Roman" w:hint="default"/>
        </w:rPr>
        <w:t>15</w:t>
      </w:r>
      <w:r>
        <w:rPr/>
        <w:t>、</w:t>
      </w:r>
      <w:r>
        <w:rPr>
          <w:spacing w:val="-3"/>
        </w:rPr>
        <w:t> </w:t>
      </w:r>
      <w:r>
        <w:rPr/>
        <w:t>在建工程的核算方法</w:t>
      </w:r>
    </w:p>
    <w:p>
      <w:pPr>
        <w:pStyle w:val="BodyText"/>
        <w:spacing w:line="240" w:lineRule="auto" w:before="169"/>
        <w:ind w:left="573" w:right="172"/>
        <w:jc w:val="left"/>
      </w:pPr>
      <w:r>
        <w:rPr/>
        <w:t>（</w:t>
      </w:r>
      <w:r>
        <w:rPr>
          <w:rFonts w:ascii="Times New Roman" w:hAnsi="Times New Roman" w:cs="Times New Roman" w:eastAsia="Times New Roman" w:hint="default"/>
        </w:rPr>
        <w:t>1</w:t>
      </w:r>
      <w:r>
        <w:rPr/>
        <w:t>）本公司的在建工程包括建筑工程、安装工程、在安装设备、待摊支出以及单项工程等。</w:t>
      </w:r>
    </w:p>
    <w:p>
      <w:pPr>
        <w:pStyle w:val="BodyText"/>
        <w:spacing w:line="379" w:lineRule="auto" w:before="170"/>
        <w:ind w:left="153" w:right="172" w:firstLine="420"/>
        <w:jc w:val="left"/>
      </w:pPr>
      <w:r>
        <w:rPr/>
        <w:t>（</w:t>
      </w:r>
      <w:r>
        <w:rPr>
          <w:rFonts w:ascii="Times New Roman" w:hAnsi="Times New Roman" w:cs="Times New Roman" w:eastAsia="Times New Roman" w:hint="default"/>
        </w:rPr>
        <w:t>2</w:t>
      </w:r>
      <w:r>
        <w:rPr/>
        <w:t>）在建工程的计价：按实际发生的支出确定工程成本。在建工程成本还包括应当资本化的借款费</w:t>
      </w:r>
      <w:r>
        <w:rPr>
          <w:spacing w:val="2"/>
        </w:rPr>
        <w:t> </w:t>
      </w:r>
      <w:r>
        <w:rPr/>
        <w:t>用和汇兑损益。</w:t>
      </w:r>
    </w:p>
    <w:p>
      <w:pPr>
        <w:pStyle w:val="BodyText"/>
        <w:spacing w:line="391" w:lineRule="auto" w:before="63"/>
        <w:ind w:left="153" w:right="149" w:firstLine="420"/>
        <w:jc w:val="both"/>
      </w:pPr>
      <w:r>
        <w:rPr/>
        <w:t>（</w:t>
      </w:r>
      <w:r>
        <w:rPr>
          <w:rFonts w:ascii="Times New Roman" w:hAnsi="Times New Roman" w:cs="Times New Roman" w:eastAsia="Times New Roman" w:hint="default"/>
        </w:rPr>
        <w:t>3</w:t>
      </w:r>
      <w:r>
        <w:rPr/>
        <w:t>）本公司在在建工程达到预定可使用状态时，将在建工程转入固定资产。所建造的已达到预定可</w:t>
      </w:r>
      <w:r>
        <w:rPr>
          <w:spacing w:val="2"/>
        </w:rPr>
        <w:t> </w:t>
      </w:r>
      <w:r>
        <w:rPr>
          <w:spacing w:val="-1"/>
        </w:rPr>
        <w:t>使用状态、但尚未办理竣工决算的固定资产，按照估计价值确认为固定资产，并计提折旧；待办理了竣工</w:t>
      </w:r>
      <w:r>
        <w:rPr>
          <w:spacing w:val="-86"/>
        </w:rPr>
        <w:t> </w:t>
      </w:r>
      <w:r>
        <w:rPr>
          <w:spacing w:val="-86"/>
        </w:rPr>
      </w:r>
      <w:r>
        <w:rPr/>
        <w:t>决算手续后，再按实际成本调整原来的暂估价值，但不调整原已计提的折旧额。</w:t>
      </w:r>
    </w:p>
    <w:p>
      <w:pPr>
        <w:pStyle w:val="BodyText"/>
        <w:spacing w:line="240" w:lineRule="auto" w:before="52"/>
        <w:ind w:left="573" w:right="172"/>
        <w:jc w:val="left"/>
      </w:pPr>
      <w:r>
        <w:rPr/>
        <w:t>（</w:t>
      </w:r>
      <w:r>
        <w:rPr>
          <w:rFonts w:ascii="Times New Roman" w:hAnsi="Times New Roman" w:cs="Times New Roman" w:eastAsia="Times New Roman" w:hint="default"/>
        </w:rPr>
        <w:t>4</w:t>
      </w:r>
      <w:r>
        <w:rPr/>
        <w:t>）在建工程的减值，按照本公司制定的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ind w:left="573" w:right="1581"/>
        <w:jc w:val="left"/>
      </w:pPr>
      <w:r>
        <w:rPr>
          <w:rFonts w:ascii="Times New Roman" w:hAnsi="Times New Roman" w:cs="Times New Roman" w:eastAsia="Times New Roman" w:hint="default"/>
        </w:rPr>
        <w:t>16</w:t>
      </w:r>
      <w:r>
        <w:rPr/>
        <w:t>、</w:t>
      </w:r>
      <w:r>
        <w:rPr>
          <w:spacing w:val="-2"/>
        </w:rPr>
        <w:t> </w:t>
      </w:r>
      <w:r>
        <w:rPr/>
        <w:t>无形资产的确认和计量</w:t>
      </w:r>
      <w:r>
        <w:rPr/>
        <w:t> 本公司无形资产是指本公司所拥有或者控制的没有实物形态的可辨认非货币性资产。</w:t>
      </w:r>
    </w:p>
    <w:p>
      <w:pPr>
        <w:pStyle w:val="BodyText"/>
        <w:spacing w:line="379" w:lineRule="auto" w:before="64"/>
        <w:ind w:left="573" w:right="4521"/>
        <w:jc w:val="left"/>
      </w:pPr>
      <w:r>
        <w:rPr/>
        <w:t>（</w:t>
      </w:r>
      <w:r>
        <w:rPr>
          <w:rFonts w:ascii="Times New Roman" w:hAnsi="Times New Roman" w:cs="Times New Roman" w:eastAsia="Times New Roman" w:hint="default"/>
        </w:rPr>
        <w:t>1</w:t>
      </w:r>
      <w:r>
        <w:rPr/>
        <w:t>）无形资产的确认 本公司在无形资产同时满足下列条件时，予以确认：</w:t>
      </w:r>
    </w:p>
    <w:p>
      <w:pPr>
        <w:pStyle w:val="BodyText"/>
        <w:spacing w:line="240" w:lineRule="auto" w:before="63"/>
        <w:ind w:left="573" w:right="3476"/>
        <w:jc w:val="left"/>
      </w:pPr>
      <w:r>
        <w:rPr/>
        <w:t>①与该无形资产有关的经济利益很可能流入企业；</w:t>
      </w:r>
    </w:p>
    <w:p>
      <w:pPr>
        <w:spacing w:line="240" w:lineRule="auto" w:before="3"/>
        <w:rPr>
          <w:rFonts w:ascii="宋体" w:hAnsi="宋体" w:cs="宋体" w:eastAsia="宋体" w:hint="default"/>
          <w:sz w:val="14"/>
          <w:szCs w:val="14"/>
        </w:rPr>
      </w:pPr>
    </w:p>
    <w:p>
      <w:pPr>
        <w:pStyle w:val="BodyText"/>
        <w:spacing w:line="400" w:lineRule="auto"/>
        <w:ind w:left="573" w:right="0"/>
        <w:jc w:val="left"/>
      </w:pPr>
      <w:r>
        <w:rPr/>
        <w:t>②该无形资产的成本能够可靠地计量。 </w:t>
      </w:r>
      <w:r>
        <w:rPr>
          <w:spacing w:val="-1"/>
        </w:rPr>
        <w:t>内部研究开发项目研究阶段的支出，于发生时计入当期损益。内部研究开发项目开发阶段的支出，同</w:t>
      </w:r>
    </w:p>
    <w:p>
      <w:pPr>
        <w:pStyle w:val="BodyText"/>
        <w:spacing w:line="240" w:lineRule="auto" w:before="44"/>
        <w:ind w:left="153" w:right="3476"/>
        <w:jc w:val="left"/>
      </w:pPr>
      <w:r>
        <w:rPr/>
        <w:t>时满足下列条件的，确认为无形资产：</w:t>
      </w:r>
    </w:p>
    <w:p>
      <w:pPr>
        <w:spacing w:line="240" w:lineRule="auto" w:before="3"/>
        <w:rPr>
          <w:rFonts w:ascii="宋体" w:hAnsi="宋体" w:cs="宋体" w:eastAsia="宋体" w:hint="default"/>
          <w:sz w:val="14"/>
          <w:szCs w:val="14"/>
        </w:rPr>
      </w:pPr>
    </w:p>
    <w:p>
      <w:pPr>
        <w:pStyle w:val="BodyText"/>
        <w:spacing w:line="240" w:lineRule="auto"/>
        <w:ind w:left="573" w:right="172"/>
        <w:jc w:val="left"/>
      </w:pPr>
      <w:r>
        <w:rPr/>
        <w:t>①完成该无形资产以使其能够使用或出售在技术上具有可行性；</w:t>
      </w:r>
    </w:p>
    <w:p>
      <w:pPr>
        <w:spacing w:line="240" w:lineRule="auto" w:before="2"/>
        <w:rPr>
          <w:rFonts w:ascii="宋体" w:hAnsi="宋体" w:cs="宋体" w:eastAsia="宋体" w:hint="default"/>
          <w:sz w:val="14"/>
          <w:szCs w:val="14"/>
        </w:rPr>
      </w:pPr>
    </w:p>
    <w:p>
      <w:pPr>
        <w:pStyle w:val="BodyText"/>
        <w:spacing w:line="240" w:lineRule="auto"/>
        <w:ind w:left="573" w:right="3476"/>
        <w:jc w:val="left"/>
      </w:pPr>
      <w:r>
        <w:rPr/>
        <w:t>②具有完成该无形资产并使用或出售的意图；</w:t>
      </w:r>
    </w:p>
    <w:p>
      <w:pPr>
        <w:pStyle w:val="BodyText"/>
        <w:spacing w:line="393" w:lineRule="auto" w:before="175"/>
        <w:ind w:left="153" w:right="0" w:firstLine="420"/>
        <w:jc w:val="left"/>
      </w:pPr>
      <w:r>
        <w:rPr>
          <w:spacing w:val="-1"/>
        </w:rPr>
        <w:t>③无形资产产生经济利益的方式，包括能够证明运用该无形资产生产的产品存在市场或无形资产自身</w:t>
      </w:r>
      <w:r>
        <w:rPr/>
        <w:t> 存在市场，无形资产将在内部使用的，能证明其有用性；</w:t>
      </w:r>
    </w:p>
    <w:p>
      <w:pPr>
        <w:pStyle w:val="BodyText"/>
        <w:spacing w:line="240" w:lineRule="auto" w:before="41"/>
        <w:ind w:left="573" w:right="0"/>
        <w:jc w:val="left"/>
      </w:pPr>
      <w:r>
        <w:rPr/>
        <w:t>④有足够的技术、财务资源和其他资源支持，以完成该无形资产的开发，并有能力使用或出售该无形</w:t>
      </w:r>
    </w:p>
    <w:p>
      <w:pPr>
        <w:spacing w:after="0" w:line="240" w:lineRule="auto"/>
        <w:jc w:val="left"/>
        <w:sectPr>
          <w:footerReference w:type="default" r:id="rId41"/>
          <w:pgSz w:w="11910" w:h="16840"/>
          <w:pgMar w:footer="982" w:header="851" w:top="1200" w:bottom="1180" w:left="980" w:right="980"/>
          <w:pgNumType w:start="80"/>
        </w:sectPr>
      </w:pPr>
    </w:p>
    <w:p>
      <w:pPr>
        <w:spacing w:line="240" w:lineRule="auto" w:before="5"/>
        <w:rPr>
          <w:rFonts w:ascii="宋体" w:hAnsi="宋体" w:cs="宋体" w:eastAsia="宋体" w:hint="default"/>
          <w:sz w:val="13"/>
          <w:szCs w:val="13"/>
        </w:rPr>
      </w:pPr>
    </w:p>
    <w:p>
      <w:pPr>
        <w:pStyle w:val="BodyText"/>
        <w:spacing w:line="240" w:lineRule="auto" w:before="35"/>
        <w:ind w:right="0"/>
        <w:jc w:val="both"/>
      </w:pPr>
      <w:r>
        <w:rPr/>
        <w:t>资产；</w:t>
      </w:r>
    </w:p>
    <w:p>
      <w:pPr>
        <w:pStyle w:val="BodyText"/>
        <w:spacing w:line="240" w:lineRule="auto" w:before="175"/>
        <w:ind w:left="574" w:right="0"/>
        <w:jc w:val="left"/>
      </w:pPr>
      <w:r>
        <w:rPr/>
        <w:t>⑤归属于该无形资产开发阶段的支出能够可靠地计量。</w:t>
      </w:r>
    </w:p>
    <w:p>
      <w:pPr>
        <w:pStyle w:val="BodyText"/>
        <w:spacing w:line="240" w:lineRule="auto" w:before="175"/>
        <w:ind w:left="574" w:right="0"/>
        <w:jc w:val="left"/>
      </w:pPr>
      <w:r>
        <w:rPr/>
        <w:t>（</w:t>
      </w:r>
      <w:r>
        <w:rPr>
          <w:rFonts w:ascii="Times New Roman" w:hAnsi="Times New Roman" w:cs="Times New Roman" w:eastAsia="Times New Roman" w:hint="default"/>
        </w:rPr>
        <w:t>2</w:t>
      </w:r>
      <w:r>
        <w:rPr/>
        <w:t>）无形资产的计量</w:t>
      </w:r>
    </w:p>
    <w:p>
      <w:pPr>
        <w:pStyle w:val="BodyText"/>
        <w:spacing w:line="240" w:lineRule="auto" w:before="159"/>
        <w:ind w:left="574" w:right="0"/>
        <w:jc w:val="left"/>
      </w:pPr>
      <w:r>
        <w:rPr/>
        <w:t>①本公司无形资产按照成本进行初始计量。</w:t>
      </w:r>
    </w:p>
    <w:p>
      <w:pPr>
        <w:pStyle w:val="BodyText"/>
        <w:spacing w:line="240" w:lineRule="auto" w:before="175"/>
        <w:ind w:left="574" w:right="0"/>
        <w:jc w:val="left"/>
      </w:pPr>
      <w:r>
        <w:rPr/>
        <w:t>②无形资产的后续计量</w:t>
      </w:r>
    </w:p>
    <w:p>
      <w:pPr>
        <w:pStyle w:val="BodyText"/>
        <w:spacing w:line="372" w:lineRule="auto" w:before="175"/>
        <w:ind w:right="228" w:firstLine="420"/>
        <w:jc w:val="left"/>
      </w:pPr>
      <w:r>
        <w:rPr>
          <w:rFonts w:ascii="Times New Roman" w:hAnsi="Times New Roman" w:cs="Times New Roman" w:eastAsia="Times New Roman" w:hint="default"/>
        </w:rPr>
        <w:t>A</w:t>
      </w:r>
      <w:r>
        <w:rPr/>
        <w:t>、对于使用寿命有限的无形资产本公司在取得时判定其使用寿命并在以后期间在使用寿命内系统合 理摊销，摊销金额按受益项目计入相关成本、费用核算。使用寿命不确定的无形资产不摊销。</w:t>
      </w:r>
    </w:p>
    <w:p>
      <w:pPr>
        <w:pStyle w:val="BodyText"/>
        <w:spacing w:line="240" w:lineRule="auto" w:before="59"/>
        <w:ind w:left="574" w:right="0"/>
        <w:jc w:val="left"/>
      </w:pPr>
      <w:r>
        <w:rPr>
          <w:rFonts w:ascii="Times New Roman" w:hAnsi="Times New Roman" w:cs="Times New Roman" w:eastAsia="Times New Roman" w:hint="default"/>
        </w:rPr>
        <w:t>B</w:t>
      </w:r>
      <w:r>
        <w:rPr/>
        <w:t>、无形资产的减值，按照本公司制定的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372" w:lineRule="auto"/>
        <w:ind w:left="589" w:right="365"/>
        <w:jc w:val="left"/>
      </w:pPr>
      <w:r>
        <w:rPr>
          <w:rFonts w:ascii="Times New Roman" w:hAnsi="Times New Roman" w:cs="Times New Roman" w:eastAsia="Times New Roman" w:hint="default"/>
        </w:rPr>
        <w:t>17</w:t>
      </w:r>
      <w:r>
        <w:rPr/>
        <w:t>、长期待摊费用的核算方法 本公司将已经发生的但应由本年和以后各期负担的摊销期限在一年以上的经营租赁方式租入的固定</w:t>
      </w:r>
    </w:p>
    <w:p>
      <w:pPr>
        <w:pStyle w:val="BodyText"/>
        <w:spacing w:line="240" w:lineRule="auto" w:before="59"/>
        <w:ind w:right="0"/>
        <w:jc w:val="both"/>
      </w:pPr>
      <w:r>
        <w:rPr/>
        <w:t>资产改良支出等各项费用确认为长期待摊费用，并按项目受益期采用直线法平均摊销。</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372" w:lineRule="auto"/>
        <w:ind w:left="574" w:right="0"/>
        <w:jc w:val="left"/>
      </w:pPr>
      <w:r>
        <w:rPr>
          <w:rFonts w:ascii="Times New Roman" w:hAnsi="Times New Roman" w:cs="Times New Roman" w:eastAsia="Times New Roman" w:hint="default"/>
        </w:rPr>
        <w:t>18</w:t>
      </w:r>
      <w:r>
        <w:rPr/>
        <w:t>、股份支付的确认和计量 </w:t>
      </w:r>
      <w:r>
        <w:rPr>
          <w:spacing w:val="-1"/>
        </w:rPr>
        <w:t>本公司股份支付的确认和计量，以真实、完整、有效的股份支付协议为基础。具体分为以权益结算的</w:t>
      </w:r>
    </w:p>
    <w:p>
      <w:pPr>
        <w:pStyle w:val="BodyText"/>
        <w:spacing w:line="240" w:lineRule="auto" w:before="59"/>
        <w:ind w:right="0"/>
        <w:jc w:val="both"/>
      </w:pPr>
      <w:r>
        <w:rPr/>
        <w:t>股份支付和以现金结算的股份支付。</w:t>
      </w:r>
    </w:p>
    <w:p>
      <w:pPr>
        <w:pStyle w:val="BodyText"/>
        <w:spacing w:line="372" w:lineRule="auto" w:before="175"/>
        <w:ind w:left="574" w:right="0"/>
        <w:jc w:val="left"/>
      </w:pPr>
      <w:r>
        <w:rPr/>
        <w:t>（</w:t>
      </w:r>
      <w:r>
        <w:rPr>
          <w:rFonts w:ascii="Times New Roman" w:hAnsi="Times New Roman" w:cs="Times New Roman" w:eastAsia="Times New Roman" w:hint="default"/>
        </w:rPr>
        <w:t>1</w:t>
      </w:r>
      <w:r>
        <w:rPr/>
        <w:t>）以权益工具结算的股份支付 </w:t>
      </w:r>
      <w:r>
        <w:rPr>
          <w:spacing w:val="-1"/>
        </w:rPr>
        <w:t>以权益结算的股份支付换取职工提供服务的，以授予职工权益工具的公允价值计量。授予后立即可行</w:t>
      </w:r>
    </w:p>
    <w:p>
      <w:pPr>
        <w:pStyle w:val="BodyText"/>
        <w:spacing w:line="393" w:lineRule="auto" w:before="59"/>
        <w:ind w:right="209"/>
        <w:jc w:val="both"/>
      </w:pPr>
      <w:r>
        <w:rPr>
          <w:spacing w:val="-1"/>
        </w:rPr>
        <w:t>权的换取职工服务的以权益结算的股份支付，在授予日按照权益工具的公允价值计入相关成本或费用，相</w:t>
      </w:r>
      <w:r>
        <w:rPr>
          <w:spacing w:val="-81"/>
        </w:rPr>
        <w:t> </w:t>
      </w:r>
      <w:r>
        <w:rPr>
          <w:spacing w:val="-81"/>
        </w:rPr>
      </w:r>
      <w:r>
        <w:rPr>
          <w:spacing w:val="-1"/>
        </w:rPr>
        <w:t>应增加资本公积。完成等待期内的服务或达到规定业绩条件才可行权的换取职工服务的以权益结算的股份</w:t>
      </w:r>
      <w:r>
        <w:rPr>
          <w:spacing w:val="-81"/>
        </w:rPr>
        <w:t> </w:t>
      </w:r>
      <w:r>
        <w:rPr>
          <w:spacing w:val="-81"/>
        </w:rPr>
      </w:r>
      <w:r>
        <w:rPr>
          <w:spacing w:val="-1"/>
        </w:rPr>
        <w:t>支付，在等待期内的每个资产负债表日，以对可行权权益工具数量的最佳估计为基础，按照权益工具授予</w:t>
      </w:r>
      <w:r>
        <w:rPr>
          <w:spacing w:val="-83"/>
        </w:rPr>
        <w:t> </w:t>
      </w:r>
      <w:r>
        <w:rPr>
          <w:spacing w:val="-83"/>
        </w:rPr>
      </w:r>
      <w:r>
        <w:rPr/>
        <w:t>日的公允价值，将当期取得的服务计入相关成本或费用和资本公积。</w:t>
      </w:r>
    </w:p>
    <w:p>
      <w:pPr>
        <w:pStyle w:val="BodyText"/>
        <w:spacing w:line="240" w:lineRule="auto" w:before="41"/>
        <w:ind w:left="574" w:right="0"/>
        <w:jc w:val="left"/>
      </w:pPr>
      <w:r>
        <w:rPr/>
        <w:t>权益工具的公允价值的确定：</w:t>
      </w:r>
    </w:p>
    <w:p>
      <w:pPr>
        <w:pStyle w:val="BodyText"/>
        <w:spacing w:line="393" w:lineRule="auto" w:before="175"/>
        <w:ind w:right="101" w:firstLine="420"/>
        <w:jc w:val="left"/>
      </w:pPr>
      <w:r>
        <w:rPr/>
        <w:t>①对于授予职工的股份，其公允价值按企业股份的市场价格计量，同时考虑授予股份所依据的条款和 </w:t>
      </w:r>
      <w:r>
        <w:rPr>
          <w:spacing w:val="-3"/>
        </w:rPr>
        <w:t>条件（不包括市场条件之外的可行权条件）进行调整。如果企业未公开交易，则应按估计的市场价格计量，</w:t>
      </w:r>
      <w:r>
        <w:rPr>
          <w:spacing w:val="-96"/>
        </w:rPr>
        <w:t> </w:t>
      </w:r>
      <w:r>
        <w:rPr>
          <w:spacing w:val="-96"/>
        </w:rPr>
      </w:r>
      <w:r>
        <w:rPr/>
        <w:t>并考虑授予股份所依据的条款和条件进行调整。</w:t>
      </w:r>
    </w:p>
    <w:p>
      <w:pPr>
        <w:pStyle w:val="BodyText"/>
        <w:spacing w:line="393" w:lineRule="auto" w:before="41"/>
        <w:ind w:right="0" w:firstLine="420"/>
        <w:jc w:val="left"/>
      </w:pPr>
      <w:r>
        <w:rPr>
          <w:spacing w:val="-1"/>
        </w:rPr>
        <w:t>②对于授予职工的股票期权，如果不存在条款和条件相似的交易期权，应通过期权定价模型来估计所</w:t>
      </w:r>
      <w:r>
        <w:rPr/>
        <w:t> 授予的期权的公允价值。</w:t>
      </w:r>
    </w:p>
    <w:p>
      <w:pPr>
        <w:pStyle w:val="BodyText"/>
        <w:spacing w:line="393" w:lineRule="auto" w:before="41"/>
        <w:ind w:right="209" w:firstLine="420"/>
        <w:jc w:val="both"/>
      </w:pPr>
      <w:r>
        <w:rPr>
          <w:spacing w:val="-1"/>
        </w:rPr>
        <w:t>企业在确定权益工具授予日的公允价值时，应当考虑股份支付协议规定的可行权条件中的市场条件和</w:t>
      </w:r>
      <w:r>
        <w:rPr/>
        <w:t> </w:t>
      </w:r>
      <w:r>
        <w:rPr>
          <w:spacing w:val="-1"/>
        </w:rPr>
        <w:t>非可行权条件的影响。股份支付存在非可行权条件的，只要职工或其他方满足了所有可行权条件中的非市</w:t>
      </w:r>
      <w:r>
        <w:rPr>
          <w:spacing w:val="-81"/>
        </w:rPr>
        <w:t> </w:t>
      </w:r>
      <w:r>
        <w:rPr>
          <w:spacing w:val="-81"/>
        </w:rPr>
      </w:r>
      <w:r>
        <w:rPr/>
        <w:t>场条件（如服务期限等），企业应当确认已得到服务相对应的成本费用。</w:t>
      </w:r>
    </w:p>
    <w:p>
      <w:pPr>
        <w:spacing w:after="0" w:line="393" w:lineRule="auto"/>
        <w:jc w:val="both"/>
        <w:sectPr>
          <w:pgSz w:w="11910" w:h="16840"/>
          <w:pgMar w:header="851" w:footer="982" w:top="1200" w:bottom="1180" w:left="980" w:right="920"/>
        </w:sectPr>
      </w:pPr>
    </w:p>
    <w:p>
      <w:pPr>
        <w:spacing w:line="240" w:lineRule="auto" w:before="5"/>
        <w:rPr>
          <w:rFonts w:ascii="宋体" w:hAnsi="宋体" w:cs="宋体" w:eastAsia="宋体" w:hint="default"/>
          <w:sz w:val="13"/>
          <w:szCs w:val="13"/>
        </w:rPr>
      </w:pPr>
    </w:p>
    <w:p>
      <w:pPr>
        <w:pStyle w:val="BodyText"/>
        <w:spacing w:line="372" w:lineRule="auto" w:before="35"/>
        <w:ind w:left="574" w:right="0"/>
        <w:jc w:val="left"/>
      </w:pPr>
      <w:r>
        <w:rPr/>
        <w:t>（</w:t>
      </w:r>
      <w:r>
        <w:rPr>
          <w:rFonts w:ascii="Times New Roman" w:hAnsi="Times New Roman" w:cs="Times New Roman" w:eastAsia="Times New Roman" w:hint="default"/>
        </w:rPr>
        <w:t>2</w:t>
      </w:r>
      <w:r>
        <w:rPr/>
        <w:t>）以现金结算的股份支付 </w:t>
      </w:r>
      <w:r>
        <w:rPr>
          <w:spacing w:val="-1"/>
        </w:rPr>
        <w:t>以现金结算的股份支付，按照本公司承担的以股份或其他权益工具为基础计算确定的负债的公允价值</w:t>
      </w:r>
    </w:p>
    <w:p>
      <w:pPr>
        <w:pStyle w:val="BodyText"/>
        <w:spacing w:line="393" w:lineRule="auto" w:before="59"/>
        <w:ind w:right="149"/>
        <w:jc w:val="both"/>
      </w:pPr>
      <w:r>
        <w:rPr>
          <w:spacing w:val="-1"/>
        </w:rPr>
        <w:t>计量。授予后立即可行权的以现金结算的股份支付，在授予日以本公司承担负债的公允价值计入相关成本</w:t>
      </w:r>
      <w:r>
        <w:rPr>
          <w:spacing w:val="-81"/>
        </w:rPr>
        <w:t> </w:t>
      </w:r>
      <w:r>
        <w:rPr>
          <w:spacing w:val="-81"/>
        </w:rPr>
      </w:r>
      <w:r>
        <w:rPr>
          <w:spacing w:val="-1"/>
        </w:rPr>
        <w:t>或费用，相应增加负债。完成等待期内的服务或达到规定业绩条件才可行权的换取职工服务的以现金结算</w:t>
      </w:r>
      <w:r>
        <w:rPr>
          <w:spacing w:val="-81"/>
        </w:rPr>
        <w:t> </w:t>
      </w:r>
      <w:r>
        <w:rPr>
          <w:spacing w:val="-81"/>
        </w:rPr>
      </w:r>
      <w:r>
        <w:rPr>
          <w:spacing w:val="-1"/>
        </w:rPr>
        <w:t>的股份支付，在等待期内的每个资产负债表日，以对可行权情况的最佳估计为基础，按本公司承担负债的</w:t>
      </w:r>
      <w:r>
        <w:rPr>
          <w:spacing w:val="-83"/>
        </w:rPr>
        <w:t> </w:t>
      </w:r>
      <w:r>
        <w:rPr>
          <w:spacing w:val="-83"/>
        </w:rPr>
      </w:r>
      <w:r>
        <w:rPr/>
        <w:t>公允价值金额，将当期取得的服务计入成本或费用和相应的负债。</w:t>
      </w:r>
    </w:p>
    <w:p>
      <w:pPr>
        <w:pStyle w:val="BodyText"/>
        <w:spacing w:line="381" w:lineRule="auto" w:before="41"/>
        <w:ind w:right="0" w:firstLine="420"/>
        <w:jc w:val="left"/>
      </w:pPr>
      <w:r>
        <w:rPr/>
        <w:t>（</w:t>
      </w:r>
      <w:r>
        <w:rPr>
          <w:rFonts w:ascii="Times New Roman" w:hAnsi="Times New Roman" w:cs="Times New Roman" w:eastAsia="Times New Roman" w:hint="default"/>
        </w:rPr>
        <w:t>3</w:t>
      </w:r>
      <w:r>
        <w:rPr/>
        <w:t>）确认可行权权益工具最佳估计的依据：在等待期内每个资产负债表日，公司根据最新取得的可 </w:t>
      </w:r>
      <w:r>
        <w:rPr>
          <w:spacing w:val="-1"/>
        </w:rPr>
        <w:t>行权职工人数变动等后续信息作出最佳估计，修正预计可行权的权益工具数量，以作出可行权权益工具的</w:t>
      </w:r>
      <w:r>
        <w:rPr>
          <w:spacing w:val="-81"/>
        </w:rPr>
        <w:t> </w:t>
      </w:r>
      <w:r>
        <w:rPr>
          <w:spacing w:val="-81"/>
        </w:rPr>
      </w:r>
      <w:r>
        <w:rPr/>
        <w:t>最佳估计。</w:t>
      </w:r>
    </w:p>
    <w:p>
      <w:pPr>
        <w:pStyle w:val="BodyText"/>
        <w:spacing w:line="372" w:lineRule="auto" w:before="51"/>
        <w:ind w:left="574" w:right="0"/>
        <w:jc w:val="left"/>
      </w:pPr>
      <w:r>
        <w:rPr/>
        <w:t>（</w:t>
      </w:r>
      <w:r>
        <w:rPr>
          <w:rFonts w:ascii="Times New Roman" w:hAnsi="Times New Roman" w:cs="Times New Roman" w:eastAsia="Times New Roman" w:hint="default"/>
        </w:rPr>
        <w:t>4</w:t>
      </w:r>
      <w:r>
        <w:rPr/>
        <w:t>）修改、终止股份支付计划的相关会计处理 </w:t>
      </w:r>
      <w:r>
        <w:rPr>
          <w:spacing w:val="-1"/>
        </w:rPr>
        <w:t>如果修改增加了所授予的权益工具的公允价值，公司按照权益工具公允价值的增加相应地确认取得服</w:t>
      </w:r>
    </w:p>
    <w:p>
      <w:pPr>
        <w:pStyle w:val="BodyText"/>
        <w:spacing w:line="393" w:lineRule="auto" w:before="59"/>
        <w:ind w:right="149"/>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393" w:lineRule="auto" w:before="41"/>
        <w:ind w:right="149"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393" w:lineRule="auto" w:before="41"/>
        <w:ind w:right="0" w:firstLine="420"/>
        <w:jc w:val="left"/>
      </w:pPr>
      <w:r>
        <w:rPr>
          <w:spacing w:val="-1"/>
        </w:rPr>
        <w:t>如果公司在等待期内取消了所授予的权益工具或结算了所授予的权益工具（因未满足可行权条件而被</w:t>
      </w:r>
      <w:r>
        <w:rPr/>
        <w:t> 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72" w:lineRule="auto"/>
        <w:ind w:left="574" w:right="0"/>
        <w:jc w:val="left"/>
      </w:pPr>
      <w:r>
        <w:rPr>
          <w:rFonts w:ascii="Times New Roman" w:hAnsi="Times New Roman" w:cs="Times New Roman" w:eastAsia="Times New Roman" w:hint="default"/>
        </w:rPr>
        <w:t>19</w:t>
      </w:r>
      <w:r>
        <w:rPr/>
        <w:t>、收入确认方法和原则 </w:t>
      </w:r>
      <w:r>
        <w:rPr>
          <w:spacing w:val="-1"/>
        </w:rPr>
        <w:t>本公司的收入包括销售自行开发研制的软件产品收入、销售商品收入、系统集成收入、技术支持与维</w:t>
      </w:r>
    </w:p>
    <w:p>
      <w:pPr>
        <w:pStyle w:val="BodyText"/>
        <w:spacing w:line="240" w:lineRule="auto" w:before="59"/>
        <w:ind w:right="0"/>
        <w:jc w:val="both"/>
      </w:pPr>
      <w:r>
        <w:rPr/>
        <w:t>护收入和一次性技术开发收入。</w:t>
      </w:r>
    </w:p>
    <w:p>
      <w:pPr>
        <w:spacing w:line="240" w:lineRule="auto" w:before="2"/>
        <w:rPr>
          <w:rFonts w:ascii="宋体" w:hAnsi="宋体" w:cs="宋体" w:eastAsia="宋体" w:hint="default"/>
          <w:sz w:val="14"/>
          <w:szCs w:val="14"/>
        </w:rPr>
      </w:pPr>
    </w:p>
    <w:p>
      <w:pPr>
        <w:pStyle w:val="BodyText"/>
        <w:spacing w:line="391" w:lineRule="auto"/>
        <w:ind w:left="574" w:right="0"/>
        <w:jc w:val="left"/>
      </w:pPr>
      <w:r>
        <w:rPr/>
        <w:t>（</w:t>
      </w:r>
      <w:r>
        <w:rPr>
          <w:rFonts w:ascii="Times New Roman" w:hAnsi="Times New Roman" w:cs="Times New Roman" w:eastAsia="Times New Roman" w:hint="default"/>
        </w:rPr>
        <w:t>1</w:t>
      </w:r>
      <w:r>
        <w:rPr/>
        <w:t>）销售自行开发研制的软件产品收入 自行开发研制的软件产品是指公司拥有著作权，销售时不转让所有权的软件产品。 </w:t>
      </w:r>
      <w:r>
        <w:rPr>
          <w:spacing w:val="3"/>
        </w:rPr>
        <w:t>对于不需要安装就可以使用的软件产品，公司在已将软件产品使用权上的主要风险和报酬转给购货</w:t>
      </w:r>
    </w:p>
    <w:p>
      <w:pPr>
        <w:pStyle w:val="BodyText"/>
        <w:spacing w:line="400" w:lineRule="auto" w:before="52"/>
        <w:ind w:right="149"/>
        <w:jc w:val="both"/>
      </w:pPr>
      <w:r>
        <w:rPr>
          <w:spacing w:val="-1"/>
        </w:rPr>
        <w:t>方；公司既没有保留与使用权相联系的继续管理权；也没有对已售出的软件产品实施控制；与交易相关的</w:t>
      </w:r>
      <w:r>
        <w:rPr>
          <w:spacing w:val="-83"/>
        </w:rPr>
        <w:t> </w:t>
      </w:r>
      <w:r>
        <w:rPr>
          <w:spacing w:val="-83"/>
        </w:rPr>
      </w:r>
      <w:r>
        <w:rPr/>
        <w:t>经济利益能够流入企业；相关的收入和成本能够可靠地计量时，确认收入实现。</w:t>
      </w:r>
    </w:p>
    <w:p>
      <w:pPr>
        <w:pStyle w:val="BodyText"/>
        <w:spacing w:line="240" w:lineRule="auto" w:before="45"/>
        <w:ind w:left="574" w:right="172"/>
        <w:jc w:val="left"/>
      </w:pPr>
      <w:r>
        <w:rPr/>
        <w:t>对于系统集成中的软件产品收入，按系统集成收入确认的原则确认。</w:t>
      </w:r>
    </w:p>
    <w:p>
      <w:pPr>
        <w:spacing w:line="240" w:lineRule="auto" w:before="2"/>
        <w:rPr>
          <w:rFonts w:ascii="宋体" w:hAnsi="宋体" w:cs="宋体" w:eastAsia="宋体" w:hint="default"/>
          <w:sz w:val="14"/>
          <w:szCs w:val="14"/>
        </w:rPr>
      </w:pPr>
    </w:p>
    <w:p>
      <w:pPr>
        <w:pStyle w:val="BodyText"/>
        <w:spacing w:line="240" w:lineRule="auto"/>
        <w:ind w:left="574" w:right="3476"/>
        <w:jc w:val="left"/>
      </w:pPr>
      <w:r>
        <w:rPr/>
        <w:t>（</w:t>
      </w:r>
      <w:r>
        <w:rPr>
          <w:rFonts w:ascii="Times New Roman" w:hAnsi="Times New Roman" w:cs="Times New Roman" w:eastAsia="Times New Roman" w:hint="default"/>
        </w:rPr>
        <w:t>2</w:t>
      </w:r>
      <w:r>
        <w:rPr/>
        <w:t>）销售商品收入</w:t>
      </w:r>
    </w:p>
    <w:p>
      <w:pPr>
        <w:spacing w:after="0" w:line="240" w:lineRule="auto"/>
        <w:jc w:val="left"/>
        <w:sectPr>
          <w:pgSz w:w="11910" w:h="16840"/>
          <w:pgMar w:header="851" w:footer="982" w:top="1200" w:bottom="1180" w:left="980" w:right="980"/>
        </w:sectPr>
      </w:pPr>
    </w:p>
    <w:p>
      <w:pPr>
        <w:spacing w:line="240" w:lineRule="auto" w:before="1"/>
        <w:rPr>
          <w:rFonts w:ascii="宋体" w:hAnsi="宋体" w:cs="宋体" w:eastAsia="宋体" w:hint="default"/>
          <w:sz w:val="14"/>
          <w:szCs w:val="14"/>
        </w:rPr>
      </w:pPr>
    </w:p>
    <w:p>
      <w:pPr>
        <w:pStyle w:val="BodyText"/>
        <w:spacing w:line="400" w:lineRule="auto" w:before="35"/>
        <w:ind w:right="147" w:firstLine="420"/>
        <w:jc w:val="both"/>
      </w:pPr>
      <w:r>
        <w:rPr>
          <w:spacing w:val="3"/>
        </w:rPr>
        <w:t>公司已将外购商品的所有权的主要风险和报酬转给购货方；既没有保留与所有权相联系的继续管理</w:t>
      </w:r>
      <w:r>
        <w:rPr/>
        <w:t> </w:t>
      </w:r>
      <w:r>
        <w:rPr>
          <w:spacing w:val="-1"/>
        </w:rPr>
        <w:t>权；也没有对已售出的所有权实施控制；与交易相关的经济利益能够流入企业；相关的收入和成本能够可</w:t>
      </w:r>
      <w:r>
        <w:rPr>
          <w:spacing w:val="-83"/>
        </w:rPr>
        <w:t> </w:t>
      </w:r>
      <w:r>
        <w:rPr>
          <w:spacing w:val="-83"/>
        </w:rPr>
      </w:r>
      <w:r>
        <w:rPr/>
        <w:t>靠地计量时，确认收入实现。</w:t>
      </w:r>
    </w:p>
    <w:p>
      <w:pPr>
        <w:pStyle w:val="BodyText"/>
        <w:spacing w:line="240" w:lineRule="auto" w:before="44"/>
        <w:ind w:left="574" w:right="172"/>
        <w:jc w:val="left"/>
      </w:pPr>
      <w:r>
        <w:rPr/>
        <w:t>对于系统集成中的外购商品收入，按系统集成收入确认的原则确认。</w:t>
      </w:r>
    </w:p>
    <w:p>
      <w:pPr>
        <w:spacing w:line="240" w:lineRule="auto" w:before="2"/>
        <w:rPr>
          <w:rFonts w:ascii="宋体" w:hAnsi="宋体" w:cs="宋体" w:eastAsia="宋体" w:hint="default"/>
          <w:sz w:val="14"/>
          <w:szCs w:val="14"/>
        </w:rPr>
      </w:pPr>
    </w:p>
    <w:p>
      <w:pPr>
        <w:pStyle w:val="BodyText"/>
        <w:spacing w:line="379" w:lineRule="auto"/>
        <w:ind w:left="574" w:right="3890"/>
        <w:jc w:val="left"/>
      </w:pPr>
      <w:r>
        <w:rPr/>
        <w:t>（</w:t>
      </w:r>
      <w:r>
        <w:rPr>
          <w:rFonts w:ascii="Times New Roman" w:hAnsi="Times New Roman" w:cs="Times New Roman" w:eastAsia="Times New Roman" w:hint="default"/>
        </w:rPr>
        <w:t>3</w:t>
      </w:r>
      <w:r>
        <w:rPr/>
        <w:t>）系统集成收入 系统集成包括外购商品、自行开发软件产品的销售及安装。</w:t>
      </w:r>
    </w:p>
    <w:p>
      <w:pPr>
        <w:pStyle w:val="BodyText"/>
        <w:spacing w:line="400" w:lineRule="auto" w:before="63"/>
        <w:ind w:right="149" w:firstLine="420"/>
        <w:jc w:val="both"/>
      </w:pPr>
      <w:r>
        <w:rPr>
          <w:spacing w:val="-1"/>
        </w:rPr>
        <w:t>公司在将系统集成中外购商品的所有权、自行开发研制的软件产品使用权上的主要风险和报酬转给购</w:t>
      </w:r>
      <w:r>
        <w:rPr/>
        <w:t> </w:t>
      </w:r>
      <w:r>
        <w:rPr>
          <w:spacing w:val="-1"/>
        </w:rPr>
        <w:t>货方，公司既没有保留与所有权及使用权相联系的继续管理权；也没有对已售出的使用权及所有权实施控</w:t>
      </w:r>
      <w:r>
        <w:rPr>
          <w:spacing w:val="-81"/>
        </w:rPr>
        <w:t> </w:t>
      </w:r>
      <w:r>
        <w:rPr>
          <w:spacing w:val="-81"/>
        </w:rPr>
      </w:r>
      <w:r>
        <w:rPr>
          <w:spacing w:val="-1"/>
        </w:rPr>
        <w:t>制；系统安装调试完毕并取得购货方的确认；与交易相关的经济利益能够流入企业；相关的收入和成本能</w:t>
      </w:r>
      <w:r>
        <w:rPr>
          <w:spacing w:val="-83"/>
        </w:rPr>
        <w:t> </w:t>
      </w:r>
      <w:r>
        <w:rPr>
          <w:spacing w:val="-83"/>
        </w:rPr>
      </w:r>
      <w:r>
        <w:rPr/>
        <w:t>够可靠地计量时，确认收入实现。</w:t>
      </w:r>
    </w:p>
    <w:p>
      <w:pPr>
        <w:pStyle w:val="BodyText"/>
        <w:spacing w:line="379" w:lineRule="auto" w:before="44"/>
        <w:ind w:left="574" w:right="0"/>
        <w:jc w:val="left"/>
      </w:pPr>
      <w:r>
        <w:rPr/>
        <w:t>（</w:t>
      </w:r>
      <w:r>
        <w:rPr>
          <w:rFonts w:ascii="Times New Roman" w:hAnsi="Times New Roman" w:cs="Times New Roman" w:eastAsia="Times New Roman" w:hint="default"/>
        </w:rPr>
        <w:t>4</w:t>
      </w:r>
      <w:r>
        <w:rPr/>
        <w:t>）技术支持与维护收入 </w:t>
      </w:r>
      <w:r>
        <w:rPr>
          <w:spacing w:val="-1"/>
        </w:rPr>
        <w:t>技术支持与维护主要是指根据合同规定向用户提供的后续服务，后续服务包括系统维护、技术与应用</w:t>
      </w:r>
    </w:p>
    <w:p>
      <w:pPr>
        <w:pStyle w:val="BodyText"/>
        <w:spacing w:line="400" w:lineRule="auto" w:before="63"/>
        <w:ind w:left="574" w:right="0" w:hanging="420"/>
        <w:jc w:val="left"/>
      </w:pPr>
      <w:r>
        <w:rPr/>
        <w:t>咨询、产品升级等。 </w:t>
      </w:r>
      <w:r>
        <w:rPr>
          <w:spacing w:val="-1"/>
        </w:rPr>
        <w:t>公司在劳务已经提供，收到价款或取得收款的依据后，根据与用户签订的技术支持与维护合同规定的</w:t>
      </w:r>
    </w:p>
    <w:p>
      <w:pPr>
        <w:pStyle w:val="BodyText"/>
        <w:spacing w:line="240" w:lineRule="auto" w:before="45"/>
        <w:ind w:right="172"/>
        <w:jc w:val="left"/>
      </w:pPr>
      <w:r>
        <w:rPr/>
        <w:t>维护期间及合同总金额，按提供技术支持与维护的进度确认技术与维护收入。</w:t>
      </w:r>
    </w:p>
    <w:p>
      <w:pPr>
        <w:spacing w:line="240" w:lineRule="auto" w:before="2"/>
        <w:rPr>
          <w:rFonts w:ascii="宋体" w:hAnsi="宋体" w:cs="宋体" w:eastAsia="宋体" w:hint="default"/>
          <w:sz w:val="14"/>
          <w:szCs w:val="14"/>
        </w:rPr>
      </w:pPr>
    </w:p>
    <w:p>
      <w:pPr>
        <w:pStyle w:val="BodyText"/>
        <w:spacing w:line="379" w:lineRule="auto"/>
        <w:ind w:left="574" w:right="0"/>
        <w:jc w:val="left"/>
      </w:pPr>
      <w:r>
        <w:rPr/>
        <w:t>（</w:t>
      </w:r>
      <w:r>
        <w:rPr>
          <w:rFonts w:ascii="Times New Roman" w:hAnsi="Times New Roman" w:cs="Times New Roman" w:eastAsia="Times New Roman" w:hint="default"/>
        </w:rPr>
        <w:t>5</w:t>
      </w:r>
      <w:r>
        <w:rPr/>
        <w:t>）一次性技术开发收入 </w:t>
      </w:r>
      <w:r>
        <w:rPr>
          <w:spacing w:val="-1"/>
        </w:rPr>
        <w:t>一次性技术开发主要是指根据集团客户的要求对自行开发研究的软件进行再次开发，向集团客户一次</w:t>
      </w:r>
    </w:p>
    <w:p>
      <w:pPr>
        <w:pStyle w:val="BodyText"/>
        <w:spacing w:line="400" w:lineRule="auto" w:before="64"/>
        <w:ind w:left="574" w:right="0" w:hanging="420"/>
        <w:jc w:val="left"/>
      </w:pPr>
      <w:r>
        <w:rPr/>
        <w:t>性收取的技术开发费。 </w:t>
      </w:r>
      <w:r>
        <w:rPr>
          <w:spacing w:val="-1"/>
        </w:rPr>
        <w:t>公司在劳务已经提供，收到价款或取得收款的依据，集团客户第一个系统集成项目完工时确认收入的</w:t>
      </w:r>
    </w:p>
    <w:p>
      <w:pPr>
        <w:pStyle w:val="BodyText"/>
        <w:spacing w:line="240" w:lineRule="auto" w:before="44"/>
        <w:ind w:right="3476"/>
        <w:jc w:val="left"/>
      </w:pPr>
      <w:r>
        <w:rPr/>
        <w:t>实现。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74" w:right="3476"/>
        <w:jc w:val="left"/>
      </w:pPr>
      <w:r>
        <w:rPr>
          <w:rFonts w:ascii="Times New Roman" w:hAnsi="Times New Roman" w:cs="Times New Roman" w:eastAsia="Times New Roman" w:hint="default"/>
        </w:rPr>
        <w:t>20</w:t>
      </w:r>
      <w:r>
        <w:rPr/>
        <w:t>、政府补助的确认和计量</w:t>
      </w:r>
    </w:p>
    <w:p>
      <w:pPr>
        <w:pStyle w:val="BodyText"/>
        <w:spacing w:line="372" w:lineRule="auto" w:before="169"/>
        <w:ind w:left="574" w:right="320"/>
        <w:jc w:val="left"/>
      </w:pPr>
      <w:r>
        <w:rPr/>
        <w:t>（</w:t>
      </w:r>
      <w:r>
        <w:rPr>
          <w:rFonts w:ascii="Times New Roman" w:hAnsi="Times New Roman" w:cs="Times New Roman" w:eastAsia="Times New Roman" w:hint="default"/>
        </w:rPr>
        <w:t>1</w:t>
      </w:r>
      <w:r>
        <w:rPr/>
        <w:t>）政府补助的确认 本公司收到政府无偿拨入的货币性资产或非货币性资产，同时满足下列条件时，确认为政府补助：</w:t>
      </w:r>
    </w:p>
    <w:p>
      <w:pPr>
        <w:pStyle w:val="BodyText"/>
        <w:spacing w:line="240" w:lineRule="auto" w:before="59"/>
        <w:ind w:left="574" w:right="3476"/>
        <w:jc w:val="left"/>
      </w:pPr>
      <w:r>
        <w:rPr/>
        <w:t>①</w:t>
      </w:r>
      <w:r>
        <w:rPr>
          <w:spacing w:val="-2"/>
        </w:rPr>
        <w:t> </w:t>
      </w:r>
      <w:r>
        <w:rPr/>
        <w:t>企业能够满足政府补助所附条件；</w:t>
      </w:r>
    </w:p>
    <w:p>
      <w:pPr>
        <w:pStyle w:val="BodyText"/>
        <w:spacing w:line="240" w:lineRule="auto" w:before="175"/>
        <w:ind w:left="574" w:right="3476"/>
        <w:jc w:val="left"/>
      </w:pPr>
      <w:r>
        <w:rPr/>
        <w:t>②</w:t>
      </w:r>
      <w:r>
        <w:rPr>
          <w:spacing w:val="-2"/>
        </w:rPr>
        <w:t> </w:t>
      </w:r>
      <w:r>
        <w:rPr/>
        <w:t>企业能够收到政府补助。</w:t>
      </w:r>
    </w:p>
    <w:p>
      <w:pPr>
        <w:pStyle w:val="BodyText"/>
        <w:spacing w:line="240" w:lineRule="auto" w:before="175"/>
        <w:ind w:left="574" w:right="3476"/>
        <w:jc w:val="left"/>
      </w:pPr>
      <w:r>
        <w:rPr/>
        <w:t>（</w:t>
      </w:r>
      <w:r>
        <w:rPr>
          <w:rFonts w:ascii="Times New Roman" w:hAnsi="Times New Roman" w:cs="Times New Roman" w:eastAsia="Times New Roman" w:hint="default"/>
        </w:rPr>
        <w:t>2</w:t>
      </w:r>
      <w:r>
        <w:rPr/>
        <w:t>）政府补助的计量：</w:t>
      </w:r>
    </w:p>
    <w:p>
      <w:pPr>
        <w:pStyle w:val="BodyText"/>
        <w:spacing w:line="393" w:lineRule="auto" w:before="159"/>
        <w:ind w:right="152" w:firstLine="420"/>
        <w:jc w:val="both"/>
      </w:pPr>
      <w:r>
        <w:rPr/>
        <w:t>①</w:t>
      </w:r>
      <w:r>
        <w:rPr>
          <w:spacing w:val="57"/>
        </w:rPr>
        <w:t> </w:t>
      </w:r>
      <w:r>
        <w:rPr/>
        <w:t>政府补助为货币性资产的，按照收到或应收的金额计量。政府补助为非货币性资产的，按照公允</w:t>
      </w:r>
      <w:r>
        <w:rPr/>
        <w:t> 价值计量；公允价值不能可靠取得的，按照名义金额计量。</w:t>
      </w:r>
    </w:p>
    <w:p>
      <w:pPr>
        <w:pStyle w:val="BodyText"/>
        <w:spacing w:line="393" w:lineRule="auto" w:before="41"/>
        <w:ind w:right="152" w:firstLine="420"/>
        <w:jc w:val="both"/>
      </w:pPr>
      <w:r>
        <w:rPr/>
        <w:t>②</w:t>
      </w:r>
      <w:r>
        <w:rPr>
          <w:spacing w:val="57"/>
        </w:rPr>
        <w:t> </w:t>
      </w:r>
      <w:r>
        <w:rPr/>
        <w:t>与资产相关的政府补助，公司取得时确认为递延收益，自相关资产达到预定可使用状态时，在该</w:t>
      </w:r>
      <w:r>
        <w:rPr/>
        <w:t> </w:t>
      </w:r>
      <w:r>
        <w:rPr>
          <w:spacing w:val="-1"/>
        </w:rPr>
        <w:t>资产使用寿命内平均分配，分次计入以后各期的损益。相关资产在使用寿命结束前被出售、转让、报废或</w:t>
      </w:r>
    </w:p>
    <w:p>
      <w:pPr>
        <w:spacing w:after="0" w:line="393" w:lineRule="auto"/>
        <w:jc w:val="both"/>
        <w:sectPr>
          <w:pgSz w:w="11910" w:h="16840"/>
          <w:pgMar w:header="851" w:footer="982" w:top="1200" w:bottom="1180" w:left="980" w:right="980"/>
        </w:sectPr>
      </w:pPr>
    </w:p>
    <w:p>
      <w:pPr>
        <w:spacing w:line="240" w:lineRule="auto" w:before="5"/>
        <w:rPr>
          <w:rFonts w:ascii="宋体" w:hAnsi="宋体" w:cs="宋体" w:eastAsia="宋体" w:hint="default"/>
          <w:sz w:val="13"/>
          <w:szCs w:val="13"/>
        </w:rPr>
      </w:pPr>
    </w:p>
    <w:p>
      <w:pPr>
        <w:pStyle w:val="BodyText"/>
        <w:spacing w:line="393" w:lineRule="auto" w:before="35"/>
        <w:ind w:left="574" w:right="0" w:hanging="420"/>
        <w:jc w:val="left"/>
      </w:pPr>
      <w:r>
        <w:rPr/>
        <w:t>发生毁损的，将尚未分配的递延收益余额一次性转入资产处置当期的损益。 </w:t>
      </w:r>
      <w:r>
        <w:rPr>
          <w:spacing w:val="-1"/>
        </w:rPr>
        <w:t>与收益相关的政府补助，用于补偿公司以后期间的相关费用或损失的，取得时确认为递延收益，在确</w:t>
      </w:r>
    </w:p>
    <w:p>
      <w:pPr>
        <w:pStyle w:val="BodyText"/>
        <w:spacing w:line="240" w:lineRule="auto" w:before="41"/>
        <w:ind w:right="0"/>
        <w:jc w:val="left"/>
      </w:pPr>
      <w:r>
        <w:rPr/>
        <w:t>认相关费用的期间计入当期损益；用于补偿公司已发生的相关费用或损失的，取得时直接计入当期损益。</w:t>
      </w:r>
    </w:p>
    <w:p>
      <w:pPr>
        <w:pStyle w:val="BodyText"/>
        <w:spacing w:line="381" w:lineRule="auto" w:before="175"/>
        <w:ind w:left="574" w:right="1908"/>
        <w:jc w:val="left"/>
      </w:pPr>
      <w:r>
        <w:rPr/>
        <w:t>③</w:t>
      </w:r>
      <w:r>
        <w:rPr>
          <w:spacing w:val="-1"/>
        </w:rPr>
        <w:t> </w:t>
      </w:r>
      <w:r>
        <w:rPr/>
        <w:t>已确认的政府补助需要返还的，分别下列情况处理：</w:t>
      </w:r>
      <w:r>
        <w:rPr/>
        <w:t> </w:t>
      </w:r>
      <w:r>
        <w:rPr>
          <w:rFonts w:ascii="Times New Roman" w:hAnsi="Times New Roman" w:cs="Times New Roman" w:eastAsia="Times New Roman" w:hint="default"/>
        </w:rPr>
        <w:t>A</w:t>
      </w:r>
      <w:r>
        <w:rPr/>
        <w:t>、存在相关递延收益的，冲减相关递延收益账面余额，超出部分计入当期损益。 </w:t>
      </w:r>
      <w:r>
        <w:rPr>
          <w:rFonts w:ascii="Times New Roman" w:hAnsi="Times New Roman" w:cs="Times New Roman" w:eastAsia="Times New Roman" w:hint="default"/>
        </w:rPr>
        <w:t>B</w:t>
      </w:r>
      <w:r>
        <w:rPr/>
        <w:t>、不存在相关递延收益的，直接计入当期损益。</w:t>
      </w:r>
    </w:p>
    <w:p>
      <w:pPr>
        <w:spacing w:line="240" w:lineRule="auto" w:before="0"/>
        <w:rPr>
          <w:rFonts w:ascii="宋体" w:hAnsi="宋体" w:cs="宋体" w:eastAsia="宋体" w:hint="default"/>
          <w:sz w:val="22"/>
          <w:szCs w:val="22"/>
        </w:rPr>
      </w:pPr>
    </w:p>
    <w:p>
      <w:pPr>
        <w:pStyle w:val="BodyText"/>
        <w:spacing w:line="372" w:lineRule="auto" w:before="184"/>
        <w:ind w:left="574" w:right="4580"/>
        <w:jc w:val="left"/>
      </w:pPr>
      <w:r>
        <w:rPr>
          <w:rFonts w:ascii="Times New Roman" w:hAnsi="Times New Roman" w:cs="Times New Roman" w:eastAsia="Times New Roman" w:hint="default"/>
        </w:rPr>
        <w:t>21</w:t>
      </w:r>
      <w:r>
        <w:rPr/>
        <w:t>、所得税会计处理方法 本公司采用资产负债表债务法进行所得税会计处理。</w:t>
      </w:r>
    </w:p>
    <w:p>
      <w:pPr>
        <w:pStyle w:val="BodyText"/>
        <w:spacing w:line="240" w:lineRule="auto" w:before="59"/>
        <w:ind w:left="574" w:right="0"/>
        <w:jc w:val="left"/>
      </w:pPr>
      <w:r>
        <w:rPr/>
        <w:t>（</w:t>
      </w:r>
      <w:r>
        <w:rPr>
          <w:rFonts w:ascii="Times New Roman" w:hAnsi="Times New Roman" w:cs="Times New Roman" w:eastAsia="Times New Roman" w:hint="default"/>
        </w:rPr>
        <w:t>1</w:t>
      </w:r>
      <w:r>
        <w:rPr/>
        <w:t>）递延所得税资产</w:t>
      </w:r>
    </w:p>
    <w:p>
      <w:pPr>
        <w:pStyle w:val="BodyText"/>
        <w:spacing w:line="393" w:lineRule="auto" w:before="159"/>
        <w:ind w:right="209" w:firstLine="420"/>
        <w:jc w:val="both"/>
      </w:pPr>
      <w:r>
        <w:rPr>
          <w:spacing w:val="-1"/>
        </w:rPr>
        <w:t>①资产、负债的账面价值与其计税基础存在可抵扣暂时性差异的，以未来期间很可能取得的用以抵扣</w:t>
      </w:r>
      <w:r>
        <w:rPr/>
        <w:t> </w:t>
      </w:r>
      <w:r>
        <w:rPr>
          <w:spacing w:val="-1"/>
        </w:rPr>
        <w:t>可抵扣暂时性差异的应纳税所得额为限，按照预期收回该资产或清偿该负债期间的适用税率，计算确认由</w:t>
      </w:r>
      <w:r>
        <w:rPr>
          <w:spacing w:val="-81"/>
        </w:rPr>
        <w:t> </w:t>
      </w:r>
      <w:r>
        <w:rPr>
          <w:spacing w:val="-81"/>
        </w:rPr>
      </w:r>
      <w:r>
        <w:rPr/>
        <w:t>可抵扣暂时性差异产生的递延所得税资产。</w:t>
      </w:r>
    </w:p>
    <w:p>
      <w:pPr>
        <w:pStyle w:val="BodyText"/>
        <w:spacing w:line="393" w:lineRule="auto" w:before="41"/>
        <w:ind w:right="210" w:firstLine="420"/>
        <w:jc w:val="both"/>
      </w:pPr>
      <w:r>
        <w:rPr>
          <w:spacing w:val="-1"/>
        </w:rPr>
        <w:t>②资产负债表日，有确凿证据表明未来期间很可能获得足够的应纳税所得额用来抵扣可抵扣暂时性差</w:t>
      </w:r>
      <w:r>
        <w:rPr/>
        <w:t> 异的，确认以前期间未确认的递延所得税资产。</w:t>
      </w:r>
    </w:p>
    <w:p>
      <w:pPr>
        <w:pStyle w:val="BodyText"/>
        <w:spacing w:line="393" w:lineRule="auto" w:before="41"/>
        <w:ind w:right="209" w:firstLine="420"/>
        <w:jc w:val="both"/>
      </w:pPr>
      <w:r>
        <w:rPr>
          <w:spacing w:val="-1"/>
        </w:rPr>
        <w:t>③资产负债表日，对递延所得税资产的账面价值进行复核。如果未来期间很可能无法获得足够的应纳</w:t>
      </w:r>
      <w:r>
        <w:rPr/>
        <w:t> </w:t>
      </w:r>
      <w:r>
        <w:rPr>
          <w:spacing w:val="-1"/>
        </w:rPr>
        <w:t>税所得额用以抵扣递延所得税资产的利益，减记递延所得税资产的账面价值。在很可能获得足够的应纳税</w:t>
      </w:r>
      <w:r>
        <w:rPr>
          <w:spacing w:val="-81"/>
        </w:rPr>
        <w:t> </w:t>
      </w:r>
      <w:r>
        <w:rPr>
          <w:spacing w:val="-81"/>
        </w:rPr>
      </w:r>
      <w:r>
        <w:rPr/>
        <w:t>所得额时，转回减记的金额。</w:t>
      </w:r>
    </w:p>
    <w:p>
      <w:pPr>
        <w:pStyle w:val="BodyText"/>
        <w:spacing w:line="372" w:lineRule="auto" w:before="41"/>
        <w:ind w:left="574" w:right="0"/>
        <w:jc w:val="left"/>
      </w:pPr>
      <w:r>
        <w:rPr/>
        <w:t>（</w:t>
      </w:r>
      <w:r>
        <w:rPr>
          <w:rFonts w:ascii="Times New Roman" w:hAnsi="Times New Roman" w:cs="Times New Roman" w:eastAsia="Times New Roman" w:hint="default"/>
        </w:rPr>
        <w:t>2</w:t>
      </w:r>
      <w:r>
        <w:rPr/>
        <w:t>）递延所得税负债 </w:t>
      </w:r>
      <w:r>
        <w:rPr>
          <w:spacing w:val="-1"/>
        </w:rPr>
        <w:t>资产、负债的账面价值与其计税基础存在应纳税暂时性差异的，按照预期收回该资产或清偿该负债期</w:t>
      </w:r>
    </w:p>
    <w:p>
      <w:pPr>
        <w:pStyle w:val="BodyText"/>
        <w:spacing w:line="240" w:lineRule="auto" w:before="59"/>
        <w:ind w:right="0"/>
        <w:jc w:val="left"/>
      </w:pPr>
      <w:r>
        <w:rPr/>
        <w:t>间的适用税率，确认由应纳税暂时性差异产生的递延所得税负债。</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rFonts w:ascii="Times New Roman" w:hAnsi="Times New Roman" w:cs="Times New Roman" w:eastAsia="Times New Roman" w:hint="default"/>
        </w:rPr>
        <w:t>22</w:t>
      </w:r>
      <w:r>
        <w:rPr/>
        <w:t>、经营租赁和融资租赁会计处理</w:t>
      </w:r>
    </w:p>
    <w:p>
      <w:pPr>
        <w:pStyle w:val="BodyText"/>
        <w:spacing w:line="379" w:lineRule="auto" w:before="169"/>
        <w:ind w:left="574" w:right="0"/>
        <w:jc w:val="left"/>
      </w:pPr>
      <w:r>
        <w:rPr/>
        <w:t>（</w:t>
      </w:r>
      <w:r>
        <w:rPr>
          <w:rFonts w:ascii="Times New Roman" w:hAnsi="Times New Roman" w:cs="Times New Roman" w:eastAsia="Times New Roman" w:hint="default"/>
        </w:rPr>
        <w:t>1</w:t>
      </w:r>
      <w:r>
        <w:rPr/>
        <w:t>）经营租赁 </w:t>
      </w:r>
      <w:r>
        <w:rPr>
          <w:spacing w:val="-1"/>
        </w:rPr>
        <w:t>经营租赁中承租人，对于经营租赁的租金，在租赁期内各个期间按照直线法计入相关资产成本或当期</w:t>
      </w:r>
    </w:p>
    <w:p>
      <w:pPr>
        <w:pStyle w:val="BodyText"/>
        <w:spacing w:line="400" w:lineRule="auto" w:before="63"/>
        <w:ind w:left="574" w:right="0" w:hanging="420"/>
        <w:jc w:val="left"/>
      </w:pPr>
      <w:r>
        <w:rPr/>
        <w:t>损益；发生的初始直接费用，计入当期损益；或有租金在实际发生时计入当期损益。 </w:t>
      </w:r>
      <w:r>
        <w:rPr>
          <w:spacing w:val="-1"/>
        </w:rPr>
        <w:t>经营租赁中出租人按资产的性质，将用作经营租赁的资产包括在资产负债表中的相关项目内；对于经</w:t>
      </w:r>
    </w:p>
    <w:p>
      <w:pPr>
        <w:pStyle w:val="BodyText"/>
        <w:spacing w:line="400" w:lineRule="auto" w:before="45"/>
        <w:ind w:right="101"/>
        <w:jc w:val="left"/>
      </w:pPr>
      <w:r>
        <w:rPr/>
        <w:t>营租赁的租金，在租赁期内各个期间按照直线法确认为当期损益；发生的初始直接费用，计入当期损益； </w:t>
      </w:r>
      <w:r>
        <w:rPr>
          <w:spacing w:val="-3"/>
        </w:rPr>
        <w:t>对于经营租赁资产中的固定资产，出租人应当采用类似资产的折旧政策计提折旧；对于其他经营租赁资产，</w:t>
      </w:r>
      <w:r>
        <w:rPr>
          <w:spacing w:val="-92"/>
        </w:rPr>
        <w:t> </w:t>
      </w:r>
      <w:r>
        <w:rPr>
          <w:spacing w:val="-92"/>
        </w:rPr>
      </w:r>
      <w:r>
        <w:rPr/>
        <w:t>应当采用系统合理的方法进行摊销；或有租金在实际发生时计入当期损益。</w:t>
      </w:r>
    </w:p>
    <w:p>
      <w:pPr>
        <w:pStyle w:val="BodyText"/>
        <w:spacing w:line="379" w:lineRule="auto" w:before="45"/>
        <w:ind w:left="574" w:right="0"/>
        <w:jc w:val="left"/>
      </w:pPr>
      <w:r>
        <w:rPr/>
        <w:t>（</w:t>
      </w:r>
      <w:r>
        <w:rPr>
          <w:rFonts w:ascii="Times New Roman" w:hAnsi="Times New Roman" w:cs="Times New Roman" w:eastAsia="Times New Roman" w:hint="default"/>
        </w:rPr>
        <w:t>2</w:t>
      </w:r>
      <w:r>
        <w:rPr/>
        <w:t>）融资租赁 </w:t>
      </w:r>
      <w:r>
        <w:rPr>
          <w:spacing w:val="-1"/>
        </w:rPr>
        <w:t>融资租赁中承租人，在租赁期开始日将租赁开始日租赁资产公允价值与最低租赁付款额现值两者中较</w:t>
      </w:r>
    </w:p>
    <w:p>
      <w:pPr>
        <w:spacing w:after="0" w:line="379" w:lineRule="auto"/>
        <w:jc w:val="left"/>
        <w:sectPr>
          <w:footerReference w:type="default" r:id="rId42"/>
          <w:pgSz w:w="11910" w:h="16840"/>
          <w:pgMar w:footer="982" w:header="851" w:top="1200" w:bottom="1180" w:left="980" w:right="920"/>
          <w:pgNumType w:start="84"/>
        </w:sectPr>
      </w:pPr>
    </w:p>
    <w:p>
      <w:pPr>
        <w:spacing w:line="240" w:lineRule="auto" w:before="1"/>
        <w:rPr>
          <w:rFonts w:ascii="宋体" w:hAnsi="宋体" w:cs="宋体" w:eastAsia="宋体" w:hint="default"/>
          <w:sz w:val="14"/>
          <w:szCs w:val="14"/>
        </w:rPr>
      </w:pPr>
    </w:p>
    <w:p>
      <w:pPr>
        <w:pStyle w:val="BodyText"/>
        <w:spacing w:line="400" w:lineRule="auto" w:before="35"/>
        <w:ind w:right="209"/>
        <w:jc w:val="both"/>
      </w:pPr>
      <w:r>
        <w:rPr>
          <w:spacing w:val="-1"/>
        </w:rPr>
        <w:t>低者作为租入资产的入账价值，将最低租赁付款额作为长期应付款的入账价值，其差额作为未确认融资费</w:t>
      </w:r>
      <w:r>
        <w:rPr>
          <w:spacing w:val="-81"/>
        </w:rPr>
        <w:t> </w:t>
      </w:r>
      <w:r>
        <w:rPr>
          <w:spacing w:val="-81"/>
        </w:rPr>
      </w:r>
      <w:r>
        <w:rPr>
          <w:spacing w:val="-1"/>
        </w:rPr>
        <w:t>用；承租人在租赁谈判和签订租赁合同过程中发生的，可归属于租赁项目的手续费、律师费、差旅费、印</w:t>
      </w:r>
      <w:r>
        <w:rPr>
          <w:spacing w:val="-83"/>
        </w:rPr>
        <w:t> </w:t>
      </w:r>
      <w:r>
        <w:rPr>
          <w:spacing w:val="-83"/>
        </w:rPr>
      </w:r>
      <w:r>
        <w:rPr>
          <w:spacing w:val="-1"/>
        </w:rPr>
        <w:t>花税等初始直接费用，应当计入租入资产价值；未确认融资费用在租赁期内各个期间进行分摊，采用实际</w:t>
      </w:r>
      <w:r>
        <w:rPr>
          <w:spacing w:val="-83"/>
        </w:rPr>
        <w:t> </w:t>
      </w:r>
      <w:r>
        <w:rPr>
          <w:spacing w:val="-83"/>
        </w:rPr>
      </w:r>
      <w:r>
        <w:rPr/>
        <w:t>利率法计算确认当期的融资费用；或有租金应当在实际发生时计入当期损益。</w:t>
      </w:r>
    </w:p>
    <w:p>
      <w:pPr>
        <w:pStyle w:val="BodyText"/>
        <w:spacing w:line="400" w:lineRule="auto" w:before="44"/>
        <w:ind w:right="209" w:firstLine="420"/>
        <w:jc w:val="both"/>
      </w:pPr>
      <w:r>
        <w:rPr>
          <w:spacing w:val="-1"/>
        </w:rPr>
        <w:t>承租人在计算最低租赁付款额的现值时，能够取得出租人租赁内含利率的，应当采用租赁内含利率作</w:t>
      </w:r>
      <w:r>
        <w:rPr/>
        <w:t> </w:t>
      </w:r>
      <w:r>
        <w:rPr>
          <w:spacing w:val="-1"/>
        </w:rPr>
        <w:t>为折现率；否则，应当采用租赁合同规定的利率作为折现率。承租人无法取得出租人的租赁内含利率且租</w:t>
      </w:r>
      <w:r>
        <w:rPr>
          <w:spacing w:val="-83"/>
        </w:rPr>
        <w:t> </w:t>
      </w:r>
      <w:r>
        <w:rPr>
          <w:spacing w:val="-83"/>
        </w:rPr>
      </w:r>
      <w:r>
        <w:rPr/>
        <w:t>赁合同没有规定利率的，应当采用同期银行贷款利率作为折现率。</w:t>
      </w:r>
    </w:p>
    <w:p>
      <w:pPr>
        <w:pStyle w:val="BodyText"/>
        <w:spacing w:line="400" w:lineRule="auto" w:before="44"/>
        <w:ind w:right="209" w:firstLine="420"/>
        <w:jc w:val="both"/>
      </w:pPr>
      <w:r>
        <w:rPr>
          <w:spacing w:val="-1"/>
        </w:rPr>
        <w:t>承租人采用与自有固定资产相一致的折旧政策计提租赁资产折旧。能够合理确定租赁期届满时取得租</w:t>
      </w:r>
      <w:r>
        <w:rPr/>
        <w:t> </w:t>
      </w:r>
      <w:r>
        <w:rPr>
          <w:spacing w:val="-1"/>
        </w:rPr>
        <w:t>赁资产所有权的，在租赁资产使用寿命内计提折旧。无法合理确定租赁期届满时能够取得租赁资产所有权</w:t>
      </w:r>
      <w:r>
        <w:rPr>
          <w:spacing w:val="-81"/>
        </w:rPr>
        <w:t> </w:t>
      </w:r>
      <w:r>
        <w:rPr>
          <w:spacing w:val="-81"/>
        </w:rPr>
      </w:r>
      <w:r>
        <w:rPr/>
        <w:t>的，在租赁期与租赁资产使用寿命两者中较短的期间内计提折旧。</w:t>
      </w:r>
    </w:p>
    <w:p>
      <w:pPr>
        <w:pStyle w:val="BodyText"/>
        <w:spacing w:line="400" w:lineRule="auto" w:before="44"/>
        <w:ind w:right="209" w:firstLine="420"/>
        <w:jc w:val="both"/>
      </w:pPr>
      <w:r>
        <w:rPr>
          <w:spacing w:val="-1"/>
        </w:rPr>
        <w:t>融资租赁中出租人在租赁期开始日，将租赁开始日最低租赁收款额与初始直接费用之和作为应收融资</w:t>
      </w:r>
      <w:r>
        <w:rPr/>
        <w:t> </w:t>
      </w:r>
      <w:r>
        <w:rPr>
          <w:spacing w:val="-1"/>
        </w:rPr>
        <w:t>租赁款的入账价值，同时记录未担保余值；将最低租赁收款额、初始直接费用及未担保余值之和与其现值</w:t>
      </w:r>
      <w:r>
        <w:rPr>
          <w:spacing w:val="-83"/>
        </w:rPr>
        <w:t> </w:t>
      </w:r>
      <w:r>
        <w:rPr>
          <w:spacing w:val="-83"/>
        </w:rPr>
      </w:r>
      <w:r>
        <w:rPr>
          <w:spacing w:val="-1"/>
        </w:rPr>
        <w:t>之和的差额确认为未实现融资收益；未实现融资收益应当在租赁期内各个期间进行分配；采用实际利率法</w:t>
      </w:r>
      <w:r>
        <w:rPr>
          <w:spacing w:val="-81"/>
        </w:rPr>
        <w:t> </w:t>
      </w:r>
      <w:r>
        <w:rPr>
          <w:spacing w:val="-81"/>
        </w:rPr>
      </w:r>
      <w:r>
        <w:rPr/>
        <w:t>计算确认当期的融资收入；或有租金在实际发生时计入当期损益。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74" w:right="0"/>
        <w:jc w:val="left"/>
      </w:pPr>
      <w:r>
        <w:rPr>
          <w:rFonts w:ascii="Times New Roman" w:hAnsi="Times New Roman" w:cs="Times New Roman" w:eastAsia="Times New Roman" w:hint="default"/>
        </w:rPr>
        <w:t>23</w:t>
      </w:r>
      <w:r>
        <w:rPr/>
        <w:t>、主要会计政策和会计估计的变更</w:t>
      </w:r>
    </w:p>
    <w:p>
      <w:pPr>
        <w:pStyle w:val="BodyText"/>
        <w:spacing w:line="379" w:lineRule="auto" w:before="169"/>
        <w:ind w:left="574" w:right="6050"/>
        <w:jc w:val="left"/>
      </w:pPr>
      <w:r>
        <w:rPr/>
        <w:t>（</w:t>
      </w:r>
      <w:r>
        <w:rPr>
          <w:rFonts w:ascii="Times New Roman" w:hAnsi="Times New Roman" w:cs="Times New Roman" w:eastAsia="Times New Roman" w:hint="default"/>
        </w:rPr>
        <w:t>1</w:t>
      </w:r>
      <w:r>
        <w:rPr/>
        <w:t>）会计政策变更 报告期内无会计政策变更事项发生。</w:t>
      </w:r>
    </w:p>
    <w:p>
      <w:pPr>
        <w:pStyle w:val="BodyText"/>
        <w:spacing w:line="372" w:lineRule="auto" w:before="53"/>
        <w:ind w:left="574" w:right="6050"/>
        <w:jc w:val="left"/>
      </w:pPr>
      <w:r>
        <w:rPr/>
        <w:t>（</w:t>
      </w:r>
      <w:r>
        <w:rPr>
          <w:rFonts w:ascii="Times New Roman" w:hAnsi="Times New Roman" w:cs="Times New Roman" w:eastAsia="Times New Roman" w:hint="default"/>
        </w:rPr>
        <w:t>2</w:t>
      </w:r>
      <w:r>
        <w:rPr/>
        <w:t>）会计估计变更 报告期内无会计估计变更事项发生。</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372" w:lineRule="auto"/>
        <w:ind w:left="574" w:right="6470"/>
        <w:jc w:val="left"/>
      </w:pPr>
      <w:r>
        <w:rPr>
          <w:rFonts w:ascii="Times New Roman" w:hAnsi="Times New Roman" w:cs="Times New Roman" w:eastAsia="Times New Roman" w:hint="default"/>
        </w:rPr>
        <w:t>24</w:t>
      </w:r>
      <w:r>
        <w:rPr/>
        <w:t>、前期会计差错更正 报告期内无前期会计差错更正。</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372" w:lineRule="auto"/>
        <w:ind w:left="574" w:right="5000"/>
        <w:jc w:val="left"/>
      </w:pPr>
      <w:r>
        <w:rPr>
          <w:rFonts w:ascii="Times New Roman" w:hAnsi="Times New Roman" w:cs="Times New Roman" w:eastAsia="Times New Roman" w:hint="default"/>
        </w:rPr>
        <w:t>25</w:t>
      </w:r>
      <w:r>
        <w:rPr/>
        <w:t>、</w:t>
      </w:r>
      <w:r>
        <w:rPr>
          <w:spacing w:val="-2"/>
        </w:rPr>
        <w:t> </w:t>
      </w:r>
      <w:r>
        <w:rPr/>
        <w:t>资产减值</w:t>
      </w:r>
      <w:r>
        <w:rPr/>
        <w:t> 当存在下列迹象的，表明资产可能发生了减值：</w:t>
      </w:r>
    </w:p>
    <w:p>
      <w:pPr>
        <w:pStyle w:val="BodyText"/>
        <w:spacing w:line="240" w:lineRule="auto" w:before="59"/>
        <w:ind w:left="574"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72" w:lineRule="auto" w:before="159"/>
        <w:ind w:right="0" w:firstLine="420"/>
        <w:jc w:val="left"/>
      </w:pPr>
      <w:r>
        <w:rPr>
          <w:spacing w:val="-1"/>
        </w:rPr>
        <w:t>（</w:t>
      </w:r>
      <w:r>
        <w:rPr>
          <w:rFonts w:ascii="Times New Roman" w:hAnsi="Times New Roman" w:cs="Times New Roman" w:eastAsia="Times New Roman" w:hint="default"/>
          <w:spacing w:val="-1"/>
        </w:rPr>
        <w:t>2</w:t>
      </w:r>
      <w:r>
        <w:rPr>
          <w:spacing w:val="-1"/>
        </w:rPr>
        <w:t>）企业经营所处的经济、技术或法律等环境以及资产所处的市场在当期或将在近期发生重大变化，</w:t>
      </w:r>
      <w:r>
        <w:rPr/>
        <w:t> 从而对企业产生不利影响。</w:t>
      </w:r>
    </w:p>
    <w:p>
      <w:pPr>
        <w:pStyle w:val="BodyText"/>
        <w:spacing w:line="372" w:lineRule="auto" w:before="59"/>
        <w:ind w:right="294" w:firstLine="420"/>
        <w:jc w:val="both"/>
      </w:pPr>
      <w:r>
        <w:rPr/>
        <w:t>（</w:t>
      </w:r>
      <w:r>
        <w:rPr>
          <w:rFonts w:ascii="Times New Roman" w:hAnsi="Times New Roman" w:cs="Times New Roman" w:eastAsia="Times New Roman" w:hint="default"/>
        </w:rPr>
        <w:t>3</w:t>
      </w:r>
      <w:r>
        <w:rPr/>
        <w:t>）市场利率或者其他市场投资回报率在当期已经提高，从而影响企业用来计算资产预计未来现金 流量现值的折现率，导致资产可收回金额大幅度降低。</w:t>
      </w:r>
    </w:p>
    <w:p>
      <w:pPr>
        <w:spacing w:after="0" w:line="372" w:lineRule="auto"/>
        <w:jc w:val="both"/>
        <w:sectPr>
          <w:pgSz w:w="11910" w:h="16840"/>
          <w:pgMar w:header="851" w:footer="982" w:top="1200" w:bottom="1180" w:left="980" w:right="920"/>
        </w:sectPr>
      </w:pPr>
    </w:p>
    <w:p>
      <w:pPr>
        <w:spacing w:line="240" w:lineRule="auto" w:before="5"/>
        <w:rPr>
          <w:rFonts w:ascii="宋体" w:hAnsi="宋体" w:cs="宋体" w:eastAsia="宋体" w:hint="default"/>
          <w:sz w:val="13"/>
          <w:szCs w:val="13"/>
        </w:rPr>
      </w:pPr>
    </w:p>
    <w:p>
      <w:pPr>
        <w:pStyle w:val="BodyText"/>
        <w:spacing w:line="240" w:lineRule="auto" w:before="35"/>
        <w:ind w:left="574" w:right="3476"/>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159"/>
        <w:ind w:left="574" w:right="3476"/>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72" w:lineRule="auto" w:before="159"/>
        <w:ind w:right="215" w:firstLine="420"/>
        <w:jc w:val="left"/>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 量或者实现的营业利润（或者损失）远远低于预计金额等。</w:t>
      </w:r>
    </w:p>
    <w:p>
      <w:pPr>
        <w:pStyle w:val="BodyText"/>
        <w:spacing w:line="372" w:lineRule="auto" w:before="59"/>
        <w:ind w:left="574" w:right="0"/>
        <w:jc w:val="left"/>
      </w:pPr>
      <w:r>
        <w:rPr/>
        <w:t>（</w:t>
      </w:r>
      <w:r>
        <w:rPr>
          <w:rFonts w:ascii="Times New Roman" w:hAnsi="Times New Roman" w:cs="Times New Roman" w:eastAsia="Times New Roman" w:hint="default"/>
        </w:rPr>
        <w:t>7</w:t>
      </w:r>
      <w:r>
        <w:rPr/>
        <w:t>）其他表明资产可能已经发生减值的迹象。 </w:t>
      </w:r>
      <w:r>
        <w:rPr>
          <w:spacing w:val="-1"/>
        </w:rPr>
        <w:t>本公司在资产负债表日对长期股权投资、固定资产、工程物资、在建工程、无形资产（使用寿命不确</w:t>
      </w:r>
    </w:p>
    <w:p>
      <w:pPr>
        <w:pStyle w:val="BodyText"/>
        <w:spacing w:line="379" w:lineRule="auto" w:before="59"/>
        <w:ind w:right="149"/>
        <w:jc w:val="left"/>
      </w:pPr>
      <w:r>
        <w:rPr/>
        <w:t>定的除外）等适用《企业会计准则第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 </w:t>
      </w:r>
      <w:r>
        <w:rPr>
          <w:spacing w:val="-2"/>
        </w:rPr>
        <w:t>行减值测试</w:t>
      </w:r>
      <w:r>
        <w:rPr>
          <w:rFonts w:ascii="Times New Roman" w:hAnsi="Times New Roman" w:cs="Times New Roman" w:eastAsia="Times New Roman" w:hint="default"/>
          <w:spacing w:val="-2"/>
        </w:rPr>
        <w:t>-</w:t>
      </w:r>
      <w:r>
        <w:rPr>
          <w:spacing w:val="-2"/>
        </w:rPr>
        <w:t>估计其可收回金额。可收回金额以资产的公允价值减去处置费用后的净额与资产预计未来现金</w:t>
      </w:r>
      <w:r>
        <w:rPr/>
        <w:t> </w:t>
      </w:r>
      <w:r>
        <w:rPr>
          <w:spacing w:val="-1"/>
        </w:rPr>
        <w:t>流量的现值两者之间较高者确定。资产的可收回金额低于其账面价值的，将资产的账面价值减记至可收回</w:t>
      </w:r>
      <w:r>
        <w:rPr>
          <w:spacing w:val="-81"/>
        </w:rPr>
        <w:t> </w:t>
      </w:r>
      <w:r>
        <w:rPr>
          <w:spacing w:val="-81"/>
        </w:rPr>
      </w:r>
      <w:r>
        <w:rPr/>
        <w:t>金额，减记的金额确认为资产减值损失，计入当期损益，同时计提相应的资产减值准备。</w:t>
      </w:r>
    </w:p>
    <w:p>
      <w:pPr>
        <w:pStyle w:val="BodyText"/>
        <w:spacing w:line="393" w:lineRule="auto" w:before="53"/>
        <w:ind w:right="149" w:firstLine="420"/>
        <w:jc w:val="both"/>
      </w:pPr>
      <w:r>
        <w:rPr>
          <w:spacing w:val="-1"/>
        </w:rPr>
        <w:t>有迹象表明一项资产可能发生减值的，本公司通常以单项资产为基础估计其可收回金额。当难以对单</w:t>
      </w:r>
      <w:r>
        <w:rPr/>
        <w:t> 项资产的可收回金额进行估计的，以该资产所属的资产组为基础确定资产组的可收回金额。</w:t>
      </w:r>
    </w:p>
    <w:p>
      <w:pPr>
        <w:pStyle w:val="BodyText"/>
        <w:spacing w:line="393" w:lineRule="auto" w:before="41"/>
        <w:ind w:right="128" w:firstLine="420"/>
        <w:jc w:val="both"/>
      </w:pPr>
      <w:r>
        <w:rPr/>
        <w:t>资产组是企业可以认定的最小资产组合，其产生的现金流入应当基本上独立于其他资产或者资产组。 </w:t>
      </w:r>
      <w:r>
        <w:rPr>
          <w:spacing w:val="-1"/>
        </w:rPr>
        <w:t>资产组由创造现金流入相关的资产组成。资产组的认定，以资产组产生的主要现金流入是否独立于其他资</w:t>
      </w:r>
      <w:r>
        <w:rPr>
          <w:spacing w:val="-81"/>
        </w:rPr>
        <w:t> </w:t>
      </w:r>
      <w:r>
        <w:rPr>
          <w:spacing w:val="-81"/>
        </w:rPr>
      </w:r>
      <w:r>
        <w:rPr/>
        <w:t>产或者资产组的现金流入为依据。</w:t>
      </w:r>
    </w:p>
    <w:p>
      <w:pPr>
        <w:pStyle w:val="BodyText"/>
        <w:spacing w:line="420" w:lineRule="auto" w:before="71"/>
        <w:ind w:right="149" w:firstLine="420"/>
        <w:jc w:val="both"/>
      </w:pPr>
      <w:r>
        <w:rPr>
          <w:spacing w:val="-1"/>
        </w:rPr>
        <w:t>本公司对因企业合并所形成的商誉和使用寿命不确定的无形资产，无论是否存在减值迹象，每年都进</w:t>
      </w:r>
      <w:r>
        <w:rPr/>
        <w:t> 行减值测试。商誉的减值测试结合与其相关的资产组或者资产组组合进行。</w:t>
      </w:r>
    </w:p>
    <w:p>
      <w:pPr>
        <w:pStyle w:val="BodyText"/>
        <w:spacing w:line="240" w:lineRule="auto" w:before="47"/>
        <w:ind w:left="574" w:right="3476"/>
        <w:jc w:val="left"/>
      </w:pPr>
      <w:r>
        <w:rPr/>
        <w:t>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61"/>
        <w:ind w:left="574" w:right="5468"/>
        <w:jc w:val="left"/>
      </w:pPr>
      <w:r>
        <w:rPr>
          <w:rFonts w:ascii="Times New Roman" w:hAnsi="Times New Roman" w:cs="Times New Roman" w:eastAsia="Times New Roman" w:hint="default"/>
        </w:rPr>
        <w:t>26</w:t>
      </w:r>
      <w:r>
        <w:rPr/>
        <w:t>、</w:t>
      </w:r>
      <w:r>
        <w:rPr>
          <w:spacing w:val="-3"/>
        </w:rPr>
        <w:t> </w:t>
      </w:r>
      <w:r>
        <w:rPr/>
        <w:t>公司年金计划的主要内容及重大变化</w:t>
      </w:r>
      <w:r>
        <w:rPr/>
        <w:t> 本公司尚无年金计划。</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ind w:left="576" w:right="3476"/>
        <w:jc w:val="left"/>
        <w:rPr>
          <w:b w:val="0"/>
          <w:bCs w:val="0"/>
        </w:rPr>
      </w:pPr>
      <w:r>
        <w:rPr/>
        <w:t>（三）税项</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573" w:right="3476"/>
        <w:jc w:val="left"/>
      </w:pPr>
      <w:r>
        <w:rPr>
          <w:rFonts w:ascii="Times New Roman" w:hAnsi="Times New Roman" w:cs="Times New Roman" w:eastAsia="Times New Roman" w:hint="default"/>
        </w:rPr>
        <w:t>1</w:t>
      </w:r>
      <w:r>
        <w:rPr/>
        <w:t>、增值税</w:t>
      </w:r>
    </w:p>
    <w:p>
      <w:pPr>
        <w:pStyle w:val="BodyText"/>
        <w:spacing w:line="240" w:lineRule="auto" w:before="189"/>
        <w:ind w:left="573" w:right="172"/>
        <w:jc w:val="left"/>
      </w:pPr>
      <w:r>
        <w:rPr>
          <w:rFonts w:ascii="Times New Roman" w:hAnsi="Times New Roman" w:cs="Times New Roman" w:eastAsia="Times New Roman" w:hint="default"/>
        </w:rPr>
        <w:t>1.1 </w:t>
      </w:r>
      <w:r>
        <w:rPr/>
        <w:t>硬件及外购软件的销项税率为</w:t>
      </w:r>
      <w:r>
        <w:rPr>
          <w:spacing w:val="-57"/>
        </w:rPr>
        <w:t> </w:t>
      </w:r>
      <w:r>
        <w:rPr>
          <w:rFonts w:ascii="Times New Roman" w:hAnsi="Times New Roman" w:cs="Times New Roman" w:eastAsia="Times New Roman" w:hint="default"/>
        </w:rPr>
        <w:t>17%</w:t>
      </w:r>
      <w:r>
        <w:rPr/>
        <w:t>，按扣除进项税后的余额缴纳。</w:t>
      </w:r>
    </w:p>
    <w:p>
      <w:pPr>
        <w:pStyle w:val="BodyText"/>
        <w:spacing w:line="396" w:lineRule="auto" w:before="189"/>
        <w:ind w:right="149" w:firstLine="419"/>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自行开发软件的销项税率为</w:t>
      </w:r>
      <w:r>
        <w:rPr>
          <w:spacing w:val="-49"/>
        </w:rPr>
        <w:t> </w:t>
      </w:r>
      <w:r>
        <w:rPr>
          <w:rFonts w:ascii="Times New Roman" w:hAnsi="Times New Roman" w:cs="Times New Roman" w:eastAsia="Times New Roman" w:hint="default"/>
          <w:spacing w:val="-4"/>
        </w:rPr>
        <w:t>17%</w:t>
      </w:r>
      <w:r>
        <w:rPr>
          <w:spacing w:val="-4"/>
        </w:rPr>
        <w:t>，根据</w:t>
      </w:r>
      <w:r>
        <w:rPr>
          <w:rFonts w:ascii="Times New Roman" w:hAnsi="Times New Roman" w:cs="Times New Roman" w:eastAsia="Times New Roman" w:hint="default"/>
          <w:spacing w:val="-4"/>
        </w:rPr>
        <w:t>“</w:t>
      </w:r>
      <w:r>
        <w:rPr>
          <w:spacing w:val="-4"/>
        </w:rPr>
        <w:t>国发</w:t>
      </w:r>
      <w:r>
        <w:rPr>
          <w:rFonts w:ascii="Times New Roman" w:hAnsi="Times New Roman" w:cs="Times New Roman" w:eastAsia="Times New Roman" w:hint="default"/>
          <w:spacing w:val="-4"/>
        </w:rPr>
        <w:t>[2000]18</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文《鼓励软件产业和集成电路产业发展的</w:t>
      </w:r>
      <w:r>
        <w:rPr/>
        <w:t> </w:t>
      </w:r>
      <w:r>
        <w:rPr>
          <w:spacing w:val="-3"/>
        </w:rPr>
        <w:t>若干政策》及</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[2011]4</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《关于印发进一步鼓励软件产业和集成电路产业发展若干政策的通知》的规 </w:t>
      </w:r>
      <w:r>
        <w:rPr>
          <w:spacing w:val="-2"/>
        </w:rPr>
        <w:t>定，对增值税一般纳税人销售其自行开发生产的软件产品，按</w:t>
      </w:r>
      <w:r>
        <w:rPr>
          <w:spacing w:val="-43"/>
        </w:rPr>
        <w:t> </w:t>
      </w:r>
      <w:r>
        <w:rPr>
          <w:rFonts w:ascii="Times New Roman" w:hAnsi="Times New Roman" w:cs="Times New Roman" w:eastAsia="Times New Roman" w:hint="default"/>
          <w:spacing w:val="-2"/>
        </w:rPr>
        <w:t>17</w:t>
      </w:r>
      <w:r>
        <w:rPr>
          <w:spacing w:val="-2"/>
        </w:rPr>
        <w:t>％的法定税率征收增值税，以实际税负超</w:t>
      </w:r>
      <w:r>
        <w:rPr>
          <w:spacing w:val="-102"/>
        </w:rPr>
        <w:t> </w:t>
      </w:r>
      <w:r>
        <w:rPr>
          <w:spacing w:val="-102"/>
        </w:rPr>
      </w:r>
      <w:r>
        <w:rPr/>
        <w:t>过</w:t>
      </w:r>
      <w:r>
        <w:rPr>
          <w:spacing w:val="-60"/>
        </w:rPr>
        <w:t> </w:t>
      </w:r>
      <w:r>
        <w:rPr>
          <w:rFonts w:ascii="Times New Roman" w:hAnsi="Times New Roman" w:cs="Times New Roman" w:eastAsia="Times New Roman" w:hint="default"/>
        </w:rPr>
        <w:t>3</w:t>
      </w:r>
      <w:r>
        <w:rPr/>
        <w:t>％的部分即征即退，自行开发软件实际税负为</w:t>
      </w:r>
      <w:r>
        <w:rPr>
          <w:spacing w:val="-60"/>
        </w:rPr>
        <w:t> </w:t>
      </w:r>
      <w:r>
        <w:rPr>
          <w:rFonts w:ascii="Times New Roman" w:hAnsi="Times New Roman" w:cs="Times New Roman" w:eastAsia="Times New Roman" w:hint="default"/>
          <w:spacing w:val="-4"/>
        </w:rPr>
        <w:t>3%</w:t>
      </w:r>
      <w:r>
        <w:rPr>
          <w:spacing w:val="-4"/>
        </w:rPr>
        <w:t>。对于即征即退的税款，根据</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[2008]1</w:t>
      </w:r>
      <w:r>
        <w:rPr>
          <w:rFonts w:ascii="Times New Roman" w:hAnsi="Times New Roman" w:cs="Times New Roman" w:eastAsia="Times New Roman" w:hint="default"/>
          <w:spacing w:val="-6"/>
        </w:rPr>
        <w:t> </w:t>
      </w:r>
      <w:r>
        <w:rPr>
          <w:spacing w:val="-9"/>
        </w:rPr>
        <w:t>号</w:t>
      </w:r>
      <w:r>
        <w:rPr>
          <w:rFonts w:ascii="Times New Roman" w:hAnsi="Times New Roman" w:cs="Times New Roman" w:eastAsia="Times New Roman" w:hint="default"/>
          <w:spacing w:val="-9"/>
        </w:rPr>
        <w:t>”</w:t>
      </w:r>
      <w:r>
        <w:rPr>
          <w:spacing w:val="-9"/>
        </w:rPr>
        <w:t>文《关</w:t>
      </w:r>
      <w:r>
        <w:rPr/>
        <w:t> </w:t>
      </w:r>
      <w:r>
        <w:rPr>
          <w:spacing w:val="-1"/>
        </w:rPr>
        <w:t>于企业所得税若干优惠政策的通知》的规定，用于研究开发软件产品和扩大再生产，不作为企业所得税应</w:t>
      </w:r>
    </w:p>
    <w:p>
      <w:pPr>
        <w:spacing w:after="0" w:line="396" w:lineRule="auto"/>
        <w:jc w:val="both"/>
        <w:sectPr>
          <w:footerReference w:type="default" r:id="rId43"/>
          <w:pgSz w:w="11910" w:h="16840"/>
          <w:pgMar w:footer="982" w:header="851" w:top="1200" w:bottom="1180" w:left="980" w:right="980"/>
          <w:pgNumType w:start="86"/>
        </w:sectPr>
      </w:pPr>
    </w:p>
    <w:p>
      <w:pPr>
        <w:spacing w:line="240" w:lineRule="auto" w:before="9"/>
        <w:rPr>
          <w:rFonts w:ascii="宋体" w:hAnsi="宋体" w:cs="宋体" w:eastAsia="宋体" w:hint="default"/>
          <w:sz w:val="15"/>
          <w:szCs w:val="15"/>
        </w:rPr>
      </w:pPr>
    </w:p>
    <w:p>
      <w:pPr>
        <w:pStyle w:val="BodyText"/>
        <w:spacing w:line="240" w:lineRule="auto" w:before="35"/>
        <w:ind w:right="0"/>
        <w:jc w:val="both"/>
      </w:pPr>
      <w:r>
        <w:rPr/>
        <w:t>税收入，不予征收企业所得税。</w:t>
      </w:r>
    </w:p>
    <w:p>
      <w:pPr>
        <w:spacing w:line="240" w:lineRule="auto" w:before="9"/>
        <w:rPr>
          <w:rFonts w:ascii="宋体" w:hAnsi="宋体" w:cs="宋体" w:eastAsia="宋体" w:hint="default"/>
          <w:sz w:val="15"/>
          <w:szCs w:val="15"/>
        </w:rPr>
      </w:pPr>
    </w:p>
    <w:p>
      <w:pPr>
        <w:pStyle w:val="BodyText"/>
        <w:spacing w:line="240" w:lineRule="auto"/>
        <w:ind w:left="574" w:right="0"/>
        <w:jc w:val="left"/>
      </w:pPr>
      <w:r>
        <w:rPr>
          <w:rFonts w:ascii="Times New Roman" w:hAnsi="Times New Roman" w:cs="Times New Roman" w:eastAsia="Times New Roman" w:hint="default"/>
        </w:rPr>
        <w:t>1.3   </w:t>
      </w:r>
      <w:r>
        <w:rPr/>
        <w:t>随同自行开发软件销售向购买方收取的培训费、维护费等费用，销项税率为</w:t>
      </w:r>
      <w:r>
        <w:rPr>
          <w:spacing w:val="11"/>
        </w:rPr>
        <w:t> </w:t>
      </w:r>
      <w:r>
        <w:rPr>
          <w:rFonts w:ascii="Times New Roman" w:hAnsi="Times New Roman" w:cs="Times New Roman" w:eastAsia="Times New Roman" w:hint="default"/>
        </w:rPr>
        <w:t>17%</w:t>
      </w:r>
      <w:r>
        <w:rPr/>
        <w:t>。根据</w:t>
      </w:r>
      <w:r>
        <w:rPr>
          <w:rFonts w:ascii="Times New Roman" w:hAnsi="Times New Roman" w:cs="Times New Roman" w:eastAsia="Times New Roman" w:hint="default"/>
        </w:rPr>
        <w:t>“</w:t>
      </w:r>
      <w:r>
        <w:rPr/>
        <w:t>国税函</w:t>
      </w:r>
    </w:p>
    <w:p>
      <w:pPr>
        <w:pStyle w:val="BodyText"/>
        <w:spacing w:line="408" w:lineRule="auto" w:before="189"/>
        <w:ind w:right="209" w:hanging="1"/>
        <w:jc w:val="both"/>
      </w:pPr>
      <w:r>
        <w:rPr/>
        <w:t>［</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553 </w:t>
      </w:r>
      <w:r>
        <w:rPr/>
        <w:t>号文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京国税函［</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547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文的规定，对增值税一般纳税人在销售软件产品的同时向 </w:t>
      </w:r>
      <w:r>
        <w:rPr>
          <w:spacing w:val="-1"/>
        </w:rPr>
        <w:t>购买方收取的培训费、维护费等费用，应按现行规定征收增值税，也应享受软件产品增值税即征即退的政</w:t>
      </w:r>
      <w:r>
        <w:rPr>
          <w:spacing w:val="-84"/>
        </w:rPr>
        <w:t> </w:t>
      </w:r>
      <w:r>
        <w:rPr>
          <w:spacing w:val="-84"/>
        </w:rPr>
      </w:r>
      <w:r>
        <w:rPr/>
        <w:t>策。</w:t>
      </w:r>
    </w:p>
    <w:p>
      <w:pPr>
        <w:pStyle w:val="BodyText"/>
        <w:spacing w:line="240" w:lineRule="auto" w:before="58"/>
        <w:ind w:left="574" w:right="0"/>
        <w:jc w:val="left"/>
      </w:pPr>
      <w:r>
        <w:rPr>
          <w:rFonts w:ascii="Times New Roman" w:hAnsi="Times New Roman" w:cs="Times New Roman" w:eastAsia="Times New Roman" w:hint="default"/>
        </w:rPr>
        <w:t>2</w:t>
      </w:r>
      <w:r>
        <w:rPr/>
        <w:t>、安装及技术支持与维护的营业税为应税收入额的</w:t>
      </w:r>
      <w:r>
        <w:rPr>
          <w:spacing w:val="-55"/>
        </w:rPr>
        <w:t> </w:t>
      </w:r>
      <w:r>
        <w:rPr>
          <w:rFonts w:ascii="Times New Roman" w:hAnsi="Times New Roman" w:cs="Times New Roman" w:eastAsia="Times New Roman" w:hint="default"/>
        </w:rPr>
        <w:t>5%</w:t>
      </w:r>
      <w:r>
        <w:rPr/>
        <w:t>。</w:t>
      </w:r>
    </w:p>
    <w:p>
      <w:pPr>
        <w:pStyle w:val="BodyText"/>
        <w:spacing w:line="396" w:lineRule="auto" w:before="189"/>
        <w:ind w:right="229" w:firstLine="420"/>
        <w:jc w:val="left"/>
      </w:pPr>
      <w:r>
        <w:rPr>
          <w:rFonts w:ascii="Times New Roman" w:hAnsi="Times New Roman" w:cs="Times New Roman" w:eastAsia="Times New Roman" w:hint="default"/>
        </w:rPr>
        <w:t>3</w:t>
      </w:r>
      <w:r>
        <w:rPr/>
        <w:t>、城市维护建设税：公司全资子公司上海石基信息技术有限公司为应纳流转税额的</w:t>
      </w:r>
      <w:r>
        <w:rPr>
          <w:spacing w:val="-88"/>
        </w:rPr>
        <w:t> </w:t>
      </w:r>
      <w:r>
        <w:rPr>
          <w:rFonts w:ascii="Times New Roman" w:hAnsi="Times New Roman" w:cs="Times New Roman" w:eastAsia="Times New Roman" w:hint="default"/>
        </w:rPr>
        <w:t>1%</w:t>
      </w:r>
      <w:r>
        <w:rPr/>
        <w:t>，其他各公司 为应纳流转税额的</w:t>
      </w:r>
      <w:r>
        <w:rPr>
          <w:spacing w:val="-53"/>
        </w:rPr>
        <w:t> </w:t>
      </w:r>
      <w:r>
        <w:rPr>
          <w:rFonts w:ascii="Times New Roman" w:hAnsi="Times New Roman" w:cs="Times New Roman" w:eastAsia="Times New Roman" w:hint="default"/>
        </w:rPr>
        <w:t>7%</w:t>
      </w:r>
      <w:r>
        <w:rPr/>
        <w:t>。</w:t>
      </w:r>
    </w:p>
    <w:p>
      <w:pPr>
        <w:pStyle w:val="BodyText"/>
        <w:spacing w:line="240" w:lineRule="auto" w:before="38"/>
        <w:ind w:left="573" w:right="0"/>
        <w:jc w:val="left"/>
      </w:pPr>
      <w:r>
        <w:rPr>
          <w:rFonts w:ascii="Times New Roman" w:hAnsi="Times New Roman" w:cs="Times New Roman" w:eastAsia="Times New Roman" w:hint="default"/>
        </w:rPr>
        <w:t>4</w:t>
      </w:r>
      <w:r>
        <w:rPr/>
        <w:t>、教育费附加为应纳流转税额的</w:t>
      </w:r>
      <w:r>
        <w:rPr>
          <w:spacing w:val="-57"/>
        </w:rPr>
        <w:t> </w:t>
      </w:r>
      <w:r>
        <w:rPr>
          <w:rFonts w:ascii="Times New Roman" w:hAnsi="Times New Roman" w:cs="Times New Roman" w:eastAsia="Times New Roman" w:hint="default"/>
        </w:rPr>
        <w:t>3%</w:t>
      </w:r>
      <w:r>
        <w:rPr/>
        <w:t>。</w:t>
      </w:r>
    </w:p>
    <w:p>
      <w:pPr>
        <w:pStyle w:val="BodyText"/>
        <w:spacing w:line="396" w:lineRule="auto" w:before="189"/>
        <w:ind w:left="573" w:right="1415"/>
        <w:jc w:val="left"/>
      </w:pPr>
      <w:r>
        <w:rPr>
          <w:rFonts w:ascii="Times New Roman" w:hAnsi="Times New Roman" w:cs="Times New Roman" w:eastAsia="Times New Roman" w:hint="default"/>
        </w:rPr>
        <w:t>5</w:t>
      </w:r>
      <w:r>
        <w:rPr/>
        <w:t>、企业所得税： 公司及其控股子公司杭州西软科技有限公司系高新技术企业，企业所得税税率为</w:t>
      </w:r>
      <w:r>
        <w:rPr>
          <w:spacing w:val="-54"/>
        </w:rPr>
        <w:t> </w:t>
      </w:r>
      <w:r>
        <w:rPr>
          <w:rFonts w:ascii="Times New Roman" w:hAnsi="Times New Roman" w:cs="Times New Roman" w:eastAsia="Times New Roman" w:hint="default"/>
        </w:rPr>
        <w:t>15%</w:t>
      </w:r>
      <w:r>
        <w:rPr/>
        <w:t>。</w:t>
      </w:r>
    </w:p>
    <w:p>
      <w:pPr>
        <w:pStyle w:val="BodyText"/>
        <w:spacing w:line="396" w:lineRule="auto" w:before="38"/>
        <w:ind w:left="153" w:right="210" w:firstLine="420"/>
        <w:jc w:val="both"/>
      </w:pPr>
      <w:r>
        <w:rPr/>
        <w:t>公司控股子公司北京石基昆仑软件有限公司系高新技术企业，企业所得税税率为</w:t>
      </w:r>
      <w:r>
        <w:rPr>
          <w:spacing w:val="-64"/>
        </w:rPr>
        <w:t> </w:t>
      </w:r>
      <w:r>
        <w:rPr>
          <w:rFonts w:ascii="Times New Roman" w:hAnsi="Times New Roman" w:cs="Times New Roman" w:eastAsia="Times New Roman" w:hint="default"/>
          <w:spacing w:val="-3"/>
        </w:rPr>
        <w:t>15%</w:t>
      </w:r>
      <w:r>
        <w:rPr>
          <w:spacing w:val="-3"/>
        </w:rPr>
        <w:t>，经向北京市海</w:t>
      </w:r>
      <w:r>
        <w:rPr/>
        <w:t> 淀区国家税务局第六税务所报备，</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日企业所得税减半征收，企业所得 税税率为</w:t>
      </w:r>
      <w:r>
        <w:rPr>
          <w:spacing w:val="-55"/>
        </w:rPr>
        <w:t> </w:t>
      </w:r>
      <w:r>
        <w:rPr>
          <w:rFonts w:ascii="Times New Roman" w:hAnsi="Times New Roman" w:cs="Times New Roman" w:eastAsia="Times New Roman" w:hint="default"/>
        </w:rPr>
        <w:t>7.5%</w:t>
      </w:r>
      <w:r>
        <w:rPr/>
        <w:t>。</w:t>
      </w:r>
    </w:p>
    <w:p>
      <w:pPr>
        <w:pStyle w:val="BodyText"/>
        <w:spacing w:line="453" w:lineRule="auto" w:before="98"/>
        <w:ind w:left="153" w:right="96" w:firstLine="420"/>
        <w:jc w:val="left"/>
      </w:pPr>
      <w:r>
        <w:rPr>
          <w:spacing w:val="-3"/>
        </w:rPr>
        <w:t>公司控股子公司现化电脑系统（北京）有限公司、全资子公司北京中长石基软件有限公司系软件企业，</w:t>
      </w:r>
      <w:r>
        <w:rPr/>
        <w:t> 根据 </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t>文《关于企业所得税若干优惠政策的通知》的规定，自获利年度起，第一年和第二 年免征企业所得税，第三年至第五年减半征收企业所得税。</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3"/>
        </w:rPr>
        <w:t>年度，现化电脑系统（北京）有限公司实</w:t>
      </w:r>
      <w:r>
        <w:rPr/>
        <w:t> 际执行的企业所得税税率为</w:t>
      </w:r>
      <w:r>
        <w:rPr>
          <w:spacing w:val="-56"/>
        </w:rPr>
        <w:t> </w:t>
      </w:r>
      <w:r>
        <w:rPr>
          <w:rFonts w:ascii="Times New Roman" w:hAnsi="Times New Roman" w:cs="Times New Roman" w:eastAsia="Times New Roman" w:hint="default"/>
        </w:rPr>
        <w:t>12.5%</w:t>
      </w:r>
      <w:r>
        <w:rPr/>
        <w:t>，北京中长石基软件有限公司系软件企业处于免税期。</w:t>
      </w:r>
    </w:p>
    <w:p>
      <w:pPr>
        <w:pStyle w:val="BodyText"/>
        <w:spacing w:line="451" w:lineRule="auto" w:before="42"/>
        <w:ind w:left="153" w:right="210" w:firstLine="420"/>
        <w:jc w:val="both"/>
      </w:pPr>
      <w:r>
        <w:rPr/>
        <w:t>公司全资子公司北海石基信息技术有限公司系软件企业，根据 </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[2008]1</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文《关于企业所得税 </w:t>
      </w:r>
      <w:r>
        <w:rPr>
          <w:spacing w:val="-1"/>
        </w:rPr>
        <w:t>若干优惠政策的通知》的规定，自获利年度起，第一年和第二年免征企业所得税，第三年至第五年减半征</w:t>
      </w:r>
      <w:r>
        <w:rPr>
          <w:spacing w:val="-86"/>
        </w:rPr>
        <w:t> </w:t>
      </w:r>
      <w:r>
        <w:rPr>
          <w:spacing w:val="-86"/>
        </w:rPr>
      </w:r>
      <w:r>
        <w:rPr/>
        <w:t>收企业所得税。同时根据北海市国家税务局</w:t>
      </w:r>
      <w:r>
        <w:rPr>
          <w:rFonts w:ascii="Times New Roman" w:hAnsi="Times New Roman" w:cs="Times New Roman" w:eastAsia="Times New Roman" w:hint="default"/>
        </w:rPr>
        <w:t>“</w:t>
      </w:r>
      <w:r>
        <w:rPr/>
        <w:t>北海市国税函</w:t>
      </w:r>
      <w:r>
        <w:rPr>
          <w:rFonts w:ascii="Times New Roman" w:hAnsi="Times New Roman" w:cs="Times New Roman" w:eastAsia="Times New Roman" w:hint="default"/>
        </w:rPr>
        <w:t>[2010]69</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文批准，北海石基信息技术有限公 司在</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年至</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年期间，在享受软件企业所得税优惠同时，免征属于地方享有的企业所得税，北海石 基信息技术有限公司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年度实际执行的企业所得税税率为</w:t>
      </w:r>
      <w:r>
        <w:rPr>
          <w:spacing w:val="-55"/>
        </w:rPr>
        <w:t> </w:t>
      </w:r>
      <w:r>
        <w:rPr>
          <w:rFonts w:ascii="Times New Roman" w:hAnsi="Times New Roman" w:cs="Times New Roman" w:eastAsia="Times New Roman" w:hint="default"/>
        </w:rPr>
        <w:t>7.5%</w:t>
      </w:r>
      <w:r>
        <w:rPr/>
        <w:t>。</w:t>
      </w:r>
    </w:p>
    <w:p>
      <w:pPr>
        <w:pStyle w:val="BodyText"/>
        <w:spacing w:line="446" w:lineRule="auto" w:before="44"/>
        <w:ind w:left="153" w:right="211" w:firstLine="420"/>
        <w:jc w:val="left"/>
      </w:pPr>
      <w:r>
        <w:rPr/>
        <w:t>公司全资子公司焦点信息技术（香港）有限公司、控股子公司 </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w:t>
      </w:r>
      <w:r>
        <w:rPr/>
        <w:t>、控股子公司 </w:t>
      </w:r>
      <w:r>
        <w:rPr>
          <w:rFonts w:ascii="Times New Roman" w:hAnsi="Times New Roman" w:cs="Times New Roman" w:eastAsia="Times New Roman" w:hint="default"/>
        </w:rPr>
        <w:t>Pos</w:t>
      </w:r>
      <w:r>
        <w:rPr>
          <w:rFonts w:ascii="Times New Roman" w:hAnsi="Times New Roman" w:cs="Times New Roman" w:eastAsia="Times New Roman" w:hint="default"/>
          <w:spacing w:val="-4"/>
        </w:rPr>
        <w:t> </w:t>
      </w:r>
      <w:r>
        <w:rPr>
          <w:rFonts w:ascii="Times New Roman" w:hAnsi="Times New Roman" w:cs="Times New Roman" w:eastAsia="Times New Roman" w:hint="default"/>
        </w:rPr>
        <w:t>Master</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、控股子公司</w:t>
      </w:r>
      <w:r>
        <w:rPr>
          <w:spacing w:val="-57"/>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rPr>
        <w:t>(HK)</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rFonts w:ascii="Times New Roman" w:hAnsi="Times New Roman" w:cs="Times New Roman" w:eastAsia="Times New Roman" w:hint="default"/>
          <w:spacing w:val="-4"/>
        </w:rPr>
        <w:t> </w:t>
      </w:r>
      <w:r>
        <w:rPr/>
        <w:t>系在香港境内设立的公司，企业所得税税率为</w:t>
      </w:r>
      <w:r>
        <w:rPr>
          <w:spacing w:val="-57"/>
        </w:rPr>
        <w:t> </w:t>
      </w:r>
      <w:r>
        <w:rPr>
          <w:rFonts w:ascii="Times New Roman" w:hAnsi="Times New Roman" w:cs="Times New Roman" w:eastAsia="Times New Roman" w:hint="default"/>
        </w:rPr>
        <w:t>16.50%</w:t>
      </w:r>
      <w:r>
        <w:rPr/>
        <w:t>。</w:t>
      </w:r>
    </w:p>
    <w:p>
      <w:pPr>
        <w:pStyle w:val="BodyText"/>
        <w:spacing w:line="446" w:lineRule="auto" w:before="49"/>
        <w:ind w:left="573" w:right="0"/>
        <w:jc w:val="left"/>
      </w:pPr>
      <w:r>
        <w:rPr/>
        <w:t>公司控股子公司</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2"/>
        </w:rPr>
        <w:t> </w:t>
      </w:r>
      <w:r>
        <w:rPr>
          <w:rFonts w:ascii="Times New Roman" w:hAnsi="Times New Roman" w:cs="Times New Roman" w:eastAsia="Times New Roman" w:hint="default"/>
        </w:rPr>
        <w:t>Pte</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系在新加坡境内设立的公司，企业所得税税率为</w:t>
      </w:r>
      <w:r>
        <w:rPr>
          <w:spacing w:val="-54"/>
        </w:rPr>
        <w:t> </w:t>
      </w:r>
      <w:r>
        <w:rPr>
          <w:rFonts w:ascii="Times New Roman" w:hAnsi="Times New Roman" w:cs="Times New Roman" w:eastAsia="Times New Roman" w:hint="default"/>
        </w:rPr>
        <w:t>18%</w:t>
      </w:r>
      <w:r>
        <w:rPr/>
        <w:t>。 公司控股子公司</w:t>
      </w:r>
      <w:r>
        <w:rPr>
          <w:spacing w:val="-57"/>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4"/>
        </w:rPr>
        <w:t> </w:t>
      </w:r>
      <w:r>
        <w:rPr>
          <w:rFonts w:ascii="Times New Roman" w:hAnsi="Times New Roman" w:cs="Times New Roman" w:eastAsia="Times New Roman" w:hint="default"/>
        </w:rPr>
        <w:t>Malaysia</w:t>
      </w:r>
      <w:r>
        <w:rPr>
          <w:rFonts w:ascii="Times New Roman" w:hAnsi="Times New Roman" w:cs="Times New Roman" w:eastAsia="Times New Roman" w:hint="default"/>
          <w:spacing w:val="-4"/>
        </w:rPr>
        <w:t> </w:t>
      </w:r>
      <w:r>
        <w:rPr>
          <w:rFonts w:ascii="Times New Roman" w:hAnsi="Times New Roman" w:cs="Times New Roman" w:eastAsia="Times New Roman" w:hint="default"/>
        </w:rPr>
        <w:t>Sdn</w:t>
      </w:r>
      <w:r>
        <w:rPr>
          <w:rFonts w:ascii="Times New Roman" w:hAnsi="Times New Roman" w:cs="Times New Roman" w:eastAsia="Times New Roman" w:hint="default"/>
          <w:spacing w:val="-6"/>
        </w:rPr>
        <w:t> </w:t>
      </w:r>
      <w:r>
        <w:rPr>
          <w:rFonts w:ascii="Times New Roman" w:hAnsi="Times New Roman" w:cs="Times New Roman" w:eastAsia="Times New Roman" w:hint="default"/>
        </w:rPr>
        <w:t>Bhd</w:t>
      </w:r>
      <w:r>
        <w:rPr>
          <w:rFonts w:ascii="Times New Roman" w:hAnsi="Times New Roman" w:cs="Times New Roman" w:eastAsia="Times New Roman" w:hint="default"/>
          <w:spacing w:val="-3"/>
        </w:rPr>
        <w:t> </w:t>
      </w:r>
      <w:r>
        <w:rPr/>
        <w:t>系在马来西亚境内设立的公司，企业所得税税率为</w:t>
      </w:r>
      <w:r>
        <w:rPr>
          <w:spacing w:val="-57"/>
        </w:rPr>
        <w:t> </w:t>
      </w:r>
      <w:r>
        <w:rPr>
          <w:rFonts w:ascii="Times New Roman" w:hAnsi="Times New Roman" w:cs="Times New Roman" w:eastAsia="Times New Roman" w:hint="default"/>
        </w:rPr>
        <w:t>20%</w:t>
      </w:r>
      <w:r>
        <w:rPr/>
        <w:t>。</w:t>
      </w:r>
    </w:p>
    <w:p>
      <w:pPr>
        <w:pStyle w:val="BodyText"/>
        <w:spacing w:line="240" w:lineRule="auto" w:before="49"/>
        <w:ind w:left="573" w:right="0"/>
        <w:jc w:val="left"/>
      </w:pPr>
      <w:r>
        <w:rPr>
          <w:spacing w:val="-2"/>
        </w:rPr>
        <w:t>公司软件分公司、全资子公司上海石基信息技术有限公司和南京银石计算机系统有限公司执行</w:t>
      </w:r>
      <w:r>
        <w:rPr>
          <w:spacing w:val="-43"/>
        </w:rPr>
        <w:t> </w:t>
      </w:r>
      <w:r>
        <w:rPr>
          <w:rFonts w:ascii="Times New Roman" w:hAnsi="Times New Roman" w:cs="Times New Roman" w:eastAsia="Times New Roman" w:hint="default"/>
          <w:spacing w:val="-1"/>
        </w:rPr>
        <w:t>25</w:t>
      </w:r>
      <w:r>
        <w:rPr>
          <w:spacing w:val="-1"/>
        </w:rPr>
        <w:t>％的</w:t>
      </w:r>
    </w:p>
    <w:p>
      <w:pPr>
        <w:spacing w:after="0" w:line="240" w:lineRule="auto"/>
        <w:jc w:val="left"/>
        <w:sectPr>
          <w:pgSz w:w="11910" w:h="16840"/>
          <w:pgMar w:header="851" w:footer="982" w:top="1200" w:bottom="1180" w:left="980" w:right="920"/>
        </w:sectPr>
      </w:pPr>
    </w:p>
    <w:p>
      <w:pPr>
        <w:spacing w:line="240" w:lineRule="auto" w:before="3"/>
        <w:rPr>
          <w:rFonts w:ascii="宋体" w:hAnsi="宋体" w:cs="宋体" w:eastAsia="宋体" w:hint="default"/>
          <w:sz w:val="20"/>
          <w:szCs w:val="20"/>
        </w:rPr>
      </w:pPr>
    </w:p>
    <w:p>
      <w:pPr>
        <w:pStyle w:val="BodyText"/>
        <w:spacing w:line="240" w:lineRule="auto" w:before="35"/>
        <w:ind w:left="234" w:right="101"/>
        <w:jc w:val="left"/>
      </w:pPr>
      <w:r>
        <w:rPr/>
        <w:t>企业所得税税率。</w:t>
      </w:r>
    </w:p>
    <w:p>
      <w:pPr>
        <w:spacing w:line="240" w:lineRule="auto" w:before="3"/>
        <w:rPr>
          <w:rFonts w:ascii="宋体" w:hAnsi="宋体" w:cs="宋体" w:eastAsia="宋体" w:hint="default"/>
          <w:sz w:val="20"/>
          <w:szCs w:val="20"/>
        </w:rPr>
      </w:pPr>
    </w:p>
    <w:p>
      <w:pPr>
        <w:pStyle w:val="BodyText"/>
        <w:spacing w:line="240" w:lineRule="auto"/>
        <w:ind w:left="654" w:right="101"/>
        <w:jc w:val="left"/>
      </w:pPr>
      <w:r>
        <w:rPr>
          <w:rFonts w:ascii="Times New Roman" w:hAnsi="Times New Roman" w:cs="Times New Roman" w:eastAsia="Times New Roman" w:hint="default"/>
        </w:rPr>
        <w:t>6</w:t>
      </w:r>
      <w:r>
        <w:rPr/>
        <w:t>、其他税项依据有关规定计缴。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Heading3"/>
        <w:spacing w:line="240" w:lineRule="auto"/>
        <w:ind w:left="656" w:right="101"/>
        <w:jc w:val="left"/>
        <w:rPr>
          <w:b w:val="0"/>
          <w:bCs w:val="0"/>
        </w:rPr>
      </w:pPr>
      <w:r>
        <w:rPr/>
        <w:t>（四）企业合并及合并财务报表</w:t>
      </w:r>
      <w:r>
        <w:rPr>
          <w:b w:val="0"/>
          <w:bCs w:val="0"/>
        </w:rPr>
      </w:r>
    </w:p>
    <w:p>
      <w:pPr>
        <w:spacing w:line="240" w:lineRule="auto" w:before="3"/>
        <w:rPr>
          <w:rFonts w:ascii="宋体" w:hAnsi="宋体" w:cs="宋体" w:eastAsia="宋体" w:hint="default"/>
          <w:b/>
          <w:bCs/>
          <w:sz w:val="20"/>
          <w:szCs w:val="20"/>
        </w:rPr>
      </w:pPr>
    </w:p>
    <w:p>
      <w:pPr>
        <w:pStyle w:val="BodyText"/>
        <w:spacing w:line="240" w:lineRule="auto"/>
        <w:ind w:left="653" w:right="101"/>
        <w:jc w:val="left"/>
      </w:pPr>
      <w:r>
        <w:rPr>
          <w:rFonts w:ascii="Times New Roman" w:hAnsi="Times New Roman" w:cs="Times New Roman" w:eastAsia="Times New Roman" w:hint="default"/>
        </w:rPr>
        <w:t>1</w:t>
      </w:r>
      <w:r>
        <w:rPr/>
        <w:t>、子公司情况</w:t>
      </w:r>
    </w:p>
    <w:p>
      <w:pPr>
        <w:spacing w:line="240" w:lineRule="auto" w:before="1"/>
        <w:rPr>
          <w:rFonts w:ascii="宋体" w:hAnsi="宋体" w:cs="宋体" w:eastAsia="宋体" w:hint="default"/>
          <w:sz w:val="19"/>
          <w:szCs w:val="19"/>
        </w:rPr>
      </w:pPr>
    </w:p>
    <w:p>
      <w:pPr>
        <w:pStyle w:val="BodyText"/>
        <w:spacing w:line="240" w:lineRule="auto"/>
        <w:ind w:left="653" w:right="101"/>
        <w:jc w:val="left"/>
      </w:pPr>
      <w:r>
        <w:rPr/>
        <w:t>（</w:t>
      </w:r>
      <w:r>
        <w:rPr>
          <w:rFonts w:ascii="Times New Roman" w:hAnsi="Times New Roman" w:cs="Times New Roman" w:eastAsia="Times New Roman" w:hint="default"/>
        </w:rPr>
        <w:t>1</w:t>
      </w:r>
      <w:r>
        <w:rPr/>
        <w:t>）通过设立或投资等方式取得的子公司</w:t>
      </w:r>
    </w:p>
    <w:tbl>
      <w:tblPr>
        <w:tblW w:w="0" w:type="auto"/>
        <w:jc w:val="left"/>
        <w:tblInd w:w="111" w:type="dxa"/>
        <w:tblLayout w:type="fixed"/>
        <w:tblCellMar>
          <w:top w:w="0" w:type="dxa"/>
          <w:left w:w="0" w:type="dxa"/>
          <w:bottom w:w="0" w:type="dxa"/>
          <w:right w:w="0" w:type="dxa"/>
        </w:tblCellMar>
        <w:tblLook w:val="01E0"/>
      </w:tblPr>
      <w:tblGrid>
        <w:gridCol w:w="1325"/>
        <w:gridCol w:w="992"/>
        <w:gridCol w:w="792"/>
        <w:gridCol w:w="994"/>
        <w:gridCol w:w="1189"/>
        <w:gridCol w:w="4577"/>
      </w:tblGrid>
      <w:tr>
        <w:trPr>
          <w:trHeight w:val="1118" w:hRule="exact"/>
        </w:trPr>
        <w:tc>
          <w:tcPr>
            <w:tcW w:w="1325" w:type="dxa"/>
            <w:tcBorders>
              <w:top w:val="single" w:sz="12" w:space="0" w:color="000000"/>
              <w:left w:val="nil" w:sz="6" w:space="0" w:color="auto"/>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72" w:lineRule="auto"/>
              <w:ind w:left="404" w:right="131"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92"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72" w:lineRule="auto"/>
              <w:ind w:left="314" w:right="31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189"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03"/>
              <w:ind w:left="23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360" w:lineRule="atLeast" w:before="6"/>
              <w:ind w:left="322" w:right="229" w:hanging="90"/>
              <w:jc w:val="left"/>
              <w:rPr>
                <w:rFonts w:ascii="宋体" w:hAnsi="宋体" w:cs="宋体" w:eastAsia="宋体" w:hint="default"/>
                <w:sz w:val="18"/>
                <w:szCs w:val="18"/>
              </w:rPr>
            </w:pPr>
            <w:r>
              <w:rPr>
                <w:rFonts w:ascii="宋体" w:hAnsi="宋体" w:cs="宋体" w:eastAsia="宋体" w:hint="default"/>
                <w:sz w:val="18"/>
                <w:szCs w:val="18"/>
              </w:rPr>
              <w:t>（单位： 万元）</w:t>
            </w:r>
          </w:p>
        </w:tc>
        <w:tc>
          <w:tcPr>
            <w:tcW w:w="4577" w:type="dxa"/>
            <w:tcBorders>
              <w:top w:val="single" w:sz="12" w:space="0" w:color="000000"/>
              <w:left w:val="single" w:sz="2"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1173" w:hRule="exact"/>
        </w:trPr>
        <w:tc>
          <w:tcPr>
            <w:tcW w:w="1325" w:type="dxa"/>
            <w:tcBorders>
              <w:top w:val="single" w:sz="4" w:space="0" w:color="000000"/>
              <w:left w:val="nil" w:sz="6" w:space="0" w:color="auto"/>
              <w:bottom w:val="nil" w:sz="6" w:space="0" w:color="auto"/>
              <w:right w:val="single" w:sz="2" w:space="0" w:color="000000"/>
            </w:tcBorders>
          </w:tcPr>
          <w:p>
            <w:pPr>
              <w:pStyle w:val="TableParagraph"/>
              <w:spacing w:line="372" w:lineRule="auto" w:before="103"/>
              <w:ind w:left="122" w:right="102"/>
              <w:jc w:val="left"/>
              <w:rPr>
                <w:rFonts w:ascii="宋体" w:hAnsi="宋体" w:cs="宋体" w:eastAsia="宋体" w:hint="default"/>
                <w:sz w:val="18"/>
                <w:szCs w:val="18"/>
              </w:rPr>
            </w:pPr>
            <w:r>
              <w:rPr>
                <w:rFonts w:ascii="宋体" w:hAnsi="宋体" w:cs="宋体" w:eastAsia="宋体" w:hint="default"/>
                <w:spacing w:val="2"/>
                <w:sz w:val="18"/>
                <w:szCs w:val="18"/>
              </w:rPr>
              <w:t>上海石基信息 </w:t>
            </w:r>
            <w:r>
              <w:rPr>
                <w:rFonts w:ascii="宋体" w:hAnsi="宋体" w:cs="宋体" w:eastAsia="宋体" w:hint="default"/>
                <w:sz w:val="18"/>
                <w:szCs w:val="18"/>
              </w:rPr>
              <w:t>技术有限公司</w:t>
            </w:r>
          </w:p>
        </w:tc>
        <w:tc>
          <w:tcPr>
            <w:tcW w:w="992" w:type="dxa"/>
            <w:tcBorders>
              <w:top w:val="single" w:sz="4" w:space="0" w:color="000000"/>
              <w:left w:val="single" w:sz="2" w:space="0" w:color="000000"/>
              <w:bottom w:val="nil" w:sz="6" w:space="0" w:color="auto"/>
              <w:right w:val="single" w:sz="2" w:space="0" w:color="000000"/>
            </w:tcBorders>
          </w:tcPr>
          <w:p>
            <w:pPr>
              <w:pStyle w:val="TableParagraph"/>
              <w:spacing w:line="372" w:lineRule="auto" w:before="103"/>
              <w:ind w:left="404" w:right="13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92"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2" w:space="0" w:color="000000"/>
              <w:bottom w:val="nil" w:sz="6" w:space="0" w:color="auto"/>
              <w:right w:val="single" w:sz="2" w:space="0" w:color="000000"/>
            </w:tcBorders>
          </w:tcPr>
          <w:p>
            <w:pPr>
              <w:pStyle w:val="TableParagraph"/>
              <w:spacing w:line="372" w:lineRule="auto" w:before="103"/>
              <w:ind w:left="134" w:right="13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189"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100.00</w:t>
            </w:r>
          </w:p>
        </w:tc>
        <w:tc>
          <w:tcPr>
            <w:tcW w:w="4577" w:type="dxa"/>
            <w:tcBorders>
              <w:top w:val="single" w:sz="4" w:space="0" w:color="000000"/>
              <w:left w:val="single" w:sz="2" w:space="0" w:color="000000"/>
              <w:bottom w:val="nil" w:sz="6" w:space="0" w:color="auto"/>
              <w:right w:val="nil" w:sz="6" w:space="0" w:color="auto"/>
            </w:tcBorders>
          </w:tcPr>
          <w:p>
            <w:pPr>
              <w:pStyle w:val="TableParagraph"/>
              <w:spacing w:line="372" w:lineRule="auto" w:before="103"/>
              <w:ind w:left="105" w:right="105"/>
              <w:jc w:val="both"/>
              <w:rPr>
                <w:rFonts w:ascii="宋体" w:hAnsi="宋体" w:cs="宋体" w:eastAsia="宋体" w:hint="default"/>
                <w:sz w:val="18"/>
                <w:szCs w:val="18"/>
              </w:rPr>
            </w:pPr>
            <w:r>
              <w:rPr>
                <w:rFonts w:ascii="宋体" w:hAnsi="宋体" w:cs="宋体" w:eastAsia="宋体" w:hint="default"/>
                <w:sz w:val="18"/>
                <w:szCs w:val="18"/>
              </w:rPr>
              <w:t>计算机软件开发、制作、销售，系统集成，电子产品、</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网络设备的销售，网络技术的研究开发，并提供以上领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sz w:val="18"/>
                <w:szCs w:val="18"/>
              </w:rPr>
              <w:t>域的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八技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服务（涉及许可经营的凭许可证经营）。</w:t>
            </w:r>
          </w:p>
        </w:tc>
      </w:tr>
      <w:tr>
        <w:trPr>
          <w:trHeight w:val="1830"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372" w:lineRule="auto" w:before="32"/>
              <w:ind w:left="122" w:right="102"/>
              <w:jc w:val="left"/>
              <w:rPr>
                <w:rFonts w:ascii="宋体" w:hAnsi="宋体" w:cs="宋体" w:eastAsia="宋体" w:hint="default"/>
                <w:sz w:val="18"/>
                <w:szCs w:val="18"/>
              </w:rPr>
            </w:pPr>
            <w:r>
              <w:rPr>
                <w:rFonts w:ascii="宋体" w:hAnsi="宋体" w:cs="宋体" w:eastAsia="宋体" w:hint="default"/>
                <w:spacing w:val="2"/>
                <w:sz w:val="18"/>
                <w:szCs w:val="18"/>
              </w:rPr>
              <w:t>北京石基昆仑 </w:t>
            </w:r>
            <w:r>
              <w:rPr>
                <w:rFonts w:ascii="宋体" w:hAnsi="宋体" w:cs="宋体" w:eastAsia="宋体" w:hint="default"/>
                <w:sz w:val="18"/>
                <w:szCs w:val="18"/>
              </w:rPr>
              <w:t>软件有限公司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372" w:lineRule="auto" w:before="32"/>
              <w:ind w:left="404"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428.00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372" w:lineRule="auto" w:before="32"/>
              <w:ind w:left="105" w:right="16"/>
              <w:jc w:val="left"/>
              <w:rPr>
                <w:rFonts w:ascii="宋体" w:hAnsi="宋体" w:cs="宋体" w:eastAsia="宋体" w:hint="default"/>
                <w:sz w:val="18"/>
                <w:szCs w:val="18"/>
              </w:rPr>
            </w:pPr>
            <w:r>
              <w:rPr>
                <w:rFonts w:ascii="宋体" w:hAnsi="宋体" w:cs="宋体" w:eastAsia="宋体" w:hint="default"/>
                <w:spacing w:val="-3"/>
                <w:sz w:val="18"/>
                <w:szCs w:val="18"/>
              </w:rPr>
              <w:t>法律、行政法规、国务院决定禁止的，不得经营；法律、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行政法规、国务院决定规定应经许可的，经审批机关批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准并经工商行政管理机关登记注册后方可经营；法律、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行政法规、国务院决定未规定许可的，自主选择经营项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6"/>
                <w:sz w:val="18"/>
                <w:szCs w:val="18"/>
              </w:rPr>
              <w:t>目开展经营活动。（知识产权出资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825"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372" w:lineRule="auto" w:before="32"/>
              <w:ind w:left="122" w:right="102"/>
              <w:jc w:val="left"/>
              <w:rPr>
                <w:rFonts w:ascii="宋体" w:hAnsi="宋体" w:cs="宋体" w:eastAsia="宋体" w:hint="default"/>
                <w:sz w:val="18"/>
                <w:szCs w:val="18"/>
              </w:rPr>
            </w:pPr>
            <w:r>
              <w:rPr>
                <w:rFonts w:ascii="宋体" w:hAnsi="宋体" w:cs="宋体" w:eastAsia="宋体" w:hint="default"/>
                <w:spacing w:val="2"/>
                <w:sz w:val="18"/>
                <w:szCs w:val="18"/>
              </w:rPr>
              <w:t>北京中长石基 </w:t>
            </w:r>
            <w:r>
              <w:rPr>
                <w:rFonts w:ascii="宋体" w:hAnsi="宋体" w:cs="宋体" w:eastAsia="宋体" w:hint="default"/>
                <w:sz w:val="18"/>
                <w:szCs w:val="18"/>
              </w:rPr>
              <w:t>软件有限公司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372" w:lineRule="auto" w:before="32"/>
              <w:ind w:left="404" w:right="13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1,000.00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372" w:lineRule="auto" w:before="32"/>
              <w:ind w:left="105" w:right="16"/>
              <w:jc w:val="left"/>
              <w:rPr>
                <w:rFonts w:ascii="宋体" w:hAnsi="宋体" w:cs="宋体" w:eastAsia="宋体" w:hint="default"/>
                <w:sz w:val="18"/>
                <w:szCs w:val="18"/>
              </w:rPr>
            </w:pPr>
            <w:r>
              <w:rPr>
                <w:rFonts w:ascii="宋体" w:hAnsi="宋体" w:cs="宋体" w:eastAsia="宋体" w:hint="default"/>
                <w:spacing w:val="-3"/>
                <w:sz w:val="18"/>
                <w:szCs w:val="18"/>
              </w:rPr>
              <w:t>法律、行政法规、国务院决定禁止的，不得经营；法律、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行政法规、国务院决定规定应经许可的，经审批机关批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准并经工商行政管理机关登记注册后方可经营；法律、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行政法规、国务院决定未规定许可的，自主选择经营项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目开展经营活动。</w:t>
            </w:r>
          </w:p>
        </w:tc>
      </w:tr>
      <w:tr>
        <w:trPr>
          <w:trHeight w:val="2196"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372" w:lineRule="auto" w:before="37"/>
              <w:ind w:left="122" w:right="102"/>
              <w:jc w:val="left"/>
              <w:rPr>
                <w:rFonts w:ascii="宋体" w:hAnsi="宋体" w:cs="宋体" w:eastAsia="宋体" w:hint="default"/>
                <w:sz w:val="18"/>
                <w:szCs w:val="18"/>
              </w:rPr>
            </w:pPr>
            <w:r>
              <w:rPr>
                <w:rFonts w:ascii="宋体" w:hAnsi="宋体" w:cs="宋体" w:eastAsia="宋体" w:hint="default"/>
                <w:spacing w:val="2"/>
                <w:sz w:val="18"/>
                <w:szCs w:val="18"/>
              </w:rPr>
              <w:t>北海石基信息 </w:t>
            </w:r>
            <w:r>
              <w:rPr>
                <w:rFonts w:ascii="宋体" w:hAnsi="宋体" w:cs="宋体" w:eastAsia="宋体" w:hint="default"/>
                <w:sz w:val="18"/>
                <w:szCs w:val="18"/>
              </w:rPr>
              <w:t>技术有限公司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372" w:lineRule="auto" w:before="37"/>
              <w:ind w:left="404" w:right="13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北海</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372" w:lineRule="auto" w:before="37"/>
              <w:ind w:left="134" w:right="13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666.00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372" w:lineRule="auto" w:before="37"/>
              <w:ind w:left="105" w:right="105"/>
              <w:jc w:val="both"/>
              <w:rPr>
                <w:rFonts w:ascii="宋体" w:hAnsi="宋体" w:cs="宋体" w:eastAsia="宋体" w:hint="default"/>
                <w:sz w:val="18"/>
                <w:szCs w:val="18"/>
              </w:rPr>
            </w:pPr>
            <w:r>
              <w:rPr>
                <w:rFonts w:ascii="宋体" w:hAnsi="宋体" w:cs="宋体" w:eastAsia="宋体" w:hint="default"/>
                <w:sz w:val="18"/>
                <w:szCs w:val="18"/>
              </w:rPr>
              <w:t>计算机软件开发、销售及相关的系统集成、技术服务；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电子产品、网络设备、网络技术的研究开发、销售及服</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6"/>
                <w:sz w:val="18"/>
                <w:szCs w:val="18"/>
              </w:rPr>
              <w:t>务（以上项目不含互联网信息服务）。自营和代理各类商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品和技术的进出口（国家限定公司经营或者禁止进出口</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的商品和技术除外。※（凡涉及许可证的项目凭许可证</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在有效期限内经营）</w:t>
            </w:r>
          </w:p>
        </w:tc>
      </w:tr>
      <w:tr>
        <w:trPr>
          <w:trHeight w:val="1464"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362" w:lineRule="auto" w:before="37"/>
              <w:ind w:left="122" w:right="102"/>
              <w:jc w:val="both"/>
              <w:rPr>
                <w:rFonts w:ascii="宋体" w:hAnsi="宋体" w:cs="宋体" w:eastAsia="宋体" w:hint="default"/>
                <w:sz w:val="18"/>
                <w:szCs w:val="18"/>
              </w:rPr>
            </w:pPr>
            <w:r>
              <w:rPr>
                <w:rFonts w:ascii="宋体" w:hAnsi="宋体" w:cs="宋体" w:eastAsia="宋体" w:hint="default"/>
                <w:spacing w:val="2"/>
                <w:sz w:val="18"/>
                <w:szCs w:val="18"/>
              </w:rPr>
              <w:t>现化电脑系统 </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北京</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有限公</w:t>
            </w:r>
            <w:r>
              <w:rPr>
                <w:rFonts w:ascii="宋体" w:hAnsi="宋体" w:cs="宋体" w:eastAsia="宋体" w:hint="default"/>
                <w:sz w:val="18"/>
                <w:szCs w:val="18"/>
              </w:rPr>
              <w:t> 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372" w:lineRule="auto" w:before="37"/>
              <w:ind w:left="404"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372" w:lineRule="auto" w:before="37"/>
              <w:ind w:left="134" w:right="13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left="719"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20.00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372" w:lineRule="auto" w:before="37"/>
              <w:ind w:left="105" w:right="105"/>
              <w:jc w:val="both"/>
              <w:rPr>
                <w:rFonts w:ascii="宋体" w:hAnsi="宋体" w:cs="宋体" w:eastAsia="宋体" w:hint="default"/>
                <w:sz w:val="18"/>
                <w:szCs w:val="18"/>
              </w:rPr>
            </w:pPr>
            <w:r>
              <w:rPr>
                <w:rFonts w:ascii="宋体" w:hAnsi="宋体" w:cs="宋体" w:eastAsia="宋体" w:hint="default"/>
                <w:sz w:val="18"/>
                <w:szCs w:val="18"/>
              </w:rPr>
              <w:t>研究、开发计算机软硬件；技术咨询、技术服务、技术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转让；计算机技术培训；销售自行开发的产品，批发计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算机软硬件及外围设备（涉及配额许可证管理，专项规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定管理的商品按照国家有关规定办理）</w:t>
            </w:r>
          </w:p>
        </w:tc>
      </w:tr>
      <w:tr>
        <w:trPr>
          <w:trHeight w:val="1098" w:hRule="exact"/>
        </w:trPr>
        <w:tc>
          <w:tcPr>
            <w:tcW w:w="1325" w:type="dxa"/>
            <w:tcBorders>
              <w:top w:val="nil" w:sz="6" w:space="0" w:color="auto"/>
              <w:left w:val="nil" w:sz="6" w:space="0" w:color="auto"/>
              <w:bottom w:val="nil" w:sz="6" w:space="0" w:color="auto"/>
              <w:right w:val="single" w:sz="2" w:space="0" w:color="000000"/>
            </w:tcBorders>
          </w:tcPr>
          <w:p>
            <w:pPr>
              <w:pStyle w:val="TableParagraph"/>
              <w:spacing w:line="362" w:lineRule="auto" w:before="37"/>
              <w:ind w:left="122" w:right="102"/>
              <w:jc w:val="both"/>
              <w:rPr>
                <w:rFonts w:ascii="宋体" w:hAnsi="宋体" w:cs="宋体" w:eastAsia="宋体" w:hint="default"/>
                <w:sz w:val="18"/>
                <w:szCs w:val="18"/>
              </w:rPr>
            </w:pPr>
            <w:r>
              <w:rPr>
                <w:rFonts w:ascii="宋体" w:hAnsi="宋体" w:cs="宋体" w:eastAsia="宋体" w:hint="default"/>
                <w:spacing w:val="2"/>
                <w:sz w:val="18"/>
                <w:szCs w:val="18"/>
              </w:rPr>
              <w:t>焦点信息技术 </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香港</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有限公</w:t>
            </w:r>
            <w:r>
              <w:rPr>
                <w:rFonts w:ascii="宋体" w:hAnsi="宋体" w:cs="宋体" w:eastAsia="宋体" w:hint="default"/>
                <w:sz w:val="18"/>
                <w:szCs w:val="18"/>
              </w:rPr>
              <w:t> 司</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372" w:lineRule="auto" w:before="37"/>
              <w:ind w:left="404" w:right="13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792"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189"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left="719"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3,500.00</w:t>
            </w:r>
          </w:p>
        </w:tc>
        <w:tc>
          <w:tcPr>
            <w:tcW w:w="4577"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316" w:hRule="exact"/>
        </w:trPr>
        <w:tc>
          <w:tcPr>
            <w:tcW w:w="1325" w:type="dxa"/>
            <w:tcBorders>
              <w:top w:val="nil" w:sz="6" w:space="0" w:color="auto"/>
              <w:left w:val="nil" w:sz="6" w:space="0" w:color="auto"/>
              <w:bottom w:val="single" w:sz="12" w:space="0" w:color="000000"/>
              <w:right w:val="single" w:sz="2" w:space="0" w:color="000000"/>
            </w:tcBorders>
          </w:tcPr>
          <w:p>
            <w:pPr>
              <w:pStyle w:val="TableParagraph"/>
              <w:spacing w:line="240" w:lineRule="auto" w:before="89"/>
              <w:ind w:left="122" w:right="0"/>
              <w:jc w:val="left"/>
              <w:rPr>
                <w:rFonts w:ascii="Times New Roman" w:hAnsi="Times New Roman" w:cs="Times New Roman" w:eastAsia="Times New Roman" w:hint="default"/>
                <w:sz w:val="18"/>
                <w:szCs w:val="18"/>
              </w:rPr>
            </w:pPr>
            <w:r>
              <w:rPr>
                <w:rFonts w:ascii="Times New Roman"/>
                <w:sz w:val="18"/>
              </w:rPr>
              <w:t>Infrasys</w:t>
            </w:r>
          </w:p>
        </w:tc>
        <w:tc>
          <w:tcPr>
            <w:tcW w:w="9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37"/>
              <w:ind w:left="134" w:right="0"/>
              <w:jc w:val="left"/>
              <w:rPr>
                <w:rFonts w:ascii="宋体" w:hAnsi="宋体" w:cs="宋体" w:eastAsia="宋体" w:hint="default"/>
                <w:sz w:val="18"/>
                <w:szCs w:val="18"/>
              </w:rPr>
            </w:pPr>
            <w:r>
              <w:rPr>
                <w:rFonts w:ascii="宋体" w:hAnsi="宋体" w:cs="宋体" w:eastAsia="宋体" w:hint="default"/>
                <w:sz w:val="18"/>
                <w:szCs w:val="18"/>
              </w:rPr>
              <w:t>控股子公</w:t>
            </w:r>
          </w:p>
        </w:tc>
        <w:tc>
          <w:tcPr>
            <w:tcW w:w="79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马来西</w:t>
            </w:r>
          </w:p>
        </w:tc>
        <w:tc>
          <w:tcPr>
            <w:tcW w:w="99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189"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4577" w:type="dxa"/>
            <w:tcBorders>
              <w:top w:val="nil" w:sz="6" w:space="0" w:color="auto"/>
              <w:left w:val="single" w:sz="2" w:space="0" w:color="000000"/>
              <w:bottom w:val="single" w:sz="12" w:space="0" w:color="000000"/>
              <w:right w:val="nil" w:sz="6" w:space="0" w:color="auto"/>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不违反法律规定的情况下，可自主选择经营项目开展经</w:t>
            </w:r>
          </w:p>
        </w:tc>
      </w:tr>
    </w:tbl>
    <w:p>
      <w:pPr>
        <w:spacing w:after="0" w:line="240" w:lineRule="auto"/>
        <w:jc w:val="left"/>
        <w:rPr>
          <w:rFonts w:ascii="宋体" w:hAnsi="宋体" w:cs="宋体" w:eastAsia="宋体" w:hint="default"/>
          <w:sz w:val="18"/>
          <w:szCs w:val="18"/>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25"/>
        <w:gridCol w:w="992"/>
        <w:gridCol w:w="792"/>
        <w:gridCol w:w="994"/>
        <w:gridCol w:w="1189"/>
        <w:gridCol w:w="4577"/>
      </w:tblGrid>
      <w:tr>
        <w:trPr>
          <w:trHeight w:val="1125" w:hRule="exact"/>
        </w:trPr>
        <w:tc>
          <w:tcPr>
            <w:tcW w:w="1325" w:type="dxa"/>
            <w:tcBorders>
              <w:top w:val="single" w:sz="18" w:space="0" w:color="000000"/>
              <w:left w:val="nil" w:sz="6" w:space="0" w:color="auto"/>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18"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72" w:lineRule="auto"/>
              <w:ind w:left="404" w:right="131"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92" w:type="dxa"/>
            <w:tcBorders>
              <w:top w:val="single" w:sz="18"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18"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72" w:lineRule="auto"/>
              <w:ind w:left="314" w:right="31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189" w:type="dxa"/>
            <w:tcBorders>
              <w:top w:val="single" w:sz="18" w:space="0" w:color="000000"/>
              <w:left w:val="single" w:sz="2" w:space="0" w:color="000000"/>
              <w:bottom w:val="single" w:sz="4" w:space="0" w:color="000000"/>
              <w:right w:val="single" w:sz="2" w:space="0" w:color="000000"/>
            </w:tcBorders>
          </w:tcPr>
          <w:p>
            <w:pPr>
              <w:pStyle w:val="TableParagraph"/>
              <w:spacing w:line="240" w:lineRule="auto" w:before="103"/>
              <w:ind w:left="23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360" w:lineRule="atLeast" w:before="6"/>
              <w:ind w:left="322" w:right="229" w:hanging="90"/>
              <w:jc w:val="left"/>
              <w:rPr>
                <w:rFonts w:ascii="宋体" w:hAnsi="宋体" w:cs="宋体" w:eastAsia="宋体" w:hint="default"/>
                <w:sz w:val="18"/>
                <w:szCs w:val="18"/>
              </w:rPr>
            </w:pPr>
            <w:r>
              <w:rPr>
                <w:rFonts w:ascii="宋体" w:hAnsi="宋体" w:cs="宋体" w:eastAsia="宋体" w:hint="default"/>
                <w:sz w:val="18"/>
                <w:szCs w:val="18"/>
              </w:rPr>
              <w:t>（单位： 万元）</w:t>
            </w:r>
          </w:p>
        </w:tc>
        <w:tc>
          <w:tcPr>
            <w:tcW w:w="4577" w:type="dxa"/>
            <w:tcBorders>
              <w:top w:val="single" w:sz="18" w:space="0" w:color="000000"/>
              <w:left w:val="single" w:sz="2"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2216" w:hRule="exact"/>
        </w:trPr>
        <w:tc>
          <w:tcPr>
            <w:tcW w:w="1325" w:type="dxa"/>
            <w:tcBorders>
              <w:top w:val="single" w:sz="4" w:space="0" w:color="000000"/>
              <w:left w:val="nil" w:sz="6" w:space="0" w:color="auto"/>
              <w:bottom w:val="single" w:sz="12" w:space="0" w:color="000000"/>
              <w:right w:val="single" w:sz="2" w:space="0" w:color="000000"/>
            </w:tcBorders>
          </w:tcPr>
          <w:p>
            <w:pPr>
              <w:pStyle w:val="TableParagraph"/>
              <w:spacing w:line="424" w:lineRule="auto" w:before="154"/>
              <w:ind w:left="122" w:right="102"/>
              <w:jc w:val="left"/>
              <w:rPr>
                <w:rFonts w:ascii="Times New Roman" w:hAnsi="Times New Roman" w:cs="Times New Roman" w:eastAsia="Times New Roman" w:hint="default"/>
                <w:sz w:val="18"/>
                <w:szCs w:val="18"/>
              </w:rPr>
            </w:pPr>
            <w:r>
              <w:rPr>
                <w:rFonts w:ascii="Times New Roman"/>
                <w:sz w:val="18"/>
              </w:rPr>
              <w:t>Malaysia</w:t>
            </w:r>
            <w:r>
              <w:rPr>
                <w:rFonts w:ascii="Times New Roman"/>
                <w:spacing w:val="17"/>
                <w:sz w:val="18"/>
              </w:rPr>
              <w:t> </w:t>
            </w:r>
            <w:r>
              <w:rPr>
                <w:rFonts w:ascii="Times New Roman"/>
                <w:sz w:val="18"/>
              </w:rPr>
              <w:t>Sdn</w:t>
            </w:r>
            <w:r>
              <w:rPr>
                <w:rFonts w:ascii="Times New Roman"/>
                <w:sz w:val="18"/>
              </w:rPr>
              <w:t> Bhd</w:t>
            </w:r>
          </w:p>
          <w:p>
            <w:pPr>
              <w:pStyle w:val="TableParagraph"/>
              <w:tabs>
                <w:tab w:pos="716" w:val="left" w:leader="none"/>
              </w:tabs>
              <w:spacing w:line="424" w:lineRule="auto" w:before="5"/>
              <w:ind w:left="122" w:right="104"/>
              <w:jc w:val="left"/>
              <w:rPr>
                <w:rFonts w:ascii="Times New Roman" w:hAnsi="Times New Roman" w:cs="Times New Roman" w:eastAsia="Times New Roman" w:hint="default"/>
                <w:sz w:val="18"/>
                <w:szCs w:val="18"/>
              </w:rPr>
            </w:pPr>
            <w:r>
              <w:rPr>
                <w:rFonts w:ascii="Times New Roman"/>
                <w:spacing w:val="-1"/>
                <w:sz w:val="18"/>
              </w:rPr>
              <w:t>Pos</w:t>
              <w:tab/>
              <w:t>Master</w:t>
            </w:r>
            <w:r>
              <w:rPr>
                <w:rFonts w:ascii="Times New Roman"/>
                <w:spacing w:val="-43"/>
                <w:sz w:val="18"/>
              </w:rPr>
              <w:t> </w:t>
            </w:r>
            <w:r>
              <w:rPr>
                <w:rFonts w:ascii="Times New Roman"/>
                <w:spacing w:val="-43"/>
                <w:sz w:val="18"/>
              </w:rPr>
            </w:r>
            <w:r>
              <w:rPr>
                <w:rFonts w:ascii="Times New Roman"/>
                <w:sz w:val="18"/>
              </w:rPr>
              <w:t>Ltd</w:t>
            </w:r>
          </w:p>
          <w:p>
            <w:pPr>
              <w:pStyle w:val="TableParagraph"/>
              <w:spacing w:line="240" w:lineRule="auto" w:before="5"/>
              <w:ind w:left="122" w:right="0"/>
              <w:jc w:val="left"/>
              <w:rPr>
                <w:rFonts w:ascii="Times New Roman" w:hAnsi="Times New Roman" w:cs="Times New Roman" w:eastAsia="Times New Roman" w:hint="default"/>
                <w:sz w:val="18"/>
                <w:szCs w:val="18"/>
              </w:rPr>
            </w:pPr>
            <w:r>
              <w:rPr>
                <w:rFonts w:ascii="Times New Roman"/>
                <w:sz w:val="18"/>
              </w:rPr>
              <w:t>Infrasys </w:t>
            </w:r>
            <w:r>
              <w:rPr>
                <w:rFonts w:ascii="Times New Roman"/>
                <w:spacing w:val="34"/>
                <w:sz w:val="18"/>
              </w:rPr>
              <w:t> </w:t>
            </w:r>
            <w:r>
              <w:rPr>
                <w:rFonts w:ascii="Times New Roman"/>
                <w:sz w:val="18"/>
              </w:rPr>
              <w:t>(HK)</w:t>
            </w:r>
          </w:p>
          <w:p>
            <w:pPr>
              <w:pStyle w:val="TableParagraph"/>
              <w:spacing w:line="240" w:lineRule="auto" w:before="159"/>
              <w:ind w:left="122" w:right="0"/>
              <w:jc w:val="left"/>
              <w:rPr>
                <w:rFonts w:ascii="Times New Roman" w:hAnsi="Times New Roman" w:cs="Times New Roman" w:eastAsia="Times New Roman" w:hint="default"/>
                <w:sz w:val="18"/>
                <w:szCs w:val="18"/>
              </w:rPr>
            </w:pPr>
            <w:r>
              <w:rPr>
                <w:rFonts w:ascii="Times New Roman"/>
                <w:sz w:val="18"/>
              </w:rPr>
              <w:t>Ltd</w:t>
            </w:r>
          </w:p>
        </w:tc>
        <w:tc>
          <w:tcPr>
            <w:tcW w:w="992"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240" w:lineRule="auto"/>
              <w:ind w:right="0"/>
              <w:jc w:val="left"/>
              <w:rPr>
                <w:rFonts w:ascii="宋体" w:hAnsi="宋体" w:cs="宋体" w:eastAsia="宋体" w:hint="default"/>
                <w:sz w:val="18"/>
                <w:szCs w:val="18"/>
              </w:rPr>
            </w:pPr>
          </w:p>
          <w:p>
            <w:pPr>
              <w:pStyle w:val="TableParagraph"/>
              <w:spacing w:line="360" w:lineRule="atLeast" w:before="136"/>
              <w:ind w:left="134" w:right="131"/>
              <w:jc w:val="center"/>
              <w:rPr>
                <w:rFonts w:ascii="宋体" w:hAnsi="宋体" w:cs="宋体" w:eastAsia="宋体" w:hint="default"/>
                <w:sz w:val="18"/>
                <w:szCs w:val="18"/>
              </w:rPr>
            </w:pPr>
            <w:r>
              <w:rPr>
                <w:rFonts w:ascii="宋体" w:hAnsi="宋体" w:cs="宋体" w:eastAsia="宋体" w:hint="default"/>
                <w:sz w:val="18"/>
                <w:szCs w:val="18"/>
              </w:rPr>
              <w:t>控股子公 司 控股子公 司</w:t>
            </w:r>
          </w:p>
        </w:tc>
        <w:tc>
          <w:tcPr>
            <w:tcW w:w="792"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03"/>
              <w:ind w:left="213" w:right="0" w:firstLine="90"/>
              <w:jc w:val="left"/>
              <w:rPr>
                <w:rFonts w:ascii="宋体" w:hAnsi="宋体" w:cs="宋体" w:eastAsia="宋体" w:hint="default"/>
                <w:sz w:val="18"/>
                <w:szCs w:val="18"/>
              </w:rPr>
            </w:pPr>
            <w:r>
              <w:rPr>
                <w:rFonts w:ascii="宋体" w:hAnsi="宋体" w:cs="宋体" w:eastAsia="宋体" w:hint="default"/>
                <w:sz w:val="18"/>
                <w:szCs w:val="18"/>
              </w:rPr>
              <w:t>亚</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系统</w:t>
            </w:r>
          </w:p>
          <w:p>
            <w:pPr>
              <w:pStyle w:val="TableParagraph"/>
              <w:spacing w:line="240" w:lineRule="auto"/>
              <w:ind w:right="0"/>
              <w:jc w:val="left"/>
              <w:rPr>
                <w:rFonts w:ascii="宋体" w:hAnsi="宋体" w:cs="宋体" w:eastAsia="宋体" w:hint="default"/>
                <w:sz w:val="18"/>
                <w:szCs w:val="18"/>
              </w:rPr>
            </w:pPr>
          </w:p>
          <w:p>
            <w:pPr>
              <w:pStyle w:val="TableParagraph"/>
              <w:spacing w:line="360" w:lineRule="atLeast" w:before="136"/>
              <w:ind w:left="134" w:right="132"/>
              <w:jc w:val="center"/>
              <w:rPr>
                <w:rFonts w:ascii="宋体" w:hAnsi="宋体" w:cs="宋体" w:eastAsia="宋体" w:hint="default"/>
                <w:sz w:val="18"/>
                <w:szCs w:val="18"/>
              </w:rPr>
            </w:pPr>
            <w:r>
              <w:rPr>
                <w:rFonts w:ascii="宋体" w:hAnsi="宋体" w:cs="宋体" w:eastAsia="宋体" w:hint="default"/>
                <w:sz w:val="18"/>
                <w:szCs w:val="18"/>
              </w:rPr>
              <w:t>销售终端 系统 销售终端 系统</w:t>
            </w:r>
          </w:p>
        </w:tc>
        <w:tc>
          <w:tcPr>
            <w:tcW w:w="1189"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4577" w:type="dxa"/>
            <w:tcBorders>
              <w:top w:val="single" w:sz="4" w:space="0" w:color="000000"/>
              <w:left w:val="single" w:sz="2" w:space="0" w:color="000000"/>
              <w:bottom w:val="single" w:sz="12" w:space="0" w:color="000000"/>
              <w:right w:val="nil" w:sz="6" w:space="0" w:color="auto"/>
            </w:tcBorders>
          </w:tcPr>
          <w:p>
            <w:pPr>
              <w:pStyle w:val="TableParagraph"/>
              <w:spacing w:line="240" w:lineRule="auto" w:before="103"/>
              <w:ind w:left="105" w:right="0"/>
              <w:jc w:val="left"/>
              <w:rPr>
                <w:rFonts w:ascii="宋体" w:hAnsi="宋体" w:cs="宋体" w:eastAsia="宋体" w:hint="default"/>
                <w:sz w:val="18"/>
                <w:szCs w:val="18"/>
              </w:rPr>
            </w:pPr>
            <w:r>
              <w:rPr>
                <w:rFonts w:ascii="宋体" w:hAnsi="宋体" w:cs="宋体" w:eastAsia="宋体" w:hint="default"/>
                <w:sz w:val="18"/>
                <w:szCs w:val="18"/>
              </w:rPr>
              <w:t>营活动。</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香港和澳门地区非酒店用户的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系统销售。</w:t>
            </w:r>
          </w:p>
          <w:p>
            <w:pPr>
              <w:pStyle w:val="TableParagraph"/>
              <w:spacing w:line="240" w:lineRule="auto"/>
              <w:ind w:right="0"/>
              <w:jc w:val="left"/>
              <w:rPr>
                <w:rFonts w:ascii="宋体" w:hAnsi="宋体" w:cs="宋体" w:eastAsia="宋体" w:hint="default"/>
                <w:sz w:val="18"/>
                <w:szCs w:val="18"/>
              </w:rPr>
            </w:pPr>
          </w:p>
          <w:p>
            <w:pPr>
              <w:pStyle w:val="TableParagraph"/>
              <w:spacing w:line="360" w:lineRule="atLeast" w:before="123"/>
              <w:ind w:left="105" w:right="105"/>
              <w:jc w:val="left"/>
              <w:rPr>
                <w:rFonts w:ascii="宋体" w:hAnsi="宋体" w:cs="宋体" w:eastAsia="宋体" w:hint="default"/>
                <w:sz w:val="18"/>
                <w:szCs w:val="18"/>
              </w:rPr>
            </w:pPr>
            <w:r>
              <w:rPr>
                <w:rFonts w:ascii="宋体" w:hAnsi="宋体" w:cs="宋体" w:eastAsia="宋体" w:hint="default"/>
                <w:sz w:val="18"/>
                <w:szCs w:val="18"/>
              </w:rPr>
              <w:t>不违反法律规定的情况下，可自主选择经营项目开展经</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营活动。</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2911"/>
        <w:gridCol w:w="1787"/>
        <w:gridCol w:w="1786"/>
        <w:gridCol w:w="1324"/>
        <w:gridCol w:w="1067"/>
        <w:gridCol w:w="995"/>
      </w:tblGrid>
      <w:tr>
        <w:trPr>
          <w:trHeight w:val="1307" w:hRule="exact"/>
        </w:trPr>
        <w:tc>
          <w:tcPr>
            <w:tcW w:w="291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36" w:lineRule="auto" w:before="146"/>
              <w:ind w:left="440" w:right="104" w:hanging="335"/>
              <w:jc w:val="left"/>
              <w:rPr>
                <w:rFonts w:ascii="宋体" w:hAnsi="宋体" w:cs="宋体" w:eastAsia="宋体" w:hint="default"/>
                <w:sz w:val="18"/>
                <w:szCs w:val="18"/>
              </w:rPr>
            </w:pPr>
            <w:r>
              <w:rPr>
                <w:rFonts w:ascii="宋体" w:hAnsi="宋体" w:cs="宋体" w:eastAsia="宋体" w:hint="default"/>
                <w:spacing w:val="-6"/>
                <w:sz w:val="18"/>
                <w:szCs w:val="18"/>
              </w:rPr>
              <w:t>期末实际出资额（单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位：万元）</w:t>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430" w:lineRule="exact" w:before="33"/>
              <w:ind w:left="169" w:right="169"/>
              <w:jc w:val="center"/>
              <w:rPr>
                <w:rFonts w:ascii="宋体" w:hAnsi="宋体" w:cs="宋体" w:eastAsia="宋体" w:hint="default"/>
                <w:sz w:val="18"/>
                <w:szCs w:val="18"/>
              </w:rPr>
            </w:pPr>
            <w:r>
              <w:rPr>
                <w:rFonts w:ascii="宋体" w:hAnsi="宋体" w:cs="宋体" w:eastAsia="宋体" w:hint="default"/>
                <w:sz w:val="18"/>
                <w:szCs w:val="18"/>
              </w:rPr>
              <w:t>实质上构成对子公 司净投资的其他项 目余额</w:t>
            </w:r>
          </w:p>
        </w:tc>
        <w:tc>
          <w:tcPr>
            <w:tcW w:w="13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36" w:lineRule="auto" w:before="146"/>
              <w:ind w:left="304" w:right="169"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995"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436" w:lineRule="auto" w:before="146"/>
              <w:ind w:left="313" w:right="137"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539" w:hRule="exact"/>
        </w:trPr>
        <w:tc>
          <w:tcPr>
            <w:tcW w:w="2911" w:type="dxa"/>
            <w:tcBorders>
              <w:top w:val="single" w:sz="2" w:space="0" w:color="000000"/>
              <w:left w:val="nil" w:sz="6" w:space="0" w:color="auto"/>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78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100.00</w:t>
            </w:r>
          </w:p>
        </w:tc>
        <w:tc>
          <w:tcPr>
            <w:tcW w:w="1786" w:type="dxa"/>
            <w:vMerge w:val="restart"/>
            <w:tcBorders>
              <w:top w:val="single" w:sz="2" w:space="0" w:color="000000"/>
              <w:left w:val="single" w:sz="2" w:space="0" w:color="000000"/>
              <w:right w:val="single" w:sz="2" w:space="0" w:color="000000"/>
            </w:tcBorders>
          </w:tcPr>
          <w:p>
            <w:pPr/>
          </w:p>
        </w:tc>
        <w:tc>
          <w:tcPr>
            <w:tcW w:w="132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single" w:sz="2" w:space="0" w:color="000000"/>
              <w:left w:val="single" w:sz="2"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103"/>
              <w:jc w:val="right"/>
              <w:rPr>
                <w:rFonts w:ascii="Times New Roman" w:hAnsi="Times New Roman" w:cs="Times New Roman" w:eastAsia="Times New Roman" w:hint="default"/>
                <w:sz w:val="18"/>
                <w:szCs w:val="18"/>
              </w:rPr>
            </w:pPr>
            <w:r>
              <w:rPr>
                <w:rFonts w:ascii="Times New Roman"/>
                <w:sz w:val="18"/>
              </w:rPr>
              <w:t>300.00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82.40%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251"/>
              <w:jc w:val="right"/>
              <w:rPr>
                <w:rFonts w:ascii="Times New Roman" w:hAnsi="Times New Roman" w:cs="Times New Roman" w:eastAsia="Times New Roman" w:hint="default"/>
                <w:sz w:val="18"/>
                <w:szCs w:val="18"/>
              </w:rPr>
            </w:pPr>
            <w:r>
              <w:rPr>
                <w:rFonts w:ascii="Times New Roman"/>
                <w:sz w:val="18"/>
              </w:rPr>
              <w:t>82.40%</w:t>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1,000.00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666.00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2"/>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60"/>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现化电脑系统</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焦点信息技术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59"/>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16"/>
                <w:sz w:val="18"/>
              </w:rPr>
              <w:t> </w:t>
            </w:r>
            <w:r>
              <w:rPr>
                <w:rFonts w:ascii="Times New Roman"/>
                <w:sz w:val="18"/>
              </w:rPr>
              <w:t>Bhd</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2"/>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6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11" w:type="dxa"/>
            <w:tcBorders>
              <w:top w:val="nil" w:sz="6" w:space="0" w:color="auto"/>
              <w:left w:val="nil" w:sz="6" w:space="0" w:color="auto"/>
              <w:bottom w:val="nil" w:sz="6" w:space="0" w:color="auto"/>
              <w:right w:val="single" w:sz="2"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9"/>
                <w:sz w:val="18"/>
              </w:rPr>
              <w:t> </w:t>
            </w:r>
            <w:r>
              <w:rPr>
                <w:rFonts w:ascii="Times New Roman"/>
                <w:sz w:val="18"/>
              </w:rPr>
              <w:t>Ltd</w:t>
            </w:r>
          </w:p>
        </w:tc>
        <w:tc>
          <w:tcPr>
            <w:tcW w:w="1787" w:type="dxa"/>
            <w:tcBorders>
              <w:top w:val="nil" w:sz="6" w:space="0" w:color="auto"/>
              <w:left w:val="single" w:sz="2" w:space="0" w:color="000000"/>
              <w:bottom w:val="nil" w:sz="6" w:space="0" w:color="auto"/>
              <w:right w:val="single" w:sz="2" w:space="0" w:color="000000"/>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1786" w:type="dxa"/>
            <w:vMerge/>
            <w:tcBorders>
              <w:left w:val="single" w:sz="2" w:space="0" w:color="000000"/>
              <w:right w:val="single" w:sz="2" w:space="0" w:color="000000"/>
            </w:tcBorders>
          </w:tcPr>
          <w:p>
            <w:pPr/>
          </w:p>
        </w:tc>
        <w:tc>
          <w:tcPr>
            <w:tcW w:w="1324"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70%</w:t>
            </w:r>
          </w:p>
        </w:tc>
        <w:tc>
          <w:tcPr>
            <w:tcW w:w="1067" w:type="dxa"/>
            <w:tcBorders>
              <w:top w:val="nil" w:sz="6" w:space="0" w:color="auto"/>
              <w:left w:val="single" w:sz="2" w:space="0" w:color="000000"/>
              <w:bottom w:val="nil" w:sz="6" w:space="0" w:color="auto"/>
              <w:right w:val="single" w:sz="2"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70%</w:t>
            </w:r>
          </w:p>
        </w:tc>
        <w:tc>
          <w:tcPr>
            <w:tcW w:w="995" w:type="dxa"/>
            <w:tcBorders>
              <w:top w:val="nil" w:sz="6" w:space="0" w:color="auto"/>
              <w:left w:val="single" w:sz="2" w:space="0" w:color="000000"/>
              <w:bottom w:val="nil" w:sz="6" w:space="0" w:color="auto"/>
              <w:right w:val="nil" w:sz="6" w:space="0" w:color="auto"/>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9" w:hRule="exact"/>
        </w:trPr>
        <w:tc>
          <w:tcPr>
            <w:tcW w:w="2911" w:type="dxa"/>
            <w:tcBorders>
              <w:top w:val="nil" w:sz="6" w:space="0" w:color="auto"/>
              <w:left w:val="nil" w:sz="6" w:space="0" w:color="auto"/>
              <w:bottom w:val="single" w:sz="12" w:space="0" w:color="000000"/>
              <w:right w:val="single" w:sz="2"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3"/>
                <w:sz w:val="18"/>
              </w:rPr>
              <w:t> </w:t>
            </w:r>
            <w:r>
              <w:rPr>
                <w:rFonts w:ascii="Times New Roman"/>
                <w:sz w:val="18"/>
              </w:rPr>
              <w:t>Ltd</w:t>
            </w:r>
          </w:p>
        </w:tc>
        <w:tc>
          <w:tcPr>
            <w:tcW w:w="178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59"/>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1786" w:type="dxa"/>
            <w:vMerge/>
            <w:tcBorders>
              <w:left w:val="single" w:sz="2" w:space="0" w:color="000000"/>
              <w:bottom w:val="single" w:sz="12" w:space="0" w:color="000000"/>
              <w:right w:val="single" w:sz="2" w:space="0" w:color="000000"/>
            </w:tcBorders>
          </w:tcPr>
          <w:p>
            <w:pPr/>
          </w:p>
        </w:tc>
        <w:tc>
          <w:tcPr>
            <w:tcW w:w="132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1"/>
              <w:ind w:right="1"/>
              <w:jc w:val="center"/>
              <w:rPr>
                <w:rFonts w:ascii="Times New Roman" w:hAnsi="Times New Roman" w:cs="Times New Roman" w:eastAsia="Times New Roman" w:hint="default"/>
                <w:sz w:val="18"/>
                <w:szCs w:val="18"/>
              </w:rPr>
            </w:pPr>
            <w:r>
              <w:rPr>
                <w:rFonts w:ascii="Times New Roman"/>
                <w:sz w:val="18"/>
              </w:rPr>
              <w:t>100%</w:t>
            </w:r>
          </w:p>
        </w:tc>
        <w:tc>
          <w:tcPr>
            <w:tcW w:w="106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1"/>
              <w:ind w:right="31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95" w:type="dxa"/>
            <w:tcBorders>
              <w:top w:val="nil" w:sz="6" w:space="0" w:color="auto"/>
              <w:left w:val="single" w:sz="2" w:space="0" w:color="000000"/>
              <w:bottom w:val="single" w:sz="12" w:space="0" w:color="000000"/>
              <w:right w:val="nil" w:sz="6" w:space="0" w:color="auto"/>
            </w:tcBorders>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103"/>
        <w:gridCol w:w="1718"/>
        <w:gridCol w:w="5000"/>
      </w:tblGrid>
      <w:tr>
        <w:trPr>
          <w:trHeight w:val="878" w:hRule="exact"/>
        </w:trPr>
        <w:tc>
          <w:tcPr>
            <w:tcW w:w="310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6"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18" w:type="dxa"/>
            <w:tcBorders>
              <w:top w:val="single" w:sz="12" w:space="0" w:color="000000"/>
              <w:left w:val="single" w:sz="2" w:space="0" w:color="000000"/>
              <w:bottom w:val="single" w:sz="2" w:space="0" w:color="000000"/>
              <w:right w:val="single" w:sz="2" w:space="0" w:color="000000"/>
            </w:tcBorders>
          </w:tcPr>
          <w:p>
            <w:pPr>
              <w:pStyle w:val="TableParagraph"/>
              <w:spacing w:line="430" w:lineRule="exact" w:before="33"/>
              <w:ind w:left="496" w:right="134" w:hanging="360"/>
              <w:jc w:val="left"/>
              <w:rPr>
                <w:rFonts w:ascii="宋体" w:hAnsi="宋体" w:cs="宋体" w:eastAsia="宋体" w:hint="default"/>
                <w:sz w:val="18"/>
                <w:szCs w:val="18"/>
              </w:rPr>
            </w:pPr>
            <w:r>
              <w:rPr>
                <w:rFonts w:ascii="宋体" w:hAnsi="宋体" w:cs="宋体" w:eastAsia="宋体" w:hint="default"/>
                <w:sz w:val="18"/>
                <w:szCs w:val="18"/>
              </w:rPr>
              <w:t>少数股东权益（单 位：元）</w:t>
            </w:r>
          </w:p>
        </w:tc>
        <w:tc>
          <w:tcPr>
            <w:tcW w:w="500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697" w:right="0"/>
              <w:jc w:val="left"/>
              <w:rPr>
                <w:rFonts w:ascii="宋体" w:hAnsi="宋体" w:cs="宋体" w:eastAsia="宋体" w:hint="default"/>
                <w:sz w:val="18"/>
                <w:szCs w:val="18"/>
              </w:rPr>
            </w:pPr>
            <w:r>
              <w:rPr>
                <w:rFonts w:ascii="宋体" w:hAnsi="宋体" w:cs="宋体" w:eastAsia="宋体" w:hint="default"/>
                <w:sz w:val="18"/>
                <w:szCs w:val="18"/>
              </w:rPr>
              <w:t>少数股东权益中用于冲减少数股东损益的金额</w:t>
            </w:r>
          </w:p>
        </w:tc>
      </w:tr>
      <w:tr>
        <w:trPr>
          <w:trHeight w:val="549" w:hRule="exact"/>
        </w:trPr>
        <w:tc>
          <w:tcPr>
            <w:tcW w:w="3103" w:type="dxa"/>
            <w:tcBorders>
              <w:top w:val="single" w:sz="2" w:space="0" w:color="000000"/>
              <w:left w:val="nil" w:sz="6" w:space="0" w:color="auto"/>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71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2,277,273.62</w:t>
            </w:r>
          </w:p>
        </w:tc>
        <w:tc>
          <w:tcPr>
            <w:tcW w:w="5000" w:type="dxa"/>
            <w:vMerge w:val="restart"/>
            <w:tcBorders>
              <w:top w:val="single" w:sz="2" w:space="0" w:color="000000"/>
              <w:left w:val="single" w:sz="2" w:space="0" w:color="000000"/>
              <w:right w:val="nil" w:sz="6" w:space="0" w:color="auto"/>
            </w:tcBorders>
          </w:tcPr>
          <w:p>
            <w:pPr/>
          </w:p>
        </w:tc>
      </w:tr>
      <w:tr>
        <w:trPr>
          <w:trHeight w:val="329" w:hRule="exact"/>
        </w:trPr>
        <w:tc>
          <w:tcPr>
            <w:tcW w:w="3103" w:type="dxa"/>
            <w:tcBorders>
              <w:top w:val="nil" w:sz="6" w:space="0" w:color="auto"/>
              <w:left w:val="nil" w:sz="6" w:space="0" w:color="auto"/>
              <w:bottom w:val="single" w:sz="12" w:space="0" w:color="000000"/>
              <w:right w:val="single" w:sz="2" w:space="0" w:color="000000"/>
            </w:tcBorders>
          </w:tcPr>
          <w:p>
            <w:pPr>
              <w:pStyle w:val="TableParagraph"/>
              <w:spacing w:line="240" w:lineRule="auto" w:before="101"/>
              <w:ind w:left="1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1"/>
                <w:sz w:val="18"/>
              </w:rPr>
              <w:t> </w:t>
            </w:r>
            <w:r>
              <w:rPr>
                <w:rFonts w:ascii="Times New Roman"/>
                <w:sz w:val="18"/>
              </w:rPr>
              <w:t>Ltd</w:t>
            </w:r>
          </w:p>
        </w:tc>
        <w:tc>
          <w:tcPr>
            <w:tcW w:w="171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z w:val="18"/>
              </w:rPr>
              <w:t>327,200.60</w:t>
            </w:r>
          </w:p>
        </w:tc>
        <w:tc>
          <w:tcPr>
            <w:tcW w:w="5000" w:type="dxa"/>
            <w:vMerge/>
            <w:tcBorders>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5"/>
        <w:ind w:left="673" w:right="0"/>
        <w:jc w:val="left"/>
      </w:pPr>
      <w:r>
        <w:rPr/>
        <w:t>（</w:t>
      </w:r>
      <w:r>
        <w:rPr>
          <w:rFonts w:ascii="Times New Roman" w:hAnsi="Times New Roman" w:cs="Times New Roman" w:eastAsia="Times New Roman" w:hint="default"/>
        </w:rPr>
        <w:t>2</w:t>
      </w:r>
      <w:r>
        <w:rPr/>
        <w:t>）非同一控制下企业合并取得的子公司</w:t>
      </w:r>
    </w:p>
    <w:tbl>
      <w:tblPr>
        <w:tblW w:w="0" w:type="auto"/>
        <w:jc w:val="left"/>
        <w:tblInd w:w="106" w:type="dxa"/>
        <w:tblLayout w:type="fixed"/>
        <w:tblCellMar>
          <w:top w:w="0" w:type="dxa"/>
          <w:left w:w="0" w:type="dxa"/>
          <w:bottom w:w="0" w:type="dxa"/>
          <w:right w:w="0" w:type="dxa"/>
        </w:tblCellMar>
        <w:tblLook w:val="01E0"/>
      </w:tblPr>
      <w:tblGrid>
        <w:gridCol w:w="1945"/>
        <w:gridCol w:w="990"/>
        <w:gridCol w:w="948"/>
        <w:gridCol w:w="1021"/>
        <w:gridCol w:w="1340"/>
        <w:gridCol w:w="3674"/>
      </w:tblGrid>
      <w:tr>
        <w:trPr>
          <w:trHeight w:val="880" w:hRule="exact"/>
        </w:trPr>
        <w:tc>
          <w:tcPr>
            <w:tcW w:w="1945" w:type="dxa"/>
            <w:tcBorders>
              <w:top w:val="single" w:sz="12" w:space="0" w:color="000000"/>
              <w:left w:val="nil" w:sz="6" w:space="0" w:color="auto"/>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54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0" w:type="dxa"/>
            <w:tcBorders>
              <w:top w:val="single" w:sz="12" w:space="0" w:color="000000"/>
              <w:left w:val="single" w:sz="2" w:space="0" w:color="000000"/>
              <w:bottom w:val="single" w:sz="4" w:space="0" w:color="000000"/>
              <w:right w:val="single" w:sz="2" w:space="0" w:color="000000"/>
            </w:tcBorders>
          </w:tcPr>
          <w:p>
            <w:pPr>
              <w:pStyle w:val="TableParagraph"/>
              <w:spacing w:line="430" w:lineRule="exact" w:before="33"/>
              <w:ind w:left="403" w:right="130"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94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21" w:type="dxa"/>
            <w:tcBorders>
              <w:top w:val="single" w:sz="12" w:space="0" w:color="000000"/>
              <w:left w:val="single" w:sz="2" w:space="0" w:color="000000"/>
              <w:bottom w:val="single" w:sz="4" w:space="0" w:color="000000"/>
              <w:right w:val="single" w:sz="2" w:space="0" w:color="000000"/>
            </w:tcBorders>
          </w:tcPr>
          <w:p>
            <w:pPr>
              <w:pStyle w:val="TableParagraph"/>
              <w:spacing w:line="430" w:lineRule="exact" w:before="33"/>
              <w:ind w:left="327" w:right="32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340" w:type="dxa"/>
            <w:tcBorders>
              <w:top w:val="single" w:sz="12" w:space="0" w:color="000000"/>
              <w:left w:val="single" w:sz="2" w:space="0" w:color="000000"/>
              <w:bottom w:val="single" w:sz="4" w:space="0" w:color="000000"/>
              <w:right w:val="single" w:sz="2" w:space="0" w:color="000000"/>
            </w:tcBorders>
          </w:tcPr>
          <w:p>
            <w:pPr>
              <w:pStyle w:val="TableParagraph"/>
              <w:spacing w:line="430" w:lineRule="exact" w:before="33"/>
              <w:ind w:left="217" w:right="126" w:hanging="90"/>
              <w:jc w:val="left"/>
              <w:rPr>
                <w:rFonts w:ascii="宋体" w:hAnsi="宋体" w:cs="宋体" w:eastAsia="宋体" w:hint="default"/>
                <w:sz w:val="18"/>
                <w:szCs w:val="18"/>
              </w:rPr>
            </w:pPr>
            <w:r>
              <w:rPr>
                <w:rFonts w:ascii="宋体" w:hAnsi="宋体" w:cs="宋体" w:eastAsia="宋体" w:hint="default"/>
                <w:sz w:val="18"/>
                <w:szCs w:val="18"/>
              </w:rPr>
              <w:t>注册资本（单 位：万元）</w:t>
            </w:r>
          </w:p>
        </w:tc>
        <w:tc>
          <w:tcPr>
            <w:tcW w:w="3674" w:type="dxa"/>
            <w:tcBorders>
              <w:top w:val="single" w:sz="12" w:space="0" w:color="000000"/>
              <w:left w:val="single" w:sz="2"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6"/>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1310" w:hRule="exact"/>
        </w:trPr>
        <w:tc>
          <w:tcPr>
            <w:tcW w:w="1945" w:type="dxa"/>
            <w:tcBorders>
              <w:top w:val="single" w:sz="4"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439" w:lineRule="auto"/>
              <w:ind w:left="147" w:right="96"/>
              <w:jc w:val="left"/>
              <w:rPr>
                <w:rFonts w:ascii="宋体" w:hAnsi="宋体" w:cs="宋体" w:eastAsia="宋体" w:hint="default"/>
                <w:sz w:val="18"/>
                <w:szCs w:val="18"/>
              </w:rPr>
            </w:pPr>
            <w:r>
              <w:rPr>
                <w:rFonts w:ascii="宋体" w:hAnsi="宋体" w:cs="宋体" w:eastAsia="宋体" w:hint="default"/>
                <w:spacing w:val="8"/>
                <w:sz w:val="18"/>
                <w:szCs w:val="18"/>
              </w:rPr>
              <w:t>杭州西软科技有限公 </w:t>
            </w:r>
            <w:r>
              <w:rPr>
                <w:rFonts w:ascii="宋体" w:hAnsi="宋体" w:cs="宋体" w:eastAsia="宋体" w:hint="default"/>
                <w:sz w:val="18"/>
                <w:szCs w:val="18"/>
              </w:rPr>
              <w:t>司</w:t>
            </w:r>
          </w:p>
        </w:tc>
        <w:tc>
          <w:tcPr>
            <w:tcW w:w="990"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439" w:lineRule="auto"/>
              <w:ind w:left="403"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948"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21"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340"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1,970.00</w:t>
            </w:r>
          </w:p>
        </w:tc>
        <w:tc>
          <w:tcPr>
            <w:tcW w:w="3674" w:type="dxa"/>
            <w:tcBorders>
              <w:top w:val="single" w:sz="4"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技术开发、技术服务、成果转让、批发、零</w:t>
            </w:r>
          </w:p>
          <w:p>
            <w:pPr>
              <w:pStyle w:val="TableParagraph"/>
              <w:spacing w:line="430" w:lineRule="atLeast"/>
              <w:ind w:left="105" w:right="129"/>
              <w:jc w:val="left"/>
              <w:rPr>
                <w:rFonts w:ascii="宋体" w:hAnsi="宋体" w:cs="宋体" w:eastAsia="宋体" w:hint="default"/>
                <w:sz w:val="18"/>
                <w:szCs w:val="18"/>
              </w:rPr>
            </w:pPr>
            <w:r>
              <w:rPr>
                <w:rFonts w:ascii="宋体" w:hAnsi="宋体" w:cs="宋体" w:eastAsia="宋体" w:hint="default"/>
                <w:sz w:val="18"/>
                <w:szCs w:val="18"/>
              </w:rPr>
              <w:t>售：计算机软、硬件及配件，电子产品；其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他无需报经审批的一切合法项目。</w:t>
            </w:r>
          </w:p>
        </w:tc>
      </w:tr>
    </w:tbl>
    <w:p>
      <w:pPr>
        <w:spacing w:after="0" w:line="430" w:lineRule="atLeast"/>
        <w:jc w:val="left"/>
        <w:rPr>
          <w:rFonts w:ascii="宋体" w:hAnsi="宋体" w:cs="宋体" w:eastAsia="宋体" w:hint="default"/>
          <w:sz w:val="18"/>
          <w:szCs w:val="18"/>
        </w:rPr>
        <w:sectPr>
          <w:pgSz w:w="11910" w:h="16840"/>
          <w:pgMar w:header="851" w:footer="982" w:top="1200" w:bottom="1180" w:left="880" w:right="860"/>
        </w:sectPr>
      </w:pP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920"/>
        <w:gridCol w:w="990"/>
        <w:gridCol w:w="948"/>
        <w:gridCol w:w="1030"/>
        <w:gridCol w:w="1332"/>
        <w:gridCol w:w="463"/>
        <w:gridCol w:w="997"/>
        <w:gridCol w:w="1133"/>
        <w:gridCol w:w="1056"/>
      </w:tblGrid>
      <w:tr>
        <w:trPr>
          <w:trHeight w:val="1410" w:hRule="exact"/>
        </w:trPr>
        <w:tc>
          <w:tcPr>
            <w:tcW w:w="1920" w:type="dxa"/>
            <w:tcBorders>
              <w:top w:val="single" w:sz="18" w:space="0" w:color="000000"/>
              <w:left w:val="nil" w:sz="6" w:space="0" w:color="auto"/>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436" w:lineRule="auto"/>
              <w:ind w:left="122" w:right="96"/>
              <w:jc w:val="left"/>
              <w:rPr>
                <w:rFonts w:ascii="宋体" w:hAnsi="宋体" w:cs="宋体" w:eastAsia="宋体" w:hint="default"/>
                <w:sz w:val="18"/>
                <w:szCs w:val="18"/>
              </w:rPr>
            </w:pPr>
            <w:r>
              <w:rPr>
                <w:rFonts w:ascii="宋体" w:hAnsi="宋体" w:cs="宋体" w:eastAsia="宋体" w:hint="default"/>
                <w:spacing w:val="8"/>
                <w:sz w:val="18"/>
                <w:szCs w:val="18"/>
              </w:rPr>
              <w:t>南京银石计算机系统 </w:t>
            </w:r>
            <w:r>
              <w:rPr>
                <w:rFonts w:ascii="宋体" w:hAnsi="宋体" w:cs="宋体" w:eastAsia="宋体" w:hint="default"/>
                <w:sz w:val="18"/>
                <w:szCs w:val="18"/>
              </w:rPr>
              <w:t>有限公司</w:t>
            </w:r>
          </w:p>
        </w:tc>
        <w:tc>
          <w:tcPr>
            <w:tcW w:w="990" w:type="dxa"/>
            <w:tcBorders>
              <w:top w:val="single" w:sz="18" w:space="0" w:color="000000"/>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436" w:lineRule="auto"/>
              <w:ind w:left="403" w:right="13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948" w:type="dxa"/>
            <w:tcBorders>
              <w:top w:val="single" w:sz="18" w:space="0" w:color="000000"/>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030" w:type="dxa"/>
            <w:tcBorders>
              <w:top w:val="single" w:sz="18" w:space="0" w:color="000000"/>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436" w:lineRule="auto"/>
              <w:ind w:left="147" w:right="155"/>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1332" w:type="dxa"/>
            <w:tcBorders>
              <w:top w:val="single" w:sz="18" w:space="0" w:color="000000"/>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3,000.00</w:t>
            </w:r>
          </w:p>
        </w:tc>
        <w:tc>
          <w:tcPr>
            <w:tcW w:w="3649" w:type="dxa"/>
            <w:gridSpan w:val="4"/>
            <w:tcBorders>
              <w:top w:val="single" w:sz="18" w:space="0" w:color="000000"/>
              <w:left w:val="single" w:sz="2"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439" w:lineRule="auto"/>
              <w:ind w:left="105" w:right="15"/>
              <w:jc w:val="left"/>
              <w:rPr>
                <w:rFonts w:ascii="宋体" w:hAnsi="宋体" w:cs="宋体" w:eastAsia="宋体" w:hint="default"/>
                <w:sz w:val="18"/>
                <w:szCs w:val="18"/>
              </w:rPr>
            </w:pPr>
            <w:r>
              <w:rPr>
                <w:rFonts w:ascii="宋体" w:hAnsi="宋体" w:cs="宋体" w:eastAsia="宋体" w:hint="default"/>
                <w:sz w:val="18"/>
                <w:szCs w:val="18"/>
              </w:rPr>
              <w:t>计算机软硬件、电子产品、通讯设备（不含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卫星地面接收设备的技术开发、转让、销售、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咨询和维护等服务。</w:t>
            </w:r>
          </w:p>
        </w:tc>
      </w:tr>
      <w:tr>
        <w:trPr>
          <w:trHeight w:val="869" w:hRule="exact"/>
        </w:trPr>
        <w:tc>
          <w:tcPr>
            <w:tcW w:w="1920" w:type="dxa"/>
            <w:tcBorders>
              <w:top w:val="nil" w:sz="6" w:space="0" w:color="auto"/>
              <w:left w:val="nil" w:sz="6" w:space="0" w:color="auto"/>
              <w:bottom w:val="nil" w:sz="6" w:space="0" w:color="auto"/>
              <w:right w:val="single" w:sz="2" w:space="0" w:color="000000"/>
            </w:tcBorders>
          </w:tcPr>
          <w:p>
            <w:pPr>
              <w:pStyle w:val="TableParagraph"/>
              <w:spacing w:line="240" w:lineRule="auto" w:before="121"/>
              <w:ind w:left="122" w:right="0"/>
              <w:jc w:val="left"/>
              <w:rPr>
                <w:rFonts w:ascii="Times New Roman" w:hAnsi="Times New Roman" w:cs="Times New Roman" w:eastAsia="Times New Roman" w:hint="default"/>
                <w:sz w:val="18"/>
                <w:szCs w:val="18"/>
              </w:rPr>
            </w:pPr>
            <w:r>
              <w:rPr>
                <w:rFonts w:ascii="Times New Roman"/>
                <w:sz w:val="18"/>
              </w:rPr>
              <w:t>Infrasys  </w:t>
            </w:r>
            <w:r>
              <w:rPr>
                <w:rFonts w:ascii="Times New Roman"/>
                <w:spacing w:val="36"/>
                <w:sz w:val="18"/>
              </w:rPr>
              <w:t> </w:t>
            </w:r>
            <w:r>
              <w:rPr>
                <w:rFonts w:ascii="Times New Roman"/>
                <w:sz w:val="18"/>
              </w:rPr>
              <w:t>International</w:t>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Ltd</w:t>
            </w:r>
          </w:p>
        </w:tc>
        <w:tc>
          <w:tcPr>
            <w:tcW w:w="990" w:type="dxa"/>
            <w:tcBorders>
              <w:top w:val="nil" w:sz="6" w:space="0" w:color="auto"/>
              <w:left w:val="single" w:sz="2" w:space="0" w:color="000000"/>
              <w:bottom w:val="nil" w:sz="6" w:space="0" w:color="auto"/>
              <w:right w:val="single" w:sz="2" w:space="0" w:color="000000"/>
            </w:tcBorders>
          </w:tcPr>
          <w:p>
            <w:pPr>
              <w:pStyle w:val="TableParagraph"/>
              <w:spacing w:line="436" w:lineRule="auto" w:before="69"/>
              <w:ind w:left="403"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948" w:type="dxa"/>
            <w:tcBorders>
              <w:top w:val="nil" w:sz="6" w:space="0" w:color="auto"/>
              <w:left w:val="single" w:sz="2" w:space="0" w:color="000000"/>
              <w:bottom w:val="nil" w:sz="6" w:space="0" w:color="auto"/>
              <w:right w:val="single" w:sz="2"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30" w:type="dxa"/>
            <w:tcBorders>
              <w:top w:val="nil" w:sz="6" w:space="0" w:color="auto"/>
              <w:left w:val="single" w:sz="2" w:space="0" w:color="000000"/>
              <w:bottom w:val="nil" w:sz="6" w:space="0" w:color="auto"/>
              <w:right w:val="single" w:sz="2" w:space="0" w:color="000000"/>
            </w:tcBorders>
          </w:tcPr>
          <w:p>
            <w:pPr>
              <w:pStyle w:val="TableParagraph"/>
              <w:spacing w:line="436" w:lineRule="auto" w:before="69"/>
              <w:ind w:left="327" w:right="155"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1332" w:type="dxa"/>
            <w:tcBorders>
              <w:top w:val="nil" w:sz="6" w:space="0" w:color="auto"/>
              <w:left w:val="single" w:sz="2" w:space="0" w:color="000000"/>
              <w:bottom w:val="nil" w:sz="6" w:space="0" w:color="auto"/>
              <w:right w:val="single" w:sz="2"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 </w:t>
            </w:r>
            <w:r>
              <w:rPr>
                <w:rFonts w:ascii="Times New Roman" w:hAnsi="Times New Roman" w:cs="Times New Roman" w:eastAsia="Times New Roman" w:hint="default"/>
                <w:sz w:val="18"/>
                <w:szCs w:val="18"/>
              </w:rPr>
              <w:t>875.00</w:t>
            </w:r>
          </w:p>
        </w:tc>
        <w:tc>
          <w:tcPr>
            <w:tcW w:w="3649" w:type="dxa"/>
            <w:gridSpan w:val="4"/>
            <w:tcBorders>
              <w:top w:val="nil" w:sz="6" w:space="0" w:color="auto"/>
              <w:left w:val="single" w:sz="2" w:space="0" w:color="000000"/>
              <w:bottom w:val="nil" w:sz="6" w:space="0" w:color="auto"/>
              <w:right w:val="nil" w:sz="6" w:space="0" w:color="auto"/>
            </w:tcBorders>
          </w:tcPr>
          <w:p>
            <w:pPr>
              <w:pStyle w:val="TableParagraph"/>
              <w:spacing w:line="436" w:lineRule="auto" w:before="69"/>
              <w:ind w:left="105" w:right="104"/>
              <w:jc w:val="left"/>
              <w:rPr>
                <w:rFonts w:ascii="宋体" w:hAnsi="宋体" w:cs="宋体" w:eastAsia="宋体" w:hint="default"/>
                <w:sz w:val="18"/>
                <w:szCs w:val="18"/>
              </w:rPr>
            </w:pPr>
            <w:r>
              <w:rPr>
                <w:rFonts w:ascii="宋体" w:hAnsi="宋体" w:cs="宋体" w:eastAsia="宋体" w:hint="default"/>
                <w:sz w:val="18"/>
                <w:szCs w:val="18"/>
              </w:rPr>
              <w:t>开发、销售零售终端系统并提供相关的维护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保养服务。</w:t>
            </w:r>
          </w:p>
        </w:tc>
      </w:tr>
      <w:tr>
        <w:trPr>
          <w:trHeight w:val="768" w:hRule="exact"/>
        </w:trPr>
        <w:tc>
          <w:tcPr>
            <w:tcW w:w="1920" w:type="dxa"/>
            <w:tcBorders>
              <w:top w:val="nil" w:sz="6" w:space="0" w:color="auto"/>
              <w:left w:val="nil" w:sz="6" w:space="0" w:color="auto"/>
              <w:bottom w:val="single" w:sz="12" w:space="0" w:color="000000"/>
              <w:right w:val="single" w:sz="2" w:space="0" w:color="000000"/>
            </w:tcBorders>
          </w:tcPr>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Infrasys Singapore</w:t>
            </w:r>
            <w:r>
              <w:rPr>
                <w:rFonts w:ascii="Times New Roman"/>
                <w:spacing w:val="40"/>
                <w:sz w:val="18"/>
              </w:rPr>
              <w:t> </w:t>
            </w:r>
            <w:r>
              <w:rPr>
                <w:rFonts w:ascii="Times New Roman"/>
                <w:sz w:val="18"/>
              </w:rPr>
              <w:t>Pte</w:t>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Ltd</w:t>
            </w:r>
          </w:p>
        </w:tc>
        <w:tc>
          <w:tcPr>
            <w:tcW w:w="99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控股子公</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948"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03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0"/>
              <w:ind w:right="7"/>
              <w:jc w:val="center"/>
              <w:rPr>
                <w:rFonts w:ascii="宋体" w:hAnsi="宋体" w:cs="宋体" w:eastAsia="宋体" w:hint="default"/>
                <w:sz w:val="18"/>
                <w:szCs w:val="18"/>
              </w:rPr>
            </w:pPr>
            <w:r>
              <w:rPr>
                <w:rFonts w:ascii="宋体" w:hAnsi="宋体" w:cs="宋体" w:eastAsia="宋体" w:hint="default"/>
                <w:sz w:val="18"/>
                <w:szCs w:val="18"/>
              </w:rPr>
              <w:t>销售终端</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系统</w:t>
            </w:r>
          </w:p>
        </w:tc>
        <w:tc>
          <w:tcPr>
            <w:tcW w:w="133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3649" w:type="dxa"/>
            <w:gridSpan w:val="4"/>
            <w:tcBorders>
              <w:top w:val="nil" w:sz="6" w:space="0" w:color="auto"/>
              <w:left w:val="single" w:sz="2" w:space="0" w:color="000000"/>
              <w:bottom w:val="single" w:sz="12" w:space="0" w:color="000000"/>
              <w:right w:val="nil" w:sz="6" w:space="0" w:color="auto"/>
            </w:tcBorders>
          </w:tcPr>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电脑外围以及旅游业的硬件、软件的销售。</w:t>
            </w:r>
          </w:p>
        </w:tc>
      </w:tr>
      <w:tr>
        <w:trPr>
          <w:trHeight w:val="1490" w:hRule="exact"/>
        </w:trPr>
        <w:tc>
          <w:tcPr>
            <w:tcW w:w="2910" w:type="dxa"/>
            <w:gridSpan w:val="2"/>
            <w:tcBorders>
              <w:top w:val="single" w:sz="12" w:space="0" w:color="000000"/>
              <w:left w:val="nil" w:sz="6" w:space="0" w:color="auto"/>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978" w:type="dxa"/>
            <w:gridSpan w:val="2"/>
            <w:tcBorders>
              <w:top w:val="single" w:sz="1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（单位：万元）</w:t>
            </w:r>
          </w:p>
        </w:tc>
        <w:tc>
          <w:tcPr>
            <w:tcW w:w="1795" w:type="dxa"/>
            <w:gridSpan w:val="2"/>
            <w:tcBorders>
              <w:top w:val="single" w:sz="12" w:space="0" w:color="000000"/>
              <w:left w:val="single" w:sz="2" w:space="0" w:color="000000"/>
              <w:bottom w:val="single" w:sz="4"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实质上构成对子公</w:t>
            </w:r>
          </w:p>
          <w:p>
            <w:pPr>
              <w:pStyle w:val="TableParagraph"/>
              <w:spacing w:line="490" w:lineRule="atLeast" w:before="1"/>
              <w:ind w:left="178" w:right="169"/>
              <w:jc w:val="center"/>
              <w:rPr>
                <w:rFonts w:ascii="宋体" w:hAnsi="宋体" w:cs="宋体" w:eastAsia="宋体" w:hint="default"/>
                <w:sz w:val="18"/>
                <w:szCs w:val="18"/>
              </w:rPr>
            </w:pPr>
            <w:r>
              <w:rPr>
                <w:rFonts w:ascii="宋体" w:hAnsi="宋体" w:cs="宋体" w:eastAsia="宋体" w:hint="default"/>
                <w:sz w:val="18"/>
                <w:szCs w:val="18"/>
              </w:rPr>
              <w:t>司净投资的其他项 目余额</w:t>
            </w:r>
          </w:p>
        </w:tc>
        <w:tc>
          <w:tcPr>
            <w:tcW w:w="997"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12" w:space="0" w:color="000000"/>
              <w:left w:val="single" w:sz="2"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499" w:lineRule="auto"/>
              <w:ind w:left="345" w:right="166"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633" w:hRule="exact"/>
        </w:trPr>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990" w:type="dxa"/>
            <w:tcBorders>
              <w:top w:val="single" w:sz="4" w:space="0" w:color="000000"/>
              <w:left w:val="nil" w:sz="6" w:space="0" w:color="auto"/>
              <w:bottom w:val="nil" w:sz="6" w:space="0" w:color="auto"/>
              <w:right w:val="single" w:sz="2" w:space="0" w:color="000000"/>
            </w:tcBorders>
          </w:tcPr>
          <w:p>
            <w:pPr/>
          </w:p>
        </w:tc>
        <w:tc>
          <w:tcPr>
            <w:tcW w:w="948" w:type="dxa"/>
            <w:tcBorders>
              <w:top w:val="single" w:sz="4" w:space="0" w:color="000000"/>
              <w:left w:val="single" w:sz="2" w:space="0" w:color="000000"/>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8,750.00</w:t>
            </w:r>
          </w:p>
        </w:tc>
        <w:tc>
          <w:tcPr>
            <w:tcW w:w="1795" w:type="dxa"/>
            <w:gridSpan w:val="2"/>
            <w:vMerge w:val="restart"/>
            <w:tcBorders>
              <w:top w:val="single" w:sz="4" w:space="0" w:color="000000"/>
              <w:left w:val="single" w:sz="2" w:space="0" w:color="000000"/>
              <w:right w:val="single" w:sz="2" w:space="0" w:color="000000"/>
            </w:tcBorders>
          </w:tcPr>
          <w:p>
            <w:pPr/>
          </w:p>
        </w:tc>
        <w:tc>
          <w:tcPr>
            <w:tcW w:w="997"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w:t>
            </w:r>
          </w:p>
        </w:tc>
        <w:tc>
          <w:tcPr>
            <w:tcW w:w="1133"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82%</w:t>
            </w:r>
          </w:p>
        </w:tc>
        <w:tc>
          <w:tcPr>
            <w:tcW w:w="1056" w:type="dxa"/>
            <w:tcBorders>
              <w:top w:val="single" w:sz="4" w:space="0" w:color="000000"/>
              <w:left w:val="single" w:sz="2"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2910" w:type="dxa"/>
            <w:gridSpan w:val="2"/>
            <w:tcBorders>
              <w:top w:val="nil" w:sz="6" w:space="0" w:color="auto"/>
              <w:left w:val="nil" w:sz="6" w:space="0" w:color="auto"/>
              <w:bottom w:val="nil" w:sz="6" w:space="0" w:color="auto"/>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948" w:type="dxa"/>
            <w:tcBorders>
              <w:top w:val="nil" w:sz="6" w:space="0" w:color="auto"/>
              <w:left w:val="single" w:sz="2" w:space="0" w:color="000000"/>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single" w:sz="2" w:space="0" w:color="000000"/>
            </w:tcBorders>
          </w:tcPr>
          <w:p>
            <w:pPr>
              <w:pStyle w:val="TableParagraph"/>
              <w:spacing w:line="240" w:lineRule="auto" w:before="141"/>
              <w:ind w:right="95"/>
              <w:jc w:val="right"/>
              <w:rPr>
                <w:rFonts w:ascii="Times New Roman" w:hAnsi="Times New Roman" w:cs="Times New Roman" w:eastAsia="Times New Roman" w:hint="default"/>
                <w:sz w:val="18"/>
                <w:szCs w:val="18"/>
              </w:rPr>
            </w:pPr>
            <w:r>
              <w:rPr>
                <w:rFonts w:ascii="Times New Roman"/>
                <w:sz w:val="18"/>
              </w:rPr>
              <w:t>3,000.00</w:t>
            </w:r>
          </w:p>
        </w:tc>
        <w:tc>
          <w:tcPr>
            <w:tcW w:w="1795" w:type="dxa"/>
            <w:gridSpan w:val="2"/>
            <w:vMerge/>
            <w:tcBorders>
              <w:left w:val="single" w:sz="2" w:space="0" w:color="000000"/>
              <w:right w:val="single" w:sz="2" w:space="0" w:color="000000"/>
            </w:tcBorders>
          </w:tcPr>
          <w:p>
            <w:pPr/>
          </w:p>
        </w:tc>
        <w:tc>
          <w:tcPr>
            <w:tcW w:w="997" w:type="dxa"/>
            <w:tcBorders>
              <w:top w:val="nil" w:sz="6" w:space="0" w:color="auto"/>
              <w:left w:val="single" w:sz="2" w:space="0" w:color="000000"/>
              <w:bottom w:val="nil" w:sz="6" w:space="0" w:color="auto"/>
              <w:right w:val="single" w:sz="2"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100%</w:t>
            </w:r>
          </w:p>
        </w:tc>
        <w:tc>
          <w:tcPr>
            <w:tcW w:w="1133" w:type="dxa"/>
            <w:tcBorders>
              <w:top w:val="nil" w:sz="6" w:space="0" w:color="auto"/>
              <w:left w:val="single" w:sz="2" w:space="0" w:color="000000"/>
              <w:bottom w:val="nil" w:sz="6" w:space="0" w:color="auto"/>
              <w:right w:val="single" w:sz="2" w:space="0" w:color="000000"/>
            </w:tcBorders>
          </w:tcPr>
          <w:p>
            <w:pPr>
              <w:pStyle w:val="TableParagraph"/>
              <w:spacing w:line="240" w:lineRule="auto" w:before="141"/>
              <w:ind w:left="354" w:right="0"/>
              <w:jc w:val="left"/>
              <w:rPr>
                <w:rFonts w:ascii="Times New Roman" w:hAnsi="Times New Roman" w:cs="Times New Roman" w:eastAsia="Times New Roman" w:hint="default"/>
                <w:sz w:val="18"/>
                <w:szCs w:val="18"/>
              </w:rPr>
            </w:pPr>
            <w:r>
              <w:rPr>
                <w:rFonts w:ascii="Times New Roman"/>
                <w:sz w:val="18"/>
              </w:rPr>
              <w:t>100%</w:t>
            </w:r>
          </w:p>
        </w:tc>
        <w:tc>
          <w:tcPr>
            <w:tcW w:w="1056" w:type="dxa"/>
            <w:tcBorders>
              <w:top w:val="nil" w:sz="6" w:space="0" w:color="auto"/>
              <w:left w:val="single" w:sz="2" w:space="0" w:color="000000"/>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3"/>
              <w:jc w:val="righ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5"/>
                <w:sz w:val="18"/>
              </w:rPr>
              <w:t> </w:t>
            </w:r>
            <w:r>
              <w:rPr>
                <w:rFonts w:ascii="Times New Roman"/>
                <w:sz w:val="18"/>
              </w:rPr>
              <w:t>Ltd</w:t>
            </w:r>
          </w:p>
        </w:tc>
        <w:tc>
          <w:tcPr>
            <w:tcW w:w="990" w:type="dxa"/>
            <w:tcBorders>
              <w:top w:val="nil" w:sz="6" w:space="0" w:color="auto"/>
              <w:left w:val="nil" w:sz="6" w:space="0" w:color="auto"/>
              <w:bottom w:val="nil" w:sz="6" w:space="0" w:color="auto"/>
              <w:right w:val="single" w:sz="2" w:space="0" w:color="000000"/>
            </w:tcBorders>
          </w:tcPr>
          <w:p>
            <w:pPr/>
          </w:p>
        </w:tc>
        <w:tc>
          <w:tcPr>
            <w:tcW w:w="1978" w:type="dxa"/>
            <w:gridSpan w:val="2"/>
            <w:tcBorders>
              <w:top w:val="nil" w:sz="6" w:space="0" w:color="auto"/>
              <w:left w:val="single" w:sz="2" w:space="0" w:color="000000"/>
              <w:bottom w:val="nil" w:sz="6" w:space="0" w:color="auto"/>
              <w:right w:val="single" w:sz="2" w:space="0" w:color="000000"/>
            </w:tcBorders>
          </w:tcPr>
          <w:p>
            <w:pPr>
              <w:pStyle w:val="TableParagraph"/>
              <w:spacing w:line="240" w:lineRule="auto" w:before="89"/>
              <w:ind w:left="8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2,924.30</w:t>
            </w:r>
          </w:p>
        </w:tc>
        <w:tc>
          <w:tcPr>
            <w:tcW w:w="1795" w:type="dxa"/>
            <w:gridSpan w:val="2"/>
            <w:vMerge/>
            <w:tcBorders>
              <w:left w:val="single" w:sz="2" w:space="0" w:color="000000"/>
              <w:right w:val="single" w:sz="2" w:space="0" w:color="000000"/>
            </w:tcBorders>
          </w:tcPr>
          <w:p>
            <w:pPr/>
          </w:p>
        </w:tc>
        <w:tc>
          <w:tcPr>
            <w:tcW w:w="997" w:type="dxa"/>
            <w:tcBorders>
              <w:top w:val="nil" w:sz="6" w:space="0" w:color="auto"/>
              <w:left w:val="single" w:sz="2" w:space="0" w:color="000000"/>
              <w:bottom w:val="nil" w:sz="6" w:space="0" w:color="auto"/>
              <w:right w:val="single" w:sz="2"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70%</w:t>
            </w:r>
          </w:p>
        </w:tc>
        <w:tc>
          <w:tcPr>
            <w:tcW w:w="1133" w:type="dxa"/>
            <w:tcBorders>
              <w:top w:val="nil" w:sz="6" w:space="0" w:color="auto"/>
              <w:left w:val="single" w:sz="2" w:space="0" w:color="000000"/>
              <w:bottom w:val="nil" w:sz="6" w:space="0" w:color="auto"/>
              <w:right w:val="single" w:sz="2" w:space="0" w:color="000000"/>
            </w:tcBorders>
          </w:tcPr>
          <w:p>
            <w:pPr>
              <w:pStyle w:val="TableParagraph"/>
              <w:spacing w:line="240" w:lineRule="auto" w:before="141"/>
              <w:ind w:left="398" w:right="0"/>
              <w:jc w:val="left"/>
              <w:rPr>
                <w:rFonts w:ascii="Times New Roman" w:hAnsi="Times New Roman" w:cs="Times New Roman" w:eastAsia="Times New Roman" w:hint="default"/>
                <w:sz w:val="18"/>
                <w:szCs w:val="18"/>
              </w:rPr>
            </w:pPr>
            <w:r>
              <w:rPr>
                <w:rFonts w:ascii="Times New Roman"/>
                <w:sz w:val="18"/>
              </w:rPr>
              <w:t>70%</w:t>
            </w:r>
          </w:p>
        </w:tc>
        <w:tc>
          <w:tcPr>
            <w:tcW w:w="1056" w:type="dxa"/>
            <w:tcBorders>
              <w:top w:val="nil" w:sz="6" w:space="0" w:color="auto"/>
              <w:left w:val="single" w:sz="2" w:space="0" w:color="000000"/>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68" w:hRule="exact"/>
        </w:trPr>
        <w:tc>
          <w:tcPr>
            <w:tcW w:w="2910" w:type="dxa"/>
            <w:gridSpan w:val="2"/>
            <w:tcBorders>
              <w:top w:val="nil" w:sz="6" w:space="0" w:color="auto"/>
              <w:left w:val="nil" w:sz="6" w:space="0" w:color="auto"/>
              <w:bottom w:val="single" w:sz="12" w:space="0" w:color="000000"/>
              <w:right w:val="single" w:sz="2" w:space="0" w:color="000000"/>
            </w:tcBorders>
          </w:tcPr>
          <w:p>
            <w:pPr>
              <w:pStyle w:val="TableParagraph"/>
              <w:spacing w:line="240" w:lineRule="auto" w:before="142"/>
              <w:ind w:left="1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21"/>
                <w:sz w:val="18"/>
              </w:rPr>
              <w:t> </w:t>
            </w:r>
            <w:r>
              <w:rPr>
                <w:rFonts w:ascii="Times New Roman"/>
                <w:sz w:val="18"/>
              </w:rPr>
              <w:t>Ltd</w:t>
            </w:r>
          </w:p>
        </w:tc>
        <w:tc>
          <w:tcPr>
            <w:tcW w:w="948" w:type="dxa"/>
            <w:tcBorders>
              <w:top w:val="nil" w:sz="6" w:space="0" w:color="auto"/>
              <w:left w:val="single" w:sz="2" w:space="0" w:color="000000"/>
              <w:bottom w:val="single" w:sz="12" w:space="0" w:color="000000"/>
              <w:right w:val="nil" w:sz="6" w:space="0" w:color="auto"/>
            </w:tcBorders>
          </w:tcPr>
          <w:p>
            <w:pPr/>
          </w:p>
        </w:tc>
        <w:tc>
          <w:tcPr>
            <w:tcW w:w="1030" w:type="dxa"/>
            <w:tcBorders>
              <w:top w:val="nil" w:sz="6" w:space="0" w:color="auto"/>
              <w:left w:val="nil" w:sz="6" w:space="0" w:color="auto"/>
              <w:bottom w:val="single" w:sz="12" w:space="0" w:color="000000"/>
              <w:right w:val="single" w:sz="2"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1795" w:type="dxa"/>
            <w:gridSpan w:val="2"/>
            <w:vMerge/>
            <w:tcBorders>
              <w:left w:val="single" w:sz="2" w:space="0" w:color="000000"/>
              <w:bottom w:val="single" w:sz="12" w:space="0" w:color="000000"/>
              <w:right w:val="single" w:sz="2" w:space="0" w:color="000000"/>
            </w:tcBorders>
          </w:tcPr>
          <w:p>
            <w:pPr/>
          </w:p>
        </w:tc>
        <w:tc>
          <w:tcPr>
            <w:tcW w:w="997"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42"/>
              <w:ind w:right="1"/>
              <w:jc w:val="center"/>
              <w:rPr>
                <w:rFonts w:ascii="Times New Roman" w:hAnsi="Times New Roman" w:cs="Times New Roman" w:eastAsia="Times New Roman" w:hint="default"/>
                <w:sz w:val="18"/>
                <w:szCs w:val="18"/>
              </w:rPr>
            </w:pPr>
            <w:r>
              <w:rPr>
                <w:rFonts w:ascii="Times New Roman"/>
                <w:sz w:val="18"/>
              </w:rPr>
              <w:t>100%</w:t>
            </w:r>
          </w:p>
        </w:tc>
        <w:tc>
          <w:tcPr>
            <w:tcW w:w="1133"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42"/>
              <w:ind w:left="354" w:right="0"/>
              <w:jc w:val="left"/>
              <w:rPr>
                <w:rFonts w:ascii="Times New Roman" w:hAnsi="Times New Roman" w:cs="Times New Roman" w:eastAsia="Times New Roman" w:hint="default"/>
                <w:sz w:val="18"/>
                <w:szCs w:val="18"/>
              </w:rPr>
            </w:pPr>
            <w:r>
              <w:rPr>
                <w:rFonts w:ascii="Times New Roman"/>
                <w:sz w:val="18"/>
              </w:rPr>
              <w:t>100%</w:t>
            </w:r>
          </w:p>
        </w:tc>
        <w:tc>
          <w:tcPr>
            <w:tcW w:w="1056" w:type="dxa"/>
            <w:tcBorders>
              <w:top w:val="nil" w:sz="6" w:space="0" w:color="auto"/>
              <w:left w:val="single" w:sz="2" w:space="0" w:color="000000"/>
              <w:bottom w:val="single" w:sz="12" w:space="0" w:color="000000"/>
              <w:right w:val="nil" w:sz="6" w:space="0" w:color="auto"/>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31" w:type="dxa"/>
        <w:tblLayout w:type="fixed"/>
        <w:tblCellMar>
          <w:top w:w="0" w:type="dxa"/>
          <w:left w:w="0" w:type="dxa"/>
          <w:bottom w:w="0" w:type="dxa"/>
          <w:right w:w="0" w:type="dxa"/>
        </w:tblCellMar>
        <w:tblLook w:val="01E0"/>
      </w:tblPr>
      <w:tblGrid>
        <w:gridCol w:w="2532"/>
        <w:gridCol w:w="1424"/>
        <w:gridCol w:w="5004"/>
      </w:tblGrid>
      <w:tr>
        <w:trPr>
          <w:trHeight w:val="1000" w:hRule="exact"/>
        </w:trPr>
        <w:tc>
          <w:tcPr>
            <w:tcW w:w="2532" w:type="dxa"/>
            <w:tcBorders>
              <w:top w:val="single" w:sz="12" w:space="0" w:color="000000"/>
              <w:left w:val="nil" w:sz="6" w:space="0" w:color="auto"/>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74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24" w:type="dxa"/>
            <w:tcBorders>
              <w:top w:val="single" w:sz="12" w:space="0" w:color="000000"/>
              <w:left w:val="single" w:sz="2" w:space="0" w:color="000000"/>
              <w:bottom w:val="single" w:sz="4" w:space="0" w:color="000000"/>
              <w:right w:val="single" w:sz="2" w:space="0" w:color="000000"/>
            </w:tcBorders>
          </w:tcPr>
          <w:p>
            <w:pPr>
              <w:pStyle w:val="TableParagraph"/>
              <w:spacing w:line="490" w:lineRule="exact" w:before="36"/>
              <w:ind w:left="105" w:right="-1" w:firstLine="79"/>
              <w:jc w:val="left"/>
              <w:rPr>
                <w:rFonts w:ascii="宋体" w:hAnsi="宋体" w:cs="宋体" w:eastAsia="宋体" w:hint="default"/>
                <w:sz w:val="21"/>
                <w:szCs w:val="21"/>
              </w:rPr>
            </w:pPr>
            <w:r>
              <w:rPr>
                <w:rFonts w:ascii="宋体" w:hAnsi="宋体" w:cs="宋体" w:eastAsia="宋体" w:hint="default"/>
                <w:sz w:val="21"/>
                <w:szCs w:val="21"/>
              </w:rPr>
              <w:t>少数股东权 </w:t>
            </w:r>
            <w:r>
              <w:rPr>
                <w:rFonts w:ascii="宋体" w:hAnsi="宋体" w:cs="宋体" w:eastAsia="宋体" w:hint="default"/>
                <w:spacing w:val="-23"/>
                <w:sz w:val="21"/>
                <w:szCs w:val="21"/>
              </w:rPr>
              <w:t>益（单位：元）</w:t>
            </w:r>
          </w:p>
        </w:tc>
        <w:tc>
          <w:tcPr>
            <w:tcW w:w="5004" w:type="dxa"/>
            <w:tcBorders>
              <w:top w:val="single" w:sz="12" w:space="0" w:color="000000"/>
              <w:left w:val="single" w:sz="2"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399" w:right="0"/>
              <w:jc w:val="left"/>
              <w:rPr>
                <w:rFonts w:ascii="宋体" w:hAnsi="宋体" w:cs="宋体" w:eastAsia="宋体" w:hint="default"/>
                <w:sz w:val="21"/>
                <w:szCs w:val="21"/>
              </w:rPr>
            </w:pPr>
            <w:r>
              <w:rPr>
                <w:rFonts w:ascii="宋体" w:hAnsi="宋体" w:cs="宋体" w:eastAsia="宋体" w:hint="default"/>
                <w:sz w:val="21"/>
                <w:szCs w:val="21"/>
              </w:rPr>
              <w:t>少数股东权益中用于冲减少数股东损益的金额</w:t>
            </w:r>
          </w:p>
        </w:tc>
      </w:tr>
      <w:tr>
        <w:trPr>
          <w:trHeight w:val="629" w:hRule="exact"/>
        </w:trPr>
        <w:tc>
          <w:tcPr>
            <w:tcW w:w="2532" w:type="dxa"/>
            <w:tcBorders>
              <w:top w:val="single" w:sz="4" w:space="0" w:color="000000"/>
              <w:left w:val="nil" w:sz="6" w:space="0" w:color="auto"/>
              <w:bottom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杭州西软科技有限公司</w:t>
            </w:r>
          </w:p>
        </w:tc>
        <w:tc>
          <w:tcPr>
            <w:tcW w:w="1424"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10,694,556.23</w:t>
            </w:r>
          </w:p>
        </w:tc>
        <w:tc>
          <w:tcPr>
            <w:tcW w:w="5004" w:type="dxa"/>
            <w:vMerge w:val="restart"/>
            <w:tcBorders>
              <w:top w:val="single" w:sz="4" w:space="0" w:color="000000"/>
              <w:left w:val="single" w:sz="2" w:space="0" w:color="000000"/>
              <w:right w:val="nil" w:sz="6" w:space="0" w:color="auto"/>
            </w:tcBorders>
          </w:tcPr>
          <w:p>
            <w:pPr/>
          </w:p>
        </w:tc>
      </w:tr>
      <w:tr>
        <w:trPr>
          <w:trHeight w:val="371" w:hRule="exact"/>
        </w:trPr>
        <w:tc>
          <w:tcPr>
            <w:tcW w:w="2532" w:type="dxa"/>
            <w:tcBorders>
              <w:top w:val="nil" w:sz="6" w:space="0" w:color="auto"/>
              <w:left w:val="nil" w:sz="6" w:space="0" w:color="auto"/>
              <w:bottom w:val="single" w:sz="12" w:space="0" w:color="000000"/>
              <w:right w:val="single" w:sz="2" w:space="0" w:color="000000"/>
            </w:tcBorders>
          </w:tcPr>
          <w:p>
            <w:pPr>
              <w:pStyle w:val="TableParagraph"/>
              <w:spacing w:line="240" w:lineRule="auto" w:before="113"/>
              <w:ind w:left="122" w:right="0"/>
              <w:jc w:val="left"/>
              <w:rPr>
                <w:rFonts w:ascii="Times New Roman" w:hAnsi="Times New Roman" w:cs="Times New Roman" w:eastAsia="Times New Roman" w:hint="default"/>
                <w:sz w:val="21"/>
                <w:szCs w:val="21"/>
              </w:rPr>
            </w:pPr>
            <w:r>
              <w:rPr>
                <w:rFonts w:ascii="Times New Roman"/>
                <w:sz w:val="21"/>
              </w:rPr>
              <w:t>Infrasys International</w:t>
            </w:r>
            <w:r>
              <w:rPr>
                <w:rFonts w:ascii="Times New Roman"/>
                <w:spacing w:val="-6"/>
                <w:sz w:val="21"/>
              </w:rPr>
              <w:t> </w:t>
            </w:r>
            <w:r>
              <w:rPr>
                <w:rFonts w:ascii="Times New Roman"/>
                <w:sz w:val="21"/>
              </w:rPr>
              <w:t>Ltd</w:t>
            </w:r>
          </w:p>
        </w:tc>
        <w:tc>
          <w:tcPr>
            <w:tcW w:w="1424"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3"/>
              <w:ind w:right="102"/>
              <w:jc w:val="right"/>
              <w:rPr>
                <w:rFonts w:ascii="Times New Roman" w:hAnsi="Times New Roman" w:cs="Times New Roman" w:eastAsia="Times New Roman" w:hint="default"/>
                <w:sz w:val="21"/>
                <w:szCs w:val="21"/>
              </w:rPr>
            </w:pPr>
            <w:r>
              <w:rPr>
                <w:rFonts w:ascii="Times New Roman"/>
                <w:spacing w:val="-1"/>
                <w:sz w:val="21"/>
              </w:rPr>
              <w:t>20,022,129.10</w:t>
            </w:r>
          </w:p>
        </w:tc>
        <w:tc>
          <w:tcPr>
            <w:tcW w:w="5004" w:type="dxa"/>
            <w:vMerge/>
            <w:tcBorders>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5"/>
        <w:ind w:left="674" w:right="210"/>
        <w:jc w:val="left"/>
      </w:pPr>
      <w:r>
        <w:rPr>
          <w:rFonts w:ascii="Times New Roman" w:hAnsi="Times New Roman" w:cs="Times New Roman" w:eastAsia="Times New Roman" w:hint="default"/>
        </w:rPr>
        <w:t>2</w:t>
      </w:r>
      <w:r>
        <w:rPr/>
        <w:t>、合并范围变更情况</w:t>
      </w:r>
    </w:p>
    <w:p>
      <w:pPr>
        <w:spacing w:line="240" w:lineRule="auto" w:before="4"/>
        <w:rPr>
          <w:rFonts w:ascii="宋体" w:hAnsi="宋体" w:cs="宋体" w:eastAsia="宋体" w:hint="default"/>
          <w:sz w:val="15"/>
          <w:szCs w:val="15"/>
        </w:rPr>
      </w:pPr>
    </w:p>
    <w:p>
      <w:pPr>
        <w:pStyle w:val="BodyText"/>
        <w:spacing w:line="403" w:lineRule="auto"/>
        <w:ind w:left="254" w:right="232" w:firstLine="420"/>
        <w:jc w:val="left"/>
      </w:pPr>
      <w:r>
        <w:rPr/>
        <w:pict>
          <v:shape style="position:absolute;margin-left:49.830002pt;margin-top:39.804066pt;width:495.7pt;height:52.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4"/>
                    <w:gridCol w:w="2670"/>
                    <w:gridCol w:w="3155"/>
                  </w:tblGrid>
                  <w:tr>
                    <w:trPr>
                      <w:trHeight w:val="511" w:hRule="exact"/>
                    </w:trPr>
                    <w:tc>
                      <w:tcPr>
                        <w:tcW w:w="40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48"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6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0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1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46"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509" w:hRule="exact"/>
                    </w:trPr>
                    <w:tc>
                      <w:tcPr>
                        <w:tcW w:w="40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南京银石计算机系统有限公司</w:t>
                        </w:r>
                      </w:p>
                    </w:tc>
                    <w:tc>
                      <w:tcPr>
                        <w:tcW w:w="26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48" w:right="0"/>
                          <w:jc w:val="left"/>
                          <w:rPr>
                            <w:rFonts w:ascii="Times New Roman" w:hAnsi="Times New Roman" w:cs="Times New Roman" w:eastAsia="Times New Roman" w:hint="default"/>
                            <w:sz w:val="21"/>
                            <w:szCs w:val="21"/>
                          </w:rPr>
                        </w:pPr>
                        <w:r>
                          <w:rPr>
                            <w:rFonts w:ascii="Times New Roman"/>
                            <w:sz w:val="21"/>
                          </w:rPr>
                          <w:t>47,120,688.27</w:t>
                        </w:r>
                      </w:p>
                    </w:tc>
                    <w:tc>
                      <w:tcPr>
                        <w:tcW w:w="31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33" w:right="0"/>
                          <w:jc w:val="left"/>
                          <w:rPr>
                            <w:rFonts w:ascii="Times New Roman" w:hAnsi="Times New Roman" w:cs="Times New Roman" w:eastAsia="Times New Roman" w:hint="default"/>
                            <w:sz w:val="21"/>
                            <w:szCs w:val="21"/>
                          </w:rPr>
                        </w:pPr>
                        <w:r>
                          <w:rPr>
                            <w:rFonts w:ascii="Times New Roman"/>
                            <w:sz w:val="21"/>
                          </w:rPr>
                          <w:t>12,633,792.79</w:t>
                        </w:r>
                      </w:p>
                    </w:tc>
                  </w:tr>
                </w:tbl>
                <w:p>
                  <w:pPr/>
                </w:p>
              </w:txbxContent>
            </v:textbox>
            <w10:wrap type="none"/>
          </v:shape>
        </w:pict>
      </w:r>
      <w:r>
        <w:rPr/>
        <w:t>（</w:t>
      </w:r>
      <w:r>
        <w:rPr>
          <w:rFonts w:ascii="Times New Roman" w:hAnsi="Times New Roman" w:cs="Times New Roman" w:eastAsia="Times New Roman" w:hint="default"/>
        </w:rPr>
        <w:t>1</w:t>
      </w:r>
      <w:r>
        <w:rPr/>
        <w:t>）</w:t>
      </w:r>
      <w:r>
        <w:rPr>
          <w:spacing w:val="-22"/>
        </w:rPr>
        <w:t> </w:t>
      </w:r>
      <w:r>
        <w:rPr/>
        <w:t>本期新纳入合并范围的子公司、特殊目的主体、通过受托经营或承租等方式形成控制权的经营</w:t>
      </w:r>
      <w:r>
        <w:rPr/>
        <w:t> 实体：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35"/>
        <w:ind w:left="674" w:right="210"/>
        <w:jc w:val="left"/>
      </w:pPr>
      <w:r>
        <w:rPr/>
        <w:t>（</w:t>
      </w:r>
      <w:r>
        <w:rPr>
          <w:rFonts w:ascii="Times New Roman" w:hAnsi="Times New Roman" w:cs="Times New Roman" w:eastAsia="Times New Roman" w:hint="default"/>
        </w:rPr>
        <w:t>2</w:t>
      </w:r>
      <w:r>
        <w:rPr/>
        <w:t>）合并报表变更原因及情况说明</w:t>
      </w:r>
    </w:p>
    <w:p>
      <w:pPr>
        <w:spacing w:line="240" w:lineRule="auto" w:before="4"/>
        <w:rPr>
          <w:rFonts w:ascii="宋体" w:hAnsi="宋体" w:cs="宋体" w:eastAsia="宋体" w:hint="default"/>
          <w:sz w:val="15"/>
          <w:szCs w:val="15"/>
        </w:rPr>
      </w:pPr>
    </w:p>
    <w:p>
      <w:pPr>
        <w:pStyle w:val="BodyText"/>
        <w:spacing w:line="240" w:lineRule="auto"/>
        <w:ind w:left="794" w:right="21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月经公司董事会决议，公司与赵乃珂、孙勇坚、张诗中、黄勇签署《南京银石计算机系统</w:t>
      </w:r>
    </w:p>
    <w:p>
      <w:pPr>
        <w:spacing w:line="240" w:lineRule="auto" w:before="3"/>
        <w:rPr>
          <w:rFonts w:ascii="宋体" w:hAnsi="宋体" w:cs="宋体" w:eastAsia="宋体" w:hint="default"/>
          <w:sz w:val="15"/>
          <w:szCs w:val="15"/>
        </w:rPr>
      </w:pPr>
    </w:p>
    <w:p>
      <w:pPr>
        <w:pStyle w:val="BodyText"/>
        <w:spacing w:line="403" w:lineRule="auto"/>
        <w:ind w:left="253" w:right="240"/>
        <w:jc w:val="left"/>
      </w:pPr>
      <w:r>
        <w:rPr>
          <w:spacing w:val="-6"/>
        </w:rPr>
        <w:t>有限公司股权转让框架协议》，</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spacing w:val="-5"/>
        </w:rPr>
        <w:t>日签署了《南京银石计算机系统有限公司股权转让协议》，</w:t>
      </w:r>
      <w:r>
        <w:rPr/>
        <w:t> 以人民币</w:t>
      </w:r>
      <w:r>
        <w:rPr>
          <w:spacing w:val="-51"/>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spacing w:val="-3"/>
        </w:rPr>
        <w:t>万元收购赵乃珂、孙勇坚、张诗中、黄勇所持有的南京银石计算机系统有限公司</w:t>
      </w:r>
      <w:r>
        <w:rPr>
          <w:spacing w:val="-50"/>
        </w:rPr>
        <w:t> </w:t>
      </w:r>
      <w:r>
        <w:rPr>
          <w:rFonts w:ascii="Times New Roman" w:hAnsi="Times New Roman" w:cs="Times New Roman" w:eastAsia="Times New Roman" w:hint="default"/>
        </w:rPr>
        <w:t>100%</w:t>
      </w:r>
      <w:r>
        <w:rPr/>
        <w:t>的股</w:t>
      </w:r>
    </w:p>
    <w:p>
      <w:pPr>
        <w:spacing w:after="0" w:line="403" w:lineRule="auto"/>
        <w:jc w:val="left"/>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0"/>
          <w:szCs w:val="10"/>
        </w:rPr>
      </w:pPr>
    </w:p>
    <w:p>
      <w:pPr>
        <w:pStyle w:val="BodyText"/>
        <w:spacing w:line="240" w:lineRule="auto" w:before="35"/>
        <w:ind w:left="254" w:right="210"/>
        <w:jc w:val="left"/>
      </w:pPr>
      <w:r>
        <w:rPr/>
        <w:t>权，以上股权转让已于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日完成工商变更登记。</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pStyle w:val="BodyText"/>
        <w:spacing w:line="240" w:lineRule="auto"/>
        <w:ind w:left="673" w:right="210"/>
        <w:jc w:val="left"/>
      </w:pPr>
      <w:r>
        <w:rPr>
          <w:rFonts w:ascii="Times New Roman" w:hAnsi="Times New Roman" w:cs="Times New Roman" w:eastAsia="Times New Roman" w:hint="default"/>
        </w:rPr>
        <w:t>3</w:t>
      </w:r>
      <w:r>
        <w:rPr/>
        <w:t>、本期发生的非同一控制下企业合并</w:t>
      </w:r>
    </w:p>
    <w:tbl>
      <w:tblPr>
        <w:tblW w:w="0" w:type="auto"/>
        <w:jc w:val="left"/>
        <w:tblInd w:w="116" w:type="dxa"/>
        <w:tblLayout w:type="fixed"/>
        <w:tblCellMar>
          <w:top w:w="0" w:type="dxa"/>
          <w:left w:w="0" w:type="dxa"/>
          <w:bottom w:w="0" w:type="dxa"/>
          <w:right w:w="0" w:type="dxa"/>
        </w:tblCellMar>
        <w:tblLook w:val="01E0"/>
      </w:tblPr>
      <w:tblGrid>
        <w:gridCol w:w="3108"/>
        <w:gridCol w:w="2784"/>
        <w:gridCol w:w="3977"/>
      </w:tblGrid>
      <w:tr>
        <w:trPr>
          <w:trHeight w:val="509" w:hRule="exact"/>
        </w:trPr>
        <w:tc>
          <w:tcPr>
            <w:tcW w:w="31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2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9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000" w:hRule="exact"/>
        </w:trPr>
        <w:tc>
          <w:tcPr>
            <w:tcW w:w="3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2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35" w:right="0"/>
              <w:jc w:val="left"/>
              <w:rPr>
                <w:rFonts w:ascii="Times New Roman" w:hAnsi="Times New Roman" w:cs="Times New Roman" w:eastAsia="Times New Roman" w:hint="default"/>
                <w:sz w:val="18"/>
                <w:szCs w:val="18"/>
              </w:rPr>
            </w:pPr>
            <w:r>
              <w:rPr>
                <w:rFonts w:ascii="Times New Roman"/>
                <w:sz w:val="18"/>
              </w:rPr>
              <w:t>47,742,187.30</w:t>
            </w:r>
          </w:p>
        </w:tc>
        <w:tc>
          <w:tcPr>
            <w:tcW w:w="3977" w:type="dxa"/>
            <w:tcBorders>
              <w:top w:val="single" w:sz="4" w:space="0" w:color="000000"/>
              <w:left w:val="single" w:sz="4" w:space="0" w:color="000000"/>
              <w:bottom w:val="single" w:sz="12" w:space="0" w:color="000000"/>
              <w:right w:val="nil" w:sz="6" w:space="0" w:color="auto"/>
            </w:tcBorders>
          </w:tcPr>
          <w:p>
            <w:pPr>
              <w:pStyle w:val="TableParagraph"/>
              <w:spacing w:line="490" w:lineRule="exact" w:before="46"/>
              <w:ind w:left="102" w:right="267"/>
              <w:jc w:val="left"/>
              <w:rPr>
                <w:rFonts w:ascii="宋体" w:hAnsi="宋体" w:cs="宋体" w:eastAsia="宋体" w:hint="default"/>
                <w:sz w:val="18"/>
                <w:szCs w:val="18"/>
              </w:rPr>
            </w:pPr>
            <w:r>
              <w:rPr>
                <w:rFonts w:ascii="宋体" w:hAnsi="宋体" w:cs="宋体" w:eastAsia="宋体" w:hint="default"/>
                <w:sz w:val="18"/>
                <w:szCs w:val="18"/>
              </w:rPr>
              <w:t>母公司的合并成本与取得的子公司可辨认净资 产公允价值份额的差额</w:t>
            </w:r>
          </w:p>
        </w:tc>
      </w:tr>
    </w:tbl>
    <w:p>
      <w:pPr>
        <w:spacing w:line="240" w:lineRule="auto" w:before="1"/>
        <w:rPr>
          <w:rFonts w:ascii="宋体" w:hAnsi="宋体" w:cs="宋体" w:eastAsia="宋体" w:hint="default"/>
          <w:sz w:val="9"/>
          <w:szCs w:val="9"/>
        </w:rPr>
      </w:pPr>
    </w:p>
    <w:p>
      <w:pPr>
        <w:pStyle w:val="BodyText"/>
        <w:spacing w:line="367" w:lineRule="auto" w:before="35"/>
        <w:ind w:left="673" w:right="5146"/>
        <w:jc w:val="left"/>
      </w:pPr>
      <w:r>
        <w:rPr>
          <w:rFonts w:ascii="Times New Roman" w:hAnsi="Times New Roman" w:cs="Times New Roman" w:eastAsia="Times New Roman" w:hint="default"/>
        </w:rPr>
        <w:t>4</w:t>
      </w:r>
      <w:r>
        <w:rPr/>
        <w:t>、境外经营实体主要报表项目期末的折算汇率 港币对人民币：</w:t>
      </w:r>
      <w:r>
        <w:rPr>
          <w:rFonts w:ascii="Times New Roman" w:hAnsi="Times New Roman" w:cs="Times New Roman" w:eastAsia="Times New Roman" w:hint="default"/>
        </w:rPr>
        <w:t>0.85090</w:t>
      </w:r>
      <w:r>
        <w:rPr/>
        <w:t>； 新加坡币对人民币：</w:t>
      </w:r>
      <w:r>
        <w:rPr>
          <w:rFonts w:ascii="Times New Roman" w:hAnsi="Times New Roman" w:cs="Times New Roman" w:eastAsia="Times New Roman" w:hint="default"/>
        </w:rPr>
        <w:t>5.12785</w:t>
      </w:r>
      <w:r>
        <w:rPr/>
        <w:t>； 马来西亚币对人民币：</w:t>
      </w:r>
      <w:r>
        <w:rPr>
          <w:rFonts w:ascii="Times New Roman" w:hAnsi="Times New Roman" w:cs="Times New Roman" w:eastAsia="Times New Roman" w:hint="default"/>
        </w:rPr>
        <w:t>2.15000</w:t>
      </w:r>
      <w:r>
        <w:rPr/>
        <w:t>。</w:t>
      </w:r>
    </w:p>
    <w:p>
      <w:pPr>
        <w:spacing w:line="240" w:lineRule="auto" w:before="0"/>
        <w:rPr>
          <w:rFonts w:ascii="宋体" w:hAnsi="宋体" w:cs="宋体" w:eastAsia="宋体" w:hint="default"/>
          <w:sz w:val="22"/>
          <w:szCs w:val="22"/>
        </w:rPr>
      </w:pPr>
    </w:p>
    <w:p>
      <w:pPr>
        <w:pStyle w:val="Heading3"/>
        <w:spacing w:line="240" w:lineRule="auto" w:before="191"/>
        <w:ind w:left="676" w:right="210"/>
        <w:jc w:val="left"/>
        <w:rPr>
          <w:b w:val="0"/>
          <w:bCs w:val="0"/>
        </w:rPr>
      </w:pPr>
      <w:r>
        <w:rPr/>
        <w:t>（五）合并会计报表主要项目附注</w:t>
      </w:r>
      <w:r>
        <w:rPr>
          <w:b w:val="0"/>
          <w:bCs w:val="0"/>
        </w:rPr>
      </w:r>
    </w:p>
    <w:p>
      <w:pPr>
        <w:pStyle w:val="BodyText"/>
        <w:spacing w:line="240" w:lineRule="auto" w:before="170"/>
        <w:ind w:left="673" w:right="210"/>
        <w:jc w:val="left"/>
      </w:pPr>
      <w:r>
        <w:rPr/>
        <w:t>（以下附注未经特别注明，年末余额指</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日账面余额，年初余额指</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40" w:lineRule="auto" w:before="155"/>
        <w:ind w:left="253" w:right="210"/>
        <w:jc w:val="left"/>
      </w:pPr>
      <w:r>
        <w:rPr/>
        <w:t>账面余额，本年发生额指</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年度发生额，上年发生额是指</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年度发生额。金额单位为人民币元）</w:t>
      </w:r>
    </w:p>
    <w:p>
      <w:pPr>
        <w:pStyle w:val="BodyText"/>
        <w:spacing w:line="240" w:lineRule="auto" w:before="155"/>
        <w:ind w:left="673" w:right="210"/>
        <w:jc w:val="left"/>
      </w:pPr>
      <w:r>
        <w:rPr>
          <w:rFonts w:ascii="Times New Roman" w:hAnsi="Times New Roman" w:cs="Times New Roman" w:eastAsia="Times New Roman" w:hint="default"/>
        </w:rPr>
        <w:t>1</w:t>
      </w:r>
      <w:r>
        <w:rPr/>
        <w:t>．货币资金</w:t>
      </w:r>
    </w:p>
    <w:tbl>
      <w:tblPr>
        <w:tblW w:w="0" w:type="auto"/>
        <w:jc w:val="left"/>
        <w:tblInd w:w="131" w:type="dxa"/>
        <w:tblLayout w:type="fixed"/>
        <w:tblCellMar>
          <w:top w:w="0" w:type="dxa"/>
          <w:left w:w="0" w:type="dxa"/>
          <w:bottom w:w="0" w:type="dxa"/>
          <w:right w:w="0" w:type="dxa"/>
        </w:tblCellMar>
        <w:tblLook w:val="01E0"/>
      </w:tblPr>
      <w:tblGrid>
        <w:gridCol w:w="5887"/>
        <w:gridCol w:w="1985"/>
        <w:gridCol w:w="1997"/>
      </w:tblGrid>
      <w:tr>
        <w:trPr>
          <w:trHeight w:val="464" w:hRule="exact"/>
        </w:trPr>
        <w:tc>
          <w:tcPr>
            <w:tcW w:w="5887" w:type="dxa"/>
            <w:tcBorders>
              <w:top w:val="single" w:sz="12" w:space="0" w:color="000000"/>
              <w:left w:val="nil" w:sz="6" w:space="0" w:color="auto"/>
              <w:bottom w:val="single" w:sz="2" w:space="0" w:color="000000"/>
              <w:right w:val="single" w:sz="2" w:space="0" w:color="000000"/>
            </w:tcBorders>
          </w:tcPr>
          <w:p>
            <w:pPr>
              <w:pStyle w:val="TableParagraph"/>
              <w:tabs>
                <w:tab w:pos="525" w:val="left" w:leader="none"/>
              </w:tabs>
              <w:spacing w:line="240" w:lineRule="auto" w:before="139"/>
              <w:ind w:right="256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9"/>
              <w:ind w:left="569"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9"/>
              <w:ind w:left="57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47" w:hRule="exact"/>
        </w:trPr>
        <w:tc>
          <w:tcPr>
            <w:tcW w:w="5887" w:type="dxa"/>
            <w:tcBorders>
              <w:top w:val="single" w:sz="2" w:space="0" w:color="000000"/>
              <w:left w:val="nil" w:sz="6" w:space="0" w:color="auto"/>
              <w:bottom w:val="nil" w:sz="6" w:space="0" w:color="auto"/>
              <w:right w:val="single" w:sz="2" w:space="0" w:color="000000"/>
            </w:tcBorders>
          </w:tcPr>
          <w:p>
            <w:pPr>
              <w:pStyle w:val="TableParagraph"/>
              <w:tabs>
                <w:tab w:pos="647"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8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412,655.58</w:t>
            </w:r>
            <w:r>
              <w:rPr>
                <w:rFonts w:ascii="Times New Roman"/>
                <w:sz w:val="21"/>
              </w:rPr>
            </w:r>
          </w:p>
        </w:tc>
        <w:tc>
          <w:tcPr>
            <w:tcW w:w="1997" w:type="dxa"/>
            <w:tcBorders>
              <w:top w:val="single" w:sz="2" w:space="0" w:color="000000"/>
              <w:left w:val="single" w:sz="2"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292,881.01</w:t>
            </w:r>
            <w:r>
              <w:rPr>
                <w:rFonts w:ascii="Times New Roman"/>
                <w:sz w:val="21"/>
              </w:rPr>
            </w:r>
          </w:p>
        </w:tc>
      </w:tr>
      <w:tr>
        <w:trPr>
          <w:trHeight w:val="446" w:hRule="exact"/>
        </w:trPr>
        <w:tc>
          <w:tcPr>
            <w:tcW w:w="5887" w:type="dxa"/>
            <w:tcBorders>
              <w:top w:val="nil" w:sz="6" w:space="0" w:color="auto"/>
              <w:left w:val="nil" w:sz="6" w:space="0" w:color="auto"/>
              <w:bottom w:val="nil" w:sz="6" w:space="0" w:color="auto"/>
              <w:right w:val="single" w:sz="2"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104"/>
              <w:ind w:right="104"/>
              <w:jc w:val="right"/>
              <w:rPr>
                <w:rFonts w:ascii="Times New Roman" w:hAnsi="Times New Roman" w:cs="Times New Roman" w:eastAsia="Times New Roman" w:hint="default"/>
                <w:sz w:val="21"/>
                <w:szCs w:val="21"/>
              </w:rPr>
            </w:pPr>
            <w:r>
              <w:rPr>
                <w:rFonts w:ascii="Times New Roman"/>
                <w:spacing w:val="-1"/>
                <w:sz w:val="21"/>
              </w:rPr>
              <w:t>482,712,522.46</w:t>
            </w:r>
          </w:p>
        </w:tc>
        <w:tc>
          <w:tcPr>
            <w:tcW w:w="1997" w:type="dxa"/>
            <w:tcBorders>
              <w:top w:val="nil" w:sz="6" w:space="0" w:color="auto"/>
              <w:left w:val="single" w:sz="2" w:space="0" w:color="000000"/>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21"/>
                <w:szCs w:val="21"/>
              </w:rPr>
            </w:pPr>
            <w:r>
              <w:rPr>
                <w:rFonts w:ascii="Times New Roman"/>
                <w:spacing w:val="-1"/>
                <w:sz w:val="21"/>
              </w:rPr>
              <w:t>409,638,809.09</w:t>
            </w:r>
          </w:p>
        </w:tc>
      </w:tr>
      <w:tr>
        <w:trPr>
          <w:trHeight w:val="350" w:hRule="exact"/>
        </w:trPr>
        <w:tc>
          <w:tcPr>
            <w:tcW w:w="5887" w:type="dxa"/>
            <w:tcBorders>
              <w:top w:val="nil" w:sz="6" w:space="0" w:color="auto"/>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8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3"/>
              <w:ind w:right="102"/>
              <w:jc w:val="right"/>
              <w:rPr>
                <w:rFonts w:ascii="Times New Roman" w:hAnsi="Times New Roman" w:cs="Times New Roman" w:eastAsia="Times New Roman" w:hint="default"/>
                <w:sz w:val="21"/>
                <w:szCs w:val="21"/>
              </w:rPr>
            </w:pPr>
            <w:r>
              <w:rPr>
                <w:rFonts w:ascii="Times New Roman"/>
                <w:spacing w:val="-1"/>
                <w:sz w:val="21"/>
              </w:rPr>
              <w:t>8,385,826.98</w:t>
            </w:r>
          </w:p>
        </w:tc>
        <w:tc>
          <w:tcPr>
            <w:tcW w:w="1997" w:type="dxa"/>
            <w:tcBorders>
              <w:top w:val="nil" w:sz="6" w:space="0" w:color="auto"/>
              <w:left w:val="single" w:sz="2" w:space="0" w:color="000000"/>
              <w:bottom w:val="single" w:sz="2"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1"/>
                <w:szCs w:val="21"/>
              </w:rPr>
            </w:pPr>
            <w:r>
              <w:rPr>
                <w:rFonts w:ascii="Times New Roman"/>
                <w:spacing w:val="-1"/>
                <w:sz w:val="21"/>
              </w:rPr>
              <w:t>2,677,758.79</w:t>
            </w:r>
          </w:p>
        </w:tc>
      </w:tr>
      <w:tr>
        <w:trPr>
          <w:trHeight w:val="464" w:hRule="exact"/>
        </w:trPr>
        <w:tc>
          <w:tcPr>
            <w:tcW w:w="5887" w:type="dxa"/>
            <w:tcBorders>
              <w:top w:val="single" w:sz="2" w:space="0" w:color="000000"/>
              <w:left w:val="nil" w:sz="6" w:space="0" w:color="auto"/>
              <w:bottom w:val="single" w:sz="12" w:space="0" w:color="000000"/>
              <w:right w:val="single" w:sz="2" w:space="0" w:color="000000"/>
            </w:tcBorders>
          </w:tcPr>
          <w:p>
            <w:pPr>
              <w:pStyle w:val="TableParagraph"/>
              <w:tabs>
                <w:tab w:pos="525" w:val="left" w:leader="none"/>
              </w:tabs>
              <w:spacing w:line="240" w:lineRule="auto" w:before="138"/>
              <w:ind w:right="25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491,511,005.02</w:t>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412,609,448.89</w:t>
            </w:r>
          </w:p>
        </w:tc>
      </w:tr>
    </w:tbl>
    <w:p>
      <w:pPr>
        <w:spacing w:line="240" w:lineRule="auto" w:before="1"/>
        <w:rPr>
          <w:rFonts w:ascii="宋体" w:hAnsi="宋体" w:cs="宋体" w:eastAsia="宋体" w:hint="default"/>
          <w:sz w:val="9"/>
          <w:szCs w:val="9"/>
        </w:rPr>
      </w:pPr>
    </w:p>
    <w:p>
      <w:pPr>
        <w:pStyle w:val="BodyText"/>
        <w:spacing w:line="240" w:lineRule="auto" w:before="35"/>
        <w:ind w:left="674" w:right="210"/>
        <w:jc w:val="left"/>
      </w:pPr>
      <w:r>
        <w:rPr/>
        <w:t>货币资金按币种列示如下：</w:t>
      </w:r>
    </w:p>
    <w:p>
      <w:pPr>
        <w:spacing w:line="240" w:lineRule="auto" w:before="7"/>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1932"/>
        <w:gridCol w:w="1940"/>
        <w:gridCol w:w="2005"/>
        <w:gridCol w:w="1877"/>
        <w:gridCol w:w="1939"/>
      </w:tblGrid>
      <w:tr>
        <w:trPr>
          <w:trHeight w:val="465" w:hRule="exact"/>
        </w:trPr>
        <w:tc>
          <w:tcPr>
            <w:tcW w:w="1932"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tabs>
                <w:tab w:pos="1175" w:val="left" w:leader="none"/>
              </w:tabs>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6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56" w:hRule="exact"/>
        </w:trPr>
        <w:tc>
          <w:tcPr>
            <w:tcW w:w="1932"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63" w:hRule="exact"/>
        </w:trPr>
        <w:tc>
          <w:tcPr>
            <w:tcW w:w="1932" w:type="dxa"/>
            <w:tcBorders>
              <w:top w:val="single" w:sz="4" w:space="0" w:color="000000"/>
              <w:left w:val="nil" w:sz="6" w:space="0" w:color="auto"/>
              <w:bottom w:val="nil" w:sz="6" w:space="0" w:color="auto"/>
              <w:right w:val="single" w:sz="4" w:space="0" w:color="000000"/>
            </w:tcBorders>
          </w:tcPr>
          <w:p>
            <w:pPr>
              <w:pStyle w:val="TableParagraph"/>
              <w:tabs>
                <w:tab w:pos="658" w:val="left" w:leader="none"/>
              </w:tabs>
              <w:spacing w:line="240" w:lineRule="auto" w:before="140"/>
              <w:ind w:left="27"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358,133.22</w:t>
            </w:r>
            <w:r>
              <w:rPr>
                <w:rFonts w:ascii="Times New Roman"/>
                <w:sz w:val="21"/>
              </w:rPr>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1"/>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939"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358,133.22</w:t>
            </w:r>
            <w:r>
              <w:rPr>
                <w:rFonts w:ascii="Times New Roman"/>
                <w:sz w:val="21"/>
              </w:rPr>
            </w:r>
          </w:p>
        </w:tc>
      </w:tr>
      <w:tr>
        <w:trPr>
          <w:trHeight w:val="446" w:hRule="exact"/>
        </w:trPr>
        <w:tc>
          <w:tcPr>
            <w:tcW w:w="1932"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21"/>
                <w:szCs w:val="21"/>
              </w:rPr>
            </w:pPr>
            <w:r>
              <w:rPr>
                <w:rFonts w:ascii="Times New Roman"/>
                <w:spacing w:val="-1"/>
                <w:sz w:val="21"/>
              </w:rPr>
              <w:t>16,725.00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21"/>
                <w:szCs w:val="21"/>
              </w:rPr>
            </w:pPr>
            <w:r>
              <w:rPr>
                <w:rFonts w:ascii="Times New Roman"/>
                <w:spacing w:val="-1"/>
                <w:sz w:val="21"/>
              </w:rPr>
              <w:t>0.85090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25"/>
              <w:jc w:val="right"/>
              <w:rPr>
                <w:rFonts w:ascii="Times New Roman" w:hAnsi="Times New Roman" w:cs="Times New Roman" w:eastAsia="Times New Roman" w:hint="default"/>
                <w:sz w:val="21"/>
                <w:szCs w:val="21"/>
              </w:rPr>
            </w:pPr>
            <w:r>
              <w:rPr>
                <w:rFonts w:ascii="Times New Roman"/>
                <w:spacing w:val="-1"/>
                <w:sz w:val="21"/>
              </w:rPr>
              <w:t>14,231.30</w:t>
            </w:r>
          </w:p>
        </w:tc>
      </w:tr>
      <w:tr>
        <w:trPr>
          <w:trHeight w:val="446" w:hRule="exact"/>
        </w:trPr>
        <w:tc>
          <w:tcPr>
            <w:tcW w:w="1932"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21"/>
                <w:szCs w:val="21"/>
              </w:rPr>
            </w:pPr>
            <w:r>
              <w:rPr>
                <w:rFonts w:ascii="Times New Roman"/>
                <w:spacing w:val="-1"/>
                <w:sz w:val="21"/>
              </w:rPr>
              <w:t>6,372.36</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21"/>
                <w:szCs w:val="21"/>
              </w:rPr>
            </w:pPr>
            <w:r>
              <w:rPr>
                <w:rFonts w:ascii="Times New Roman"/>
                <w:spacing w:val="-1"/>
                <w:sz w:val="21"/>
              </w:rPr>
              <w:t>5.12785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21"/>
                <w:szCs w:val="21"/>
              </w:rPr>
            </w:pPr>
            <w:r>
              <w:rPr>
                <w:rFonts w:ascii="Times New Roman"/>
                <w:spacing w:val="-1"/>
                <w:sz w:val="21"/>
              </w:rPr>
              <w:t>32,676.51</w:t>
            </w:r>
          </w:p>
        </w:tc>
      </w:tr>
      <w:tr>
        <w:trPr>
          <w:trHeight w:val="433" w:hRule="exact"/>
        </w:trPr>
        <w:tc>
          <w:tcPr>
            <w:tcW w:w="1932"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21"/>
                <w:szCs w:val="21"/>
              </w:rPr>
            </w:pPr>
            <w:r>
              <w:rPr>
                <w:rFonts w:ascii="Times New Roman"/>
                <w:spacing w:val="-1"/>
                <w:sz w:val="21"/>
              </w:rPr>
              <w:t>3,541.65</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21"/>
                <w:szCs w:val="21"/>
              </w:rPr>
            </w:pPr>
            <w:r>
              <w:rPr>
                <w:rFonts w:ascii="Times New Roman"/>
                <w:spacing w:val="-1"/>
                <w:sz w:val="21"/>
              </w:rPr>
              <w:t>2.15000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21"/>
                <w:szCs w:val="21"/>
              </w:rPr>
            </w:pPr>
            <w:r>
              <w:rPr>
                <w:rFonts w:ascii="Times New Roman"/>
                <w:spacing w:val="-1"/>
                <w:sz w:val="21"/>
              </w:rPr>
              <w:t>7,614.55</w:t>
            </w:r>
            <w:r>
              <w:rPr>
                <w:rFonts w:ascii="Times New Roman"/>
                <w:sz w:val="21"/>
              </w:rPr>
            </w:r>
          </w:p>
        </w:tc>
      </w:tr>
      <w:tr>
        <w:trPr>
          <w:trHeight w:val="459" w:hRule="exact"/>
        </w:trPr>
        <w:tc>
          <w:tcPr>
            <w:tcW w:w="1932"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5"/>
                <w:sz w:val="21"/>
                <w:szCs w:val="21"/>
              </w:rPr>
              <w:t>——</w:t>
            </w:r>
            <w:r>
              <w:rPr>
                <w:rFonts w:ascii="Times New Roman" w:hAnsi="Times New Roman" w:cs="Times New Roman" w:eastAsia="Times New Roman" w:hint="default"/>
                <w:w w:val="95"/>
                <w:sz w:val="21"/>
                <w:szCs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5"/>
                <w:sz w:val="21"/>
                <w:szCs w:val="21"/>
              </w:rPr>
              <w:t>——</w:t>
            </w:r>
            <w:r>
              <w:rPr>
                <w:rFonts w:ascii="Times New Roman" w:hAnsi="Times New Roman" w:cs="Times New Roman" w:eastAsia="Times New Roman" w:hint="default"/>
                <w:w w:val="95"/>
                <w:sz w:val="21"/>
                <w:szCs w:val="21"/>
              </w:rPr>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1"/>
                <w:szCs w:val="21"/>
              </w:rPr>
            </w:pPr>
            <w:r>
              <w:rPr>
                <w:rFonts w:ascii="Times New Roman"/>
                <w:spacing w:val="-1"/>
                <w:sz w:val="21"/>
              </w:rPr>
              <w:t>412,655.58</w:t>
            </w:r>
            <w:r>
              <w:rPr>
                <w:rFonts w:ascii="Times New Roman"/>
                <w:sz w:val="21"/>
              </w:rPr>
            </w:r>
          </w:p>
        </w:tc>
      </w:tr>
      <w:tr>
        <w:trPr>
          <w:trHeight w:val="446" w:hRule="exact"/>
        </w:trPr>
        <w:tc>
          <w:tcPr>
            <w:tcW w:w="1932"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2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21"/>
                <w:szCs w:val="21"/>
              </w:rPr>
            </w:pPr>
            <w:r>
              <w:rPr>
                <w:rFonts w:ascii="Times New Roman"/>
                <w:spacing w:val="-1"/>
                <w:sz w:val="21"/>
              </w:rPr>
              <w:t>458,813,349.44</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21"/>
                <w:szCs w:val="21"/>
              </w:rPr>
            </w:pPr>
            <w:r>
              <w:rPr>
                <w:rFonts w:ascii="Times New Roman"/>
                <w:spacing w:val="-1"/>
                <w:sz w:val="21"/>
              </w:rPr>
              <w:t>1.00000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21"/>
                <w:szCs w:val="21"/>
              </w:rPr>
            </w:pPr>
            <w:r>
              <w:rPr>
                <w:rFonts w:ascii="Times New Roman"/>
                <w:spacing w:val="-1"/>
                <w:sz w:val="21"/>
              </w:rPr>
              <w:t>458,813,349.44</w:t>
            </w:r>
            <w:r>
              <w:rPr>
                <w:rFonts w:ascii="Times New Roman"/>
                <w:sz w:val="21"/>
              </w:rPr>
            </w:r>
          </w:p>
        </w:tc>
      </w:tr>
      <w:tr>
        <w:trPr>
          <w:trHeight w:val="446" w:hRule="exact"/>
        </w:trPr>
        <w:tc>
          <w:tcPr>
            <w:tcW w:w="1932"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21"/>
                <w:szCs w:val="21"/>
              </w:rPr>
            </w:pPr>
            <w:r>
              <w:rPr>
                <w:rFonts w:ascii="Times New Roman"/>
                <w:spacing w:val="-1"/>
                <w:sz w:val="21"/>
              </w:rPr>
              <w:t>25,467,867.16</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21"/>
                <w:szCs w:val="21"/>
              </w:rPr>
            </w:pPr>
            <w:r>
              <w:rPr>
                <w:rFonts w:ascii="Times New Roman"/>
                <w:spacing w:val="-1"/>
                <w:sz w:val="21"/>
              </w:rPr>
              <w:t>0.85090</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21"/>
                <w:szCs w:val="21"/>
              </w:rPr>
            </w:pPr>
            <w:r>
              <w:rPr>
                <w:rFonts w:ascii="Times New Roman"/>
                <w:spacing w:val="-1"/>
                <w:sz w:val="21"/>
              </w:rPr>
              <w:t>21,670,608.17</w:t>
            </w:r>
          </w:p>
        </w:tc>
      </w:tr>
      <w:tr>
        <w:trPr>
          <w:trHeight w:val="335" w:hRule="exact"/>
        </w:trPr>
        <w:tc>
          <w:tcPr>
            <w:tcW w:w="1932"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21"/>
                <w:szCs w:val="21"/>
              </w:rPr>
            </w:pPr>
            <w:r>
              <w:rPr>
                <w:rFonts w:ascii="Times New Roman"/>
                <w:spacing w:val="-1"/>
                <w:sz w:val="21"/>
              </w:rPr>
              <w:t>238,988.98</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21"/>
                <w:szCs w:val="21"/>
              </w:rPr>
            </w:pPr>
            <w:r>
              <w:rPr>
                <w:rFonts w:ascii="Times New Roman"/>
                <w:spacing w:val="-1"/>
                <w:sz w:val="21"/>
              </w:rPr>
              <w:t>5.12785</w:t>
            </w:r>
          </w:p>
        </w:tc>
        <w:tc>
          <w:tcPr>
            <w:tcW w:w="1939"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27"/>
              <w:jc w:val="right"/>
              <w:rPr>
                <w:rFonts w:ascii="Times New Roman" w:hAnsi="Times New Roman" w:cs="Times New Roman" w:eastAsia="Times New Roman" w:hint="default"/>
                <w:sz w:val="21"/>
                <w:szCs w:val="21"/>
              </w:rPr>
            </w:pPr>
            <w:r>
              <w:rPr>
                <w:rFonts w:ascii="Times New Roman"/>
                <w:spacing w:val="-1"/>
                <w:sz w:val="21"/>
              </w:rPr>
              <w:t>1,225,499.64</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880" w:right="880"/>
        </w:sectPr>
      </w:pPr>
    </w:p>
    <w:tbl>
      <w:tblPr>
        <w:tblW w:w="0" w:type="auto"/>
        <w:jc w:val="left"/>
        <w:tblInd w:w="212" w:type="dxa"/>
        <w:tblLayout w:type="fixed"/>
        <w:tblCellMar>
          <w:top w:w="0" w:type="dxa"/>
          <w:left w:w="0" w:type="dxa"/>
          <w:bottom w:w="0" w:type="dxa"/>
          <w:right w:w="0" w:type="dxa"/>
        </w:tblCellMar>
        <w:tblLook w:val="01E0"/>
      </w:tblPr>
      <w:tblGrid>
        <w:gridCol w:w="1946"/>
        <w:gridCol w:w="1940"/>
        <w:gridCol w:w="2005"/>
        <w:gridCol w:w="1877"/>
        <w:gridCol w:w="1942"/>
      </w:tblGrid>
      <w:tr>
        <w:trPr>
          <w:trHeight w:val="552" w:hRule="exact"/>
        </w:trPr>
        <w:tc>
          <w:tcPr>
            <w:tcW w:w="1946" w:type="dxa"/>
            <w:vMerge w:val="restart"/>
            <w:tcBorders>
              <w:top w:val="single" w:sz="6"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466,541.96</w:t>
            </w:r>
            <w:r>
              <w:rPr>
                <w:rFonts w:ascii="Times New Roman"/>
                <w:sz w:val="21"/>
              </w:rPr>
            </w:r>
          </w:p>
        </w:tc>
        <w:tc>
          <w:tcPr>
            <w:tcW w:w="187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2.15000</w:t>
            </w:r>
          </w:p>
        </w:tc>
        <w:tc>
          <w:tcPr>
            <w:tcW w:w="1942" w:type="dxa"/>
            <w:tcBorders>
              <w:top w:val="single" w:sz="6"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1,003,065.21</w:t>
            </w:r>
          </w:p>
        </w:tc>
      </w:tr>
      <w:tr>
        <w:trPr>
          <w:trHeight w:val="459" w:hRule="exact"/>
        </w:trPr>
        <w:tc>
          <w:tcPr>
            <w:tcW w:w="1946" w:type="dxa"/>
            <w:vMerge/>
            <w:tcBorders>
              <w:left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29"/>
              <w:jc w:val="right"/>
              <w:rPr>
                <w:rFonts w:ascii="Times New Roman" w:hAnsi="Times New Roman" w:cs="Times New Roman" w:eastAsia="Times New Roman" w:hint="default"/>
                <w:sz w:val="21"/>
                <w:szCs w:val="21"/>
              </w:rPr>
            </w:pPr>
            <w:r>
              <w:rPr>
                <w:rFonts w:ascii="Times New Roman"/>
                <w:spacing w:val="-1"/>
                <w:sz w:val="21"/>
              </w:rPr>
              <w:t>482,712,522.46</w:t>
            </w:r>
          </w:p>
        </w:tc>
      </w:tr>
      <w:tr>
        <w:trPr>
          <w:trHeight w:val="433" w:hRule="exact"/>
        </w:trPr>
        <w:tc>
          <w:tcPr>
            <w:tcW w:w="1946" w:type="dxa"/>
            <w:vMerge/>
            <w:tcBorders>
              <w:left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21"/>
                <w:szCs w:val="21"/>
              </w:rPr>
            </w:pPr>
            <w:r>
              <w:rPr>
                <w:rFonts w:ascii="Times New Roman"/>
                <w:spacing w:val="-1"/>
                <w:sz w:val="21"/>
              </w:rPr>
              <w:t>8,385,826.98</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21"/>
                <w:szCs w:val="21"/>
              </w:rPr>
            </w:pPr>
            <w:r>
              <w:rPr>
                <w:rFonts w:ascii="Times New Roman"/>
                <w:spacing w:val="-1"/>
                <w:sz w:val="21"/>
              </w:rPr>
              <w:t>1.00000</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29"/>
              <w:jc w:val="right"/>
              <w:rPr>
                <w:rFonts w:ascii="Times New Roman" w:hAnsi="Times New Roman" w:cs="Times New Roman" w:eastAsia="Times New Roman" w:hint="default"/>
                <w:sz w:val="21"/>
                <w:szCs w:val="21"/>
              </w:rPr>
            </w:pPr>
            <w:r>
              <w:rPr>
                <w:rFonts w:ascii="Times New Roman"/>
                <w:spacing w:val="-1"/>
                <w:sz w:val="21"/>
              </w:rPr>
              <w:t>8,385,826.98</w:t>
            </w:r>
          </w:p>
        </w:tc>
      </w:tr>
      <w:tr>
        <w:trPr>
          <w:trHeight w:val="353" w:hRule="exact"/>
        </w:trPr>
        <w:tc>
          <w:tcPr>
            <w:tcW w:w="1946" w:type="dxa"/>
            <w:vMerge/>
            <w:tcBorders>
              <w:left w:val="nil" w:sz="6" w:space="0" w:color="auto"/>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4"/>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nil" w:sz="6" w:space="0" w:color="auto"/>
              <w:left w:val="single" w:sz="4" w:space="0" w:color="000000"/>
              <w:bottom w:val="single" w:sz="4" w:space="0" w:color="000000"/>
              <w:right w:val="nil" w:sz="6" w:space="0" w:color="auto"/>
            </w:tcBorders>
          </w:tcPr>
          <w:p>
            <w:pPr>
              <w:pStyle w:val="TableParagraph"/>
              <w:spacing w:line="240" w:lineRule="auto" w:before="104"/>
              <w:ind w:right="28"/>
              <w:jc w:val="right"/>
              <w:rPr>
                <w:rFonts w:ascii="Times New Roman" w:hAnsi="Times New Roman" w:cs="Times New Roman" w:eastAsia="Times New Roman" w:hint="default"/>
                <w:sz w:val="21"/>
                <w:szCs w:val="21"/>
              </w:rPr>
            </w:pPr>
            <w:r>
              <w:rPr>
                <w:rFonts w:ascii="Times New Roman"/>
                <w:spacing w:val="-1"/>
                <w:sz w:val="21"/>
              </w:rPr>
              <w:t>8,385,826.98</w:t>
            </w:r>
          </w:p>
        </w:tc>
      </w:tr>
      <w:tr>
        <w:trPr>
          <w:trHeight w:val="466" w:hRule="exact"/>
        </w:trPr>
        <w:tc>
          <w:tcPr>
            <w:tcW w:w="194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38"/>
              <w:ind w:right="53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491,511,005.02</w:t>
            </w:r>
          </w:p>
        </w:tc>
      </w:tr>
      <w:tr>
        <w:trPr>
          <w:trHeight w:val="489" w:hRule="exact"/>
        </w:trPr>
        <w:tc>
          <w:tcPr>
            <w:tcW w:w="194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190" w:val="left" w:leader="none"/>
              </w:tabs>
              <w:spacing w:line="240" w:lineRule="auto" w:before="141"/>
              <w:ind w:left="55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6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0" w:hRule="exact"/>
        </w:trPr>
        <w:tc>
          <w:tcPr>
            <w:tcW w:w="1946"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723"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4"/>
              <w:ind w:right="6"/>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99" w:hRule="exact"/>
        </w:trPr>
        <w:tc>
          <w:tcPr>
            <w:tcW w:w="1946" w:type="dxa"/>
            <w:tcBorders>
              <w:top w:val="single" w:sz="4" w:space="0" w:color="000000"/>
              <w:left w:val="nil" w:sz="6" w:space="0" w:color="auto"/>
              <w:bottom w:val="nil" w:sz="6" w:space="0" w:color="auto"/>
              <w:right w:val="single" w:sz="4" w:space="0" w:color="000000"/>
            </w:tcBorders>
          </w:tcPr>
          <w:p>
            <w:pPr>
              <w:pStyle w:val="TableParagraph"/>
              <w:tabs>
                <w:tab w:pos="673" w:val="left" w:leader="none"/>
              </w:tabs>
              <w:spacing w:line="240" w:lineRule="auto" w:before="164"/>
              <w:ind w:left="42"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121,399.28</w:t>
            </w:r>
            <w:r>
              <w:rPr>
                <w:rFonts w:ascii="Times New Roman"/>
                <w:sz w:val="21"/>
              </w:rPr>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942"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121,399.28</w:t>
            </w:r>
            <w:r>
              <w:rPr>
                <w:rFonts w:ascii="Times New Roman"/>
                <w:sz w:val="21"/>
              </w:rPr>
            </w:r>
          </w:p>
        </w:tc>
      </w:tr>
      <w:tr>
        <w:trPr>
          <w:trHeight w:val="47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21"/>
                <w:szCs w:val="21"/>
              </w:rPr>
            </w:pPr>
            <w:r>
              <w:rPr>
                <w:rFonts w:ascii="Times New Roman"/>
                <w:spacing w:val="-1"/>
                <w:sz w:val="21"/>
              </w:rPr>
              <w:t>176,894.45</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21"/>
                <w:szCs w:val="21"/>
              </w:rPr>
            </w:pPr>
            <w:r>
              <w:rPr>
                <w:rFonts w:ascii="Times New Roman"/>
                <w:spacing w:val="-1"/>
                <w:sz w:val="21"/>
              </w:rPr>
              <w:t>0.8805</w:t>
            </w:r>
            <w:r>
              <w:rPr>
                <w:rFonts w:ascii="Times New Roman"/>
                <w:sz w:val="21"/>
              </w:rPr>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21"/>
                <w:szCs w:val="21"/>
              </w:rPr>
            </w:pPr>
            <w:r>
              <w:rPr>
                <w:rFonts w:ascii="Times New Roman"/>
                <w:spacing w:val="-1"/>
                <w:sz w:val="21"/>
              </w:rPr>
              <w:t>155,752.03</w:t>
            </w:r>
            <w:r>
              <w:rPr>
                <w:rFonts w:ascii="Times New Roman"/>
                <w:sz w:val="21"/>
              </w:rPr>
            </w:r>
          </w:p>
        </w:tc>
      </w:tr>
      <w:tr>
        <w:trPr>
          <w:trHeight w:val="47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21"/>
                <w:szCs w:val="21"/>
              </w:rPr>
            </w:pPr>
            <w:r>
              <w:rPr>
                <w:rFonts w:ascii="Times New Roman"/>
                <w:spacing w:val="-1"/>
                <w:sz w:val="21"/>
              </w:rPr>
              <w:t>108.30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21"/>
                <w:szCs w:val="21"/>
              </w:rPr>
            </w:pPr>
            <w:r>
              <w:rPr>
                <w:rFonts w:ascii="Times New Roman"/>
                <w:spacing w:val="-1"/>
                <w:sz w:val="21"/>
              </w:rPr>
              <w:t>4.8656</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8"/>
              <w:jc w:val="right"/>
              <w:rPr>
                <w:rFonts w:ascii="Times New Roman" w:hAnsi="Times New Roman" w:cs="Times New Roman" w:eastAsia="Times New Roman" w:hint="default"/>
                <w:sz w:val="21"/>
                <w:szCs w:val="21"/>
              </w:rPr>
            </w:pPr>
            <w:r>
              <w:rPr>
                <w:rFonts w:ascii="Times New Roman"/>
                <w:spacing w:val="-1"/>
                <w:sz w:val="21"/>
              </w:rPr>
              <w:t>526.52</w:t>
            </w:r>
          </w:p>
        </w:tc>
      </w:tr>
      <w:tr>
        <w:trPr>
          <w:trHeight w:val="457"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21"/>
                <w:szCs w:val="21"/>
              </w:rPr>
            </w:pPr>
            <w:r>
              <w:rPr>
                <w:rFonts w:ascii="Times New Roman"/>
                <w:spacing w:val="-1"/>
                <w:sz w:val="21"/>
              </w:rPr>
              <w:t>7,619.00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21"/>
                <w:szCs w:val="21"/>
              </w:rPr>
            </w:pPr>
            <w:r>
              <w:rPr>
                <w:rFonts w:ascii="Times New Roman"/>
                <w:spacing w:val="-1"/>
                <w:sz w:val="21"/>
              </w:rPr>
              <w:t>1.9954</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7"/>
              <w:jc w:val="right"/>
              <w:rPr>
                <w:rFonts w:ascii="Times New Roman" w:hAnsi="Times New Roman" w:cs="Times New Roman" w:eastAsia="Times New Roman" w:hint="default"/>
                <w:sz w:val="21"/>
                <w:szCs w:val="21"/>
              </w:rPr>
            </w:pPr>
            <w:r>
              <w:rPr>
                <w:rFonts w:ascii="Times New Roman"/>
                <w:spacing w:val="-1"/>
                <w:sz w:val="21"/>
              </w:rPr>
              <w:t>15,203.18</w:t>
            </w:r>
          </w:p>
        </w:tc>
      </w:tr>
      <w:tr>
        <w:trPr>
          <w:trHeight w:val="483"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7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29"/>
              <w:jc w:val="right"/>
              <w:rPr>
                <w:rFonts w:ascii="Times New Roman" w:hAnsi="Times New Roman" w:cs="Times New Roman" w:eastAsia="Times New Roman" w:hint="default"/>
                <w:sz w:val="21"/>
                <w:szCs w:val="21"/>
              </w:rPr>
            </w:pPr>
            <w:r>
              <w:rPr>
                <w:rFonts w:ascii="Times New Roman"/>
                <w:spacing w:val="-1"/>
                <w:sz w:val="21"/>
              </w:rPr>
              <w:t>292,881.01</w:t>
            </w:r>
            <w:r>
              <w:rPr>
                <w:rFonts w:ascii="Times New Roman"/>
                <w:sz w:val="21"/>
              </w:rPr>
            </w:r>
          </w:p>
        </w:tc>
      </w:tr>
      <w:tr>
        <w:trPr>
          <w:trHeight w:val="470"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4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21"/>
                <w:szCs w:val="21"/>
              </w:rPr>
            </w:pPr>
            <w:r>
              <w:rPr>
                <w:rFonts w:ascii="Times New Roman"/>
                <w:spacing w:val="-1"/>
                <w:sz w:val="21"/>
              </w:rPr>
              <w:t>399,940,689.67</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9"/>
              <w:jc w:val="right"/>
              <w:rPr>
                <w:rFonts w:ascii="Times New Roman" w:hAnsi="Times New Roman" w:cs="Times New Roman" w:eastAsia="Times New Roman" w:hint="default"/>
                <w:sz w:val="21"/>
                <w:szCs w:val="21"/>
              </w:rPr>
            </w:pPr>
            <w:r>
              <w:rPr>
                <w:rFonts w:ascii="Times New Roman"/>
                <w:spacing w:val="-1"/>
                <w:sz w:val="21"/>
              </w:rPr>
              <w:t>399,940,689.67</w:t>
            </w:r>
            <w:r>
              <w:rPr>
                <w:rFonts w:ascii="Times New Roman"/>
                <w:sz w:val="21"/>
              </w:rPr>
            </w:r>
          </w:p>
        </w:tc>
      </w:tr>
      <w:tr>
        <w:trPr>
          <w:trHeight w:val="47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21"/>
                <w:szCs w:val="21"/>
              </w:rPr>
            </w:pPr>
            <w:r>
              <w:rPr>
                <w:rFonts w:ascii="Times New Roman"/>
                <w:spacing w:val="-1"/>
                <w:sz w:val="21"/>
              </w:rPr>
              <w:t>9,684,418.94</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21"/>
                <w:szCs w:val="21"/>
              </w:rPr>
            </w:pPr>
            <w:r>
              <w:rPr>
                <w:rFonts w:ascii="Times New Roman"/>
                <w:spacing w:val="-1"/>
                <w:sz w:val="21"/>
              </w:rPr>
              <w:t>0.8805</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8"/>
              <w:jc w:val="right"/>
              <w:rPr>
                <w:rFonts w:ascii="Times New Roman" w:hAnsi="Times New Roman" w:cs="Times New Roman" w:eastAsia="Times New Roman" w:hint="default"/>
                <w:sz w:val="21"/>
                <w:szCs w:val="21"/>
              </w:rPr>
            </w:pPr>
            <w:r>
              <w:rPr>
                <w:rFonts w:ascii="Times New Roman"/>
                <w:spacing w:val="-1"/>
                <w:sz w:val="21"/>
              </w:rPr>
              <w:t>8,526,937.19</w:t>
            </w:r>
          </w:p>
        </w:tc>
      </w:tr>
      <w:tr>
        <w:trPr>
          <w:trHeight w:val="470"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21"/>
                <w:szCs w:val="21"/>
              </w:rPr>
            </w:pPr>
            <w:r>
              <w:rPr>
                <w:rFonts w:ascii="Times New Roman"/>
                <w:spacing w:val="-1"/>
                <w:sz w:val="21"/>
              </w:rPr>
              <w:t>141,774.77</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21"/>
                <w:szCs w:val="21"/>
              </w:rPr>
            </w:pPr>
            <w:r>
              <w:rPr>
                <w:rFonts w:ascii="Times New Roman"/>
                <w:spacing w:val="-1"/>
                <w:sz w:val="21"/>
              </w:rPr>
              <w:t>4.8656</w:t>
            </w:r>
            <w:r>
              <w:rPr>
                <w:rFonts w:ascii="Times New Roman"/>
                <w:sz w:val="21"/>
              </w:rPr>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21"/>
                <w:szCs w:val="21"/>
              </w:rPr>
            </w:pPr>
            <w:r>
              <w:rPr>
                <w:rFonts w:ascii="Times New Roman"/>
                <w:spacing w:val="-1"/>
                <w:sz w:val="21"/>
              </w:rPr>
              <w:t>689,265.49</w:t>
            </w:r>
            <w:r>
              <w:rPr>
                <w:rFonts w:ascii="Times New Roman"/>
                <w:sz w:val="21"/>
              </w:rPr>
            </w:r>
          </w:p>
        </w:tc>
      </w:tr>
      <w:tr>
        <w:trPr>
          <w:trHeight w:val="457"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21"/>
                <w:szCs w:val="21"/>
              </w:rPr>
            </w:pPr>
            <w:r>
              <w:rPr>
                <w:rFonts w:ascii="Times New Roman"/>
                <w:spacing w:val="-1"/>
                <w:sz w:val="21"/>
              </w:rPr>
              <w:t>241,510.00</w:t>
            </w:r>
            <w:r>
              <w:rPr>
                <w:rFonts w:ascii="Times New Roman"/>
                <w:sz w:val="21"/>
              </w:rPr>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21"/>
                <w:szCs w:val="21"/>
              </w:rPr>
            </w:pPr>
            <w:r>
              <w:rPr>
                <w:rFonts w:ascii="Times New Roman"/>
                <w:spacing w:val="-1"/>
                <w:sz w:val="21"/>
              </w:rPr>
              <w:t>1.9954</w:t>
            </w:r>
            <w:r>
              <w:rPr>
                <w:rFonts w:ascii="Times New Roman"/>
                <w:sz w:val="21"/>
              </w:rPr>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29"/>
              <w:jc w:val="right"/>
              <w:rPr>
                <w:rFonts w:ascii="Times New Roman" w:hAnsi="Times New Roman" w:cs="Times New Roman" w:eastAsia="Times New Roman" w:hint="default"/>
                <w:sz w:val="21"/>
                <w:szCs w:val="21"/>
              </w:rPr>
            </w:pPr>
            <w:r>
              <w:rPr>
                <w:rFonts w:ascii="Times New Roman"/>
                <w:spacing w:val="-1"/>
                <w:sz w:val="21"/>
              </w:rPr>
              <w:t>481,916.74</w:t>
            </w:r>
            <w:r>
              <w:rPr>
                <w:rFonts w:ascii="Times New Roman"/>
                <w:sz w:val="21"/>
              </w:rPr>
            </w:r>
          </w:p>
        </w:tc>
      </w:tr>
      <w:tr>
        <w:trPr>
          <w:trHeight w:val="483" w:hRule="exact"/>
        </w:trPr>
        <w:tc>
          <w:tcPr>
            <w:tcW w:w="1946"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21"/>
                <w:szCs w:val="21"/>
              </w:rPr>
            </w:pPr>
            <w:r>
              <w:rPr>
                <w:rFonts w:ascii="Times New Roman"/>
                <w:spacing w:val="-1"/>
                <w:sz w:val="21"/>
              </w:rPr>
              <w:t>409,638,809.09</w:t>
            </w:r>
          </w:p>
        </w:tc>
      </w:tr>
      <w:tr>
        <w:trPr>
          <w:trHeight w:val="457" w:hRule="exact"/>
        </w:trPr>
        <w:tc>
          <w:tcPr>
            <w:tcW w:w="194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4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21"/>
                <w:szCs w:val="21"/>
              </w:rPr>
            </w:pPr>
            <w:r>
              <w:rPr>
                <w:rFonts w:ascii="Times New Roman"/>
                <w:spacing w:val="-1"/>
                <w:sz w:val="21"/>
              </w:rPr>
              <w:t>2,677,758.79</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21"/>
                <w:szCs w:val="21"/>
              </w:rPr>
            </w:pPr>
            <w:r>
              <w:rPr>
                <w:rFonts w:ascii="Times New Roman"/>
                <w:spacing w:val="-1"/>
                <w:sz w:val="21"/>
              </w:rPr>
              <w:t>1.0000</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27"/>
              <w:jc w:val="right"/>
              <w:rPr>
                <w:rFonts w:ascii="Times New Roman" w:hAnsi="Times New Roman" w:cs="Times New Roman" w:eastAsia="Times New Roman" w:hint="default"/>
                <w:sz w:val="21"/>
                <w:szCs w:val="21"/>
              </w:rPr>
            </w:pPr>
            <w:r>
              <w:rPr>
                <w:rFonts w:ascii="Times New Roman"/>
                <w:spacing w:val="-1"/>
                <w:sz w:val="21"/>
              </w:rPr>
              <w:t>2,677,758.79</w:t>
            </w:r>
          </w:p>
        </w:tc>
      </w:tr>
      <w:tr>
        <w:trPr>
          <w:trHeight w:val="365" w:hRule="exact"/>
        </w:trPr>
        <w:tc>
          <w:tcPr>
            <w:tcW w:w="1946" w:type="dxa"/>
            <w:tcBorders>
              <w:top w:val="nil" w:sz="6" w:space="0" w:color="auto"/>
              <w:left w:val="nil" w:sz="6" w:space="0" w:color="auto"/>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nil" w:sz="6" w:space="0" w:color="auto"/>
              <w:left w:val="single" w:sz="4" w:space="0" w:color="000000"/>
              <w:bottom w:val="single" w:sz="4" w:space="0" w:color="000000"/>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21"/>
                <w:szCs w:val="21"/>
              </w:rPr>
            </w:pPr>
            <w:r>
              <w:rPr>
                <w:rFonts w:ascii="Times New Roman"/>
                <w:spacing w:val="-1"/>
                <w:sz w:val="21"/>
              </w:rPr>
              <w:t>2,677,758.79</w:t>
            </w:r>
          </w:p>
        </w:tc>
      </w:tr>
      <w:tr>
        <w:trPr>
          <w:trHeight w:val="490" w:hRule="exact"/>
        </w:trPr>
        <w:tc>
          <w:tcPr>
            <w:tcW w:w="194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162"/>
              <w:ind w:right="53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412,609,448.89</w:t>
            </w:r>
            <w:r>
              <w:rPr>
                <w:rFonts w:ascii="Times New Roman"/>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674" w:right="210"/>
        <w:jc w:val="left"/>
      </w:pPr>
      <w:r>
        <w:rPr/>
        <w:t>注：其他货币资金均系保函保证金。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674" w:right="210"/>
        <w:jc w:val="left"/>
      </w:pPr>
      <w:r>
        <w:rPr>
          <w:rFonts w:ascii="Times New Roman" w:hAnsi="Times New Roman" w:cs="Times New Roman" w:eastAsia="Times New Roman" w:hint="default"/>
        </w:rPr>
        <w:t>2</w:t>
      </w:r>
      <w:r>
        <w:rPr/>
        <w:t>．交易性金融资产</w:t>
      </w:r>
    </w:p>
    <w:tbl>
      <w:tblPr>
        <w:tblW w:w="0" w:type="auto"/>
        <w:jc w:val="left"/>
        <w:tblInd w:w="116" w:type="dxa"/>
        <w:tblLayout w:type="fixed"/>
        <w:tblCellMar>
          <w:top w:w="0" w:type="dxa"/>
          <w:left w:w="0" w:type="dxa"/>
          <w:bottom w:w="0" w:type="dxa"/>
          <w:right w:w="0" w:type="dxa"/>
        </w:tblCellMar>
        <w:tblLook w:val="01E0"/>
      </w:tblPr>
      <w:tblGrid>
        <w:gridCol w:w="6086"/>
        <w:gridCol w:w="1985"/>
        <w:gridCol w:w="1798"/>
      </w:tblGrid>
      <w:tr>
        <w:trPr>
          <w:trHeight w:val="489" w:hRule="exact"/>
        </w:trPr>
        <w:tc>
          <w:tcPr>
            <w:tcW w:w="6086" w:type="dxa"/>
            <w:tcBorders>
              <w:top w:val="single" w:sz="12"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162"/>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2"/>
              <w:ind w:left="35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7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left="263"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80" w:hRule="exact"/>
        </w:trPr>
        <w:tc>
          <w:tcPr>
            <w:tcW w:w="6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66,916.48</w:t>
            </w:r>
          </w:p>
        </w:tc>
      </w:tr>
      <w:tr>
        <w:trPr>
          <w:trHeight w:val="490" w:hRule="exact"/>
        </w:trPr>
        <w:tc>
          <w:tcPr>
            <w:tcW w:w="6086"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16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12" w:space="0" w:color="000000"/>
              <w:right w:val="single" w:sz="4" w:space="0" w:color="000000"/>
            </w:tcBorders>
          </w:tcPr>
          <w:p>
            <w:pPr/>
          </w:p>
        </w:tc>
        <w:tc>
          <w:tcPr>
            <w:tcW w:w="17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66,916.48</w:t>
            </w:r>
          </w:p>
        </w:tc>
      </w:tr>
    </w:tbl>
    <w:p>
      <w:pPr>
        <w:spacing w:line="240" w:lineRule="auto" w:before="1"/>
        <w:rPr>
          <w:rFonts w:ascii="宋体" w:hAnsi="宋体" w:cs="宋体" w:eastAsia="宋体" w:hint="default"/>
          <w:sz w:val="11"/>
          <w:szCs w:val="11"/>
        </w:rPr>
      </w:pPr>
    </w:p>
    <w:p>
      <w:pPr>
        <w:pStyle w:val="BodyText"/>
        <w:tabs>
          <w:tab w:pos="8780" w:val="left" w:leader="none"/>
        </w:tabs>
        <w:spacing w:line="240" w:lineRule="auto" w:before="35"/>
        <w:ind w:left="569" w:right="210"/>
        <w:jc w:val="left"/>
        <w:rPr>
          <w:rFonts w:ascii="Times New Roman" w:hAnsi="Times New Roman" w:cs="Times New Roman" w:eastAsia="Times New Roman" w:hint="default"/>
        </w:rPr>
      </w:pPr>
      <w:r>
        <w:rPr>
          <w:spacing w:val="-5"/>
        </w:rPr>
        <w:t>注：交易性金融资产系公司控股子公司</w:t>
      </w:r>
      <w:r>
        <w:rPr>
          <w:spacing w:val="-56"/>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3"/>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t>购买的</w:t>
      </w:r>
      <w:r>
        <w:rPr>
          <w:spacing w:val="-56"/>
        </w:rPr>
        <w:t> </w:t>
      </w:r>
      <w:r>
        <w:rPr>
          <w:rFonts w:ascii="Times New Roman" w:hAnsi="Times New Roman" w:cs="Times New Roman" w:eastAsia="Times New Roman" w:hint="default"/>
        </w:rPr>
        <w:t>Catic</w:t>
      </w:r>
      <w:r>
        <w:rPr>
          <w:rFonts w:ascii="Times New Roman" w:hAnsi="Times New Roman" w:cs="Times New Roman" w:eastAsia="Times New Roman" w:hint="default"/>
          <w:spacing w:val="-3"/>
        </w:rPr>
        <w:t> </w:t>
      </w:r>
      <w:r>
        <w:rPr>
          <w:rFonts w:ascii="Times New Roman" w:hAnsi="Times New Roman" w:cs="Times New Roman" w:eastAsia="Times New Roman" w:hint="default"/>
        </w:rPr>
        <w:t>International</w:t>
        <w:tab/>
        <w:t>Holdings</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p>
    <w:p>
      <w:pPr>
        <w:pStyle w:val="BodyText"/>
        <w:spacing w:line="388" w:lineRule="auto" w:before="179"/>
        <w:ind w:left="253" w:right="243"/>
        <w:jc w:val="left"/>
      </w:pPr>
      <w:r>
        <w:rPr/>
        <w:t>（中国航空技术国际控股有限公司）股票</w:t>
      </w:r>
      <w:r>
        <w:rPr>
          <w:spacing w:val="-59"/>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6"/>
        </w:rPr>
        <w:t> </w:t>
      </w:r>
      <w:r>
        <w:rPr>
          <w:spacing w:val="-3"/>
        </w:rPr>
        <w:t>股。股票购买成本是港币</w:t>
      </w:r>
      <w:r>
        <w:rPr>
          <w:spacing w:val="-59"/>
        </w:rPr>
        <w:t> </w:t>
      </w:r>
      <w:r>
        <w:rPr>
          <w:rFonts w:ascii="Times New Roman" w:hAnsi="Times New Roman" w:cs="Times New Roman" w:eastAsia="Times New Roman" w:hint="default"/>
        </w:rPr>
        <w:t>2.8116</w:t>
      </w:r>
      <w:r>
        <w:rPr>
          <w:rFonts w:ascii="Times New Roman" w:hAnsi="Times New Roman" w:cs="Times New Roman" w:eastAsia="Times New Roman" w:hint="default"/>
          <w:spacing w:val="-6"/>
        </w:rPr>
        <w:t> </w:t>
      </w:r>
      <w:r>
        <w:rPr>
          <w:spacing w:val="-3"/>
        </w:rPr>
        <w:t>元，该项交易性金融</w:t>
      </w:r>
      <w:r>
        <w:rPr/>
        <w:t> 资产本期已全部售出。</w:t>
      </w:r>
    </w:p>
    <w:p>
      <w:pPr>
        <w:spacing w:after="0" w:line="388" w:lineRule="auto"/>
        <w:jc w:val="left"/>
        <w:sectPr>
          <w:pgSz w:w="11910" w:h="16840"/>
          <w:pgMar w:header="851" w:footer="982" w:top="1260" w:bottom="1180" w:left="880" w:right="88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9"/>
          <w:szCs w:val="9"/>
        </w:rPr>
      </w:pPr>
    </w:p>
    <w:p>
      <w:pPr>
        <w:pStyle w:val="BodyText"/>
        <w:spacing w:line="240" w:lineRule="auto" w:before="35"/>
        <w:ind w:left="674" w:right="0"/>
        <w:jc w:val="left"/>
      </w:pPr>
      <w:r>
        <w:rPr>
          <w:rFonts w:ascii="Times New Roman" w:hAnsi="Times New Roman" w:cs="Times New Roman" w:eastAsia="Times New Roman" w:hint="default"/>
        </w:rPr>
        <w:t>3</w:t>
      </w:r>
      <w:r>
        <w:rPr/>
        <w:t>．应收票据</w:t>
      </w:r>
    </w:p>
    <w:tbl>
      <w:tblPr>
        <w:tblW w:w="0" w:type="auto"/>
        <w:jc w:val="left"/>
        <w:tblInd w:w="116" w:type="dxa"/>
        <w:tblLayout w:type="fixed"/>
        <w:tblCellMar>
          <w:top w:w="0" w:type="dxa"/>
          <w:left w:w="0" w:type="dxa"/>
          <w:bottom w:w="0" w:type="dxa"/>
          <w:right w:w="0" w:type="dxa"/>
        </w:tblCellMar>
        <w:tblLook w:val="01E0"/>
      </w:tblPr>
      <w:tblGrid>
        <w:gridCol w:w="3300"/>
        <w:gridCol w:w="3286"/>
        <w:gridCol w:w="3283"/>
      </w:tblGrid>
      <w:tr>
        <w:trPr>
          <w:trHeight w:val="491" w:hRule="exact"/>
        </w:trPr>
        <w:tc>
          <w:tcPr>
            <w:tcW w:w="33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2"/>
              <w:ind w:right="1213"/>
              <w:jc w:val="right"/>
              <w:rPr>
                <w:rFonts w:ascii="宋体" w:hAnsi="宋体" w:cs="宋体" w:eastAsia="宋体" w:hint="default"/>
                <w:sz w:val="21"/>
                <w:szCs w:val="21"/>
              </w:rPr>
            </w:pPr>
            <w:r>
              <w:rPr>
                <w:rFonts w:ascii="宋体" w:hAnsi="宋体" w:cs="宋体" w:eastAsia="宋体" w:hint="default"/>
                <w:sz w:val="21"/>
                <w:szCs w:val="21"/>
              </w:rPr>
              <w:t>票据种类</w:t>
            </w:r>
          </w:p>
        </w:tc>
        <w:tc>
          <w:tcPr>
            <w:tcW w:w="32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8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5" w:hRule="exact"/>
        </w:trPr>
        <w:tc>
          <w:tcPr>
            <w:tcW w:w="33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6" w:type="dxa"/>
            <w:tcBorders>
              <w:top w:val="single" w:sz="6" w:space="0" w:color="000000"/>
              <w:left w:val="single" w:sz="6" w:space="0" w:color="000000"/>
              <w:bottom w:val="single" w:sz="6" w:space="0" w:color="000000"/>
              <w:right w:val="single" w:sz="6" w:space="0" w:color="000000"/>
            </w:tcBorders>
          </w:tcPr>
          <w:p>
            <w:pPr/>
          </w:p>
        </w:tc>
        <w:tc>
          <w:tcPr>
            <w:tcW w:w="3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3,800,000.00</w:t>
            </w:r>
          </w:p>
        </w:tc>
      </w:tr>
      <w:tr>
        <w:trPr>
          <w:trHeight w:val="494" w:hRule="exact"/>
        </w:trPr>
        <w:tc>
          <w:tcPr>
            <w:tcW w:w="3300" w:type="dxa"/>
            <w:tcBorders>
              <w:top w:val="single" w:sz="6"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64"/>
              <w:ind w:right="121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86" w:type="dxa"/>
            <w:tcBorders>
              <w:top w:val="single" w:sz="6" w:space="0" w:color="000000"/>
              <w:left w:val="single" w:sz="6" w:space="0" w:color="000000"/>
              <w:bottom w:val="single" w:sz="12" w:space="0" w:color="000000"/>
              <w:right w:val="single" w:sz="6" w:space="0" w:color="000000"/>
            </w:tcBorders>
          </w:tcPr>
          <w:p>
            <w:pPr/>
          </w:p>
        </w:tc>
        <w:tc>
          <w:tcPr>
            <w:tcW w:w="32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3,800,000.00</w:t>
            </w:r>
          </w:p>
        </w:tc>
      </w:tr>
    </w:tbl>
    <w:p>
      <w:pPr>
        <w:pStyle w:val="BodyText"/>
        <w:spacing w:line="240" w:lineRule="auto" w:before="82"/>
        <w:ind w:left="674" w:right="0"/>
        <w:jc w:val="left"/>
      </w:pPr>
      <w:r>
        <w:rPr>
          <w:rFonts w:ascii="Times New Roman" w:hAnsi="Times New Roman" w:cs="Times New Roman" w:eastAsia="Times New Roman" w:hint="default"/>
        </w:rPr>
        <w:t>4</w:t>
      </w:r>
      <w:r>
        <w:rPr/>
        <w:t>．应收账款</w:t>
      </w:r>
    </w:p>
    <w:p>
      <w:pPr>
        <w:pStyle w:val="BodyText"/>
        <w:spacing w:line="240" w:lineRule="auto" w:before="81"/>
        <w:ind w:left="673" w:right="0"/>
        <w:jc w:val="left"/>
      </w:pPr>
      <w:r>
        <w:rPr/>
        <w:t>（</w:t>
      </w:r>
      <w:r>
        <w:rPr>
          <w:rFonts w:ascii="Times New Roman" w:hAnsi="Times New Roman" w:cs="Times New Roman" w:eastAsia="Times New Roman" w:hint="default"/>
        </w:rPr>
        <w:t>1</w:t>
      </w:r>
      <w:r>
        <w:rPr/>
        <w:t>）应收账款按种类披露：</w:t>
      </w:r>
    </w:p>
    <w:tbl>
      <w:tblPr>
        <w:tblW w:w="0" w:type="auto"/>
        <w:jc w:val="left"/>
        <w:tblInd w:w="131" w:type="dxa"/>
        <w:tblLayout w:type="fixed"/>
        <w:tblCellMar>
          <w:top w:w="0" w:type="dxa"/>
          <w:left w:w="0" w:type="dxa"/>
          <w:bottom w:w="0" w:type="dxa"/>
          <w:right w:w="0" w:type="dxa"/>
        </w:tblCellMar>
        <w:tblLook w:val="01E0"/>
      </w:tblPr>
      <w:tblGrid>
        <w:gridCol w:w="4697"/>
        <w:gridCol w:w="1784"/>
        <w:gridCol w:w="992"/>
        <w:gridCol w:w="1409"/>
        <w:gridCol w:w="1094"/>
      </w:tblGrid>
      <w:tr>
        <w:trPr>
          <w:trHeight w:val="392" w:hRule="exact"/>
        </w:trPr>
        <w:tc>
          <w:tcPr>
            <w:tcW w:w="469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8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82" w:hRule="exact"/>
        </w:trPr>
        <w:tc>
          <w:tcPr>
            <w:tcW w:w="4697" w:type="dxa"/>
            <w:vMerge/>
            <w:tcBorders>
              <w:left w:val="nil" w:sz="6" w:space="0" w:color="auto"/>
              <w:right w:val="single" w:sz="4" w:space="0" w:color="000000"/>
            </w:tcBorders>
          </w:tcPr>
          <w:p>
            <w:pP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2" w:hRule="exact"/>
        </w:trPr>
        <w:tc>
          <w:tcPr>
            <w:tcW w:w="4697"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29"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51"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、单项金额重大并单项计提坏账准备的应收账款</w:t>
            </w:r>
          </w:p>
        </w:tc>
        <w:tc>
          <w:tcPr>
            <w:tcW w:w="17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nil" w:sz="6" w:space="0" w:color="auto"/>
            </w:tcBorders>
          </w:tcPr>
          <w:p>
            <w:pPr/>
          </w:p>
        </w:tc>
      </w:tr>
      <w:tr>
        <w:trPr>
          <w:trHeight w:val="377"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、按组合计提坏账准备的应收账款：</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152,325,314.23</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99.47</w:t>
            </w: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10,856,230.39</w:t>
            </w:r>
          </w:p>
        </w:tc>
        <w:tc>
          <w:tcPr>
            <w:tcW w:w="109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3"/>
              <w:jc w:val="center"/>
              <w:rPr>
                <w:rFonts w:ascii="Times New Roman" w:hAnsi="Times New Roman" w:cs="Times New Roman" w:eastAsia="Times New Roman" w:hint="default"/>
                <w:sz w:val="18"/>
                <w:szCs w:val="18"/>
              </w:rPr>
            </w:pPr>
            <w:r>
              <w:rPr>
                <w:rFonts w:ascii="Times New Roman"/>
                <w:sz w:val="18"/>
              </w:rPr>
              <w:t>93.08</w:t>
            </w:r>
          </w:p>
        </w:tc>
      </w:tr>
      <w:tr>
        <w:trPr>
          <w:trHeight w:val="299"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、单项金额不重大但单项计提坏账准备的应收账款</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z w:val="18"/>
              </w:rPr>
              <w:t>807,542.00</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0.53</w:t>
            </w:r>
          </w:p>
        </w:tc>
        <w:tc>
          <w:tcPr>
            <w:tcW w:w="14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z w:val="18"/>
              </w:rPr>
              <w:t>807,542.00</w:t>
            </w:r>
          </w:p>
        </w:tc>
        <w:tc>
          <w:tcPr>
            <w:tcW w:w="1094" w:type="dxa"/>
            <w:tcBorders>
              <w:top w:val="nil" w:sz="6" w:space="0" w:color="auto"/>
              <w:left w:val="single" w:sz="4" w:space="0" w:color="000000"/>
              <w:bottom w:val="single" w:sz="4" w:space="0" w:color="000000"/>
              <w:right w:val="nil" w:sz="6" w:space="0" w:color="auto"/>
            </w:tcBorders>
          </w:tcPr>
          <w:p>
            <w:pPr>
              <w:pStyle w:val="TableParagraph"/>
              <w:spacing w:line="240" w:lineRule="auto" w:before="82"/>
              <w:ind w:right="2"/>
              <w:jc w:val="center"/>
              <w:rPr>
                <w:rFonts w:ascii="Times New Roman" w:hAnsi="Times New Roman" w:cs="Times New Roman" w:eastAsia="Times New Roman" w:hint="default"/>
                <w:sz w:val="18"/>
                <w:szCs w:val="18"/>
              </w:rPr>
            </w:pPr>
            <w:r>
              <w:rPr>
                <w:rFonts w:ascii="Times New Roman"/>
                <w:sz w:val="18"/>
              </w:rPr>
              <w:t>6.92</w:t>
            </w:r>
          </w:p>
        </w:tc>
      </w:tr>
      <w:tr>
        <w:trPr>
          <w:trHeight w:val="392"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09"/>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153,132,856.23</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100.00</w:t>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11,663,772.39</w:t>
            </w:r>
          </w:p>
        </w:tc>
        <w:tc>
          <w:tcPr>
            <w:tcW w:w="1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0"/>
              <w:ind w:right="3"/>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29"/>
          <w:szCs w:val="29"/>
        </w:rPr>
      </w:pPr>
    </w:p>
    <w:tbl>
      <w:tblPr>
        <w:tblW w:w="0" w:type="auto"/>
        <w:jc w:val="left"/>
        <w:tblInd w:w="131" w:type="dxa"/>
        <w:tblLayout w:type="fixed"/>
        <w:tblCellMar>
          <w:top w:w="0" w:type="dxa"/>
          <w:left w:w="0" w:type="dxa"/>
          <w:bottom w:w="0" w:type="dxa"/>
          <w:right w:w="0" w:type="dxa"/>
        </w:tblCellMar>
        <w:tblLook w:val="01E0"/>
      </w:tblPr>
      <w:tblGrid>
        <w:gridCol w:w="4697"/>
        <w:gridCol w:w="1474"/>
        <w:gridCol w:w="1068"/>
        <w:gridCol w:w="1644"/>
        <w:gridCol w:w="1094"/>
      </w:tblGrid>
      <w:tr>
        <w:trPr>
          <w:trHeight w:val="392" w:hRule="exact"/>
        </w:trPr>
        <w:tc>
          <w:tcPr>
            <w:tcW w:w="469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8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2" w:hRule="exact"/>
        </w:trPr>
        <w:tc>
          <w:tcPr>
            <w:tcW w:w="4697" w:type="dxa"/>
            <w:vMerge/>
            <w:tcBorders>
              <w:left w:val="nil" w:sz="6" w:space="0" w:color="auto"/>
              <w:right w:val="single" w:sz="4" w:space="0" w:color="000000"/>
            </w:tcBorders>
          </w:tcPr>
          <w:p>
            <w:pP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3" w:hRule="exact"/>
        </w:trPr>
        <w:tc>
          <w:tcPr>
            <w:tcW w:w="4697"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4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50"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、单项金额重大并单项计提坏账准备的应收账款</w:t>
            </w:r>
          </w:p>
        </w:tc>
        <w:tc>
          <w:tcPr>
            <w:tcW w:w="1474" w:type="dxa"/>
            <w:tcBorders>
              <w:top w:val="single" w:sz="4" w:space="0" w:color="000000"/>
              <w:left w:val="single" w:sz="4" w:space="0" w:color="000000"/>
              <w:bottom w:val="nil" w:sz="6" w:space="0" w:color="auto"/>
              <w:right w:val="single" w:sz="4" w:space="0" w:color="000000"/>
            </w:tcBorders>
          </w:tcPr>
          <w:p>
            <w:pPr/>
          </w:p>
        </w:tc>
        <w:tc>
          <w:tcPr>
            <w:tcW w:w="1068" w:type="dxa"/>
            <w:tcBorders>
              <w:top w:val="single" w:sz="4" w:space="0" w:color="000000"/>
              <w:left w:val="single" w:sz="4" w:space="0" w:color="000000"/>
              <w:bottom w:val="nil" w:sz="6" w:space="0" w:color="auto"/>
              <w:right w:val="single" w:sz="4" w:space="0" w:color="000000"/>
            </w:tcBorders>
          </w:tcPr>
          <w:p>
            <w:pPr/>
          </w:p>
        </w:tc>
        <w:tc>
          <w:tcPr>
            <w:tcW w:w="164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nil" w:sz="6" w:space="0" w:color="auto"/>
            </w:tcBorders>
          </w:tcPr>
          <w:p>
            <w:pPr/>
          </w:p>
        </w:tc>
      </w:tr>
      <w:tr>
        <w:trPr>
          <w:trHeight w:val="377"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、按组合计提坏账准备的应收账款：</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86,170,388.74</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96.65</w:t>
            </w:r>
          </w:p>
        </w:tc>
        <w:tc>
          <w:tcPr>
            <w:tcW w:w="164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586" w:right="0"/>
              <w:jc w:val="left"/>
              <w:rPr>
                <w:rFonts w:ascii="Times New Roman" w:hAnsi="Times New Roman" w:cs="Times New Roman" w:eastAsia="Times New Roman" w:hint="default"/>
                <w:sz w:val="18"/>
                <w:szCs w:val="18"/>
              </w:rPr>
            </w:pPr>
            <w:r>
              <w:rPr>
                <w:rFonts w:ascii="Times New Roman"/>
                <w:sz w:val="18"/>
              </w:rPr>
              <w:t>6,618,386.28</w:t>
            </w:r>
          </w:p>
        </w:tc>
        <w:tc>
          <w:tcPr>
            <w:tcW w:w="109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4"/>
              <w:jc w:val="center"/>
              <w:rPr>
                <w:rFonts w:ascii="Times New Roman" w:hAnsi="Times New Roman" w:cs="Times New Roman" w:eastAsia="Times New Roman" w:hint="default"/>
                <w:sz w:val="18"/>
                <w:szCs w:val="18"/>
              </w:rPr>
            </w:pPr>
            <w:r>
              <w:rPr>
                <w:rFonts w:ascii="Times New Roman"/>
                <w:sz w:val="18"/>
              </w:rPr>
              <w:t>75.20</w:t>
            </w:r>
          </w:p>
        </w:tc>
      </w:tr>
      <w:tr>
        <w:trPr>
          <w:trHeight w:val="299"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、单项金额不重大但单项计提坏账准备的应收账款</w:t>
            </w:r>
          </w:p>
        </w:tc>
        <w:tc>
          <w:tcPr>
            <w:tcW w:w="1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2,985,976.27</w:t>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3.35</w:t>
            </w:r>
          </w:p>
        </w:tc>
        <w:tc>
          <w:tcPr>
            <w:tcW w:w="16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2"/>
              <w:ind w:left="586" w:right="0"/>
              <w:jc w:val="left"/>
              <w:rPr>
                <w:rFonts w:ascii="Times New Roman" w:hAnsi="Times New Roman" w:cs="Times New Roman" w:eastAsia="Times New Roman" w:hint="default"/>
                <w:sz w:val="18"/>
                <w:szCs w:val="18"/>
              </w:rPr>
            </w:pPr>
            <w:r>
              <w:rPr>
                <w:rFonts w:ascii="Times New Roman"/>
                <w:sz w:val="18"/>
              </w:rPr>
              <w:t>2,182,887.09</w:t>
            </w:r>
          </w:p>
        </w:tc>
        <w:tc>
          <w:tcPr>
            <w:tcW w:w="1094" w:type="dxa"/>
            <w:tcBorders>
              <w:top w:val="nil" w:sz="6" w:space="0" w:color="auto"/>
              <w:left w:val="single" w:sz="4" w:space="0" w:color="000000"/>
              <w:bottom w:val="single" w:sz="4" w:space="0" w:color="000000"/>
              <w:right w:val="nil" w:sz="6" w:space="0" w:color="auto"/>
            </w:tcBorders>
          </w:tcPr>
          <w:p>
            <w:pPr>
              <w:pStyle w:val="TableParagraph"/>
              <w:spacing w:line="240" w:lineRule="auto" w:before="82"/>
              <w:ind w:right="4"/>
              <w:jc w:val="center"/>
              <w:rPr>
                <w:rFonts w:ascii="Times New Roman" w:hAnsi="Times New Roman" w:cs="Times New Roman" w:eastAsia="Times New Roman" w:hint="default"/>
                <w:sz w:val="18"/>
                <w:szCs w:val="18"/>
              </w:rPr>
            </w:pPr>
            <w:r>
              <w:rPr>
                <w:rFonts w:ascii="Times New Roman"/>
                <w:sz w:val="18"/>
              </w:rPr>
              <w:t>24.80</w:t>
            </w:r>
          </w:p>
        </w:tc>
      </w:tr>
      <w:tr>
        <w:trPr>
          <w:trHeight w:val="392"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09"/>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89,156,365.01</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0"/>
              <w:ind w:left="586" w:right="0"/>
              <w:jc w:val="left"/>
              <w:rPr>
                <w:rFonts w:ascii="Times New Roman" w:hAnsi="Times New Roman" w:cs="Times New Roman" w:eastAsia="Times New Roman" w:hint="default"/>
                <w:sz w:val="18"/>
                <w:szCs w:val="18"/>
              </w:rPr>
            </w:pPr>
            <w:r>
              <w:rPr>
                <w:rFonts w:ascii="Times New Roman"/>
                <w:sz w:val="18"/>
              </w:rPr>
              <w:t>8,801,273.37</w:t>
            </w:r>
          </w:p>
        </w:tc>
        <w:tc>
          <w:tcPr>
            <w:tcW w:w="1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0"/>
              <w:ind w:right="2"/>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24" w:lineRule="auto" w:before="65"/>
        <w:ind w:left="674" w:right="4910"/>
        <w:jc w:val="left"/>
      </w:pPr>
      <w:r>
        <w:rPr/>
        <w:pict>
          <v:shape style="position:absolute;margin-left:50.580002pt;margin-top:37.174065pt;width:493.45pt;height:153.8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4"/>
                    <w:gridCol w:w="2287"/>
                    <w:gridCol w:w="1872"/>
                    <w:gridCol w:w="2656"/>
                  </w:tblGrid>
                  <w:tr>
                    <w:trPr>
                      <w:trHeight w:val="392"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5"/>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83"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2"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439"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21"/>
                            <w:szCs w:val="21"/>
                          </w:rPr>
                        </w:pPr>
                        <w:r>
                          <w:rPr>
                            <w:rFonts w:ascii="Times New Roman"/>
                            <w:spacing w:val="-1"/>
                            <w:sz w:val="21"/>
                          </w:rPr>
                          <w:t>127,470,960.27</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83.24</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21"/>
                            <w:szCs w:val="21"/>
                          </w:rPr>
                        </w:pPr>
                        <w:r>
                          <w:rPr>
                            <w:rFonts w:ascii="Times New Roman"/>
                            <w:spacing w:val="-1"/>
                            <w:sz w:val="21"/>
                          </w:rPr>
                          <w:t>6,373,548.03</w:t>
                        </w:r>
                      </w:p>
                    </w:tc>
                  </w:tr>
                  <w:tr>
                    <w:trPr>
                      <w:trHeight w:val="372"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pacing w:val="-1"/>
                            <w:sz w:val="21"/>
                          </w:rPr>
                          <w:t>10,120,548.29</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6.61</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21"/>
                            <w:szCs w:val="21"/>
                          </w:rPr>
                        </w:pPr>
                        <w:r>
                          <w:rPr>
                            <w:rFonts w:ascii="Times New Roman"/>
                            <w:spacing w:val="-1"/>
                            <w:sz w:val="21"/>
                          </w:rPr>
                          <w:t>1,012,054.83</w:t>
                        </w:r>
                      </w:p>
                    </w:tc>
                  </w:tr>
                  <w:tr>
                    <w:trPr>
                      <w:trHeight w:val="372"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pacing w:val="-1"/>
                            <w:sz w:val="21"/>
                          </w:rPr>
                          <w:t>9,495,141.74</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6.20</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1,899,028.35</w:t>
                        </w:r>
                      </w:p>
                    </w:tc>
                  </w:tr>
                  <w:tr>
                    <w:trPr>
                      <w:trHeight w:val="314"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pacing w:val="-1"/>
                            <w:sz w:val="21"/>
                          </w:rPr>
                          <w:t>5,238,663.93</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3.42</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1,571,599.18</w:t>
                        </w:r>
                      </w:p>
                    </w:tc>
                  </w:tr>
                  <w:tr>
                    <w:trPr>
                      <w:trHeight w:val="393"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66"/>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pacing w:val="-1"/>
                            <w:sz w:val="21"/>
                          </w:rPr>
                          <w:t>152,325,314.23</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99.47</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0"/>
                          <w:ind w:right="106"/>
                          <w:jc w:val="right"/>
                          <w:rPr>
                            <w:rFonts w:ascii="Times New Roman" w:hAnsi="Times New Roman" w:cs="Times New Roman" w:eastAsia="Times New Roman" w:hint="default"/>
                            <w:sz w:val="21"/>
                            <w:szCs w:val="21"/>
                          </w:rPr>
                        </w:pPr>
                        <w:r>
                          <w:rPr>
                            <w:rFonts w:ascii="Times New Roman"/>
                            <w:spacing w:val="-1"/>
                            <w:sz w:val="21"/>
                          </w:rPr>
                          <w:t>10,856,230.39</w:t>
                        </w:r>
                      </w:p>
                    </w:tc>
                  </w:tr>
                </w:tbl>
                <w:p>
                  <w:pPr/>
                </w:p>
              </w:txbxContent>
            </v:textbox>
            <w10:wrap type="none"/>
          </v:shape>
        </w:pict>
      </w:r>
      <w:r>
        <w:rPr/>
        <w:t>应收账款种类的说明： 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3040"/>
        <w:gridCol w:w="2287"/>
        <w:gridCol w:w="1872"/>
        <w:gridCol w:w="2656"/>
      </w:tblGrid>
      <w:tr>
        <w:trPr>
          <w:trHeight w:val="394" w:hRule="exact"/>
        </w:trPr>
        <w:tc>
          <w:tcPr>
            <w:tcW w:w="304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tabs>
                <w:tab w:pos="638" w:val="left" w:leader="none"/>
              </w:tabs>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5"/>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6" w:hRule="exact"/>
        </w:trPr>
        <w:tc>
          <w:tcPr>
            <w:tcW w:w="3040" w:type="dxa"/>
            <w:vMerge/>
            <w:tcBorders>
              <w:left w:val="nil" w:sz="6" w:space="0" w:color="auto"/>
              <w:right w:val="single" w:sz="6" w:space="0" w:color="000000"/>
            </w:tcBorders>
          </w:tcPr>
          <w:p>
            <w:pPr/>
          </w:p>
        </w:tc>
        <w:tc>
          <w:tcPr>
            <w:tcW w:w="41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8" w:hRule="exact"/>
        </w:trPr>
        <w:tc>
          <w:tcPr>
            <w:tcW w:w="3040" w:type="dxa"/>
            <w:vMerge/>
            <w:tcBorders>
              <w:left w:val="nil" w:sz="6" w:space="0" w:color="auto"/>
              <w:bottom w:val="single" w:sz="6" w:space="0" w:color="000000"/>
              <w:right w:val="single" w:sz="6" w:space="0" w:color="000000"/>
            </w:tcBorders>
          </w:tcPr>
          <w:p>
            <w:pPr/>
          </w:p>
        </w:tc>
        <w:tc>
          <w:tcPr>
            <w:tcW w:w="2287" w:type="dxa"/>
            <w:tcBorders>
              <w:top w:val="single" w:sz="6" w:space="0" w:color="000000"/>
              <w:left w:val="single" w:sz="6" w:space="0" w:color="000000"/>
              <w:bottom w:val="single" w:sz="6" w:space="0" w:color="000000"/>
              <w:right w:val="single" w:sz="6" w:space="0" w:color="000000"/>
            </w:tcBorders>
          </w:tcPr>
          <w:p>
            <w:pPr>
              <w:pStyle w:val="TableParagraph"/>
              <w:tabs>
                <w:tab w:pos="423" w:val="left" w:leader="none"/>
              </w:tabs>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6" w:space="0" w:color="000000"/>
              <w:bottom w:val="single" w:sz="6" w:space="0" w:color="000000"/>
              <w:right w:val="nil" w:sz="6" w:space="0" w:color="auto"/>
            </w:tcBorders>
          </w:tcPr>
          <w:p>
            <w:pPr/>
          </w:p>
        </w:tc>
      </w:tr>
      <w:tr>
        <w:trPr>
          <w:trHeight w:val="379" w:hRule="exact"/>
        </w:trPr>
        <w:tc>
          <w:tcPr>
            <w:tcW w:w="3040" w:type="dxa"/>
            <w:tcBorders>
              <w:top w:val="single" w:sz="6" w:space="0" w:color="000000"/>
              <w:left w:val="nil" w:sz="6" w:space="0" w:color="auto"/>
              <w:bottom w:val="nil" w:sz="6" w:space="0" w:color="auto"/>
              <w:right w:val="single" w:sz="6" w:space="0" w:color="000000"/>
            </w:tcBorders>
          </w:tcPr>
          <w:p>
            <w:pPr>
              <w:pStyle w:val="TableParagraph"/>
              <w:spacing w:line="240" w:lineRule="auto" w:before="6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9"/>
              <w:ind w:left="973" w:right="0"/>
              <w:jc w:val="left"/>
              <w:rPr>
                <w:rFonts w:ascii="Times New Roman" w:hAnsi="Times New Roman" w:cs="Times New Roman" w:eastAsia="Times New Roman" w:hint="default"/>
                <w:sz w:val="21"/>
                <w:szCs w:val="21"/>
              </w:rPr>
            </w:pPr>
            <w:r>
              <w:rPr>
                <w:rFonts w:ascii="Times New Roman"/>
                <w:sz w:val="21"/>
              </w:rPr>
              <w:t>62,711,598.89</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70.34</w:t>
            </w:r>
          </w:p>
        </w:tc>
        <w:tc>
          <w:tcPr>
            <w:tcW w:w="2656" w:type="dxa"/>
            <w:tcBorders>
              <w:top w:val="single" w:sz="6" w:space="0" w:color="000000"/>
              <w:left w:val="single" w:sz="6" w:space="0" w:color="000000"/>
              <w:bottom w:val="nil" w:sz="6" w:space="0" w:color="auto"/>
              <w:right w:val="nil" w:sz="6" w:space="0" w:color="auto"/>
            </w:tcBorders>
          </w:tcPr>
          <w:p>
            <w:pPr>
              <w:pStyle w:val="TableParagraph"/>
              <w:spacing w:line="240" w:lineRule="auto" w:before="129"/>
              <w:ind w:left="1436" w:right="0"/>
              <w:jc w:val="left"/>
              <w:rPr>
                <w:rFonts w:ascii="Times New Roman" w:hAnsi="Times New Roman" w:cs="Times New Roman" w:eastAsia="Times New Roman" w:hint="default"/>
                <w:sz w:val="21"/>
                <w:szCs w:val="21"/>
              </w:rPr>
            </w:pPr>
            <w:r>
              <w:rPr>
                <w:rFonts w:ascii="Times New Roman"/>
                <w:sz w:val="21"/>
              </w:rPr>
              <w:t>3,135,579.94</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200" w:bottom="1180" w:left="880" w:right="80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054"/>
        <w:gridCol w:w="2287"/>
        <w:gridCol w:w="1872"/>
        <w:gridCol w:w="2656"/>
      </w:tblGrid>
      <w:tr>
        <w:trPr>
          <w:trHeight w:val="442" w:hRule="exact"/>
        </w:trPr>
        <w:tc>
          <w:tcPr>
            <w:tcW w:w="3054" w:type="dxa"/>
            <w:tcBorders>
              <w:top w:val="single" w:sz="6" w:space="0" w:color="000000"/>
              <w:left w:val="nil" w:sz="6" w:space="0" w:color="auto"/>
              <w:bottom w:val="nil" w:sz="6" w:space="0" w:color="auto"/>
              <w:right w:val="single" w:sz="6"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9"/>
              <w:ind w:right="97"/>
              <w:jc w:val="right"/>
              <w:rPr>
                <w:rFonts w:ascii="Times New Roman" w:hAnsi="Times New Roman" w:cs="Times New Roman" w:eastAsia="Times New Roman" w:hint="default"/>
                <w:sz w:val="21"/>
                <w:szCs w:val="21"/>
              </w:rPr>
            </w:pPr>
            <w:r>
              <w:rPr>
                <w:rFonts w:ascii="Times New Roman"/>
                <w:spacing w:val="-1"/>
                <w:sz w:val="21"/>
              </w:rPr>
              <w:t>16,633,708.93</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18.65</w:t>
            </w:r>
          </w:p>
        </w:tc>
        <w:tc>
          <w:tcPr>
            <w:tcW w:w="2656" w:type="dxa"/>
            <w:tcBorders>
              <w:top w:val="single" w:sz="6" w:space="0" w:color="000000"/>
              <w:left w:val="single" w:sz="6" w:space="0" w:color="000000"/>
              <w:bottom w:val="nil" w:sz="6" w:space="0" w:color="auto"/>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21"/>
                <w:szCs w:val="21"/>
              </w:rPr>
            </w:pPr>
            <w:r>
              <w:rPr>
                <w:rFonts w:ascii="Times New Roman"/>
                <w:spacing w:val="-1"/>
                <w:sz w:val="21"/>
              </w:rPr>
              <w:t>1,663,370.89</w:t>
            </w:r>
          </w:p>
        </w:tc>
      </w:tr>
      <w:tr>
        <w:trPr>
          <w:trHeight w:val="372"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97"/>
              <w:jc w:val="right"/>
              <w:rPr>
                <w:rFonts w:ascii="Times New Roman" w:hAnsi="Times New Roman" w:cs="Times New Roman" w:eastAsia="Times New Roman" w:hint="default"/>
                <w:sz w:val="21"/>
                <w:szCs w:val="21"/>
              </w:rPr>
            </w:pPr>
            <w:r>
              <w:rPr>
                <w:rFonts w:ascii="Times New Roman"/>
                <w:spacing w:val="-1"/>
                <w:sz w:val="21"/>
              </w:rPr>
              <w:t>2,280,888.38</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1"/>
              <w:jc w:val="center"/>
              <w:rPr>
                <w:rFonts w:ascii="Times New Roman" w:hAnsi="Times New Roman" w:cs="Times New Roman" w:eastAsia="Times New Roman" w:hint="default"/>
                <w:sz w:val="21"/>
                <w:szCs w:val="21"/>
              </w:rPr>
            </w:pPr>
            <w:r>
              <w:rPr>
                <w:rFonts w:ascii="Times New Roman"/>
                <w:sz w:val="21"/>
              </w:rPr>
              <w:t>2.56</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67"/>
              <w:ind w:right="109"/>
              <w:jc w:val="right"/>
              <w:rPr>
                <w:rFonts w:ascii="Times New Roman" w:hAnsi="Times New Roman" w:cs="Times New Roman" w:eastAsia="Times New Roman" w:hint="default"/>
                <w:sz w:val="21"/>
                <w:szCs w:val="21"/>
              </w:rPr>
            </w:pPr>
            <w:r>
              <w:rPr>
                <w:rFonts w:ascii="Times New Roman"/>
                <w:spacing w:val="-1"/>
                <w:sz w:val="21"/>
              </w:rPr>
              <w:t>456,177.68</w:t>
            </w:r>
            <w:r>
              <w:rPr>
                <w:rFonts w:ascii="Times New Roman"/>
                <w:sz w:val="21"/>
              </w:rPr>
            </w:r>
          </w:p>
        </w:tc>
      </w:tr>
      <w:tr>
        <w:trPr>
          <w:trHeight w:val="317" w:hRule="exact"/>
        </w:trPr>
        <w:tc>
          <w:tcPr>
            <w:tcW w:w="3054" w:type="dxa"/>
            <w:tcBorders>
              <w:top w:val="nil" w:sz="6" w:space="0" w:color="auto"/>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7"/>
              <w:ind w:right="96"/>
              <w:jc w:val="right"/>
              <w:rPr>
                <w:rFonts w:ascii="Times New Roman" w:hAnsi="Times New Roman" w:cs="Times New Roman" w:eastAsia="Times New Roman" w:hint="default"/>
                <w:sz w:val="21"/>
                <w:szCs w:val="21"/>
              </w:rPr>
            </w:pPr>
            <w:r>
              <w:rPr>
                <w:rFonts w:ascii="Times New Roman"/>
                <w:spacing w:val="-1"/>
                <w:sz w:val="21"/>
              </w:rPr>
              <w:t>4,544,192.54</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5.10</w:t>
            </w:r>
          </w:p>
        </w:tc>
        <w:tc>
          <w:tcPr>
            <w:tcW w:w="2656" w:type="dxa"/>
            <w:tcBorders>
              <w:top w:val="nil" w:sz="6" w:space="0" w:color="auto"/>
              <w:left w:val="single" w:sz="6" w:space="0" w:color="000000"/>
              <w:bottom w:val="single" w:sz="6"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1,363,257.77</w:t>
            </w:r>
          </w:p>
        </w:tc>
      </w:tr>
      <w:tr>
        <w:trPr>
          <w:trHeight w:val="394" w:hRule="exact"/>
        </w:trPr>
        <w:tc>
          <w:tcPr>
            <w:tcW w:w="3054"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65"/>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97"/>
              <w:jc w:val="right"/>
              <w:rPr>
                <w:rFonts w:ascii="Times New Roman" w:hAnsi="Times New Roman" w:cs="Times New Roman" w:eastAsia="Times New Roman" w:hint="default"/>
                <w:sz w:val="21"/>
                <w:szCs w:val="21"/>
              </w:rPr>
            </w:pPr>
            <w:r>
              <w:rPr>
                <w:rFonts w:ascii="Times New Roman"/>
                <w:spacing w:val="-1"/>
                <w:sz w:val="21"/>
              </w:rPr>
              <w:t>86,170,388.74</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left="1" w:right="0"/>
              <w:jc w:val="center"/>
              <w:rPr>
                <w:rFonts w:ascii="Times New Roman" w:hAnsi="Times New Roman" w:cs="Times New Roman" w:eastAsia="Times New Roman" w:hint="default"/>
                <w:sz w:val="21"/>
                <w:szCs w:val="21"/>
              </w:rPr>
            </w:pPr>
            <w:r>
              <w:rPr>
                <w:rFonts w:ascii="Times New Roman"/>
                <w:sz w:val="21"/>
              </w:rPr>
              <w:t>96.65</w:t>
            </w:r>
          </w:p>
        </w:tc>
        <w:tc>
          <w:tcPr>
            <w:tcW w:w="2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21"/>
                <w:szCs w:val="21"/>
              </w:rPr>
            </w:pPr>
            <w:r>
              <w:rPr>
                <w:rFonts w:ascii="Times New Roman"/>
                <w:spacing w:val="-1"/>
                <w:sz w:val="21"/>
              </w:rPr>
              <w:t>6,618,386.28</w:t>
            </w:r>
          </w:p>
        </w:tc>
      </w:tr>
    </w:tbl>
    <w:p>
      <w:pPr>
        <w:pStyle w:val="BodyText"/>
        <w:spacing w:line="240" w:lineRule="auto" w:before="76"/>
        <w:ind w:left="549" w:right="101"/>
        <w:jc w:val="left"/>
      </w:pPr>
      <w:r>
        <w:rPr/>
        <w:t>期末单项金额虽不重大但单项计提坏账准备的应收款项：</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322"/>
        <w:gridCol w:w="1544"/>
        <w:gridCol w:w="1546"/>
        <w:gridCol w:w="1238"/>
        <w:gridCol w:w="2219"/>
      </w:tblGrid>
      <w:tr>
        <w:trPr>
          <w:trHeight w:val="404" w:hRule="exact"/>
        </w:trPr>
        <w:tc>
          <w:tcPr>
            <w:tcW w:w="33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6"/>
              <w:ind w:left="1037"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3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3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6"/>
              <w:ind w:left="19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2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68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57" w:hRule="exact"/>
        </w:trPr>
        <w:tc>
          <w:tcPr>
            <w:tcW w:w="3322" w:type="dxa"/>
            <w:tcBorders>
              <w:top w:val="single" w:sz="4" w:space="0" w:color="000000"/>
              <w:left w:val="nil" w:sz="6" w:space="0" w:color="auto"/>
              <w:bottom w:val="nil" w:sz="6" w:space="0" w:color="auto"/>
              <w:right w:val="single" w:sz="6" w:space="0" w:color="000000"/>
            </w:tcBorders>
          </w:tcPr>
          <w:p>
            <w:pPr>
              <w:pStyle w:val="TableParagraph"/>
              <w:spacing w:line="240" w:lineRule="auto" w:before="77"/>
              <w:ind w:left="122" w:right="0"/>
              <w:jc w:val="left"/>
              <w:rPr>
                <w:rFonts w:ascii="宋体" w:hAnsi="宋体" w:cs="宋体" w:eastAsia="宋体" w:hint="default"/>
                <w:sz w:val="21"/>
                <w:szCs w:val="21"/>
              </w:rPr>
            </w:pPr>
            <w:r>
              <w:rPr>
                <w:rFonts w:ascii="宋体" w:hAnsi="宋体" w:cs="宋体" w:eastAsia="宋体" w:hint="default"/>
                <w:sz w:val="21"/>
                <w:szCs w:val="21"/>
              </w:rPr>
              <w:t>新疆吐哈石油大厦</w:t>
            </w:r>
          </w:p>
        </w:tc>
        <w:tc>
          <w:tcPr>
            <w:tcW w:w="154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1"/>
              <w:ind w:left="292" w:right="0"/>
              <w:jc w:val="left"/>
              <w:rPr>
                <w:rFonts w:ascii="Times New Roman" w:hAnsi="Times New Roman" w:cs="Times New Roman" w:eastAsia="Times New Roman" w:hint="default"/>
                <w:sz w:val="21"/>
                <w:szCs w:val="21"/>
              </w:rPr>
            </w:pPr>
            <w:r>
              <w:rPr>
                <w:rFonts w:ascii="Times New Roman"/>
                <w:sz w:val="21"/>
              </w:rPr>
              <w:t>231,400.00</w:t>
            </w:r>
          </w:p>
        </w:tc>
        <w:tc>
          <w:tcPr>
            <w:tcW w:w="154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1"/>
              <w:ind w:left="291" w:right="0"/>
              <w:jc w:val="left"/>
              <w:rPr>
                <w:rFonts w:ascii="Times New Roman" w:hAnsi="Times New Roman" w:cs="Times New Roman" w:eastAsia="Times New Roman" w:hint="default"/>
                <w:sz w:val="21"/>
                <w:szCs w:val="21"/>
              </w:rPr>
            </w:pPr>
            <w:r>
              <w:rPr>
                <w:rFonts w:ascii="Times New Roman"/>
                <w:sz w:val="21"/>
              </w:rPr>
              <w:t>231,400.00</w:t>
            </w:r>
          </w:p>
        </w:tc>
        <w:tc>
          <w:tcPr>
            <w:tcW w:w="123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1"/>
              <w:ind w:left="233"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single" w:sz="4" w:space="0" w:color="000000"/>
              <w:left w:val="single" w:sz="6" w:space="0" w:color="000000"/>
              <w:bottom w:val="nil" w:sz="6" w:space="0" w:color="auto"/>
              <w:right w:val="nil" w:sz="6" w:space="0" w:color="auto"/>
            </w:tcBorders>
          </w:tcPr>
          <w:p>
            <w:pPr>
              <w:pStyle w:val="TableParagraph"/>
              <w:spacing w:line="240" w:lineRule="auto" w:before="77"/>
              <w:ind w:left="310"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招行信用卡中心</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22,550.00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22,550.00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中行盘城分行</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7" w:right="0"/>
              <w:jc w:val="left"/>
              <w:rPr>
                <w:rFonts w:ascii="Times New Roman" w:hAnsi="Times New Roman" w:cs="Times New Roman" w:eastAsia="Times New Roman" w:hint="default"/>
                <w:sz w:val="21"/>
                <w:szCs w:val="21"/>
              </w:rPr>
            </w:pPr>
            <w:r>
              <w:rPr>
                <w:rFonts w:ascii="Times New Roman"/>
                <w:sz w:val="21"/>
              </w:rPr>
              <w:t>4,000.00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6" w:right="0"/>
              <w:jc w:val="left"/>
              <w:rPr>
                <w:rFonts w:ascii="Times New Roman" w:hAnsi="Times New Roman" w:cs="Times New Roman" w:eastAsia="Times New Roman" w:hint="default"/>
                <w:sz w:val="21"/>
                <w:szCs w:val="21"/>
              </w:rPr>
            </w:pPr>
            <w:r>
              <w:rPr>
                <w:rFonts w:ascii="Times New Roman"/>
                <w:sz w:val="21"/>
              </w:rPr>
              <w:t>4,000.00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3"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南京力导电子公司</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70,000.00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70,000.00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中国银联天津分公司</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30,000.00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30,000.00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宁波中行</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7" w:right="0"/>
              <w:jc w:val="left"/>
              <w:rPr>
                <w:rFonts w:ascii="Times New Roman" w:hAnsi="Times New Roman" w:cs="Times New Roman" w:eastAsia="Times New Roman" w:hint="default"/>
                <w:sz w:val="21"/>
                <w:szCs w:val="21"/>
              </w:rPr>
            </w:pPr>
            <w:r>
              <w:rPr>
                <w:rFonts w:ascii="Times New Roman"/>
                <w:sz w:val="21"/>
              </w:rPr>
              <w:t>3,000.00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6" w:right="0"/>
              <w:jc w:val="left"/>
              <w:rPr>
                <w:rFonts w:ascii="Times New Roman" w:hAnsi="Times New Roman" w:cs="Times New Roman" w:eastAsia="Times New Roman" w:hint="default"/>
                <w:sz w:val="21"/>
                <w:szCs w:val="21"/>
              </w:rPr>
            </w:pPr>
            <w:r>
              <w:rPr>
                <w:rFonts w:ascii="Times New Roman"/>
                <w:sz w:val="21"/>
              </w:rPr>
              <w:t>3,000.00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3"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银商陕西分公司</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10,000.00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10,000.00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银商科技股份有限公司</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31,500.00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31,500.00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上海银联</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92" w:right="0"/>
              <w:jc w:val="left"/>
              <w:rPr>
                <w:rFonts w:ascii="Times New Roman" w:hAnsi="Times New Roman" w:cs="Times New Roman" w:eastAsia="Times New Roman" w:hint="default"/>
                <w:sz w:val="21"/>
                <w:szCs w:val="21"/>
              </w:rPr>
            </w:pPr>
            <w:r>
              <w:rPr>
                <w:rFonts w:ascii="Times New Roman"/>
                <w:sz w:val="21"/>
              </w:rPr>
              <w:t>239,200.00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91" w:right="0"/>
              <w:jc w:val="left"/>
              <w:rPr>
                <w:rFonts w:ascii="Times New Roman" w:hAnsi="Times New Roman" w:cs="Times New Roman" w:eastAsia="Times New Roman" w:hint="default"/>
                <w:sz w:val="21"/>
                <w:szCs w:val="21"/>
              </w:rPr>
            </w:pPr>
            <w:r>
              <w:rPr>
                <w:rFonts w:ascii="Times New Roman"/>
                <w:sz w:val="21"/>
              </w:rPr>
              <w:t>239,200.00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3"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金建公司</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39,500.00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39,500.00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上海朝华</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15,000.00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15,000.00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北京家乐福</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7" w:right="0"/>
              <w:jc w:val="left"/>
              <w:rPr>
                <w:rFonts w:ascii="Times New Roman" w:hAnsi="Times New Roman" w:cs="Times New Roman" w:eastAsia="Times New Roman" w:hint="default"/>
                <w:sz w:val="21"/>
                <w:szCs w:val="21"/>
              </w:rPr>
            </w:pPr>
            <w:r>
              <w:rPr>
                <w:rFonts w:ascii="Times New Roman"/>
                <w:sz w:val="21"/>
              </w:rPr>
              <w:t>3,000.00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6" w:right="0"/>
              <w:jc w:val="left"/>
              <w:rPr>
                <w:rFonts w:ascii="Times New Roman" w:hAnsi="Times New Roman" w:cs="Times New Roman" w:eastAsia="Times New Roman" w:hint="default"/>
                <w:sz w:val="21"/>
                <w:szCs w:val="21"/>
              </w:rPr>
            </w:pPr>
            <w:r>
              <w:rPr>
                <w:rFonts w:ascii="Times New Roman"/>
                <w:sz w:val="21"/>
              </w:rPr>
              <w:t>3,000.00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3"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成都家乐福</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21,718.00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21,718.00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建行湖州分行</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476" w:right="0"/>
              <w:jc w:val="left"/>
              <w:rPr>
                <w:rFonts w:ascii="Times New Roman" w:hAnsi="Times New Roman" w:cs="Times New Roman" w:eastAsia="Times New Roman" w:hint="default"/>
                <w:sz w:val="21"/>
                <w:szCs w:val="21"/>
              </w:rPr>
            </w:pPr>
            <w:r>
              <w:rPr>
                <w:rFonts w:ascii="Times New Roman"/>
                <w:sz w:val="21"/>
              </w:rPr>
              <w:t>200.00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476" w:right="0"/>
              <w:jc w:val="left"/>
              <w:rPr>
                <w:rFonts w:ascii="Times New Roman" w:hAnsi="Times New Roman" w:cs="Times New Roman" w:eastAsia="Times New Roman" w:hint="default"/>
                <w:sz w:val="21"/>
                <w:szCs w:val="21"/>
              </w:rPr>
            </w:pPr>
            <w:r>
              <w:rPr>
                <w:rFonts w:ascii="Times New Roman"/>
                <w:sz w:val="21"/>
              </w:rPr>
              <w:t>200.00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8"/>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84" w:hRule="exact"/>
        </w:trPr>
        <w:tc>
          <w:tcPr>
            <w:tcW w:w="3322" w:type="dxa"/>
            <w:tcBorders>
              <w:top w:val="nil" w:sz="6" w:space="0" w:color="auto"/>
              <w:left w:val="nil" w:sz="6" w:space="0" w:color="auto"/>
              <w:bottom w:val="nil" w:sz="6" w:space="0" w:color="auto"/>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徐州中央百货大楼</w:t>
            </w:r>
          </w:p>
        </w:tc>
        <w:tc>
          <w:tcPr>
            <w:tcW w:w="1544"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7" w:right="0"/>
              <w:jc w:val="left"/>
              <w:rPr>
                <w:rFonts w:ascii="Times New Roman" w:hAnsi="Times New Roman" w:cs="Times New Roman" w:eastAsia="Times New Roman" w:hint="default"/>
                <w:sz w:val="21"/>
                <w:szCs w:val="21"/>
              </w:rPr>
            </w:pPr>
            <w:r>
              <w:rPr>
                <w:rFonts w:ascii="Times New Roman"/>
                <w:sz w:val="21"/>
              </w:rPr>
              <w:t>6,474.00</w:t>
            </w:r>
          </w:p>
        </w:tc>
        <w:tc>
          <w:tcPr>
            <w:tcW w:w="1546"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396" w:right="0"/>
              <w:jc w:val="left"/>
              <w:rPr>
                <w:rFonts w:ascii="Times New Roman" w:hAnsi="Times New Roman" w:cs="Times New Roman" w:eastAsia="Times New Roman" w:hint="default"/>
                <w:sz w:val="21"/>
                <w:szCs w:val="21"/>
              </w:rPr>
            </w:pPr>
            <w:r>
              <w:rPr>
                <w:rFonts w:ascii="Times New Roman"/>
                <w:sz w:val="21"/>
              </w:rPr>
              <w:t>6,474.00</w:t>
            </w:r>
          </w:p>
        </w:tc>
        <w:tc>
          <w:tcPr>
            <w:tcW w:w="1238"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233"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nil" w:sz="6" w:space="0" w:color="auto"/>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24" w:hRule="exact"/>
        </w:trPr>
        <w:tc>
          <w:tcPr>
            <w:tcW w:w="3322" w:type="dxa"/>
            <w:tcBorders>
              <w:top w:val="nil" w:sz="6" w:space="0" w:color="auto"/>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银联厦门分公司</w:t>
            </w:r>
          </w:p>
        </w:tc>
        <w:tc>
          <w:tcPr>
            <w:tcW w:w="15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80,000.00</w:t>
            </w:r>
          </w:p>
        </w:tc>
        <w:tc>
          <w:tcPr>
            <w:tcW w:w="15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3"/>
              <w:ind w:left="344" w:right="0"/>
              <w:jc w:val="left"/>
              <w:rPr>
                <w:rFonts w:ascii="Times New Roman" w:hAnsi="Times New Roman" w:cs="Times New Roman" w:eastAsia="Times New Roman" w:hint="default"/>
                <w:sz w:val="21"/>
                <w:szCs w:val="21"/>
              </w:rPr>
            </w:pPr>
            <w:r>
              <w:rPr>
                <w:rFonts w:ascii="Times New Roman"/>
                <w:sz w:val="21"/>
              </w:rPr>
              <w:t>80,000.00</w:t>
            </w:r>
          </w:p>
        </w:tc>
        <w:tc>
          <w:tcPr>
            <w:tcW w:w="12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3"/>
              <w:ind w:left="235" w:right="0"/>
              <w:jc w:val="left"/>
              <w:rPr>
                <w:rFonts w:ascii="Times New Roman" w:hAnsi="Times New Roman" w:cs="Times New Roman" w:eastAsia="Times New Roman" w:hint="default"/>
                <w:sz w:val="21"/>
                <w:szCs w:val="21"/>
              </w:rPr>
            </w:pPr>
            <w:r>
              <w:rPr>
                <w:rFonts w:ascii="Times New Roman"/>
                <w:sz w:val="21"/>
              </w:rPr>
              <w:t>100.00%</w:t>
            </w:r>
          </w:p>
        </w:tc>
        <w:tc>
          <w:tcPr>
            <w:tcW w:w="2219" w:type="dxa"/>
            <w:tcBorders>
              <w:top w:val="nil" w:sz="6" w:space="0" w:color="auto"/>
              <w:left w:val="single" w:sz="6" w:space="0" w:color="000000"/>
              <w:bottom w:val="single" w:sz="6" w:space="0" w:color="000000"/>
              <w:right w:val="nil" w:sz="6" w:space="0" w:color="auto"/>
            </w:tcBorders>
          </w:tcPr>
          <w:p>
            <w:pPr>
              <w:pStyle w:val="TableParagraph"/>
              <w:spacing w:line="240" w:lineRule="auto" w:before="9"/>
              <w:ind w:right="477"/>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06" w:hRule="exact"/>
        </w:trPr>
        <w:tc>
          <w:tcPr>
            <w:tcW w:w="3322" w:type="dxa"/>
            <w:tcBorders>
              <w:top w:val="single" w:sz="6"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76"/>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left="484" w:right="0"/>
              <w:jc w:val="left"/>
              <w:rPr>
                <w:rFonts w:ascii="Times New Roman" w:hAnsi="Times New Roman" w:cs="Times New Roman" w:eastAsia="Times New Roman" w:hint="default"/>
                <w:sz w:val="21"/>
                <w:szCs w:val="21"/>
              </w:rPr>
            </w:pPr>
            <w:r>
              <w:rPr>
                <w:rFonts w:ascii="Times New Roman"/>
                <w:sz w:val="21"/>
              </w:rPr>
              <w:t>807,542.00</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left="484" w:right="0"/>
              <w:jc w:val="left"/>
              <w:rPr>
                <w:rFonts w:ascii="Times New Roman" w:hAnsi="Times New Roman" w:cs="Times New Roman" w:eastAsia="Times New Roman" w:hint="default"/>
                <w:sz w:val="21"/>
                <w:szCs w:val="21"/>
              </w:rPr>
            </w:pPr>
            <w:r>
              <w:rPr>
                <w:rFonts w:ascii="Times New Roman"/>
                <w:sz w:val="21"/>
              </w:rPr>
              <w:t>807,542.00</w:t>
            </w:r>
          </w:p>
        </w:tc>
        <w:tc>
          <w:tcPr>
            <w:tcW w:w="1238" w:type="dxa"/>
            <w:tcBorders>
              <w:top w:val="single" w:sz="6" w:space="0" w:color="000000"/>
              <w:left w:val="single" w:sz="6" w:space="0" w:color="000000"/>
              <w:bottom w:val="single" w:sz="12" w:space="0" w:color="000000"/>
              <w:right w:val="single" w:sz="6" w:space="0" w:color="000000"/>
            </w:tcBorders>
          </w:tcPr>
          <w:p>
            <w:pPr/>
          </w:p>
        </w:tc>
        <w:tc>
          <w:tcPr>
            <w:tcW w:w="221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76"/>
        <w:ind w:left="654" w:right="101"/>
        <w:jc w:val="left"/>
      </w:pPr>
      <w:r>
        <w:rPr/>
        <w:t>（</w:t>
      </w:r>
      <w:r>
        <w:rPr>
          <w:rFonts w:ascii="Times New Roman" w:hAnsi="Times New Roman" w:cs="Times New Roman" w:eastAsia="Times New Roman" w:hint="default"/>
        </w:rPr>
        <w:t>2</w:t>
      </w:r>
      <w:r>
        <w:rPr/>
        <w:t>）应收账款按币种列示如下：</w:t>
      </w:r>
    </w:p>
    <w:tbl>
      <w:tblPr>
        <w:tblW w:w="0" w:type="auto"/>
        <w:jc w:val="left"/>
        <w:tblInd w:w="111"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404"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1441" w:val="left" w:leader="none"/>
              </w:tabs>
              <w:spacing w:line="240" w:lineRule="auto"/>
              <w:ind w:left="8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95" w:hRule="exact"/>
        </w:trPr>
        <w:tc>
          <w:tcPr>
            <w:tcW w:w="2446" w:type="dxa"/>
            <w:vMerge/>
            <w:tcBorders>
              <w:left w:val="nil" w:sz="6" w:space="0" w:color="auto"/>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69" w:hRule="exact"/>
        </w:trPr>
        <w:tc>
          <w:tcPr>
            <w:tcW w:w="2446" w:type="dxa"/>
            <w:tcBorders>
              <w:top w:val="single" w:sz="4" w:space="0" w:color="000000"/>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0"/>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112,701,284.40</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0"/>
              <w:ind w:left="1"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140"/>
              <w:ind w:right="106"/>
              <w:jc w:val="right"/>
              <w:rPr>
                <w:rFonts w:ascii="Times New Roman" w:hAnsi="Times New Roman" w:cs="Times New Roman" w:eastAsia="Times New Roman" w:hint="default"/>
                <w:sz w:val="21"/>
                <w:szCs w:val="21"/>
              </w:rPr>
            </w:pPr>
            <w:r>
              <w:rPr>
                <w:rFonts w:ascii="Times New Roman"/>
                <w:spacing w:val="-1"/>
                <w:sz w:val="21"/>
              </w:rPr>
              <w:t>112,701,284.40</w:t>
            </w:r>
          </w:p>
        </w:tc>
      </w:tr>
      <w:tr>
        <w:trPr>
          <w:trHeight w:val="384"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USD</w:t>
            </w:r>
          </w:p>
        </w:tc>
        <w:tc>
          <w:tcPr>
            <w:tcW w:w="1855" w:type="dxa"/>
            <w:tcBorders>
              <w:top w:val="nil" w:sz="6" w:space="0" w:color="auto"/>
              <w:left w:val="single" w:sz="4" w:space="0" w:color="000000"/>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nil" w:sz="6" w:space="0" w:color="auto"/>
            </w:tcBorders>
          </w:tcPr>
          <w:p>
            <w:pPr/>
          </w:p>
        </w:tc>
      </w:tr>
      <w:tr>
        <w:trPr>
          <w:trHeight w:val="384"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15,645,795.48</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0.85090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13,313,007.37</w:t>
            </w:r>
          </w:p>
        </w:tc>
      </w:tr>
      <w:tr>
        <w:trPr>
          <w:trHeight w:val="384"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256,708.36</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5.12785</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1,316,361.96</w:t>
            </w:r>
          </w:p>
        </w:tc>
      </w:tr>
      <w:tr>
        <w:trPr>
          <w:trHeight w:val="371"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75,747.23</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1"/>
                <w:szCs w:val="21"/>
              </w:rPr>
            </w:pPr>
            <w:r>
              <w:rPr>
                <w:rFonts w:ascii="Times New Roman"/>
                <w:sz w:val="21"/>
              </w:rPr>
              <w:t>2.15000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162,856.54</w:t>
            </w:r>
          </w:p>
        </w:tc>
      </w:tr>
      <w:tr>
        <w:trPr>
          <w:trHeight w:val="397"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21"/>
                <w:szCs w:val="21"/>
              </w:rPr>
            </w:pPr>
            <w:r>
              <w:rPr>
                <w:rFonts w:ascii="Times New Roman"/>
                <w:spacing w:val="-1"/>
                <w:sz w:val="21"/>
              </w:rPr>
              <w:t>127,493,510.27</w:t>
            </w:r>
          </w:p>
        </w:tc>
      </w:tr>
      <w:tr>
        <w:trPr>
          <w:trHeight w:val="384"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8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10,304,548.29</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10,304,548.29</w:t>
            </w:r>
          </w:p>
        </w:tc>
      </w:tr>
      <w:tr>
        <w:trPr>
          <w:trHeight w:val="371"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4" w:space="0" w:color="000000"/>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21"/>
                <w:szCs w:val="21"/>
              </w:rPr>
            </w:pPr>
            <w:r>
              <w:rPr>
                <w:rFonts w:ascii="Times New Roman"/>
                <w:spacing w:val="-1"/>
                <w:sz w:val="21"/>
              </w:rPr>
              <w:t>10,304,548.29</w:t>
            </w:r>
          </w:p>
        </w:tc>
      </w:tr>
      <w:tr>
        <w:trPr>
          <w:trHeight w:val="319" w:hRule="exact"/>
        </w:trPr>
        <w:tc>
          <w:tcPr>
            <w:tcW w:w="2446" w:type="dxa"/>
            <w:tcBorders>
              <w:top w:val="nil" w:sz="6" w:space="0" w:color="auto"/>
              <w:left w:val="nil" w:sz="6" w:space="0" w:color="auto"/>
              <w:bottom w:val="single" w:sz="12" w:space="0" w:color="000000"/>
              <w:right w:val="single" w:sz="4" w:space="0" w:color="000000"/>
            </w:tcBorders>
          </w:tcPr>
          <w:p>
            <w:pPr>
              <w:pStyle w:val="TableParagraph"/>
              <w:spacing w:line="28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9,724,141.74</w:t>
            </w:r>
          </w:p>
        </w:tc>
        <w:tc>
          <w:tcPr>
            <w:tcW w:w="18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9,724,141.74</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411" w:hRule="exact"/>
        </w:trPr>
        <w:tc>
          <w:tcPr>
            <w:tcW w:w="2446" w:type="dxa"/>
            <w:vMerge w:val="restart"/>
            <w:tcBorders>
              <w:top w:val="single" w:sz="18"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1441" w:val="left" w:leader="none"/>
              </w:tabs>
              <w:spacing w:line="240" w:lineRule="auto"/>
              <w:ind w:left="8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8"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94" w:hRule="exact"/>
        </w:trPr>
        <w:tc>
          <w:tcPr>
            <w:tcW w:w="2446" w:type="dxa"/>
            <w:vMerge/>
            <w:tcBorders>
              <w:left w:val="nil" w:sz="6" w:space="0" w:color="auto"/>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70" w:hRule="exact"/>
        </w:trPr>
        <w:tc>
          <w:tcPr>
            <w:tcW w:w="24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21"/>
                <w:szCs w:val="21"/>
              </w:rPr>
            </w:pPr>
            <w:r>
              <w:rPr>
                <w:rFonts w:ascii="Times New Roman"/>
                <w:spacing w:val="-1"/>
                <w:sz w:val="21"/>
              </w:rPr>
              <w:t>9,724,141.74</w:t>
            </w:r>
          </w:p>
        </w:tc>
      </w:tr>
      <w:tr>
        <w:trPr>
          <w:trHeight w:val="371" w:hRule="exact"/>
        </w:trPr>
        <w:tc>
          <w:tcPr>
            <w:tcW w:w="2446" w:type="dxa"/>
            <w:vMerge/>
            <w:tcBorders>
              <w:left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5,610,655.93</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1.00000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5,610,655.93</w:t>
            </w:r>
          </w:p>
        </w:tc>
      </w:tr>
      <w:tr>
        <w:trPr>
          <w:trHeight w:val="322" w:hRule="exact"/>
        </w:trPr>
        <w:tc>
          <w:tcPr>
            <w:tcW w:w="2446" w:type="dxa"/>
            <w:vMerge/>
            <w:tcBorders>
              <w:left w:val="nil" w:sz="6" w:space="0" w:color="auto"/>
              <w:bottom w:val="single" w:sz="4" w:space="0" w:color="000000"/>
              <w:right w:val="single" w:sz="4" w:space="0" w:color="000000"/>
            </w:tcBorders>
          </w:tcPr>
          <w:p>
            <w:pP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21"/>
                <w:szCs w:val="21"/>
              </w:rPr>
            </w:pPr>
            <w:r>
              <w:rPr>
                <w:rFonts w:ascii="Times New Roman"/>
                <w:spacing w:val="-1"/>
                <w:sz w:val="21"/>
              </w:rPr>
              <w:t>5,610,655.93</w:t>
            </w:r>
          </w:p>
        </w:tc>
      </w:tr>
      <w:tr>
        <w:trPr>
          <w:trHeight w:val="404"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41" w:val="left" w:leader="none"/>
              </w:tabs>
              <w:spacing w:line="240" w:lineRule="auto" w:before="76"/>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w w:val="95"/>
                <w:sz w:val="21"/>
                <w:szCs w:val="21"/>
              </w:rPr>
              <w:t>——</w:t>
            </w:r>
            <w:r>
              <w:rPr>
                <w:rFonts w:ascii="Times New Roman" w:hAnsi="Times New Roman" w:cs="Times New Roman" w:eastAsia="Times New Roman" w:hint="default"/>
                <w:w w:val="95"/>
                <w:sz w:val="21"/>
                <w:szCs w:val="21"/>
              </w:rPr>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21"/>
                <w:szCs w:val="21"/>
              </w:rPr>
            </w:pPr>
            <w:r>
              <w:rPr>
                <w:rFonts w:ascii="Times New Roman"/>
                <w:spacing w:val="-1"/>
                <w:sz w:val="21"/>
              </w:rPr>
              <w:t>153,132,856.23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421" w:hRule="exact"/>
        </w:trPr>
        <w:tc>
          <w:tcPr>
            <w:tcW w:w="244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tabs>
                <w:tab w:pos="1441" w:val="left" w:leader="none"/>
              </w:tabs>
              <w:spacing w:line="240" w:lineRule="auto"/>
              <w:ind w:left="8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9" w:hRule="exact"/>
        </w:trPr>
        <w:tc>
          <w:tcPr>
            <w:tcW w:w="2446" w:type="dxa"/>
            <w:vMerge/>
            <w:tcBorders>
              <w:left w:val="nil" w:sz="6" w:space="0" w:color="auto"/>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60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95" w:hRule="exact"/>
        </w:trPr>
        <w:tc>
          <w:tcPr>
            <w:tcW w:w="2446" w:type="dxa"/>
            <w:tcBorders>
              <w:top w:val="single" w:sz="4" w:space="0" w:color="000000"/>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8"/>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21"/>
                <w:szCs w:val="21"/>
              </w:rPr>
            </w:pPr>
            <w:r>
              <w:rPr>
                <w:rFonts w:ascii="Times New Roman"/>
                <w:spacing w:val="-1"/>
                <w:sz w:val="21"/>
              </w:rPr>
              <w:t>55,202,880.19</w:t>
            </w:r>
          </w:p>
        </w:tc>
        <w:tc>
          <w:tcPr>
            <w:tcW w:w="1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single" w:sz="4" w:space="0" w:color="000000"/>
              <w:left w:val="single" w:sz="4" w:space="0" w:color="000000"/>
              <w:bottom w:val="nil" w:sz="6" w:space="0" w:color="auto"/>
              <w:right w:val="nil" w:sz="6" w:space="0" w:color="auto"/>
            </w:tcBorders>
          </w:tcPr>
          <w:p>
            <w:pPr>
              <w:pStyle w:val="TableParagraph"/>
              <w:spacing w:line="240" w:lineRule="auto" w:before="158"/>
              <w:ind w:right="105"/>
              <w:jc w:val="right"/>
              <w:rPr>
                <w:rFonts w:ascii="Times New Roman" w:hAnsi="Times New Roman" w:cs="Times New Roman" w:eastAsia="Times New Roman" w:hint="default"/>
                <w:sz w:val="21"/>
                <w:szCs w:val="21"/>
              </w:rPr>
            </w:pPr>
            <w:r>
              <w:rPr>
                <w:rFonts w:ascii="Times New Roman"/>
                <w:spacing w:val="-1"/>
                <w:sz w:val="21"/>
              </w:rPr>
              <w:t>55,202,880.19</w:t>
            </w:r>
          </w:p>
        </w:tc>
      </w:tr>
      <w:tr>
        <w:trPr>
          <w:trHeight w:val="40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USD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1"/>
                <w:szCs w:val="21"/>
              </w:rPr>
            </w:pPr>
            <w:r>
              <w:rPr>
                <w:rFonts w:ascii="Times New Roman"/>
                <w:spacing w:val="-1"/>
                <w:sz w:val="21"/>
              </w:rPr>
              <w:t>291,492.40</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1"/>
                <w:szCs w:val="21"/>
              </w:rPr>
            </w:pPr>
            <w:r>
              <w:rPr>
                <w:rFonts w:ascii="Times New Roman"/>
                <w:spacing w:val="-1"/>
                <w:sz w:val="21"/>
              </w:rPr>
              <w:t>6.8282</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1,994,692.55</w:t>
            </w:r>
          </w:p>
        </w:tc>
      </w:tr>
      <w:tr>
        <w:trPr>
          <w:trHeight w:val="40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pacing w:val="-1"/>
                <w:sz w:val="21"/>
              </w:rPr>
              <w:t>5,182,278.56</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pacing w:val="-1"/>
                <w:sz w:val="21"/>
              </w:rPr>
              <w:t>0.8805</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21"/>
                <w:szCs w:val="21"/>
              </w:rPr>
            </w:pPr>
            <w:r>
              <w:rPr>
                <w:rFonts w:ascii="Times New Roman"/>
                <w:spacing w:val="-1"/>
                <w:sz w:val="21"/>
              </w:rPr>
              <w:t>4,562,892.63</w:t>
            </w:r>
          </w:p>
        </w:tc>
      </w:tr>
      <w:tr>
        <w:trPr>
          <w:trHeight w:val="400"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400,233.53</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4.8656</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21"/>
                <w:szCs w:val="21"/>
              </w:rPr>
            </w:pPr>
            <w:r>
              <w:rPr>
                <w:rFonts w:ascii="Times New Roman"/>
                <w:spacing w:val="-1"/>
                <w:sz w:val="21"/>
              </w:rPr>
              <w:t>1,948,403.71</w:t>
            </w:r>
          </w:p>
        </w:tc>
      </w:tr>
      <w:tr>
        <w:trPr>
          <w:trHeight w:val="387"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21"/>
                <w:szCs w:val="21"/>
              </w:rPr>
            </w:pPr>
            <w:r>
              <w:rPr>
                <w:rFonts w:ascii="Times New Roman"/>
                <w:spacing w:val="-1"/>
                <w:sz w:val="21"/>
              </w:rPr>
              <w:t>240,469.00</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1"/>
                <w:szCs w:val="21"/>
              </w:rPr>
            </w:pPr>
            <w:r>
              <w:rPr>
                <w:rFonts w:ascii="Times New Roman"/>
                <w:spacing w:val="-1"/>
                <w:sz w:val="21"/>
              </w:rPr>
              <w:t>1.9954</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479,838.63</w:t>
            </w:r>
            <w:r>
              <w:rPr>
                <w:rFonts w:ascii="Times New Roman"/>
                <w:sz w:val="21"/>
              </w:rPr>
            </w:r>
          </w:p>
        </w:tc>
      </w:tr>
      <w:tr>
        <w:trPr>
          <w:trHeight w:val="413"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1"/>
                <w:sz w:val="21"/>
              </w:rPr>
              <w:t>64,188,707.71</w:t>
            </w:r>
          </w:p>
        </w:tc>
      </w:tr>
      <w:tr>
        <w:trPr>
          <w:trHeight w:val="400"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pacing w:val="-1"/>
                <w:sz w:val="21"/>
              </w:rPr>
              <w:t>16,313,839.00</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16,313,839.00</w:t>
            </w:r>
          </w:p>
        </w:tc>
      </w:tr>
      <w:tr>
        <w:trPr>
          <w:trHeight w:val="387"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21"/>
                <w:szCs w:val="21"/>
              </w:rPr>
            </w:pPr>
            <w:r>
              <w:rPr>
                <w:rFonts w:ascii="Times New Roman"/>
                <w:spacing w:val="-1"/>
                <w:sz w:val="21"/>
              </w:rPr>
              <w:t>363,290.40</w:t>
            </w:r>
            <w:r>
              <w:rPr>
                <w:rFonts w:ascii="Times New Roman"/>
                <w:sz w:val="21"/>
              </w:rPr>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1"/>
                <w:szCs w:val="21"/>
              </w:rPr>
            </w:pPr>
            <w:r>
              <w:rPr>
                <w:rFonts w:ascii="Times New Roman"/>
                <w:spacing w:val="-1"/>
                <w:sz w:val="21"/>
              </w:rPr>
              <w:t>0.8805</w:t>
            </w:r>
            <w:r>
              <w:rPr>
                <w:rFonts w:ascii="Times New Roman"/>
                <w:sz w:val="21"/>
              </w:rPr>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21"/>
                <w:szCs w:val="21"/>
              </w:rPr>
            </w:pPr>
            <w:r>
              <w:rPr>
                <w:rFonts w:ascii="Times New Roman"/>
                <w:spacing w:val="-1"/>
                <w:sz w:val="21"/>
              </w:rPr>
              <w:t>319,869.93</w:t>
            </w:r>
            <w:r>
              <w:rPr>
                <w:rFonts w:ascii="Times New Roman"/>
                <w:sz w:val="21"/>
              </w:rPr>
            </w:r>
          </w:p>
        </w:tc>
      </w:tr>
      <w:tr>
        <w:trPr>
          <w:trHeight w:val="413"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1"/>
                <w:sz w:val="21"/>
              </w:rPr>
              <w:t>16,633,708.93</w:t>
            </w:r>
          </w:p>
        </w:tc>
      </w:tr>
      <w:tr>
        <w:trPr>
          <w:trHeight w:val="387"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2,280,888.38</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21"/>
                <w:szCs w:val="21"/>
              </w:rPr>
            </w:pPr>
            <w:r>
              <w:rPr>
                <w:rFonts w:ascii="Times New Roman"/>
                <w:spacing w:val="-1"/>
                <w:sz w:val="21"/>
              </w:rPr>
              <w:t>2,280,888.38</w:t>
            </w:r>
          </w:p>
        </w:tc>
      </w:tr>
      <w:tr>
        <w:trPr>
          <w:trHeight w:val="413" w:hRule="exact"/>
        </w:trPr>
        <w:tc>
          <w:tcPr>
            <w:tcW w:w="2446" w:type="dxa"/>
            <w:tcBorders>
              <w:top w:val="nil" w:sz="6" w:space="0" w:color="auto"/>
              <w:left w:val="nil" w:sz="6" w:space="0" w:color="auto"/>
              <w:bottom w:val="nil" w:sz="6" w:space="0" w:color="auto"/>
              <w:right w:val="single" w:sz="4" w:space="0" w:color="000000"/>
            </w:tcBorders>
          </w:tcPr>
          <w:p>
            <w:pP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1"/>
                <w:sz w:val="21"/>
              </w:rPr>
              <w:t>2,280,888.38</w:t>
            </w:r>
          </w:p>
        </w:tc>
      </w:tr>
      <w:tr>
        <w:trPr>
          <w:trHeight w:val="387" w:hRule="exact"/>
        </w:trPr>
        <w:tc>
          <w:tcPr>
            <w:tcW w:w="2446"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1"/>
                <w:szCs w:val="21"/>
              </w:rPr>
            </w:pPr>
            <w:r>
              <w:rPr>
                <w:rFonts w:ascii="Times New Roman"/>
                <w:spacing w:val="-1"/>
                <w:sz w:val="21"/>
              </w:rPr>
              <w:t>6,053,059.99</w:t>
            </w:r>
          </w:p>
        </w:tc>
        <w:tc>
          <w:tcPr>
            <w:tcW w:w="1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855"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pacing w:val="-1"/>
                <w:sz w:val="21"/>
              </w:rPr>
              <w:t>6,053,059.99</w:t>
            </w:r>
          </w:p>
        </w:tc>
      </w:tr>
      <w:tr>
        <w:trPr>
          <w:trHeight w:val="329" w:hRule="exact"/>
        </w:trPr>
        <w:tc>
          <w:tcPr>
            <w:tcW w:w="2446" w:type="dxa"/>
            <w:tcBorders>
              <w:top w:val="nil" w:sz="6" w:space="0" w:color="auto"/>
              <w:left w:val="nil" w:sz="6" w:space="0" w:color="auto"/>
              <w:bottom w:val="single" w:sz="4" w:space="0" w:color="000000"/>
              <w:right w:val="single" w:sz="4" w:space="0" w:color="000000"/>
            </w:tcBorders>
          </w:tcPr>
          <w:p>
            <w:pP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4" w:space="0" w:color="000000"/>
              <w:bottom w:val="single"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21"/>
                <w:szCs w:val="21"/>
              </w:rPr>
            </w:pPr>
            <w:r>
              <w:rPr>
                <w:rFonts w:ascii="Times New Roman"/>
                <w:spacing w:val="-1"/>
                <w:sz w:val="21"/>
              </w:rPr>
              <w:t>6,053,059.99</w:t>
            </w:r>
          </w:p>
        </w:tc>
      </w:tr>
      <w:tr>
        <w:trPr>
          <w:trHeight w:val="421" w:hRule="exact"/>
        </w:trPr>
        <w:tc>
          <w:tcPr>
            <w:tcW w:w="2446" w:type="dxa"/>
            <w:tcBorders>
              <w:top w:val="single" w:sz="4" w:space="0" w:color="000000"/>
              <w:left w:val="nil" w:sz="6" w:space="0" w:color="auto"/>
              <w:bottom w:val="single" w:sz="12" w:space="0" w:color="000000"/>
              <w:right w:val="single" w:sz="4" w:space="0" w:color="000000"/>
            </w:tcBorders>
          </w:tcPr>
          <w:p>
            <w:pPr>
              <w:pStyle w:val="TableParagraph"/>
              <w:tabs>
                <w:tab w:pos="1441" w:val="left" w:leader="none"/>
              </w:tabs>
              <w:spacing w:line="240" w:lineRule="auto" w:before="93"/>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right="105"/>
              <w:jc w:val="right"/>
              <w:rPr>
                <w:rFonts w:ascii="Times New Roman" w:hAnsi="Times New Roman" w:cs="Times New Roman" w:eastAsia="Times New Roman" w:hint="default"/>
                <w:sz w:val="21"/>
                <w:szCs w:val="21"/>
              </w:rPr>
            </w:pPr>
            <w:r>
              <w:rPr>
                <w:rFonts w:ascii="Times New Roman"/>
                <w:spacing w:val="-1"/>
                <w:sz w:val="21"/>
              </w:rPr>
              <w:t>89,156,365.01</w:t>
            </w:r>
          </w:p>
        </w:tc>
      </w:tr>
    </w:tbl>
    <w:p>
      <w:pPr>
        <w:pStyle w:val="BodyText"/>
        <w:spacing w:line="240" w:lineRule="auto" w:before="93"/>
        <w:ind w:left="549" w:right="101"/>
        <w:jc w:val="left"/>
      </w:pPr>
      <w:r>
        <w:rPr/>
        <w:t>（</w:t>
      </w:r>
      <w:r>
        <w:rPr>
          <w:rFonts w:ascii="Times New Roman" w:hAnsi="Times New Roman" w:cs="Times New Roman" w:eastAsia="Times New Roman" w:hint="default"/>
        </w:rPr>
        <w:t>3</w:t>
      </w:r>
      <w:r>
        <w:rPr/>
        <w:t>）本报告期实际核销的应收账款情况</w:t>
      </w:r>
    </w:p>
    <w:tbl>
      <w:tblPr>
        <w:tblW w:w="0" w:type="auto"/>
        <w:jc w:val="left"/>
        <w:tblInd w:w="126" w:type="dxa"/>
        <w:tblLayout w:type="fixed"/>
        <w:tblCellMar>
          <w:top w:w="0" w:type="dxa"/>
          <w:left w:w="0" w:type="dxa"/>
          <w:bottom w:w="0" w:type="dxa"/>
          <w:right w:w="0" w:type="dxa"/>
        </w:tblCellMar>
        <w:tblLook w:val="01E0"/>
      </w:tblPr>
      <w:tblGrid>
        <w:gridCol w:w="4348"/>
        <w:gridCol w:w="1391"/>
        <w:gridCol w:w="1327"/>
        <w:gridCol w:w="1188"/>
        <w:gridCol w:w="1586"/>
      </w:tblGrid>
      <w:tr>
        <w:trPr>
          <w:trHeight w:val="820" w:hRule="exact"/>
        </w:trPr>
        <w:tc>
          <w:tcPr>
            <w:tcW w:w="4348"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1" w:type="dxa"/>
            <w:tcBorders>
              <w:top w:val="single" w:sz="12" w:space="0" w:color="000000"/>
              <w:left w:val="single" w:sz="2" w:space="0" w:color="000000"/>
              <w:bottom w:val="single" w:sz="4" w:space="0" w:color="000000"/>
              <w:right w:val="single" w:sz="2" w:space="0" w:color="000000"/>
            </w:tcBorders>
          </w:tcPr>
          <w:p>
            <w:pPr>
              <w:pStyle w:val="TableParagraph"/>
              <w:spacing w:line="400" w:lineRule="exact" w:before="27"/>
              <w:ind w:left="512" w:right="331"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327"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188"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86" w:type="dxa"/>
            <w:tcBorders>
              <w:top w:val="single" w:sz="12" w:space="0" w:color="000000"/>
              <w:left w:val="single" w:sz="2" w:space="0" w:color="000000"/>
              <w:bottom w:val="single" w:sz="4" w:space="0" w:color="000000"/>
              <w:right w:val="nil" w:sz="6" w:space="0" w:color="auto"/>
            </w:tcBorders>
          </w:tcPr>
          <w:p>
            <w:pPr>
              <w:pStyle w:val="TableParagraph"/>
              <w:spacing w:line="400" w:lineRule="exact" w:before="27"/>
              <w:ind w:left="430" w:right="341"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496" w:hRule="exact"/>
        </w:trPr>
        <w:tc>
          <w:tcPr>
            <w:tcW w:w="4348" w:type="dxa"/>
            <w:tcBorders>
              <w:top w:val="single" w:sz="4" w:space="0" w:color="000000"/>
              <w:left w:val="nil" w:sz="6" w:space="0" w:color="auto"/>
              <w:bottom w:val="nil" w:sz="6" w:space="0" w:color="auto"/>
              <w:right w:val="single" w:sz="2" w:space="0" w:color="000000"/>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哈尔滨国际会展体育中心</w:t>
            </w:r>
          </w:p>
        </w:tc>
        <w:tc>
          <w:tcPr>
            <w:tcW w:w="1391"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36"/>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1,508,867.45</w:t>
            </w:r>
          </w:p>
        </w:tc>
        <w:tc>
          <w:tcPr>
            <w:tcW w:w="118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single" w:sz="4" w:space="0" w:color="000000"/>
              <w:left w:val="single" w:sz="2" w:space="0" w:color="000000"/>
              <w:bottom w:val="nil" w:sz="6" w:space="0" w:color="auto"/>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天津松江（梅江南）国际俱乐部</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6,000.00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上海圣贤居宾馆</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z w:val="18"/>
              </w:rPr>
              <w:t>5,000.00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江西宜春（月兔集团）阳光大酒店</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4,000.00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北京龙鼎华酒店</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3,500.00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北京娃哈哈大酒家有限公司</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z w:val="18"/>
              </w:rPr>
              <w:t>300.00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北京城市开发集团有限责任公司丽亭华苑酒店</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550.00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广州威斯汀酒店</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1,692.00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8" w:hRule="exact"/>
        </w:trPr>
        <w:tc>
          <w:tcPr>
            <w:tcW w:w="4348" w:type="dxa"/>
            <w:tcBorders>
              <w:top w:val="nil" w:sz="6" w:space="0" w:color="auto"/>
              <w:left w:val="nil" w:sz="6" w:space="0" w:color="auto"/>
              <w:bottom w:val="nil" w:sz="6" w:space="0" w:color="auto"/>
              <w:right w:val="single" w:sz="2"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香格里拉大酒店（广州琶洲）有限公司</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left="332"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z w:val="18"/>
              </w:rPr>
              <w:t>3,000.00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362"/>
        <w:gridCol w:w="1391"/>
        <w:gridCol w:w="1327"/>
        <w:gridCol w:w="1188"/>
        <w:gridCol w:w="1586"/>
      </w:tblGrid>
      <w:tr>
        <w:trPr>
          <w:trHeight w:val="504" w:hRule="exact"/>
        </w:trPr>
        <w:tc>
          <w:tcPr>
            <w:tcW w:w="4362" w:type="dxa"/>
            <w:vMerge w:val="restart"/>
            <w:tcBorders>
              <w:top w:val="single" w:sz="18"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1" w:type="dxa"/>
            <w:tcBorders>
              <w:top w:val="single" w:sz="18" w:space="0" w:color="000000"/>
              <w:left w:val="single" w:sz="2" w:space="0" w:color="000000"/>
              <w:bottom w:val="nil" w:sz="6" w:space="0" w:color="auto"/>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vMerge w:val="restart"/>
            <w:tcBorders>
              <w:top w:val="single" w:sz="18"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188" w:type="dxa"/>
            <w:vMerge w:val="restart"/>
            <w:tcBorders>
              <w:top w:val="single" w:sz="18"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6" w:type="dxa"/>
            <w:vMerge w:val="restart"/>
            <w:tcBorders>
              <w:top w:val="single" w:sz="18" w:space="0" w:color="000000"/>
              <w:left w:val="single" w:sz="2" w:space="0" w:color="000000"/>
              <w:right w:val="nil" w:sz="6" w:space="0" w:color="auto"/>
            </w:tcBorders>
          </w:tcPr>
          <w:p>
            <w:pPr>
              <w:pStyle w:val="TableParagraph"/>
              <w:spacing w:line="400" w:lineRule="exact" w:before="26"/>
              <w:ind w:left="430" w:right="341"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323" w:hRule="exact"/>
        </w:trPr>
        <w:tc>
          <w:tcPr>
            <w:tcW w:w="4362" w:type="dxa"/>
            <w:vMerge/>
            <w:tcBorders>
              <w:left w:val="nil" w:sz="6" w:space="0" w:color="auto"/>
              <w:bottom w:val="single" w:sz="4" w:space="0" w:color="000000"/>
              <w:right w:val="single" w:sz="2" w:space="0" w:color="000000"/>
            </w:tcBorders>
          </w:tcPr>
          <w:p>
            <w:pPr/>
          </w:p>
        </w:tc>
        <w:tc>
          <w:tcPr>
            <w:tcW w:w="1391"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1327" w:type="dxa"/>
            <w:vMerge/>
            <w:tcBorders>
              <w:left w:val="single" w:sz="2" w:space="0" w:color="000000"/>
              <w:bottom w:val="single" w:sz="4" w:space="0" w:color="000000"/>
              <w:right w:val="single" w:sz="2" w:space="0" w:color="000000"/>
            </w:tcBorders>
          </w:tcPr>
          <w:p>
            <w:pPr/>
          </w:p>
        </w:tc>
        <w:tc>
          <w:tcPr>
            <w:tcW w:w="1188" w:type="dxa"/>
            <w:vMerge/>
            <w:tcBorders>
              <w:left w:val="single" w:sz="2" w:space="0" w:color="000000"/>
              <w:bottom w:val="single" w:sz="4" w:space="0" w:color="000000"/>
              <w:right w:val="single" w:sz="2" w:space="0" w:color="000000"/>
            </w:tcBorders>
          </w:tcPr>
          <w:p>
            <w:pPr/>
          </w:p>
        </w:tc>
        <w:tc>
          <w:tcPr>
            <w:tcW w:w="1586" w:type="dxa"/>
            <w:vMerge/>
            <w:tcBorders>
              <w:left w:val="single" w:sz="2" w:space="0" w:color="000000"/>
              <w:bottom w:val="single" w:sz="4" w:space="0" w:color="000000"/>
              <w:right w:val="nil" w:sz="6" w:space="0" w:color="auto"/>
            </w:tcBorders>
          </w:tcPr>
          <w:p>
            <w:pPr/>
          </w:p>
        </w:tc>
      </w:tr>
      <w:tr>
        <w:trPr>
          <w:trHeight w:val="496" w:hRule="exact"/>
        </w:trPr>
        <w:tc>
          <w:tcPr>
            <w:tcW w:w="4362" w:type="dxa"/>
            <w:tcBorders>
              <w:top w:val="single" w:sz="4" w:space="0" w:color="000000"/>
              <w:left w:val="nil" w:sz="6" w:space="0" w:color="auto"/>
              <w:bottom w:val="nil" w:sz="6" w:space="0" w:color="auto"/>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北京江南赋餐饮管理有限责任公司</w:t>
            </w:r>
          </w:p>
        </w:tc>
        <w:tc>
          <w:tcPr>
            <w:tcW w:w="1391"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400.00</w:t>
            </w:r>
          </w:p>
        </w:tc>
        <w:tc>
          <w:tcPr>
            <w:tcW w:w="1188" w:type="dxa"/>
            <w:tcBorders>
              <w:top w:val="single" w:sz="4" w:space="0" w:color="000000"/>
              <w:left w:val="single" w:sz="2" w:space="0" w:color="000000"/>
              <w:bottom w:val="nil" w:sz="6" w:space="0" w:color="auto"/>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single" w:sz="4" w:space="0" w:color="000000"/>
              <w:left w:val="single" w:sz="2" w:space="0" w:color="000000"/>
              <w:bottom w:val="nil" w:sz="6" w:space="0" w:color="auto"/>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62" w:type="dxa"/>
            <w:tcBorders>
              <w:top w:val="nil" w:sz="6" w:space="0" w:color="auto"/>
              <w:left w:val="nil" w:sz="6" w:space="0" w:color="auto"/>
              <w:bottom w:val="nil" w:sz="6" w:space="0" w:color="auto"/>
              <w:right w:val="single" w:sz="2"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北京恒香栈餐饮有限公司</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7.00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4362" w:type="dxa"/>
            <w:tcBorders>
              <w:top w:val="nil" w:sz="6" w:space="0" w:color="auto"/>
              <w:left w:val="nil" w:sz="6" w:space="0" w:color="auto"/>
              <w:bottom w:val="nil" w:sz="6" w:space="0" w:color="auto"/>
              <w:right w:val="single" w:sz="2"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北京鹿港小镇店霄云路店</w:t>
            </w:r>
          </w:p>
        </w:tc>
        <w:tc>
          <w:tcPr>
            <w:tcW w:w="1391"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nil" w:sz="6" w:space="0" w:color="auto"/>
              <w:right w:val="single" w:sz="2"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z w:val="18"/>
              </w:rPr>
              <w:t>350.00</w:t>
            </w:r>
          </w:p>
        </w:tc>
        <w:tc>
          <w:tcPr>
            <w:tcW w:w="1188" w:type="dxa"/>
            <w:tcBorders>
              <w:top w:val="nil" w:sz="6" w:space="0" w:color="auto"/>
              <w:left w:val="single" w:sz="2" w:space="0" w:color="000000"/>
              <w:bottom w:val="nil" w:sz="6" w:space="0" w:color="auto"/>
              <w:right w:val="single" w:sz="2"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nil" w:sz="6" w:space="0" w:color="auto"/>
              <w:right w:val="nil" w:sz="6" w:space="0" w:color="auto"/>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4362" w:type="dxa"/>
            <w:tcBorders>
              <w:top w:val="nil" w:sz="6" w:space="0" w:color="auto"/>
              <w:left w:val="nil" w:sz="6" w:space="0" w:color="auto"/>
              <w:bottom w:val="single" w:sz="4"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大连香格里拉酒店有限公司</w:t>
            </w:r>
          </w:p>
        </w:tc>
        <w:tc>
          <w:tcPr>
            <w:tcW w:w="1391"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327"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1,756.00</w:t>
            </w:r>
          </w:p>
        </w:tc>
        <w:tc>
          <w:tcPr>
            <w:tcW w:w="1188"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86" w:type="dxa"/>
            <w:tcBorders>
              <w:top w:val="nil" w:sz="6" w:space="0" w:color="auto"/>
              <w:left w:val="single" w:sz="2" w:space="0" w:color="000000"/>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1" w:hRule="exact"/>
        </w:trPr>
        <w:tc>
          <w:tcPr>
            <w:tcW w:w="4362" w:type="dxa"/>
            <w:tcBorders>
              <w:top w:val="single" w:sz="4"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137"/>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91" w:type="dxa"/>
            <w:tcBorders>
              <w:top w:val="single" w:sz="4" w:space="0" w:color="000000"/>
              <w:left w:val="single" w:sz="2" w:space="0" w:color="000000"/>
              <w:bottom w:val="single" w:sz="12" w:space="0" w:color="000000"/>
              <w:right w:val="single" w:sz="2" w:space="0" w:color="000000"/>
            </w:tcBorders>
          </w:tcPr>
          <w:p>
            <w:pPr/>
          </w:p>
        </w:tc>
        <w:tc>
          <w:tcPr>
            <w:tcW w:w="1327"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1,535,422.45</w:t>
            </w:r>
          </w:p>
        </w:tc>
        <w:tc>
          <w:tcPr>
            <w:tcW w:w="1188" w:type="dxa"/>
            <w:tcBorders>
              <w:top w:val="single" w:sz="4" w:space="0" w:color="000000"/>
              <w:left w:val="single" w:sz="2" w:space="0" w:color="000000"/>
              <w:bottom w:val="single" w:sz="12" w:space="0" w:color="000000"/>
              <w:right w:val="single" w:sz="2" w:space="0" w:color="000000"/>
            </w:tcBorders>
          </w:tcPr>
          <w:p>
            <w:pPr/>
          </w:p>
        </w:tc>
        <w:tc>
          <w:tcPr>
            <w:tcW w:w="1586" w:type="dxa"/>
            <w:tcBorders>
              <w:top w:val="single" w:sz="4" w:space="0" w:color="000000"/>
              <w:left w:val="single" w:sz="2" w:space="0" w:color="000000"/>
              <w:bottom w:val="single" w:sz="12" w:space="0" w:color="000000"/>
              <w:right w:val="nil" w:sz="6" w:space="0" w:color="auto"/>
            </w:tcBorders>
          </w:tcPr>
          <w:p>
            <w:pPr/>
          </w:p>
        </w:tc>
      </w:tr>
    </w:tbl>
    <w:p>
      <w:pPr>
        <w:pStyle w:val="BodyText"/>
        <w:spacing w:line="240" w:lineRule="auto" w:before="53"/>
        <w:ind w:left="654" w:right="101"/>
        <w:jc w:val="left"/>
      </w:pPr>
      <w:r>
        <w:rPr/>
        <w:t>（</w:t>
      </w:r>
      <w:r>
        <w:rPr>
          <w:rFonts w:ascii="Times New Roman" w:hAnsi="Times New Roman" w:cs="Times New Roman" w:eastAsia="Times New Roman" w:hint="default"/>
        </w:rPr>
        <w:t>4</w:t>
      </w:r>
      <w:r>
        <w:rPr/>
        <w:t>）应收账款中无持公司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69"/>
        <w:ind w:left="654" w:right="101"/>
        <w:jc w:val="left"/>
      </w:pPr>
      <w:r>
        <w:rPr/>
        <w:t>（</w:t>
      </w:r>
      <w:r>
        <w:rPr>
          <w:rFonts w:ascii="Times New Roman" w:hAnsi="Times New Roman" w:cs="Times New Roman" w:eastAsia="Times New Roman" w:hint="default"/>
        </w:rPr>
        <w:t>5</w:t>
      </w:r>
      <w:r>
        <w:rPr/>
        <w:t>）应收账款金额前五名单位情况</w:t>
      </w:r>
    </w:p>
    <w:tbl>
      <w:tblPr>
        <w:tblW w:w="0" w:type="auto"/>
        <w:jc w:val="left"/>
        <w:tblInd w:w="111" w:type="dxa"/>
        <w:tblLayout w:type="fixed"/>
        <w:tblCellMar>
          <w:top w:w="0" w:type="dxa"/>
          <w:left w:w="0" w:type="dxa"/>
          <w:bottom w:w="0" w:type="dxa"/>
          <w:right w:w="0" w:type="dxa"/>
        </w:tblCellMar>
        <w:tblLook w:val="01E0"/>
      </w:tblPr>
      <w:tblGrid>
        <w:gridCol w:w="3968"/>
        <w:gridCol w:w="1210"/>
        <w:gridCol w:w="1816"/>
        <w:gridCol w:w="1212"/>
        <w:gridCol w:w="1663"/>
      </w:tblGrid>
      <w:tr>
        <w:trPr>
          <w:trHeight w:val="740" w:hRule="exact"/>
        </w:trPr>
        <w:tc>
          <w:tcPr>
            <w:tcW w:w="3968"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10" w:type="dxa"/>
            <w:tcBorders>
              <w:top w:val="single" w:sz="12" w:space="0" w:color="000000"/>
              <w:left w:val="single" w:sz="6" w:space="0" w:color="000000"/>
              <w:bottom w:val="single" w:sz="4" w:space="0" w:color="000000"/>
              <w:right w:val="single" w:sz="6" w:space="0" w:color="000000"/>
            </w:tcBorders>
          </w:tcPr>
          <w:p>
            <w:pPr>
              <w:pStyle w:val="TableParagraph"/>
              <w:spacing w:line="360" w:lineRule="exact" w:before="19"/>
              <w:ind w:left="507" w:right="145"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81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1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63" w:type="dxa"/>
            <w:tcBorders>
              <w:top w:val="single" w:sz="12" w:space="0" w:color="000000"/>
              <w:left w:val="single" w:sz="6" w:space="0" w:color="000000"/>
              <w:bottom w:val="single" w:sz="4" w:space="0" w:color="000000"/>
              <w:right w:val="nil" w:sz="6" w:space="0" w:color="auto"/>
            </w:tcBorders>
          </w:tcPr>
          <w:p>
            <w:pPr>
              <w:pStyle w:val="TableParagraph"/>
              <w:spacing w:line="360" w:lineRule="exact" w:before="19"/>
              <w:ind w:left="508" w:right="109"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r>
      <w:tr>
        <w:trPr>
          <w:trHeight w:val="437" w:hRule="exact"/>
        </w:trPr>
        <w:tc>
          <w:tcPr>
            <w:tcW w:w="3968" w:type="dxa"/>
            <w:tcBorders>
              <w:top w:val="single" w:sz="4" w:space="0" w:color="000000"/>
              <w:left w:val="nil" w:sz="6" w:space="0" w:color="auto"/>
              <w:bottom w:val="nil" w:sz="6" w:space="0" w:color="auto"/>
              <w:right w:val="single" w:sz="6"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天津高银国际俱乐部有限公司</w:t>
            </w:r>
          </w:p>
        </w:tc>
        <w:tc>
          <w:tcPr>
            <w:tcW w:w="121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8"/>
              <w:ind w:left="663" w:right="0"/>
              <w:jc w:val="left"/>
              <w:rPr>
                <w:rFonts w:ascii="Times New Roman" w:hAnsi="Times New Roman" w:cs="Times New Roman" w:eastAsia="Times New Roman" w:hint="default"/>
                <w:sz w:val="18"/>
                <w:szCs w:val="18"/>
              </w:rPr>
            </w:pPr>
            <w:r>
              <w:rPr>
                <w:rFonts w:ascii="Times New Roman"/>
                <w:sz w:val="18"/>
              </w:rPr>
              <w:t>14,707,857.00</w:t>
            </w:r>
          </w:p>
        </w:tc>
        <w:tc>
          <w:tcPr>
            <w:tcW w:w="121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3" w:type="dxa"/>
            <w:tcBorders>
              <w:top w:val="single" w:sz="4" w:space="0" w:color="000000"/>
              <w:left w:val="single" w:sz="6" w:space="0" w:color="000000"/>
              <w:bottom w:val="nil" w:sz="6" w:space="0" w:color="auto"/>
              <w:right w:val="nil" w:sz="6" w:space="0" w:color="auto"/>
            </w:tcBorders>
          </w:tcPr>
          <w:p>
            <w:pPr>
              <w:pStyle w:val="TableParagraph"/>
              <w:spacing w:line="240" w:lineRule="auto" w:before="148"/>
              <w:ind w:right="3"/>
              <w:jc w:val="center"/>
              <w:rPr>
                <w:rFonts w:ascii="Times New Roman" w:hAnsi="Times New Roman" w:cs="Times New Roman" w:eastAsia="Times New Roman" w:hint="default"/>
                <w:sz w:val="18"/>
                <w:szCs w:val="18"/>
              </w:rPr>
            </w:pPr>
            <w:r>
              <w:rPr>
                <w:rFonts w:ascii="Times New Roman"/>
                <w:sz w:val="18"/>
              </w:rPr>
              <w:t>9.60</w:t>
            </w:r>
          </w:p>
        </w:tc>
      </w:tr>
      <w:tr>
        <w:trPr>
          <w:trHeight w:val="71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367" w:lineRule="auto" w:before="24"/>
              <w:ind w:left="122" w:right="101"/>
              <w:jc w:val="left"/>
              <w:rPr>
                <w:rFonts w:ascii="宋体" w:hAnsi="宋体" w:cs="宋体" w:eastAsia="宋体" w:hint="default"/>
                <w:sz w:val="18"/>
                <w:szCs w:val="18"/>
              </w:rPr>
            </w:pPr>
            <w:r>
              <w:rPr>
                <w:rFonts w:ascii="宋体" w:hAnsi="宋体" w:cs="宋体" w:eastAsia="宋体" w:hint="default"/>
                <w:spacing w:val="-3"/>
                <w:sz w:val="18"/>
                <w:szCs w:val="18"/>
              </w:rPr>
              <w:t>广东天河城（集团）股份有限公司粤海喜来登酒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店分公司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left="753" w:right="0"/>
              <w:jc w:val="left"/>
              <w:rPr>
                <w:rFonts w:ascii="Times New Roman" w:hAnsi="Times New Roman" w:cs="Times New Roman" w:eastAsia="Times New Roman" w:hint="default"/>
                <w:sz w:val="18"/>
                <w:szCs w:val="18"/>
              </w:rPr>
            </w:pPr>
            <w:r>
              <w:rPr>
                <w:rFonts w:ascii="Times New Roman"/>
                <w:sz w:val="18"/>
              </w:rPr>
              <w:t>3,626,000.00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3"/>
              <w:jc w:val="center"/>
              <w:rPr>
                <w:rFonts w:ascii="Times New Roman" w:hAnsi="Times New Roman" w:cs="Times New Roman" w:eastAsia="Times New Roman" w:hint="default"/>
                <w:sz w:val="18"/>
                <w:szCs w:val="18"/>
              </w:rPr>
            </w:pPr>
            <w:r>
              <w:rPr>
                <w:rFonts w:ascii="Times New Roman"/>
                <w:sz w:val="18"/>
              </w:rPr>
              <w:t>2.37</w:t>
            </w:r>
          </w:p>
        </w:tc>
      </w:tr>
      <w:tr>
        <w:trPr>
          <w:trHeight w:val="37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40" w:lineRule="auto" w:before="86"/>
              <w:ind w:left="122" w:right="0"/>
              <w:jc w:val="left"/>
              <w:rPr>
                <w:rFonts w:ascii="Times New Roman" w:hAnsi="Times New Roman" w:cs="Times New Roman" w:eastAsia="Times New Roman" w:hint="default"/>
                <w:sz w:val="18"/>
                <w:szCs w:val="18"/>
              </w:rPr>
            </w:pPr>
            <w:r>
              <w:rPr>
                <w:rFonts w:ascii="Times New Roman"/>
                <w:sz w:val="18"/>
              </w:rPr>
              <w:t>Maxim's Caterers</w:t>
            </w:r>
            <w:r>
              <w:rPr>
                <w:rFonts w:ascii="Times New Roman"/>
                <w:spacing w:val="-5"/>
                <w:sz w:val="18"/>
              </w:rPr>
              <w:t> </w:t>
            </w:r>
            <w:r>
              <w:rPr>
                <w:rFonts w:ascii="Times New Roman"/>
                <w:sz w:val="18"/>
              </w:rPr>
              <w:t>Limited</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753" w:right="0"/>
              <w:jc w:val="left"/>
              <w:rPr>
                <w:rFonts w:ascii="Times New Roman" w:hAnsi="Times New Roman" w:cs="Times New Roman" w:eastAsia="Times New Roman" w:hint="default"/>
                <w:sz w:val="18"/>
                <w:szCs w:val="18"/>
              </w:rPr>
            </w:pPr>
            <w:r>
              <w:rPr>
                <w:rFonts w:ascii="Times New Roman"/>
                <w:sz w:val="18"/>
              </w:rPr>
              <w:t>2,982,886.65</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86"/>
              <w:ind w:right="3"/>
              <w:jc w:val="center"/>
              <w:rPr>
                <w:rFonts w:ascii="Times New Roman" w:hAnsi="Times New Roman" w:cs="Times New Roman" w:eastAsia="Times New Roman" w:hint="default"/>
                <w:sz w:val="18"/>
                <w:szCs w:val="18"/>
              </w:rPr>
            </w:pPr>
            <w:r>
              <w:rPr>
                <w:rFonts w:ascii="Times New Roman"/>
                <w:sz w:val="18"/>
              </w:rPr>
              <w:t>1.95</w:t>
            </w:r>
          </w:p>
        </w:tc>
      </w:tr>
      <w:tr>
        <w:trPr>
          <w:trHeight w:val="360" w:hRule="exact"/>
        </w:trPr>
        <w:tc>
          <w:tcPr>
            <w:tcW w:w="396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广州市京穗房地产开发有限公司</w:t>
            </w:r>
          </w:p>
        </w:tc>
        <w:tc>
          <w:tcPr>
            <w:tcW w:w="1210"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6"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left="754" w:right="0"/>
              <w:jc w:val="left"/>
              <w:rPr>
                <w:rFonts w:ascii="Times New Roman" w:hAnsi="Times New Roman" w:cs="Times New Roman" w:eastAsia="Times New Roman" w:hint="default"/>
                <w:sz w:val="18"/>
                <w:szCs w:val="18"/>
              </w:rPr>
            </w:pPr>
            <w:r>
              <w:rPr>
                <w:rFonts w:ascii="Times New Roman"/>
                <w:sz w:val="18"/>
              </w:rPr>
              <w:t>2,716,000.00</w:t>
            </w:r>
          </w:p>
        </w:tc>
        <w:tc>
          <w:tcPr>
            <w:tcW w:w="1212"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3"/>
              <w:jc w:val="center"/>
              <w:rPr>
                <w:rFonts w:ascii="Times New Roman" w:hAnsi="Times New Roman" w:cs="Times New Roman" w:eastAsia="Times New Roman" w:hint="default"/>
                <w:sz w:val="18"/>
                <w:szCs w:val="18"/>
              </w:rPr>
            </w:pPr>
            <w:r>
              <w:rPr>
                <w:rFonts w:ascii="Times New Roman"/>
                <w:sz w:val="18"/>
              </w:rPr>
              <w:t>1.77</w:t>
            </w:r>
          </w:p>
        </w:tc>
      </w:tr>
      <w:tr>
        <w:trPr>
          <w:trHeight w:val="293" w:hRule="exact"/>
        </w:trPr>
        <w:tc>
          <w:tcPr>
            <w:tcW w:w="3968" w:type="dxa"/>
            <w:tcBorders>
              <w:top w:val="nil" w:sz="6" w:space="0" w:color="auto"/>
              <w:left w:val="nil" w:sz="6" w:space="0" w:color="auto"/>
              <w:bottom w:val="single" w:sz="4" w:space="0" w:color="000000"/>
              <w:right w:val="single" w:sz="6"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杭州武林置业有限公司</w:t>
            </w:r>
          </w:p>
        </w:tc>
        <w:tc>
          <w:tcPr>
            <w:tcW w:w="121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76"/>
              <w:ind w:left="754" w:right="0"/>
              <w:jc w:val="left"/>
              <w:rPr>
                <w:rFonts w:ascii="Times New Roman" w:hAnsi="Times New Roman" w:cs="Times New Roman" w:eastAsia="Times New Roman" w:hint="default"/>
                <w:sz w:val="18"/>
                <w:szCs w:val="18"/>
              </w:rPr>
            </w:pPr>
            <w:r>
              <w:rPr>
                <w:rFonts w:ascii="Times New Roman"/>
                <w:sz w:val="18"/>
              </w:rPr>
              <w:t>2,626,456.45</w:t>
            </w:r>
          </w:p>
        </w:tc>
        <w:tc>
          <w:tcPr>
            <w:tcW w:w="121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3" w:type="dxa"/>
            <w:tcBorders>
              <w:top w:val="nil" w:sz="6" w:space="0" w:color="auto"/>
              <w:left w:val="single" w:sz="6" w:space="0" w:color="000000"/>
              <w:bottom w:val="single" w:sz="4" w:space="0" w:color="000000"/>
              <w:right w:val="nil" w:sz="6" w:space="0" w:color="auto"/>
            </w:tcBorders>
          </w:tcPr>
          <w:p>
            <w:pPr>
              <w:pStyle w:val="TableParagraph"/>
              <w:spacing w:line="240" w:lineRule="auto" w:before="76"/>
              <w:ind w:right="3"/>
              <w:jc w:val="center"/>
              <w:rPr>
                <w:rFonts w:ascii="Times New Roman" w:hAnsi="Times New Roman" w:cs="Times New Roman" w:eastAsia="Times New Roman" w:hint="default"/>
                <w:sz w:val="18"/>
                <w:szCs w:val="18"/>
              </w:rPr>
            </w:pPr>
            <w:r>
              <w:rPr>
                <w:rFonts w:ascii="Times New Roman"/>
                <w:sz w:val="18"/>
              </w:rPr>
              <w:t>1.72</w:t>
            </w:r>
          </w:p>
        </w:tc>
      </w:tr>
      <w:tr>
        <w:trPr>
          <w:trHeight w:val="381" w:hRule="exact"/>
        </w:trPr>
        <w:tc>
          <w:tcPr>
            <w:tcW w:w="3968" w:type="dxa"/>
            <w:tcBorders>
              <w:top w:val="single" w:sz="4"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98"/>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10" w:type="dxa"/>
            <w:tcBorders>
              <w:top w:val="single" w:sz="4" w:space="0" w:color="000000"/>
              <w:left w:val="single" w:sz="6" w:space="0" w:color="000000"/>
              <w:bottom w:val="single" w:sz="12" w:space="0" w:color="000000"/>
              <w:right w:val="single" w:sz="6" w:space="0" w:color="000000"/>
            </w:tcBorders>
          </w:tcPr>
          <w:p>
            <w:pPr/>
          </w:p>
        </w:tc>
        <w:tc>
          <w:tcPr>
            <w:tcW w:w="181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50"/>
              <w:ind w:left="664" w:right="0"/>
              <w:jc w:val="left"/>
              <w:rPr>
                <w:rFonts w:ascii="Times New Roman" w:hAnsi="Times New Roman" w:cs="Times New Roman" w:eastAsia="Times New Roman" w:hint="default"/>
                <w:sz w:val="18"/>
                <w:szCs w:val="18"/>
              </w:rPr>
            </w:pPr>
            <w:r>
              <w:rPr>
                <w:rFonts w:ascii="Times New Roman"/>
                <w:sz w:val="18"/>
              </w:rPr>
              <w:t>26,659,200.10</w:t>
            </w:r>
          </w:p>
        </w:tc>
        <w:tc>
          <w:tcPr>
            <w:tcW w:w="1212" w:type="dxa"/>
            <w:tcBorders>
              <w:top w:val="single" w:sz="4" w:space="0" w:color="000000"/>
              <w:left w:val="single" w:sz="6" w:space="0" w:color="000000"/>
              <w:bottom w:val="single" w:sz="12" w:space="0" w:color="000000"/>
              <w:right w:val="single" w:sz="6" w:space="0" w:color="000000"/>
            </w:tcBorders>
          </w:tcPr>
          <w:p>
            <w:pPr/>
          </w:p>
        </w:tc>
        <w:tc>
          <w:tcPr>
            <w:tcW w:w="1663"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50"/>
              <w:ind w:right="5"/>
              <w:jc w:val="center"/>
              <w:rPr>
                <w:rFonts w:ascii="Times New Roman" w:hAnsi="Times New Roman" w:cs="Times New Roman" w:eastAsia="Times New Roman" w:hint="default"/>
                <w:sz w:val="18"/>
                <w:szCs w:val="18"/>
              </w:rPr>
            </w:pPr>
            <w:r>
              <w:rPr>
                <w:rFonts w:ascii="Times New Roman"/>
                <w:sz w:val="18"/>
              </w:rPr>
              <w:t>17.41</w:t>
            </w:r>
          </w:p>
        </w:tc>
      </w:tr>
    </w:tbl>
    <w:p>
      <w:pPr>
        <w:pStyle w:val="BodyText"/>
        <w:spacing w:line="297" w:lineRule="auto" w:before="69"/>
        <w:ind w:left="233" w:right="101" w:firstLine="420"/>
        <w:jc w:val="left"/>
      </w:pPr>
      <w:r>
        <w:rPr/>
        <w:t>注：应收账款</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日比</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日增长了</w:t>
      </w:r>
      <w:r>
        <w:rPr>
          <w:spacing w:val="-54"/>
        </w:rPr>
        <w:t> </w:t>
      </w:r>
      <w:r>
        <w:rPr>
          <w:rFonts w:ascii="Times New Roman" w:hAnsi="Times New Roman" w:cs="Times New Roman" w:eastAsia="Times New Roman" w:hint="default"/>
        </w:rPr>
        <w:t>71.76%</w:t>
      </w:r>
      <w:r>
        <w:rPr/>
        <w:t>，主要原因为</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年度营业收 入较上年度有所增长，使得应收账款相应增加。</w:t>
      </w:r>
    </w:p>
    <w:p>
      <w:pPr>
        <w:spacing w:line="240" w:lineRule="auto" w:before="0"/>
        <w:rPr>
          <w:rFonts w:ascii="宋体" w:hAnsi="宋体" w:cs="宋体" w:eastAsia="宋体" w:hint="default"/>
          <w:sz w:val="20"/>
          <w:szCs w:val="20"/>
        </w:rPr>
      </w:pPr>
    </w:p>
    <w:p>
      <w:pPr>
        <w:pStyle w:val="BodyText"/>
        <w:spacing w:line="240" w:lineRule="auto" w:before="133"/>
        <w:ind w:left="653" w:right="101"/>
        <w:jc w:val="left"/>
      </w:pPr>
      <w:r>
        <w:rPr>
          <w:rFonts w:ascii="Times New Roman" w:hAnsi="Times New Roman" w:cs="Times New Roman" w:eastAsia="Times New Roman" w:hint="default"/>
        </w:rPr>
        <w:t>5</w:t>
      </w:r>
      <w:r>
        <w:rPr/>
        <w:t>．预付账款</w:t>
      </w:r>
    </w:p>
    <w:p>
      <w:pPr>
        <w:pStyle w:val="BodyText"/>
        <w:spacing w:line="240" w:lineRule="auto" w:before="69"/>
        <w:ind w:left="653" w:right="101"/>
        <w:jc w:val="left"/>
      </w:pPr>
      <w:r>
        <w:rPr/>
        <w:t>（</w:t>
      </w:r>
      <w:r>
        <w:rPr>
          <w:rFonts w:ascii="Times New Roman" w:hAnsi="Times New Roman" w:cs="Times New Roman" w:eastAsia="Times New Roman" w:hint="default"/>
        </w:rPr>
        <w:t>1</w:t>
      </w:r>
      <w:r>
        <w:rPr/>
        <w:t>）预付账款按账龄结构列示：</w:t>
      </w:r>
    </w:p>
    <w:tbl>
      <w:tblPr>
        <w:tblW w:w="0" w:type="auto"/>
        <w:jc w:val="left"/>
        <w:tblInd w:w="111" w:type="dxa"/>
        <w:tblLayout w:type="fixed"/>
        <w:tblCellMar>
          <w:top w:w="0" w:type="dxa"/>
          <w:left w:w="0" w:type="dxa"/>
          <w:bottom w:w="0" w:type="dxa"/>
          <w:right w:w="0" w:type="dxa"/>
        </w:tblCellMar>
        <w:tblLook w:val="01E0"/>
      </w:tblPr>
      <w:tblGrid>
        <w:gridCol w:w="2681"/>
        <w:gridCol w:w="1987"/>
        <w:gridCol w:w="1771"/>
        <w:gridCol w:w="1616"/>
        <w:gridCol w:w="1813"/>
      </w:tblGrid>
      <w:tr>
        <w:trPr>
          <w:trHeight w:val="380" w:hRule="exact"/>
        </w:trPr>
        <w:tc>
          <w:tcPr>
            <w:tcW w:w="2681"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账龄结构</w:t>
            </w:r>
          </w:p>
        </w:tc>
        <w:tc>
          <w:tcPr>
            <w:tcW w:w="37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43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2681" w:type="dxa"/>
            <w:vMerge/>
            <w:tcBorders>
              <w:left w:val="nil" w:sz="6" w:space="0" w:color="auto"/>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占总额的比例</w:t>
            </w:r>
            <w:r>
              <w:rPr>
                <w:rFonts w:ascii="Times New Roman" w:hAnsi="Times New Roman" w:cs="Times New Roman" w:eastAsia="Times New Roman"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占总额的比例</w:t>
            </w:r>
            <w:r>
              <w:rPr>
                <w:rFonts w:ascii="Times New Roman" w:hAnsi="Times New Roman" w:cs="Times New Roman" w:eastAsia="Times New Roman" w:hint="default"/>
                <w:sz w:val="18"/>
                <w:szCs w:val="18"/>
              </w:rPr>
              <w:t>(%)</w:t>
            </w:r>
          </w:p>
        </w:tc>
      </w:tr>
      <w:tr>
        <w:trPr>
          <w:trHeight w:val="437"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15,493,510.64</w:t>
            </w:r>
          </w:p>
        </w:tc>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sz w:val="18"/>
              </w:rPr>
              <w:t>97.22</w:t>
            </w:r>
          </w:p>
        </w:tc>
        <w:tc>
          <w:tcPr>
            <w:tcW w:w="16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2"/>
                <w:sz w:val="18"/>
              </w:rPr>
              <w:t>10,429,111.08</w:t>
            </w:r>
          </w:p>
        </w:tc>
        <w:tc>
          <w:tcPr>
            <w:tcW w:w="1813" w:type="dxa"/>
            <w:tcBorders>
              <w:top w:val="single" w:sz="4" w:space="0" w:color="000000"/>
              <w:left w:val="single" w:sz="4" w:space="0" w:color="000000"/>
              <w:bottom w:val="nil" w:sz="6" w:space="0" w:color="auto"/>
              <w:right w:val="nil" w:sz="6" w:space="0" w:color="auto"/>
            </w:tcBorders>
          </w:tcPr>
          <w:p>
            <w:pPr>
              <w:pStyle w:val="TableParagraph"/>
              <w:spacing w:line="240" w:lineRule="auto" w:before="148"/>
              <w:ind w:right="2"/>
              <w:jc w:val="center"/>
              <w:rPr>
                <w:rFonts w:ascii="Times New Roman" w:hAnsi="Times New Roman" w:cs="Times New Roman" w:eastAsia="Times New Roman" w:hint="default"/>
                <w:sz w:val="18"/>
                <w:szCs w:val="18"/>
              </w:rPr>
            </w:pPr>
            <w:r>
              <w:rPr>
                <w:rFonts w:ascii="Times New Roman"/>
                <w:sz w:val="18"/>
              </w:rPr>
              <w:t>93.21</w:t>
            </w:r>
          </w:p>
        </w:tc>
      </w:tr>
      <w:tr>
        <w:trPr>
          <w:trHeight w:val="360"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76,889.48</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0.48</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z w:val="18"/>
              </w:rPr>
              <w:t>78,774.89</w:t>
            </w:r>
          </w:p>
        </w:tc>
        <w:tc>
          <w:tcPr>
            <w:tcW w:w="181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3"/>
              <w:jc w:val="center"/>
              <w:rPr>
                <w:rFonts w:ascii="Times New Roman" w:hAnsi="Times New Roman" w:cs="Times New Roman" w:eastAsia="Times New Roman" w:hint="default"/>
                <w:sz w:val="18"/>
                <w:szCs w:val="18"/>
              </w:rPr>
            </w:pPr>
            <w:r>
              <w:rPr>
                <w:rFonts w:ascii="Times New Roman"/>
                <w:sz w:val="18"/>
              </w:rPr>
              <w:t>0.70</w:t>
            </w:r>
          </w:p>
        </w:tc>
      </w:tr>
      <w:tr>
        <w:trPr>
          <w:trHeight w:val="360"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86,274.84</w:t>
            </w:r>
          </w:p>
        </w:tc>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0.54</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586,263.24</w:t>
            </w:r>
          </w:p>
        </w:tc>
        <w:tc>
          <w:tcPr>
            <w:tcW w:w="1813"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3"/>
              <w:jc w:val="center"/>
              <w:rPr>
                <w:rFonts w:ascii="Times New Roman" w:hAnsi="Times New Roman" w:cs="Times New Roman" w:eastAsia="Times New Roman" w:hint="default"/>
                <w:sz w:val="18"/>
                <w:szCs w:val="18"/>
              </w:rPr>
            </w:pPr>
            <w:r>
              <w:rPr>
                <w:rFonts w:ascii="Times New Roman"/>
                <w:sz w:val="18"/>
              </w:rPr>
              <w:t>5.24</w:t>
            </w:r>
          </w:p>
        </w:tc>
      </w:tr>
      <w:tr>
        <w:trPr>
          <w:trHeight w:val="293" w:hRule="exact"/>
        </w:trPr>
        <w:tc>
          <w:tcPr>
            <w:tcW w:w="2681" w:type="dxa"/>
            <w:tcBorders>
              <w:top w:val="nil" w:sz="6" w:space="0" w:color="auto"/>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279,799.56</w:t>
            </w:r>
          </w:p>
        </w:tc>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1.76</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z w:val="18"/>
              </w:rPr>
              <w:t>94,154.12</w:t>
            </w:r>
          </w:p>
        </w:tc>
        <w:tc>
          <w:tcPr>
            <w:tcW w:w="1813" w:type="dxa"/>
            <w:tcBorders>
              <w:top w:val="nil" w:sz="6" w:space="0" w:color="auto"/>
              <w:left w:val="single" w:sz="4" w:space="0" w:color="000000"/>
              <w:bottom w:val="single" w:sz="4" w:space="0" w:color="000000"/>
              <w:right w:val="nil" w:sz="6" w:space="0" w:color="auto"/>
            </w:tcBorders>
          </w:tcPr>
          <w:p>
            <w:pPr>
              <w:pStyle w:val="TableParagraph"/>
              <w:spacing w:line="240" w:lineRule="auto" w:before="76"/>
              <w:ind w:right="3"/>
              <w:jc w:val="center"/>
              <w:rPr>
                <w:rFonts w:ascii="Times New Roman" w:hAnsi="Times New Roman" w:cs="Times New Roman" w:eastAsia="Times New Roman" w:hint="default"/>
                <w:sz w:val="18"/>
                <w:szCs w:val="18"/>
              </w:rPr>
            </w:pPr>
            <w:r>
              <w:rPr>
                <w:rFonts w:ascii="Times New Roman"/>
                <w:sz w:val="18"/>
              </w:rPr>
              <w:t>0.85</w:t>
            </w:r>
          </w:p>
        </w:tc>
      </w:tr>
      <w:tr>
        <w:trPr>
          <w:trHeight w:val="381" w:hRule="exact"/>
        </w:trPr>
        <w:tc>
          <w:tcPr>
            <w:tcW w:w="2681"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98"/>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spacing w:val="-1"/>
                <w:sz w:val="18"/>
              </w:rPr>
              <w:t>15,936,474.52</w:t>
            </w: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18"/>
                <w:szCs w:val="18"/>
              </w:rPr>
            </w:pPr>
            <w:r>
              <w:rPr>
                <w:rFonts w:ascii="Times New Roman"/>
                <w:sz w:val="18"/>
              </w:rPr>
              <w:t>100.00</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18"/>
                <w:szCs w:val="18"/>
              </w:rPr>
            </w:pPr>
            <w:r>
              <w:rPr>
                <w:rFonts w:ascii="Times New Roman"/>
                <w:spacing w:val="-1"/>
                <w:sz w:val="18"/>
              </w:rPr>
              <w:t>11,188,303.33</w:t>
            </w:r>
          </w:p>
        </w:tc>
        <w:tc>
          <w:tcPr>
            <w:tcW w:w="18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0"/>
              <w:ind w:right="3"/>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69"/>
        <w:ind w:left="654" w:right="101"/>
        <w:jc w:val="left"/>
      </w:pPr>
      <w:r>
        <w:rPr/>
        <w:t>（</w:t>
      </w:r>
      <w:r>
        <w:rPr>
          <w:rFonts w:ascii="Times New Roman" w:hAnsi="Times New Roman" w:cs="Times New Roman" w:eastAsia="Times New Roman" w:hint="default"/>
        </w:rPr>
        <w:t>2</w:t>
      </w:r>
      <w:r>
        <w:rPr/>
        <w:t>）预付账款按币种列示如下：</w:t>
      </w:r>
    </w:p>
    <w:tbl>
      <w:tblPr>
        <w:tblW w:w="0" w:type="auto"/>
        <w:jc w:val="left"/>
        <w:tblInd w:w="126" w:type="dxa"/>
        <w:tblLayout w:type="fixed"/>
        <w:tblCellMar>
          <w:top w:w="0" w:type="dxa"/>
          <w:left w:w="0" w:type="dxa"/>
          <w:bottom w:w="0" w:type="dxa"/>
          <w:right w:w="0" w:type="dxa"/>
        </w:tblCellMar>
        <w:tblLook w:val="01E0"/>
      </w:tblPr>
      <w:tblGrid>
        <w:gridCol w:w="2431"/>
        <w:gridCol w:w="1856"/>
        <w:gridCol w:w="1855"/>
        <w:gridCol w:w="1856"/>
        <w:gridCol w:w="1855"/>
      </w:tblGrid>
      <w:tr>
        <w:trPr>
          <w:trHeight w:val="385" w:hRule="exact"/>
        </w:trPr>
        <w:tc>
          <w:tcPr>
            <w:tcW w:w="2431"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1426" w:val="left" w:leader="none"/>
              </w:tabs>
              <w:spacing w:line="240" w:lineRule="auto"/>
              <w:ind w:left="7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7"/>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90" w:hRule="exact"/>
        </w:trPr>
        <w:tc>
          <w:tcPr>
            <w:tcW w:w="2431"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4"/>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39" w:hRule="exact"/>
        </w:trPr>
        <w:tc>
          <w:tcPr>
            <w:tcW w:w="2431" w:type="dxa"/>
            <w:vMerge w:val="restart"/>
            <w:tcBorders>
              <w:top w:val="single" w:sz="8" w:space="0" w:color="000000"/>
              <w:left w:val="nil" w:sz="6" w:space="0" w:color="auto"/>
              <w:right w:val="single" w:sz="8"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7"/>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21"/>
                <w:szCs w:val="21"/>
              </w:rPr>
            </w:pPr>
            <w:r>
              <w:rPr>
                <w:rFonts w:ascii="Times New Roman"/>
                <w:spacing w:val="-1"/>
                <w:sz w:val="21"/>
              </w:rPr>
              <w:t>14,361,900.82</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7"/>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8" w:space="0" w:color="000000"/>
              <w:left w:val="single" w:sz="8" w:space="0" w:color="000000"/>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14,361,900.82</w:t>
            </w:r>
          </w:p>
        </w:tc>
      </w:tr>
      <w:tr>
        <w:trPr>
          <w:trHeight w:val="360" w:hRule="exact"/>
        </w:trPr>
        <w:tc>
          <w:tcPr>
            <w:tcW w:w="2431" w:type="dxa"/>
            <w:vMerge/>
            <w:tcBorders>
              <w:left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1,180,022.00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0.8509</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1,004,080.72</w:t>
            </w:r>
          </w:p>
        </w:tc>
      </w:tr>
      <w:tr>
        <w:trPr>
          <w:trHeight w:val="360" w:hRule="exact"/>
        </w:trPr>
        <w:tc>
          <w:tcPr>
            <w:tcW w:w="2431" w:type="dxa"/>
            <w:vMerge/>
            <w:tcBorders>
              <w:left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21,277.33</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5.1279</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1"/>
                <w:szCs w:val="21"/>
              </w:rPr>
            </w:pPr>
            <w:r>
              <w:rPr>
                <w:rFonts w:ascii="Times New Roman"/>
                <w:spacing w:val="-1"/>
                <w:sz w:val="21"/>
              </w:rPr>
              <w:t>109,023.64</w:t>
            </w:r>
          </w:p>
        </w:tc>
      </w:tr>
      <w:tr>
        <w:trPr>
          <w:trHeight w:val="347" w:hRule="exact"/>
        </w:trPr>
        <w:tc>
          <w:tcPr>
            <w:tcW w:w="2431" w:type="dxa"/>
            <w:vMerge/>
            <w:tcBorders>
              <w:left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8,607.19</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2.1500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18,505.46</w:t>
            </w:r>
          </w:p>
        </w:tc>
      </w:tr>
      <w:tr>
        <w:trPr>
          <w:trHeight w:val="304" w:hRule="exact"/>
        </w:trPr>
        <w:tc>
          <w:tcPr>
            <w:tcW w:w="2431" w:type="dxa"/>
            <w:vMerge/>
            <w:tcBorders>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1"/>
                <w:szCs w:val="21"/>
              </w:rPr>
            </w:pPr>
            <w:r>
              <w:rPr>
                <w:rFonts w:ascii="Times New Roman"/>
                <w:spacing w:val="-1"/>
                <w:sz w:val="21"/>
              </w:rPr>
              <w:t>15,493,510.64</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46"/>
        <w:gridCol w:w="1856"/>
        <w:gridCol w:w="1855"/>
        <w:gridCol w:w="1856"/>
        <w:gridCol w:w="1855"/>
      </w:tblGrid>
      <w:tr>
        <w:trPr>
          <w:trHeight w:val="423" w:hRule="exact"/>
        </w:trPr>
        <w:tc>
          <w:tcPr>
            <w:tcW w:w="2446" w:type="dxa"/>
            <w:tcBorders>
              <w:top w:val="single" w:sz="6" w:space="0" w:color="000000"/>
              <w:left w:val="nil" w:sz="6" w:space="0" w:color="auto"/>
              <w:bottom w:val="nil" w:sz="6" w:space="0" w:color="auto"/>
              <w:right w:val="single" w:sz="8"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17"/>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21"/>
                <w:szCs w:val="21"/>
              </w:rPr>
            </w:pPr>
            <w:r>
              <w:rPr>
                <w:rFonts w:ascii="Times New Roman"/>
                <w:spacing w:val="-1"/>
                <w:sz w:val="21"/>
              </w:rPr>
              <w:t>76,889.48</w:t>
            </w:r>
          </w:p>
        </w:tc>
        <w:tc>
          <w:tcPr>
            <w:tcW w:w="185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17"/>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6" w:space="0" w:color="000000"/>
              <w:left w:val="single" w:sz="8" w:space="0" w:color="000000"/>
              <w:bottom w:val="nil" w:sz="6" w:space="0" w:color="auto"/>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76,889.48</w:t>
            </w:r>
          </w:p>
        </w:tc>
      </w:tr>
      <w:tr>
        <w:trPr>
          <w:trHeight w:val="373"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21"/>
                <w:szCs w:val="21"/>
              </w:rPr>
            </w:pPr>
            <w:r>
              <w:rPr>
                <w:rFonts w:ascii="Times New Roman"/>
                <w:spacing w:val="-1"/>
                <w:sz w:val="21"/>
              </w:rPr>
              <w:t>76,889.48</w:t>
            </w:r>
          </w:p>
        </w:tc>
      </w:tr>
      <w:tr>
        <w:trPr>
          <w:trHeight w:val="347"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7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pacing w:val="-1"/>
                <w:sz w:val="21"/>
              </w:rPr>
              <w:t>86,274.84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86,274.84</w:t>
            </w:r>
          </w:p>
        </w:tc>
      </w:tr>
      <w:tr>
        <w:trPr>
          <w:trHeight w:val="373"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21"/>
                <w:szCs w:val="21"/>
              </w:rPr>
            </w:pPr>
            <w:r>
              <w:rPr>
                <w:rFonts w:ascii="Times New Roman"/>
                <w:spacing w:val="-1"/>
                <w:sz w:val="21"/>
              </w:rPr>
              <w:t>86,274.84</w:t>
            </w:r>
          </w:p>
        </w:tc>
      </w:tr>
      <w:tr>
        <w:trPr>
          <w:trHeight w:val="347"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7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279,799.56</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spacing w:val="-1"/>
                <w:sz w:val="21"/>
              </w:rPr>
              <w:t>279,799.56</w:t>
            </w:r>
            <w:r>
              <w:rPr>
                <w:rFonts w:ascii="Times New Roman"/>
                <w:sz w:val="21"/>
              </w:rPr>
            </w:r>
          </w:p>
        </w:tc>
      </w:tr>
      <w:tr>
        <w:trPr>
          <w:trHeight w:val="309" w:hRule="exact"/>
        </w:trPr>
        <w:tc>
          <w:tcPr>
            <w:tcW w:w="2446" w:type="dxa"/>
            <w:tcBorders>
              <w:top w:val="nil" w:sz="6" w:space="0" w:color="auto"/>
              <w:left w:val="nil" w:sz="6" w:space="0" w:color="auto"/>
              <w:bottom w:val="single" w:sz="4" w:space="0" w:color="000000"/>
              <w:right w:val="single" w:sz="8" w:space="0" w:color="000000"/>
            </w:tcBorders>
          </w:tcPr>
          <w:p>
            <w:pP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21"/>
                <w:szCs w:val="21"/>
              </w:rPr>
            </w:pPr>
            <w:r>
              <w:rPr>
                <w:rFonts w:ascii="Times New Roman"/>
                <w:sz w:val="21"/>
              </w:rPr>
              <w:t>279,799.56</w:t>
            </w:r>
          </w:p>
        </w:tc>
      </w:tr>
      <w:tr>
        <w:trPr>
          <w:trHeight w:val="380" w:hRule="exact"/>
        </w:trPr>
        <w:tc>
          <w:tcPr>
            <w:tcW w:w="2446" w:type="dxa"/>
            <w:tcBorders>
              <w:top w:val="single" w:sz="4" w:space="0" w:color="000000"/>
              <w:left w:val="nil" w:sz="6" w:space="0" w:color="auto"/>
              <w:bottom w:val="single" w:sz="12" w:space="0" w:color="000000"/>
              <w:right w:val="single" w:sz="8" w:space="0" w:color="000000"/>
            </w:tcBorders>
          </w:tcPr>
          <w:p>
            <w:pPr>
              <w:pStyle w:val="TableParagraph"/>
              <w:tabs>
                <w:tab w:pos="1441" w:val="left" w:leader="none"/>
              </w:tabs>
              <w:spacing w:line="240" w:lineRule="auto" w:before="53"/>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7"/>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15,936,474.52</w:t>
            </w:r>
          </w:p>
        </w:tc>
      </w:tr>
      <w:tr>
        <w:trPr>
          <w:trHeight w:val="437" w:hRule="exact"/>
        </w:trPr>
        <w:tc>
          <w:tcPr>
            <w:tcW w:w="2446"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tabs>
                <w:tab w:pos="1441" w:val="left" w:leader="none"/>
              </w:tabs>
              <w:spacing w:line="240" w:lineRule="auto"/>
              <w:ind w:left="8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2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2" w:hRule="exact"/>
        </w:trPr>
        <w:tc>
          <w:tcPr>
            <w:tcW w:w="2446"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17" w:hRule="exact"/>
        </w:trPr>
        <w:tc>
          <w:tcPr>
            <w:tcW w:w="2446" w:type="dxa"/>
            <w:tcBorders>
              <w:top w:val="single" w:sz="8" w:space="0" w:color="000000"/>
              <w:left w:val="nil" w:sz="6" w:space="0" w:color="auto"/>
              <w:bottom w:val="nil" w:sz="6" w:space="0" w:color="auto"/>
              <w:right w:val="single" w:sz="8" w:space="0" w:color="000000"/>
            </w:tcBorders>
          </w:tcPr>
          <w:p>
            <w:pPr>
              <w:pStyle w:val="TableParagraph"/>
              <w:spacing w:line="240" w:lineRule="auto" w:before="10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0"/>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0"/>
              <w:ind w:right="95"/>
              <w:jc w:val="right"/>
              <w:rPr>
                <w:rFonts w:ascii="Times New Roman" w:hAnsi="Times New Roman" w:cs="Times New Roman" w:eastAsia="Times New Roman" w:hint="default"/>
                <w:sz w:val="21"/>
                <w:szCs w:val="21"/>
              </w:rPr>
            </w:pPr>
            <w:r>
              <w:rPr>
                <w:rFonts w:ascii="Times New Roman"/>
                <w:spacing w:val="-1"/>
                <w:sz w:val="21"/>
              </w:rPr>
              <w:t>9,561,660.03</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single" w:sz="8" w:space="0" w:color="000000"/>
              <w:left w:val="single" w:sz="8" w:space="0" w:color="000000"/>
              <w:bottom w:val="nil" w:sz="6" w:space="0" w:color="auto"/>
              <w:right w:val="nil" w:sz="6" w:space="0" w:color="auto"/>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pacing w:val="-1"/>
                <w:sz w:val="21"/>
              </w:rPr>
              <w:t>9,561,660.03</w:t>
            </w:r>
          </w:p>
        </w:tc>
      </w:tr>
      <w:tr>
        <w:trPr>
          <w:trHeight w:val="412"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849,485.14</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0.8805</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21"/>
                <w:szCs w:val="21"/>
              </w:rPr>
            </w:pPr>
            <w:r>
              <w:rPr>
                <w:rFonts w:ascii="Times New Roman"/>
                <w:spacing w:val="-1"/>
                <w:sz w:val="21"/>
              </w:rPr>
              <w:t>747,954.68</w:t>
            </w:r>
            <w:r>
              <w:rPr>
                <w:rFonts w:ascii="Times New Roman"/>
                <w:sz w:val="21"/>
              </w:rPr>
            </w:r>
          </w:p>
        </w:tc>
      </w:tr>
      <w:tr>
        <w:trPr>
          <w:trHeight w:val="412"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1"/>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21"/>
                <w:szCs w:val="21"/>
              </w:rPr>
            </w:pPr>
            <w:r>
              <w:rPr>
                <w:rFonts w:ascii="Times New Roman"/>
                <w:spacing w:val="-1"/>
                <w:sz w:val="21"/>
              </w:rPr>
              <w:t>21,071.96</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4.8656</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21"/>
                <w:szCs w:val="21"/>
              </w:rPr>
            </w:pPr>
            <w:r>
              <w:rPr>
                <w:rFonts w:ascii="Times New Roman"/>
                <w:spacing w:val="-1"/>
                <w:sz w:val="21"/>
              </w:rPr>
              <w:t>102,445.41</w:t>
            </w:r>
          </w:p>
        </w:tc>
      </w:tr>
      <w:tr>
        <w:trPr>
          <w:trHeight w:val="399"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21"/>
                <w:szCs w:val="21"/>
              </w:rPr>
            </w:pPr>
            <w:r>
              <w:rPr>
                <w:rFonts w:ascii="Times New Roman"/>
                <w:spacing w:val="-1"/>
                <w:sz w:val="21"/>
              </w:rPr>
              <w:t>8,545.00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21"/>
                <w:szCs w:val="21"/>
              </w:rPr>
            </w:pPr>
            <w:r>
              <w:rPr>
                <w:rFonts w:ascii="Times New Roman"/>
                <w:sz w:val="21"/>
              </w:rPr>
              <w:t>1.9954</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spacing w:val="-1"/>
                <w:sz w:val="21"/>
              </w:rPr>
              <w:t>17,050.96</w:t>
            </w:r>
          </w:p>
        </w:tc>
      </w:tr>
      <w:tr>
        <w:trPr>
          <w:trHeight w:val="425"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21"/>
                <w:szCs w:val="21"/>
              </w:rPr>
            </w:pPr>
            <w:r>
              <w:rPr>
                <w:rFonts w:ascii="Times New Roman"/>
                <w:spacing w:val="-2"/>
                <w:sz w:val="21"/>
              </w:rPr>
              <w:t>10,429,111.08</w:t>
            </w:r>
          </w:p>
        </w:tc>
      </w:tr>
      <w:tr>
        <w:trPr>
          <w:trHeight w:val="399"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95"/>
              <w:jc w:val="right"/>
              <w:rPr>
                <w:rFonts w:ascii="Times New Roman" w:hAnsi="Times New Roman" w:cs="Times New Roman" w:eastAsia="Times New Roman" w:hint="default"/>
                <w:sz w:val="21"/>
                <w:szCs w:val="21"/>
              </w:rPr>
            </w:pPr>
            <w:r>
              <w:rPr>
                <w:rFonts w:ascii="Times New Roman"/>
                <w:spacing w:val="-1"/>
                <w:sz w:val="21"/>
              </w:rPr>
              <w:t>78,774.89</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left="1"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21"/>
                <w:szCs w:val="21"/>
              </w:rPr>
            </w:pPr>
            <w:r>
              <w:rPr>
                <w:rFonts w:ascii="Times New Roman"/>
                <w:spacing w:val="-1"/>
                <w:sz w:val="21"/>
              </w:rPr>
              <w:t>78,774.89</w:t>
            </w:r>
          </w:p>
        </w:tc>
      </w:tr>
      <w:tr>
        <w:trPr>
          <w:trHeight w:val="425"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21"/>
                <w:szCs w:val="21"/>
              </w:rPr>
            </w:pPr>
            <w:r>
              <w:rPr>
                <w:rFonts w:ascii="Times New Roman"/>
                <w:spacing w:val="-1"/>
                <w:sz w:val="21"/>
              </w:rPr>
              <w:t>78,774.89</w:t>
            </w:r>
          </w:p>
        </w:tc>
      </w:tr>
      <w:tr>
        <w:trPr>
          <w:trHeight w:val="399"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97"/>
              <w:jc w:val="right"/>
              <w:rPr>
                <w:rFonts w:ascii="Times New Roman" w:hAnsi="Times New Roman" w:cs="Times New Roman" w:eastAsia="Times New Roman" w:hint="default"/>
                <w:sz w:val="21"/>
                <w:szCs w:val="21"/>
              </w:rPr>
            </w:pPr>
            <w:r>
              <w:rPr>
                <w:rFonts w:ascii="Times New Roman"/>
                <w:spacing w:val="-1"/>
                <w:sz w:val="21"/>
              </w:rPr>
              <w:t>586,263.24</w:t>
            </w:r>
            <w:r>
              <w:rPr>
                <w:rFonts w:ascii="Times New Roman"/>
                <w:sz w:val="21"/>
              </w:rPr>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3"/>
              <w:ind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21"/>
                <w:szCs w:val="21"/>
              </w:rPr>
            </w:pPr>
            <w:r>
              <w:rPr>
                <w:rFonts w:ascii="Times New Roman"/>
                <w:spacing w:val="-1"/>
                <w:sz w:val="21"/>
              </w:rPr>
              <w:t>586,263.24</w:t>
            </w:r>
            <w:r>
              <w:rPr>
                <w:rFonts w:ascii="Times New Roman"/>
                <w:sz w:val="21"/>
              </w:rPr>
            </w:r>
          </w:p>
        </w:tc>
      </w:tr>
      <w:tr>
        <w:trPr>
          <w:trHeight w:val="425" w:hRule="exact"/>
        </w:trPr>
        <w:tc>
          <w:tcPr>
            <w:tcW w:w="2446"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21"/>
                <w:szCs w:val="21"/>
              </w:rPr>
            </w:pPr>
            <w:r>
              <w:rPr>
                <w:rFonts w:ascii="Times New Roman"/>
                <w:spacing w:val="-1"/>
                <w:sz w:val="21"/>
              </w:rPr>
              <w:t>586,263.24</w:t>
            </w:r>
            <w:r>
              <w:rPr>
                <w:rFonts w:ascii="Times New Roman"/>
                <w:sz w:val="21"/>
              </w:rPr>
            </w:r>
          </w:p>
        </w:tc>
      </w:tr>
      <w:tr>
        <w:trPr>
          <w:trHeight w:val="399" w:hRule="exact"/>
        </w:trPr>
        <w:tc>
          <w:tcPr>
            <w:tcW w:w="2446" w:type="dxa"/>
            <w:tcBorders>
              <w:top w:val="nil" w:sz="6" w:space="0" w:color="auto"/>
              <w:left w:val="nil" w:sz="6" w:space="0" w:color="auto"/>
              <w:bottom w:val="nil" w:sz="6" w:space="0" w:color="auto"/>
              <w:right w:val="single" w:sz="8" w:space="0" w:color="000000"/>
            </w:tcBorders>
          </w:tcPr>
          <w:p>
            <w:pPr>
              <w:pStyle w:val="TableParagraph"/>
              <w:spacing w:line="240" w:lineRule="auto" w:before="1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4"/>
              <w:ind w:left="1"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74"/>
              <w:ind w:right="95"/>
              <w:jc w:val="right"/>
              <w:rPr>
                <w:rFonts w:ascii="Times New Roman" w:hAnsi="Times New Roman" w:cs="Times New Roman" w:eastAsia="Times New Roman" w:hint="default"/>
                <w:sz w:val="21"/>
                <w:szCs w:val="21"/>
              </w:rPr>
            </w:pPr>
            <w:r>
              <w:rPr>
                <w:rFonts w:ascii="Times New Roman"/>
                <w:spacing w:val="-1"/>
                <w:sz w:val="21"/>
              </w:rPr>
              <w:t>94,154.12</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74"/>
              <w:ind w:right="0"/>
              <w:jc w:val="center"/>
              <w:rPr>
                <w:rFonts w:ascii="Times New Roman" w:hAnsi="Times New Roman" w:cs="Times New Roman" w:eastAsia="Times New Roman" w:hint="default"/>
                <w:sz w:val="21"/>
                <w:szCs w:val="21"/>
              </w:rPr>
            </w:pPr>
            <w:r>
              <w:rPr>
                <w:rFonts w:ascii="Times New Roman"/>
                <w:sz w:val="21"/>
              </w:rPr>
              <w:t>1.0000</w:t>
            </w:r>
          </w:p>
        </w:tc>
        <w:tc>
          <w:tcPr>
            <w:tcW w:w="1855" w:type="dxa"/>
            <w:tcBorders>
              <w:top w:val="nil" w:sz="6" w:space="0" w:color="auto"/>
              <w:left w:val="single" w:sz="8" w:space="0" w:color="000000"/>
              <w:bottom w:val="nil" w:sz="6" w:space="0" w:color="auto"/>
              <w:right w:val="nil" w:sz="6" w:space="0" w:color="auto"/>
            </w:tcBorders>
          </w:tcPr>
          <w:p>
            <w:pPr>
              <w:pStyle w:val="TableParagraph"/>
              <w:spacing w:line="240" w:lineRule="auto" w:before="74"/>
              <w:ind w:right="104"/>
              <w:jc w:val="right"/>
              <w:rPr>
                <w:rFonts w:ascii="Times New Roman" w:hAnsi="Times New Roman" w:cs="Times New Roman" w:eastAsia="Times New Roman" w:hint="default"/>
                <w:sz w:val="21"/>
                <w:szCs w:val="21"/>
              </w:rPr>
            </w:pPr>
            <w:r>
              <w:rPr>
                <w:rFonts w:ascii="Times New Roman"/>
                <w:spacing w:val="-1"/>
                <w:sz w:val="21"/>
              </w:rPr>
              <w:t>94,154.12</w:t>
            </w:r>
          </w:p>
        </w:tc>
      </w:tr>
      <w:tr>
        <w:trPr>
          <w:trHeight w:val="334" w:hRule="exact"/>
        </w:trPr>
        <w:tc>
          <w:tcPr>
            <w:tcW w:w="2446" w:type="dxa"/>
            <w:tcBorders>
              <w:top w:val="nil" w:sz="6" w:space="0" w:color="auto"/>
              <w:left w:val="nil" w:sz="6" w:space="0" w:color="auto"/>
              <w:bottom w:val="single" w:sz="4" w:space="0" w:color="000000"/>
              <w:right w:val="single" w:sz="8" w:space="0" w:color="000000"/>
            </w:tcBorders>
          </w:tcPr>
          <w:p>
            <w:pP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nil" w:sz="6" w:space="0" w:color="auto"/>
              <w:left w:val="single" w:sz="8" w:space="0" w:color="000000"/>
              <w:bottom w:val="single" w:sz="4" w:space="0" w:color="000000"/>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21"/>
                <w:szCs w:val="21"/>
              </w:rPr>
            </w:pPr>
            <w:r>
              <w:rPr>
                <w:rFonts w:ascii="Times New Roman"/>
                <w:spacing w:val="-1"/>
                <w:sz w:val="21"/>
              </w:rPr>
              <w:t>94,154.12</w:t>
            </w:r>
          </w:p>
        </w:tc>
      </w:tr>
      <w:tr>
        <w:trPr>
          <w:trHeight w:val="433" w:hRule="exact"/>
        </w:trPr>
        <w:tc>
          <w:tcPr>
            <w:tcW w:w="2446" w:type="dxa"/>
            <w:tcBorders>
              <w:top w:val="single" w:sz="4" w:space="0" w:color="000000"/>
              <w:left w:val="nil" w:sz="6" w:space="0" w:color="auto"/>
              <w:bottom w:val="single" w:sz="12" w:space="0" w:color="000000"/>
              <w:right w:val="single" w:sz="8" w:space="0" w:color="000000"/>
            </w:tcBorders>
          </w:tcPr>
          <w:p>
            <w:pPr>
              <w:pStyle w:val="TableParagraph"/>
              <w:tabs>
                <w:tab w:pos="1441" w:val="left" w:leader="none"/>
              </w:tabs>
              <w:spacing w:line="240" w:lineRule="auto" w:before="106"/>
              <w:ind w:left="81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70"/>
              <w:ind w:right="104"/>
              <w:jc w:val="right"/>
              <w:rPr>
                <w:rFonts w:ascii="Times New Roman" w:hAnsi="Times New Roman" w:cs="Times New Roman" w:eastAsia="Times New Roman" w:hint="default"/>
                <w:sz w:val="21"/>
                <w:szCs w:val="21"/>
              </w:rPr>
            </w:pPr>
            <w:r>
              <w:rPr>
                <w:rFonts w:ascii="Times New Roman"/>
                <w:spacing w:val="-1"/>
                <w:sz w:val="21"/>
              </w:rPr>
              <w:t>11,188,303.33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5"/>
        <w:ind w:left="654" w:right="101"/>
        <w:jc w:val="left"/>
      </w:pPr>
      <w:r>
        <w:rPr/>
        <w:t>（</w:t>
      </w:r>
      <w:r>
        <w:rPr>
          <w:rFonts w:ascii="Times New Roman" w:hAnsi="Times New Roman" w:cs="Times New Roman" w:eastAsia="Times New Roman" w:hint="default"/>
        </w:rPr>
        <w:t>3</w:t>
      </w:r>
      <w:r>
        <w:rPr/>
        <w:t>）预付账款年末余额中无持公司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p>
    <w:p>
      <w:pPr>
        <w:pStyle w:val="BodyText"/>
        <w:spacing w:line="240" w:lineRule="auto" w:before="122"/>
        <w:ind w:left="653" w:right="101"/>
        <w:jc w:val="left"/>
      </w:pPr>
      <w:r>
        <w:rPr/>
        <w:t>（</w:t>
      </w:r>
      <w:r>
        <w:rPr>
          <w:rFonts w:ascii="Times New Roman" w:hAnsi="Times New Roman" w:cs="Times New Roman" w:eastAsia="Times New Roman" w:hint="default"/>
        </w:rPr>
        <w:t>4</w:t>
      </w:r>
      <w:r>
        <w:rPr/>
        <w:t>）预付款项金额前五名单位情况：</w:t>
      </w:r>
    </w:p>
    <w:tbl>
      <w:tblPr>
        <w:tblW w:w="0" w:type="auto"/>
        <w:jc w:val="left"/>
        <w:tblInd w:w="111" w:type="dxa"/>
        <w:tblLayout w:type="fixed"/>
        <w:tblCellMar>
          <w:top w:w="0" w:type="dxa"/>
          <w:left w:w="0" w:type="dxa"/>
          <w:bottom w:w="0" w:type="dxa"/>
          <w:right w:w="0" w:type="dxa"/>
        </w:tblCellMar>
        <w:tblLook w:val="01E0"/>
      </w:tblPr>
      <w:tblGrid>
        <w:gridCol w:w="3313"/>
        <w:gridCol w:w="1584"/>
        <w:gridCol w:w="1390"/>
        <w:gridCol w:w="1181"/>
        <w:gridCol w:w="2387"/>
      </w:tblGrid>
      <w:tr>
        <w:trPr>
          <w:trHeight w:val="431" w:hRule="exact"/>
        </w:trPr>
        <w:tc>
          <w:tcPr>
            <w:tcW w:w="33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8"/>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3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8"/>
              <w:ind w:right="3"/>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1330" w:hRule="exact"/>
        </w:trPr>
        <w:tc>
          <w:tcPr>
            <w:tcW w:w="3313"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477" w:lineRule="auto"/>
              <w:ind w:left="122" w:right="1054"/>
              <w:jc w:val="left"/>
              <w:rPr>
                <w:rFonts w:ascii="Times New Roman" w:hAnsi="Times New Roman" w:cs="Times New Roman" w:eastAsia="Times New Roman" w:hint="default"/>
                <w:sz w:val="18"/>
                <w:szCs w:val="18"/>
              </w:rPr>
            </w:pPr>
            <w:r>
              <w:rPr>
                <w:rFonts w:ascii="Times New Roman"/>
                <w:sz w:val="18"/>
              </w:rPr>
              <w:t>Micros-Fidelio Singapore</w:t>
            </w:r>
            <w:r>
              <w:rPr>
                <w:rFonts w:ascii="Times New Roman"/>
                <w:spacing w:val="-2"/>
                <w:sz w:val="18"/>
              </w:rPr>
              <w:t> </w:t>
            </w:r>
            <w:r>
              <w:rPr>
                <w:rFonts w:ascii="Times New Roman"/>
                <w:sz w:val="18"/>
              </w:rPr>
              <w:t>Pte</w:t>
            </w:r>
            <w:r>
              <w:rPr>
                <w:rFonts w:ascii="Times New Roman"/>
                <w:w w:val="99"/>
                <w:sz w:val="18"/>
              </w:rPr>
              <w:t> </w:t>
            </w:r>
            <w:r>
              <w:rPr>
                <w:rFonts w:ascii="Times New Roman"/>
                <w:sz w:val="18"/>
              </w:rPr>
              <w:t>Ltd</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11,492,494.44</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7" w:type="dxa"/>
            <w:tcBorders>
              <w:top w:val="single" w:sz="4" w:space="0" w:color="000000"/>
              <w:left w:val="single" w:sz="4" w:space="0" w:color="000000"/>
              <w:bottom w:val="nil" w:sz="6" w:space="0" w:color="auto"/>
              <w:right w:val="nil" w:sz="6" w:space="0" w:color="auto"/>
            </w:tcBorders>
          </w:tcPr>
          <w:p>
            <w:pPr>
              <w:pStyle w:val="TableParagraph"/>
              <w:spacing w:line="408" w:lineRule="auto" w:before="150"/>
              <w:ind w:left="103" w:right="116" w:hanging="1"/>
              <w:jc w:val="left"/>
              <w:rPr>
                <w:rFonts w:ascii="宋体" w:hAnsi="宋体" w:cs="宋体" w:eastAsia="宋体" w:hint="default"/>
                <w:sz w:val="18"/>
                <w:szCs w:val="18"/>
              </w:rPr>
            </w:pPr>
            <w:r>
              <w:rPr>
                <w:rFonts w:ascii="宋体" w:hAnsi="宋体" w:cs="宋体" w:eastAsia="宋体" w:hint="default"/>
                <w:sz w:val="18"/>
                <w:szCs w:val="18"/>
              </w:rPr>
              <w:t>预付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年度数码酒店管 理系统专有技术进口（许可 与转让费）</w:t>
            </w:r>
          </w:p>
        </w:tc>
      </w:tr>
      <w:tr>
        <w:trPr>
          <w:trHeight w:val="422"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北京育盟天下科技有限公司</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525,782.06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7"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12"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北京中佳镜宇教育科技有限公司</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400,000.00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7"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12" w:hRule="exact"/>
        </w:trPr>
        <w:tc>
          <w:tcPr>
            <w:tcW w:w="331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北京铭致文仪家具有限责任公司</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379,256.00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7"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319" w:hRule="exact"/>
        </w:trPr>
        <w:tc>
          <w:tcPr>
            <w:tcW w:w="3313" w:type="dxa"/>
            <w:tcBorders>
              <w:top w:val="nil" w:sz="6" w:space="0" w:color="auto"/>
              <w:left w:val="nil" w:sz="6" w:space="0" w:color="auto"/>
              <w:bottom w:val="single" w:sz="4" w:space="0" w:color="000000"/>
              <w:right w:val="single" w:sz="4" w:space="0" w:color="000000"/>
            </w:tcBorders>
          </w:tcPr>
          <w:p>
            <w:pPr>
              <w:pStyle w:val="TableParagraph"/>
              <w:spacing w:line="240" w:lineRule="auto" w:before="103"/>
              <w:ind w:left="122" w:right="0"/>
              <w:jc w:val="left"/>
              <w:rPr>
                <w:rFonts w:ascii="Times New Roman" w:hAnsi="Times New Roman" w:cs="Times New Roman" w:eastAsia="Times New Roman" w:hint="default"/>
                <w:sz w:val="18"/>
                <w:szCs w:val="18"/>
              </w:rPr>
            </w:pPr>
            <w:r>
              <w:rPr>
                <w:rFonts w:ascii="Times New Roman"/>
                <w:sz w:val="18"/>
              </w:rPr>
              <w:t>Aitken, </w:t>
            </w:r>
            <w:r>
              <w:rPr>
                <w:rFonts w:ascii="Times New Roman"/>
                <w:spacing w:val="-4"/>
                <w:sz w:val="18"/>
              </w:rPr>
              <w:t>Vanson </w:t>
            </w:r>
            <w:r>
              <w:rPr>
                <w:rFonts w:ascii="Times New Roman"/>
                <w:sz w:val="18"/>
              </w:rPr>
              <w:t>and Company,</w:t>
            </w:r>
            <w:r>
              <w:rPr>
                <w:rFonts w:ascii="Times New Roman"/>
                <w:spacing w:val="-11"/>
                <w:sz w:val="18"/>
              </w:rPr>
              <w:t> </w:t>
            </w:r>
            <w:r>
              <w:rPr>
                <w:rFonts w:ascii="Times New Roman"/>
                <w:sz w:val="18"/>
              </w:rPr>
              <w:t>Limited</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257,884.99</w:t>
            </w: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7" w:type="dxa"/>
            <w:tcBorders>
              <w:top w:val="nil" w:sz="6" w:space="0" w:color="auto"/>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尚未结算</w:t>
            </w:r>
          </w:p>
        </w:tc>
      </w:tr>
      <w:tr>
        <w:trPr>
          <w:trHeight w:val="433" w:hRule="exact"/>
        </w:trPr>
        <w:tc>
          <w:tcPr>
            <w:tcW w:w="3313"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148"/>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4" w:type="dxa"/>
            <w:tcBorders>
              <w:top w:val="single" w:sz="4" w:space="0" w:color="000000"/>
              <w:left w:val="single" w:sz="4" w:space="0" w:color="000000"/>
              <w:bottom w:val="single" w:sz="12" w:space="0" w:color="000000"/>
              <w:right w:val="single" w:sz="4" w:space="0" w:color="000000"/>
            </w:tcBorders>
          </w:tcPr>
          <w:p>
            <w:pP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13,055,417.49</w:t>
            </w:r>
          </w:p>
        </w:tc>
        <w:tc>
          <w:tcPr>
            <w:tcW w:w="1181" w:type="dxa"/>
            <w:tcBorders>
              <w:top w:val="single" w:sz="4" w:space="0" w:color="000000"/>
              <w:left w:val="single" w:sz="4" w:space="0" w:color="000000"/>
              <w:bottom w:val="single" w:sz="12" w:space="0" w:color="000000"/>
              <w:right w:val="single" w:sz="4" w:space="0" w:color="000000"/>
            </w:tcBorders>
          </w:tcPr>
          <w:p>
            <w:pPr/>
          </w:p>
        </w:tc>
        <w:tc>
          <w:tcPr>
            <w:tcW w:w="23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88" w:right="199"/>
        <w:jc w:val="center"/>
      </w:pPr>
      <w:r>
        <w:rPr/>
        <w:t>注：预付款项</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日比</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日增长了</w:t>
      </w:r>
      <w:r>
        <w:rPr>
          <w:rFonts w:ascii="Times New Roman" w:hAnsi="Times New Roman" w:cs="Times New Roman" w:eastAsia="Times New Roman" w:hint="default"/>
        </w:rPr>
        <w:t>42.44</w:t>
      </w:r>
      <w:r>
        <w:rPr/>
        <w:t>％，主要原因是根据公司与</w:t>
      </w:r>
    </w:p>
    <w:p>
      <w:pPr>
        <w:pStyle w:val="BodyText"/>
        <w:spacing w:line="240" w:lineRule="auto" w:before="121"/>
        <w:ind w:left="219" w:right="199"/>
        <w:jc w:val="center"/>
      </w:pPr>
      <w:r>
        <w:rPr>
          <w:rFonts w:ascii="Times New Roman" w:hAnsi="Times New Roman" w:cs="Times New Roman" w:eastAsia="Times New Roman" w:hint="default"/>
        </w:rPr>
        <w:t>Micros-Fidelio Singapore Pte</w:t>
      </w:r>
      <w:r>
        <w:rPr>
          <w:rFonts w:ascii="Times New Roman" w:hAnsi="Times New Roman" w:cs="Times New Roman" w:eastAsia="Times New Roman" w:hint="default"/>
          <w:spacing w:val="-29"/>
        </w:rPr>
        <w:t> </w:t>
      </w:r>
      <w:r>
        <w:rPr>
          <w:rFonts w:ascii="Times New Roman" w:hAnsi="Times New Roman" w:cs="Times New Roman" w:eastAsia="Times New Roman" w:hint="default"/>
        </w:rPr>
        <w:t>Ltd</w:t>
      </w:r>
      <w:r>
        <w:rPr/>
        <w:t>签订的数码酒店管理系统专有技术进口许可合同，公司每年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日均需预</w:t>
      </w:r>
    </w:p>
    <w:p>
      <w:pPr>
        <w:spacing w:after="0" w:line="240" w:lineRule="auto"/>
        <w:jc w:val="cente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pStyle w:val="BodyText"/>
        <w:spacing w:line="340" w:lineRule="auto" w:before="35"/>
        <w:ind w:left="234" w:right="720"/>
        <w:jc w:val="left"/>
      </w:pPr>
      <w:r>
        <w:rPr/>
        <w:t>付给</w:t>
      </w:r>
      <w:r>
        <w:rPr>
          <w:rFonts w:ascii="Times New Roman" w:hAnsi="Times New Roman" w:cs="Times New Roman" w:eastAsia="Times New Roman" w:hint="default"/>
        </w:rPr>
        <w:t>Micros-Fidelio Singapore Pte</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当年度</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日至次年度</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日的许可与转让费，</w:t>
      </w:r>
      <w:r>
        <w:rPr>
          <w:rFonts w:ascii="Times New Roman" w:hAnsi="Times New Roman" w:cs="Times New Roman" w:eastAsia="Times New Roman" w:hint="default"/>
        </w:rPr>
        <w:t>2010</w:t>
      </w:r>
      <w:r>
        <w:rPr/>
        <w:t>年公司与 </w:t>
      </w:r>
      <w:r>
        <w:rPr>
          <w:rFonts w:ascii="Times New Roman" w:hAnsi="Times New Roman" w:cs="Times New Roman" w:eastAsia="Times New Roman" w:hint="default"/>
        </w:rPr>
        <w:t>Micros-Fidelio Singapore Pte</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t>重新续签了数码酒店管理系统专有技术进口许可合同，续签的合同中公司 支付</w:t>
      </w:r>
      <w:r>
        <w:rPr>
          <w:rFonts w:ascii="Times New Roman" w:hAnsi="Times New Roman" w:cs="Times New Roman" w:eastAsia="Times New Roman" w:hint="default"/>
        </w:rPr>
        <w:t>Micros-Fidelio Singapore Pte</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的许可与转让费较以前合同有所提高，使得公司预付</w:t>
      </w:r>
      <w:r>
        <w:rPr>
          <w:rFonts w:ascii="Times New Roman" w:hAnsi="Times New Roman" w:cs="Times New Roman" w:eastAsia="Times New Roman" w:hint="default"/>
        </w:rPr>
        <w:t>Micros-Fidelio Singapore Pte</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期末余额有所增加。</w:t>
      </w:r>
    </w:p>
    <w:p>
      <w:pPr>
        <w:pStyle w:val="BodyText"/>
        <w:spacing w:line="275" w:lineRule="exact"/>
        <w:ind w:left="654" w:right="720"/>
        <w:jc w:val="left"/>
      </w:pPr>
      <w:r>
        <w:rPr>
          <w:rFonts w:ascii="Times New Roman" w:hAnsi="Times New Roman" w:cs="Times New Roman" w:eastAsia="Times New Roman" w:hint="default"/>
        </w:rPr>
        <w:t>6</w:t>
      </w:r>
      <w:r>
        <w:rPr/>
        <w:t>．其他应收款</w:t>
      </w:r>
    </w:p>
    <w:p>
      <w:pPr>
        <w:pStyle w:val="BodyText"/>
        <w:spacing w:line="240" w:lineRule="auto" w:before="83"/>
        <w:ind w:left="654" w:right="720"/>
        <w:jc w:val="left"/>
      </w:pPr>
      <w:r>
        <w:rPr/>
        <w:t>（</w:t>
      </w:r>
      <w:r>
        <w:rPr>
          <w:rFonts w:ascii="Times New Roman" w:hAnsi="Times New Roman" w:cs="Times New Roman" w:eastAsia="Times New Roman" w:hint="default"/>
        </w:rPr>
        <w:t>1</w:t>
      </w:r>
      <w:r>
        <w:rPr/>
        <w:t>）其他应收款按种类披露：</w:t>
      </w:r>
    </w:p>
    <w:tbl>
      <w:tblPr>
        <w:tblW w:w="0" w:type="auto"/>
        <w:jc w:val="left"/>
        <w:tblInd w:w="111" w:type="dxa"/>
        <w:tblLayout w:type="fixed"/>
        <w:tblCellMar>
          <w:top w:w="0" w:type="dxa"/>
          <w:left w:w="0" w:type="dxa"/>
          <w:bottom w:w="0" w:type="dxa"/>
          <w:right w:w="0" w:type="dxa"/>
        </w:tblCellMar>
        <w:tblLook w:val="01E0"/>
      </w:tblPr>
      <w:tblGrid>
        <w:gridCol w:w="5009"/>
        <w:gridCol w:w="1474"/>
        <w:gridCol w:w="1175"/>
        <w:gridCol w:w="1403"/>
        <w:gridCol w:w="1193"/>
      </w:tblGrid>
      <w:tr>
        <w:trPr>
          <w:trHeight w:val="393" w:hRule="exact"/>
        </w:trPr>
        <w:tc>
          <w:tcPr>
            <w:tcW w:w="500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4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84" w:hRule="exact"/>
        </w:trPr>
        <w:tc>
          <w:tcPr>
            <w:tcW w:w="5009" w:type="dxa"/>
            <w:vMerge/>
            <w:tcBorders>
              <w:left w:val="nil" w:sz="6" w:space="0" w:color="auto"/>
              <w:right w:val="single" w:sz="4" w:space="0" w:color="000000"/>
            </w:tcBorders>
          </w:tcPr>
          <w:p>
            <w:pP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4" w:hRule="exact"/>
        </w:trPr>
        <w:tc>
          <w:tcPr>
            <w:tcW w:w="5009"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6"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53" w:hRule="exact"/>
        </w:trPr>
        <w:tc>
          <w:tcPr>
            <w:tcW w:w="5009" w:type="dxa"/>
            <w:tcBorders>
              <w:top w:val="single" w:sz="4" w:space="0" w:color="000000"/>
              <w:left w:val="nil" w:sz="6" w:space="0" w:color="auto"/>
              <w:bottom w:val="nil" w:sz="6" w:space="0" w:color="auto"/>
              <w:right w:val="single" w:sz="4" w:space="0" w:color="000000"/>
            </w:tcBorders>
          </w:tcPr>
          <w:p>
            <w:pPr>
              <w:pStyle w:val="TableParagraph"/>
              <w:spacing w:line="240" w:lineRule="auto" w:before="11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、单项金额重大并单项计提坏账准备的其他应收款</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18,320,195.90</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100.00</w:t>
            </w:r>
          </w:p>
        </w:tc>
        <w:tc>
          <w:tcPr>
            <w:tcW w:w="14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1,360,962.63</w:t>
            </w:r>
          </w:p>
        </w:tc>
        <w:tc>
          <w:tcPr>
            <w:tcW w:w="119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100.00</w:t>
            </w:r>
          </w:p>
        </w:tc>
      </w:tr>
      <w:tr>
        <w:trPr>
          <w:trHeight w:val="374" w:hRule="exact"/>
        </w:trPr>
        <w:tc>
          <w:tcPr>
            <w:tcW w:w="5009"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、按组合计提坏账准备的其他应收款</w:t>
            </w:r>
          </w:p>
        </w:tc>
        <w:tc>
          <w:tcPr>
            <w:tcW w:w="1474" w:type="dxa"/>
            <w:vMerge/>
            <w:tcBorders>
              <w:left w:val="single" w:sz="4" w:space="0" w:color="000000"/>
              <w:right w:val="single" w:sz="4" w:space="0" w:color="000000"/>
            </w:tcBorders>
          </w:tcPr>
          <w:p>
            <w:pPr/>
          </w:p>
        </w:tc>
        <w:tc>
          <w:tcPr>
            <w:tcW w:w="1175" w:type="dxa"/>
            <w:vMerge/>
            <w:tcBorders>
              <w:left w:val="single" w:sz="4" w:space="0" w:color="000000"/>
              <w:right w:val="single" w:sz="4" w:space="0" w:color="000000"/>
            </w:tcBorders>
          </w:tcPr>
          <w:p>
            <w:pPr/>
          </w:p>
        </w:tc>
        <w:tc>
          <w:tcPr>
            <w:tcW w:w="1403" w:type="dxa"/>
            <w:vMerge/>
            <w:tcBorders>
              <w:left w:val="single" w:sz="4" w:space="0" w:color="000000"/>
              <w:right w:val="single" w:sz="4" w:space="0" w:color="000000"/>
            </w:tcBorders>
          </w:tcPr>
          <w:p>
            <w:pPr/>
          </w:p>
        </w:tc>
        <w:tc>
          <w:tcPr>
            <w:tcW w:w="1193" w:type="dxa"/>
            <w:vMerge/>
            <w:tcBorders>
              <w:left w:val="single" w:sz="4" w:space="0" w:color="000000"/>
              <w:right w:val="nil" w:sz="6" w:space="0" w:color="auto"/>
            </w:tcBorders>
          </w:tcPr>
          <w:p>
            <w:pPr/>
          </w:p>
        </w:tc>
      </w:tr>
      <w:tr>
        <w:trPr>
          <w:trHeight w:val="306" w:hRule="exact"/>
        </w:trPr>
        <w:tc>
          <w:tcPr>
            <w:tcW w:w="5009" w:type="dxa"/>
            <w:tcBorders>
              <w:top w:val="nil" w:sz="6" w:space="0" w:color="auto"/>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、单项金额不重大但单项计提坏账准备的其他应收款</w:t>
            </w:r>
          </w:p>
        </w:tc>
        <w:tc>
          <w:tcPr>
            <w:tcW w:w="1474"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1403"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nil" w:sz="6" w:space="0" w:color="auto"/>
            </w:tcBorders>
          </w:tcPr>
          <w:p>
            <w:pPr/>
          </w:p>
        </w:tc>
      </w:tr>
      <w:tr>
        <w:trPr>
          <w:trHeight w:val="394" w:hRule="exact"/>
        </w:trPr>
        <w:tc>
          <w:tcPr>
            <w:tcW w:w="5009"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10"/>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2"/>
              <w:ind w:left="326" w:right="0"/>
              <w:jc w:val="left"/>
              <w:rPr>
                <w:rFonts w:ascii="Times New Roman" w:hAnsi="Times New Roman" w:cs="Times New Roman" w:eastAsia="Times New Roman" w:hint="default"/>
                <w:sz w:val="18"/>
                <w:szCs w:val="18"/>
              </w:rPr>
            </w:pPr>
            <w:r>
              <w:rPr>
                <w:rFonts w:ascii="Times New Roman"/>
                <w:sz w:val="18"/>
              </w:rPr>
              <w:t>18,320,195.90</w:t>
            </w:r>
          </w:p>
        </w:tc>
        <w:tc>
          <w:tcPr>
            <w:tcW w:w="11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2"/>
              <w:ind w:left="334" w:right="0"/>
              <w:jc w:val="left"/>
              <w:rPr>
                <w:rFonts w:ascii="Times New Roman" w:hAnsi="Times New Roman" w:cs="Times New Roman" w:eastAsia="Times New Roman" w:hint="default"/>
                <w:sz w:val="18"/>
                <w:szCs w:val="18"/>
              </w:rPr>
            </w:pPr>
            <w:r>
              <w:rPr>
                <w:rFonts w:ascii="Times New Roman"/>
                <w:sz w:val="18"/>
              </w:rPr>
              <w:t>100.00</w:t>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2"/>
              <w:ind w:left="345" w:right="0"/>
              <w:jc w:val="left"/>
              <w:rPr>
                <w:rFonts w:ascii="Times New Roman" w:hAnsi="Times New Roman" w:cs="Times New Roman" w:eastAsia="Times New Roman" w:hint="default"/>
                <w:sz w:val="18"/>
                <w:szCs w:val="18"/>
              </w:rPr>
            </w:pPr>
            <w:r>
              <w:rPr>
                <w:rFonts w:ascii="Times New Roman"/>
                <w:sz w:val="18"/>
              </w:rPr>
              <w:t>1,360,962.63</w:t>
            </w:r>
          </w:p>
        </w:tc>
        <w:tc>
          <w:tcPr>
            <w:tcW w:w="11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2"/>
              <w:ind w:right="4"/>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5093"/>
        <w:gridCol w:w="1450"/>
        <w:gridCol w:w="959"/>
        <w:gridCol w:w="1644"/>
        <w:gridCol w:w="1092"/>
      </w:tblGrid>
      <w:tr>
        <w:trPr>
          <w:trHeight w:val="394" w:hRule="exact"/>
        </w:trPr>
        <w:tc>
          <w:tcPr>
            <w:tcW w:w="509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14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84" w:hRule="exact"/>
        </w:trPr>
        <w:tc>
          <w:tcPr>
            <w:tcW w:w="5093" w:type="dxa"/>
            <w:vMerge/>
            <w:tcBorders>
              <w:left w:val="nil" w:sz="6" w:space="0" w:color="auto"/>
              <w:right w:val="single" w:sz="4" w:space="0" w:color="000000"/>
            </w:tcBorders>
          </w:tcPr>
          <w:p>
            <w:pP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3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4" w:hRule="exact"/>
        </w:trPr>
        <w:tc>
          <w:tcPr>
            <w:tcW w:w="5093" w:type="dxa"/>
            <w:vMerge/>
            <w:tcBorders>
              <w:left w:val="nil" w:sz="6" w:space="0" w:color="auto"/>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49"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53" w:hRule="exact"/>
        </w:trPr>
        <w:tc>
          <w:tcPr>
            <w:tcW w:w="5093" w:type="dxa"/>
            <w:tcBorders>
              <w:top w:val="single" w:sz="4" w:space="0" w:color="000000"/>
              <w:left w:val="nil" w:sz="6" w:space="0" w:color="auto"/>
              <w:bottom w:val="nil" w:sz="6" w:space="0" w:color="auto"/>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、单项金额重大并单项计提坏账准备的其他应收款</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8,651,214.91</w:t>
            </w:r>
          </w:p>
        </w:tc>
        <w:tc>
          <w:tcPr>
            <w:tcW w:w="9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100.00</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626,241.23</w:t>
            </w:r>
          </w:p>
        </w:tc>
        <w:tc>
          <w:tcPr>
            <w:tcW w:w="109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100.00</w:t>
            </w:r>
          </w:p>
        </w:tc>
      </w:tr>
      <w:tr>
        <w:trPr>
          <w:trHeight w:val="374" w:hRule="exact"/>
        </w:trPr>
        <w:tc>
          <w:tcPr>
            <w:tcW w:w="5093"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、按组合计提坏账准备的其他应收款</w:t>
            </w:r>
          </w:p>
        </w:tc>
        <w:tc>
          <w:tcPr>
            <w:tcW w:w="145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644" w:type="dxa"/>
            <w:vMerge/>
            <w:tcBorders>
              <w:left w:val="single" w:sz="4" w:space="0" w:color="000000"/>
              <w:right w:val="single" w:sz="4" w:space="0" w:color="000000"/>
            </w:tcBorders>
          </w:tcPr>
          <w:p>
            <w:pPr/>
          </w:p>
        </w:tc>
        <w:tc>
          <w:tcPr>
            <w:tcW w:w="1092" w:type="dxa"/>
            <w:vMerge/>
            <w:tcBorders>
              <w:left w:val="single" w:sz="4" w:space="0" w:color="000000"/>
              <w:right w:val="nil" w:sz="6" w:space="0" w:color="auto"/>
            </w:tcBorders>
          </w:tcPr>
          <w:p>
            <w:pPr/>
          </w:p>
        </w:tc>
      </w:tr>
      <w:tr>
        <w:trPr>
          <w:trHeight w:val="305" w:hRule="exact"/>
        </w:trPr>
        <w:tc>
          <w:tcPr>
            <w:tcW w:w="5093" w:type="dxa"/>
            <w:tcBorders>
              <w:top w:val="nil" w:sz="6" w:space="0" w:color="auto"/>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、单项金额不重大但单项计提坏账准备的其他应收款</w:t>
            </w:r>
          </w:p>
        </w:tc>
        <w:tc>
          <w:tcPr>
            <w:tcW w:w="1450"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nil" w:sz="6" w:space="0" w:color="auto"/>
            </w:tcBorders>
          </w:tcPr>
          <w:p>
            <w:pPr/>
          </w:p>
        </w:tc>
      </w:tr>
      <w:tr>
        <w:trPr>
          <w:trHeight w:val="394" w:hRule="exact"/>
        </w:trPr>
        <w:tc>
          <w:tcPr>
            <w:tcW w:w="5093"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8,651,214.91</w:t>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626,241.23</w:t>
            </w:r>
          </w:p>
        </w:tc>
        <w:tc>
          <w:tcPr>
            <w:tcW w:w="1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26" w:lineRule="auto" w:before="66"/>
        <w:ind w:left="654" w:right="5000"/>
        <w:jc w:val="left"/>
      </w:pPr>
      <w:r>
        <w:rPr/>
        <w:pict>
          <v:shape style="position:absolute;margin-left:50.580002pt;margin-top:37.403973pt;width:512.65pt;height:154.6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3"/>
                    <w:gridCol w:w="2288"/>
                    <w:gridCol w:w="1874"/>
                    <w:gridCol w:w="3037"/>
                  </w:tblGrid>
                  <w:tr>
                    <w:trPr>
                      <w:trHeight w:val="393" w:hRule="exact"/>
                    </w:trPr>
                    <w:tc>
                      <w:tcPr>
                        <w:tcW w:w="305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tabs>
                            <w:tab w:pos="651"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20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84" w:hRule="exact"/>
                    </w:trPr>
                    <w:tc>
                      <w:tcPr>
                        <w:tcW w:w="3053" w:type="dxa"/>
                        <w:vMerge/>
                        <w:tcBorders>
                          <w:left w:val="nil" w:sz="6" w:space="0" w:color="auto"/>
                          <w:right w:val="single" w:sz="4" w:space="0" w:color="000000"/>
                        </w:tcBorders>
                      </w:tcPr>
                      <w:p>
                        <w:pPr/>
                      </w:p>
                    </w:tc>
                    <w:tc>
                      <w:tcPr>
                        <w:tcW w:w="41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3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4" w:hRule="exact"/>
                    </w:trPr>
                    <w:tc>
                      <w:tcPr>
                        <w:tcW w:w="3053" w:type="dxa"/>
                        <w:vMerge/>
                        <w:tcBorders>
                          <w:left w:val="nil" w:sz="6" w:space="0" w:color="auto"/>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68"/>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3037" w:type="dxa"/>
                        <w:vMerge/>
                        <w:tcBorders>
                          <w:left w:val="single" w:sz="4" w:space="0" w:color="000000"/>
                          <w:bottom w:val="single" w:sz="4" w:space="0" w:color="000000"/>
                          <w:right w:val="nil" w:sz="6" w:space="0" w:color="auto"/>
                        </w:tcBorders>
                      </w:tcPr>
                      <w:p>
                        <w:pPr/>
                      </w:p>
                    </w:tc>
                  </w:tr>
                  <w:tr>
                    <w:trPr>
                      <w:trHeight w:val="442" w:hRule="exact"/>
                    </w:trPr>
                    <w:tc>
                      <w:tcPr>
                        <w:tcW w:w="3053" w:type="dxa"/>
                        <w:tcBorders>
                          <w:top w:val="single" w:sz="4" w:space="0" w:color="000000"/>
                          <w:left w:val="nil" w:sz="6" w:space="0" w:color="auto"/>
                          <w:bottom w:val="nil" w:sz="6" w:space="0" w:color="auto"/>
                          <w:right w:val="single" w:sz="4" w:space="0" w:color="000000"/>
                        </w:tcBorders>
                      </w:tcPr>
                      <w:p>
                        <w:pPr>
                          <w:pStyle w:val="TableParagraph"/>
                          <w:spacing w:line="240" w:lineRule="auto" w:before="6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15,263,562.41</w:t>
                        </w:r>
                      </w:p>
                    </w:tc>
                    <w:tc>
                      <w:tcPr>
                        <w:tcW w:w="18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1"/>
                          <w:ind w:left="1" w:right="0"/>
                          <w:jc w:val="center"/>
                          <w:rPr>
                            <w:rFonts w:ascii="Times New Roman" w:hAnsi="Times New Roman" w:cs="Times New Roman" w:eastAsia="Times New Roman" w:hint="default"/>
                            <w:sz w:val="21"/>
                            <w:szCs w:val="21"/>
                          </w:rPr>
                        </w:pPr>
                        <w:r>
                          <w:rPr>
                            <w:rFonts w:ascii="Times New Roman"/>
                            <w:sz w:val="21"/>
                          </w:rPr>
                          <w:t>83.32</w:t>
                        </w:r>
                      </w:p>
                    </w:tc>
                    <w:tc>
                      <w:tcPr>
                        <w:tcW w:w="3037" w:type="dxa"/>
                        <w:tcBorders>
                          <w:top w:val="single" w:sz="4" w:space="0" w:color="000000"/>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21"/>
                            <w:szCs w:val="21"/>
                          </w:rPr>
                        </w:pPr>
                        <w:r>
                          <w:rPr>
                            <w:rFonts w:ascii="Times New Roman"/>
                            <w:spacing w:val="-1"/>
                            <w:sz w:val="21"/>
                          </w:rPr>
                          <w:t>763,178.12</w:t>
                        </w:r>
                      </w:p>
                    </w:tc>
                  </w:tr>
                  <w:tr>
                    <w:trPr>
                      <w:trHeight w:val="374"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1"/>
                            <w:szCs w:val="21"/>
                          </w:rPr>
                        </w:pPr>
                        <w:r>
                          <w:rPr>
                            <w:rFonts w:ascii="Times New Roman"/>
                            <w:spacing w:val="-1"/>
                            <w:sz w:val="21"/>
                          </w:rPr>
                          <w:t>1,224,129.64</w:t>
                        </w:r>
                      </w:p>
                    </w:tc>
                    <w:tc>
                      <w:tcPr>
                        <w:tcW w:w="1874"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1"/>
                            <w:szCs w:val="21"/>
                          </w:rPr>
                        </w:pPr>
                        <w:r>
                          <w:rPr>
                            <w:rFonts w:ascii="Times New Roman"/>
                            <w:sz w:val="21"/>
                          </w:rPr>
                          <w:t>6.68</w:t>
                        </w:r>
                      </w:p>
                    </w:tc>
                    <w:tc>
                      <w:tcPr>
                        <w:tcW w:w="3037"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1"/>
                            <w:szCs w:val="21"/>
                          </w:rPr>
                        </w:pPr>
                        <w:r>
                          <w:rPr>
                            <w:rFonts w:ascii="Times New Roman"/>
                            <w:spacing w:val="-1"/>
                            <w:sz w:val="21"/>
                          </w:rPr>
                          <w:t>122,412.96</w:t>
                        </w:r>
                        <w:r>
                          <w:rPr>
                            <w:rFonts w:ascii="Times New Roman"/>
                            <w:sz w:val="21"/>
                          </w:rPr>
                        </w:r>
                      </w:p>
                    </w:tc>
                  </w:tr>
                  <w:tr>
                    <w:trPr>
                      <w:trHeight w:val="374" w:hRule="exact"/>
                    </w:trPr>
                    <w:tc>
                      <w:tcPr>
                        <w:tcW w:w="305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743,796.13</w:t>
                        </w:r>
                        <w:r>
                          <w:rPr>
                            <w:rFonts w:ascii="Times New Roman"/>
                            <w:sz w:val="21"/>
                          </w:rPr>
                        </w:r>
                      </w:p>
                    </w:tc>
                    <w:tc>
                      <w:tcPr>
                        <w:tcW w:w="187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4.06</w:t>
                        </w:r>
                      </w:p>
                    </w:tc>
                    <w:tc>
                      <w:tcPr>
                        <w:tcW w:w="3037"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21"/>
                            <w:szCs w:val="21"/>
                          </w:rPr>
                        </w:pPr>
                        <w:r>
                          <w:rPr>
                            <w:rFonts w:ascii="Times New Roman"/>
                            <w:spacing w:val="-1"/>
                            <w:sz w:val="21"/>
                          </w:rPr>
                          <w:t>148,759.23</w:t>
                        </w:r>
                        <w:r>
                          <w:rPr>
                            <w:rFonts w:ascii="Times New Roman"/>
                            <w:sz w:val="21"/>
                          </w:rPr>
                        </w:r>
                      </w:p>
                    </w:tc>
                  </w:tr>
                  <w:tr>
                    <w:trPr>
                      <w:trHeight w:val="316" w:hRule="exact"/>
                    </w:trPr>
                    <w:tc>
                      <w:tcPr>
                        <w:tcW w:w="3053" w:type="dxa"/>
                        <w:tcBorders>
                          <w:top w:val="nil" w:sz="6" w:space="0" w:color="auto"/>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1,088,707.72</w:t>
                        </w:r>
                      </w:p>
                    </w:tc>
                    <w:tc>
                      <w:tcPr>
                        <w:tcW w:w="18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5.94</w:t>
                        </w:r>
                      </w:p>
                    </w:tc>
                    <w:tc>
                      <w:tcPr>
                        <w:tcW w:w="3037" w:type="dxa"/>
                        <w:tcBorders>
                          <w:top w:val="nil" w:sz="6" w:space="0" w:color="auto"/>
                          <w:left w:val="single" w:sz="4" w:space="0" w:color="000000"/>
                          <w:bottom w:val="single" w:sz="4"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21"/>
                            <w:szCs w:val="21"/>
                          </w:rPr>
                        </w:pPr>
                        <w:r>
                          <w:rPr>
                            <w:rFonts w:ascii="Times New Roman"/>
                            <w:spacing w:val="-1"/>
                            <w:sz w:val="21"/>
                          </w:rPr>
                          <w:t>326,612.32</w:t>
                        </w:r>
                        <w:r>
                          <w:rPr>
                            <w:rFonts w:ascii="Times New Roman"/>
                            <w:sz w:val="21"/>
                          </w:rPr>
                        </w:r>
                      </w:p>
                    </w:tc>
                  </w:tr>
                  <w:tr>
                    <w:trPr>
                      <w:trHeight w:val="394"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68"/>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18,320,195.90</w:t>
                        </w:r>
                      </w:p>
                    </w:tc>
                    <w:tc>
                      <w:tcPr>
                        <w:tcW w:w="1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100.00</w:t>
                        </w:r>
                      </w:p>
                    </w:tc>
                    <w:tc>
                      <w:tcPr>
                        <w:tcW w:w="30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1"/>
                          <w:ind w:right="104"/>
                          <w:jc w:val="right"/>
                          <w:rPr>
                            <w:rFonts w:ascii="Times New Roman" w:hAnsi="Times New Roman" w:cs="Times New Roman" w:eastAsia="Times New Roman" w:hint="default"/>
                            <w:sz w:val="21"/>
                            <w:szCs w:val="21"/>
                          </w:rPr>
                        </w:pPr>
                        <w:r>
                          <w:rPr>
                            <w:rFonts w:ascii="Times New Roman"/>
                            <w:spacing w:val="-1"/>
                            <w:sz w:val="21"/>
                          </w:rPr>
                          <w:t>1,360,962.63</w:t>
                        </w:r>
                      </w:p>
                    </w:tc>
                  </w:tr>
                </w:tbl>
                <w:p>
                  <w:pPr/>
                </w:p>
              </w:txbxContent>
            </v:textbox>
            <w10:wrap type="none"/>
          </v:shape>
        </w:pict>
      </w:r>
      <w:r>
        <w:rPr/>
        <w:t>其他应收款种类的说明： 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3038"/>
        <w:gridCol w:w="2288"/>
        <w:gridCol w:w="1874"/>
        <w:gridCol w:w="3037"/>
      </w:tblGrid>
      <w:tr>
        <w:trPr>
          <w:trHeight w:val="397" w:hRule="exact"/>
        </w:trPr>
        <w:tc>
          <w:tcPr>
            <w:tcW w:w="303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tabs>
                <w:tab w:pos="639" w:val="left" w:leader="none"/>
              </w:tabs>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20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7"/>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9" w:hRule="exact"/>
        </w:trPr>
        <w:tc>
          <w:tcPr>
            <w:tcW w:w="3038" w:type="dxa"/>
            <w:vMerge/>
            <w:tcBorders>
              <w:left w:val="nil" w:sz="6" w:space="0" w:color="auto"/>
              <w:right w:val="single" w:sz="6" w:space="0" w:color="000000"/>
            </w:tcBorders>
          </w:tcPr>
          <w:p>
            <w:pPr/>
          </w:p>
        </w:tc>
        <w:tc>
          <w:tcPr>
            <w:tcW w:w="41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37" w:type="dxa"/>
            <w:vMerge w:val="restart"/>
            <w:tcBorders>
              <w:top w:val="single" w:sz="6" w:space="0" w:color="000000"/>
              <w:left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9" w:hRule="exact"/>
        </w:trPr>
        <w:tc>
          <w:tcPr>
            <w:tcW w:w="3038" w:type="dxa"/>
            <w:vMerge/>
            <w:tcBorders>
              <w:left w:val="nil" w:sz="6" w:space="0" w:color="auto"/>
              <w:bottom w:val="single" w:sz="6" w:space="0" w:color="000000"/>
              <w:right w:val="single" w:sz="6" w:space="0" w:color="000000"/>
            </w:tcBorders>
          </w:tcPr>
          <w:p>
            <w:pPr/>
          </w:p>
        </w:tc>
        <w:tc>
          <w:tcPr>
            <w:tcW w:w="2288"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3037" w:type="dxa"/>
            <w:vMerge/>
            <w:tcBorders>
              <w:left w:val="single" w:sz="6" w:space="0" w:color="000000"/>
              <w:bottom w:val="single" w:sz="6" w:space="0" w:color="000000"/>
              <w:right w:val="nil" w:sz="6" w:space="0" w:color="auto"/>
            </w:tcBorders>
          </w:tcPr>
          <w:p>
            <w:pPr/>
          </w:p>
        </w:tc>
      </w:tr>
      <w:tr>
        <w:trPr>
          <w:trHeight w:val="382" w:hRule="exact"/>
        </w:trPr>
        <w:tc>
          <w:tcPr>
            <w:tcW w:w="3038" w:type="dxa"/>
            <w:tcBorders>
              <w:top w:val="single" w:sz="6" w:space="0" w:color="000000"/>
              <w:left w:val="nil" w:sz="6" w:space="0" w:color="auto"/>
              <w:bottom w:val="nil" w:sz="6" w:space="0" w:color="auto"/>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30"/>
              <w:ind w:left="1078" w:right="0"/>
              <w:jc w:val="left"/>
              <w:rPr>
                <w:rFonts w:ascii="Times New Roman" w:hAnsi="Times New Roman" w:cs="Times New Roman" w:eastAsia="Times New Roman" w:hint="default"/>
                <w:sz w:val="21"/>
                <w:szCs w:val="21"/>
              </w:rPr>
            </w:pPr>
            <w:r>
              <w:rPr>
                <w:rFonts w:ascii="Times New Roman"/>
                <w:sz w:val="21"/>
              </w:rPr>
              <w:t>7,119,219.95</w:t>
            </w:r>
          </w:p>
        </w:tc>
        <w:tc>
          <w:tcPr>
            <w:tcW w:w="18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82.29</w:t>
            </w:r>
          </w:p>
        </w:tc>
        <w:tc>
          <w:tcPr>
            <w:tcW w:w="3037" w:type="dxa"/>
            <w:tcBorders>
              <w:top w:val="single" w:sz="6" w:space="0" w:color="000000"/>
              <w:left w:val="single" w:sz="6" w:space="0" w:color="000000"/>
              <w:bottom w:val="nil" w:sz="6" w:space="0" w:color="auto"/>
              <w:right w:val="nil" w:sz="6" w:space="0" w:color="auto"/>
            </w:tcBorders>
          </w:tcPr>
          <w:p>
            <w:pPr>
              <w:pStyle w:val="TableParagraph"/>
              <w:spacing w:line="240" w:lineRule="auto" w:before="130"/>
              <w:ind w:left="1977" w:right="0"/>
              <w:jc w:val="left"/>
              <w:rPr>
                <w:rFonts w:ascii="Times New Roman" w:hAnsi="Times New Roman" w:cs="Times New Roman" w:eastAsia="Times New Roman" w:hint="default"/>
                <w:sz w:val="21"/>
                <w:szCs w:val="21"/>
              </w:rPr>
            </w:pPr>
            <w:r>
              <w:rPr>
                <w:rFonts w:ascii="Times New Roman"/>
                <w:sz w:val="21"/>
              </w:rPr>
              <w:t>355,960.99</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200" w:bottom="1180" w:left="900" w:right="50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053"/>
        <w:gridCol w:w="2288"/>
        <w:gridCol w:w="1874"/>
        <w:gridCol w:w="3037"/>
      </w:tblGrid>
      <w:tr>
        <w:trPr>
          <w:trHeight w:val="444" w:hRule="exact"/>
        </w:trPr>
        <w:tc>
          <w:tcPr>
            <w:tcW w:w="3053" w:type="dxa"/>
            <w:tcBorders>
              <w:top w:val="single" w:sz="6" w:space="0" w:color="000000"/>
              <w:left w:val="nil" w:sz="6" w:space="0" w:color="auto"/>
              <w:bottom w:val="nil" w:sz="6" w:space="0" w:color="auto"/>
              <w:right w:val="single" w:sz="6"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677,606.88</w:t>
            </w:r>
          </w:p>
        </w:tc>
        <w:tc>
          <w:tcPr>
            <w:tcW w:w="18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7.83</w:t>
            </w:r>
          </w:p>
        </w:tc>
        <w:tc>
          <w:tcPr>
            <w:tcW w:w="3037" w:type="dxa"/>
            <w:tcBorders>
              <w:top w:val="single" w:sz="6" w:space="0" w:color="000000"/>
              <w:left w:val="single" w:sz="6" w:space="0" w:color="000000"/>
              <w:bottom w:val="nil" w:sz="6" w:space="0" w:color="auto"/>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21"/>
                <w:szCs w:val="21"/>
              </w:rPr>
            </w:pPr>
            <w:r>
              <w:rPr>
                <w:rFonts w:ascii="Times New Roman"/>
                <w:spacing w:val="-1"/>
                <w:sz w:val="21"/>
              </w:rPr>
              <w:t>67,760.69</w:t>
            </w:r>
          </w:p>
        </w:tc>
      </w:tr>
      <w:tr>
        <w:trPr>
          <w:trHeight w:val="374" w:hRule="exact"/>
        </w:trPr>
        <w:tc>
          <w:tcPr>
            <w:tcW w:w="3053"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8"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537,968.75</w:t>
            </w:r>
            <w:r>
              <w:rPr>
                <w:rFonts w:ascii="Times New Roman"/>
                <w:sz w:val="21"/>
              </w:rPr>
            </w:r>
          </w:p>
        </w:tc>
        <w:tc>
          <w:tcPr>
            <w:tcW w:w="1874"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6.22</w:t>
            </w:r>
          </w:p>
        </w:tc>
        <w:tc>
          <w:tcPr>
            <w:tcW w:w="3037" w:type="dxa"/>
            <w:tcBorders>
              <w:top w:val="nil" w:sz="6" w:space="0" w:color="auto"/>
              <w:left w:val="single" w:sz="6" w:space="0" w:color="000000"/>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21"/>
                <w:szCs w:val="21"/>
              </w:rPr>
            </w:pPr>
            <w:r>
              <w:rPr>
                <w:rFonts w:ascii="Times New Roman"/>
                <w:spacing w:val="-1"/>
                <w:sz w:val="21"/>
              </w:rPr>
              <w:t>107,593.75</w:t>
            </w:r>
            <w:r>
              <w:rPr>
                <w:rFonts w:ascii="Times New Roman"/>
                <w:sz w:val="21"/>
              </w:rPr>
            </w:r>
          </w:p>
        </w:tc>
      </w:tr>
      <w:tr>
        <w:trPr>
          <w:trHeight w:val="319" w:hRule="exact"/>
        </w:trPr>
        <w:tc>
          <w:tcPr>
            <w:tcW w:w="3053" w:type="dxa"/>
            <w:tcBorders>
              <w:top w:val="nil" w:sz="6" w:space="0" w:color="auto"/>
              <w:left w:val="nil" w:sz="6" w:space="0" w:color="auto"/>
              <w:bottom w:val="single" w:sz="6" w:space="0" w:color="000000"/>
              <w:right w:val="single" w:sz="6"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7"/>
              <w:ind w:right="98"/>
              <w:jc w:val="right"/>
              <w:rPr>
                <w:rFonts w:ascii="Times New Roman" w:hAnsi="Times New Roman" w:cs="Times New Roman" w:eastAsia="Times New Roman" w:hint="default"/>
                <w:sz w:val="21"/>
                <w:szCs w:val="21"/>
              </w:rPr>
            </w:pPr>
            <w:r>
              <w:rPr>
                <w:rFonts w:ascii="Times New Roman"/>
                <w:spacing w:val="-1"/>
                <w:sz w:val="21"/>
              </w:rPr>
              <w:t>316,419.33</w:t>
            </w:r>
          </w:p>
        </w:tc>
        <w:tc>
          <w:tcPr>
            <w:tcW w:w="18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21"/>
                <w:szCs w:val="21"/>
              </w:rPr>
            </w:pPr>
            <w:r>
              <w:rPr>
                <w:rFonts w:ascii="Times New Roman"/>
                <w:sz w:val="21"/>
              </w:rPr>
              <w:t>3.66</w:t>
            </w:r>
          </w:p>
        </w:tc>
        <w:tc>
          <w:tcPr>
            <w:tcW w:w="3037" w:type="dxa"/>
            <w:tcBorders>
              <w:top w:val="nil" w:sz="6" w:space="0" w:color="auto"/>
              <w:left w:val="single" w:sz="6" w:space="0" w:color="000000"/>
              <w:bottom w:val="single" w:sz="6"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21"/>
                <w:szCs w:val="21"/>
              </w:rPr>
            </w:pPr>
            <w:r>
              <w:rPr>
                <w:rFonts w:ascii="Times New Roman"/>
                <w:spacing w:val="-1"/>
                <w:sz w:val="21"/>
              </w:rPr>
              <w:t>94,925.80</w:t>
            </w:r>
          </w:p>
        </w:tc>
      </w:tr>
      <w:tr>
        <w:trPr>
          <w:trHeight w:val="397" w:hRule="exact"/>
        </w:trPr>
        <w:tc>
          <w:tcPr>
            <w:tcW w:w="3053" w:type="dxa"/>
            <w:tcBorders>
              <w:top w:val="single" w:sz="6"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66"/>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97"/>
              <w:jc w:val="right"/>
              <w:rPr>
                <w:rFonts w:ascii="Times New Roman" w:hAnsi="Times New Roman" w:cs="Times New Roman" w:eastAsia="Times New Roman" w:hint="default"/>
                <w:sz w:val="21"/>
                <w:szCs w:val="21"/>
              </w:rPr>
            </w:pPr>
            <w:r>
              <w:rPr>
                <w:rFonts w:ascii="Times New Roman"/>
                <w:spacing w:val="-1"/>
                <w:sz w:val="21"/>
              </w:rPr>
              <w:t>8,651,214.91</w:t>
            </w:r>
          </w:p>
        </w:tc>
        <w:tc>
          <w:tcPr>
            <w:tcW w:w="1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100.00</w:t>
            </w:r>
          </w:p>
        </w:tc>
        <w:tc>
          <w:tcPr>
            <w:tcW w:w="303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0"/>
              <w:ind w:right="105"/>
              <w:jc w:val="right"/>
              <w:rPr>
                <w:rFonts w:ascii="Times New Roman" w:hAnsi="Times New Roman" w:cs="Times New Roman" w:eastAsia="Times New Roman" w:hint="default"/>
                <w:sz w:val="21"/>
                <w:szCs w:val="21"/>
              </w:rPr>
            </w:pPr>
            <w:r>
              <w:rPr>
                <w:rFonts w:ascii="Times New Roman"/>
                <w:spacing w:val="-1"/>
                <w:sz w:val="21"/>
              </w:rPr>
              <w:t>626,241.23</w:t>
            </w:r>
          </w:p>
        </w:tc>
      </w:tr>
    </w:tbl>
    <w:p>
      <w:pPr>
        <w:spacing w:line="240" w:lineRule="auto" w:before="4"/>
        <w:rPr>
          <w:rFonts w:ascii="宋体" w:hAnsi="宋体" w:cs="宋体" w:eastAsia="宋体" w:hint="default"/>
          <w:sz w:val="8"/>
          <w:szCs w:val="8"/>
        </w:rPr>
      </w:pPr>
    </w:p>
    <w:p>
      <w:pPr>
        <w:pStyle w:val="BodyText"/>
        <w:spacing w:line="240" w:lineRule="auto" w:before="35"/>
        <w:ind w:left="654" w:right="0"/>
        <w:jc w:val="left"/>
      </w:pPr>
      <w:r>
        <w:rPr/>
        <w:t>（</w:t>
      </w:r>
      <w:r>
        <w:rPr>
          <w:rFonts w:ascii="Times New Roman" w:hAnsi="Times New Roman" w:cs="Times New Roman" w:eastAsia="Times New Roman" w:hint="default"/>
        </w:rPr>
        <w:t>2</w:t>
      </w:r>
      <w:r>
        <w:rPr/>
        <w:t>）其他应收款按币种列示如下：</w:t>
      </w:r>
    </w:p>
    <w:tbl>
      <w:tblPr>
        <w:tblW w:w="0" w:type="auto"/>
        <w:jc w:val="left"/>
        <w:tblInd w:w="111" w:type="dxa"/>
        <w:tblLayout w:type="fixed"/>
        <w:tblCellMar>
          <w:top w:w="0" w:type="dxa"/>
          <w:left w:w="0" w:type="dxa"/>
          <w:bottom w:w="0" w:type="dxa"/>
          <w:right w:w="0" w:type="dxa"/>
        </w:tblCellMar>
        <w:tblLook w:val="01E0"/>
      </w:tblPr>
      <w:tblGrid>
        <w:gridCol w:w="3042"/>
        <w:gridCol w:w="1708"/>
        <w:gridCol w:w="1706"/>
        <w:gridCol w:w="1708"/>
        <w:gridCol w:w="1705"/>
      </w:tblGrid>
      <w:tr>
        <w:trPr>
          <w:trHeight w:val="475" w:hRule="exact"/>
        </w:trPr>
        <w:tc>
          <w:tcPr>
            <w:tcW w:w="3042" w:type="dxa"/>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5" w:val="left" w:leader="none"/>
              </w:tabs>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7"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43"/>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80" w:hRule="exact"/>
        </w:trPr>
        <w:tc>
          <w:tcPr>
            <w:tcW w:w="3042" w:type="dxa"/>
            <w:vMerge/>
            <w:tcBorders>
              <w:left w:val="nil" w:sz="6" w:space="0" w:color="auto"/>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left="528"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62" w:hRule="exact"/>
        </w:trPr>
        <w:tc>
          <w:tcPr>
            <w:tcW w:w="3042" w:type="dxa"/>
            <w:tcBorders>
              <w:top w:val="single" w:sz="8" w:space="0" w:color="000000"/>
              <w:left w:val="nil" w:sz="6" w:space="0" w:color="auto"/>
              <w:bottom w:val="nil" w:sz="6" w:space="0" w:color="auto"/>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15,263,562.41</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single" w:sz="8" w:space="0" w:color="000000"/>
              <w:left w:val="single" w:sz="8"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15,263,562.41</w:t>
            </w:r>
          </w:p>
        </w:tc>
      </w:tr>
      <w:tr>
        <w:trPr>
          <w:trHeight w:val="45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3"/>
              <w:jc w:val="right"/>
              <w:rPr>
                <w:rFonts w:ascii="Times New Roman" w:hAnsi="Times New Roman" w:cs="Times New Roman" w:eastAsia="Times New Roman" w:hint="default"/>
                <w:sz w:val="21"/>
                <w:szCs w:val="21"/>
              </w:rPr>
            </w:pPr>
            <w:r>
              <w:rPr>
                <w:rFonts w:ascii="Times New Roman"/>
                <w:spacing w:val="-1"/>
                <w:sz w:val="21"/>
              </w:rPr>
              <w:t>1,224,129.64</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1,224,129.64</w:t>
            </w:r>
          </w:p>
        </w:tc>
      </w:tr>
      <w:tr>
        <w:trPr>
          <w:trHeight w:val="45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743,796.13</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743,796.13</w:t>
            </w:r>
            <w:r>
              <w:rPr>
                <w:rFonts w:ascii="Times New Roman"/>
                <w:sz w:val="21"/>
              </w:rPr>
            </w:r>
          </w:p>
        </w:tc>
      </w:tr>
      <w:tr>
        <w:trPr>
          <w:trHeight w:val="358" w:hRule="exact"/>
        </w:trPr>
        <w:tc>
          <w:tcPr>
            <w:tcW w:w="3042" w:type="dxa"/>
            <w:tcBorders>
              <w:top w:val="nil" w:sz="6" w:space="0" w:color="auto"/>
              <w:left w:val="nil" w:sz="6" w:space="0" w:color="auto"/>
              <w:bottom w:val="single" w:sz="8" w:space="0" w:color="000000"/>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93"/>
              <w:jc w:val="right"/>
              <w:rPr>
                <w:rFonts w:ascii="Times New Roman" w:hAnsi="Times New Roman" w:cs="Times New Roman" w:eastAsia="Times New Roman" w:hint="default"/>
                <w:sz w:val="21"/>
                <w:szCs w:val="21"/>
              </w:rPr>
            </w:pPr>
            <w:r>
              <w:rPr>
                <w:rFonts w:ascii="Times New Roman"/>
                <w:spacing w:val="-1"/>
                <w:sz w:val="21"/>
              </w:rPr>
              <w:t>1,088,707.72</w:t>
            </w: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left="1"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single" w:sz="8"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21"/>
                <w:szCs w:val="21"/>
              </w:rPr>
            </w:pPr>
            <w:r>
              <w:rPr>
                <w:rFonts w:ascii="Times New Roman"/>
                <w:spacing w:val="-1"/>
                <w:sz w:val="21"/>
              </w:rPr>
              <w:t>1,088,707.72</w:t>
            </w:r>
          </w:p>
        </w:tc>
      </w:tr>
      <w:tr>
        <w:trPr>
          <w:trHeight w:val="475" w:hRule="exact"/>
        </w:trPr>
        <w:tc>
          <w:tcPr>
            <w:tcW w:w="3042" w:type="dxa"/>
            <w:tcBorders>
              <w:top w:val="single" w:sz="8" w:space="0" w:color="000000"/>
              <w:left w:val="nil" w:sz="6" w:space="0" w:color="auto"/>
              <w:bottom w:val="single" w:sz="12" w:space="0" w:color="000000"/>
              <w:right w:val="single" w:sz="8" w:space="0" w:color="000000"/>
            </w:tcBorders>
          </w:tcPr>
          <w:p>
            <w:pPr>
              <w:pStyle w:val="TableParagraph"/>
              <w:tabs>
                <w:tab w:pos="655" w:val="left" w:leader="none"/>
              </w:tabs>
              <w:spacing w:line="240" w:lineRule="auto" w:before="143"/>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18,320,195.90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3042"/>
        <w:gridCol w:w="1708"/>
        <w:gridCol w:w="1706"/>
        <w:gridCol w:w="1708"/>
        <w:gridCol w:w="1705"/>
      </w:tblGrid>
      <w:tr>
        <w:trPr>
          <w:trHeight w:val="475" w:hRule="exact"/>
        </w:trPr>
        <w:tc>
          <w:tcPr>
            <w:tcW w:w="3042" w:type="dxa"/>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4"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7"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43"/>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0" w:hRule="exact"/>
        </w:trPr>
        <w:tc>
          <w:tcPr>
            <w:tcW w:w="3042" w:type="dxa"/>
            <w:vMerge/>
            <w:tcBorders>
              <w:left w:val="nil" w:sz="6" w:space="0" w:color="auto"/>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70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left="528"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62" w:hRule="exact"/>
        </w:trPr>
        <w:tc>
          <w:tcPr>
            <w:tcW w:w="3042" w:type="dxa"/>
            <w:tcBorders>
              <w:top w:val="single" w:sz="8" w:space="0" w:color="000000"/>
              <w:left w:val="nil" w:sz="6" w:space="0" w:color="auto"/>
              <w:bottom w:val="nil" w:sz="6" w:space="0" w:color="auto"/>
              <w:right w:val="single" w:sz="8"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7,119,219.95</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single" w:sz="8" w:space="0" w:color="000000"/>
              <w:left w:val="single" w:sz="8"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7,119,219.95</w:t>
            </w:r>
          </w:p>
        </w:tc>
      </w:tr>
      <w:tr>
        <w:trPr>
          <w:trHeight w:val="45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677,606.88</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677,606.88</w:t>
            </w:r>
            <w:r>
              <w:rPr>
                <w:rFonts w:ascii="Times New Roman"/>
                <w:sz w:val="21"/>
              </w:rPr>
            </w:r>
          </w:p>
        </w:tc>
      </w:tr>
      <w:tr>
        <w:trPr>
          <w:trHeight w:val="450" w:hRule="exact"/>
        </w:trPr>
        <w:tc>
          <w:tcPr>
            <w:tcW w:w="3042" w:type="dxa"/>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537,968.75</w:t>
            </w:r>
            <w:r>
              <w:rPr>
                <w:rFonts w:ascii="Times New Roman"/>
                <w:sz w:val="21"/>
              </w:rPr>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537,968.75</w:t>
            </w:r>
            <w:r>
              <w:rPr>
                <w:rFonts w:ascii="Times New Roman"/>
                <w:sz w:val="21"/>
              </w:rPr>
            </w:r>
          </w:p>
        </w:tc>
      </w:tr>
      <w:tr>
        <w:trPr>
          <w:trHeight w:val="358" w:hRule="exact"/>
        </w:trPr>
        <w:tc>
          <w:tcPr>
            <w:tcW w:w="3042" w:type="dxa"/>
            <w:tcBorders>
              <w:top w:val="nil" w:sz="6" w:space="0" w:color="auto"/>
              <w:left w:val="nil" w:sz="6" w:space="0" w:color="auto"/>
              <w:bottom w:val="single" w:sz="8" w:space="0" w:color="000000"/>
              <w:right w:val="single" w:sz="8"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left="610"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316,419.33</w:t>
            </w:r>
            <w:r>
              <w:rPr>
                <w:rFonts w:ascii="Times New Roman"/>
                <w:sz w:val="21"/>
              </w:rPr>
            </w: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1.0000</w:t>
            </w:r>
          </w:p>
        </w:tc>
        <w:tc>
          <w:tcPr>
            <w:tcW w:w="1705" w:type="dxa"/>
            <w:tcBorders>
              <w:top w:val="nil" w:sz="6" w:space="0" w:color="auto"/>
              <w:left w:val="single" w:sz="8" w:space="0" w:color="000000"/>
              <w:bottom w:val="single" w:sz="8"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316,419.33</w:t>
            </w:r>
            <w:r>
              <w:rPr>
                <w:rFonts w:ascii="Times New Roman"/>
                <w:sz w:val="21"/>
              </w:rPr>
            </w:r>
          </w:p>
        </w:tc>
      </w:tr>
      <w:tr>
        <w:trPr>
          <w:trHeight w:val="476" w:hRule="exact"/>
        </w:trPr>
        <w:tc>
          <w:tcPr>
            <w:tcW w:w="3042" w:type="dxa"/>
            <w:tcBorders>
              <w:top w:val="single" w:sz="8" w:space="0" w:color="000000"/>
              <w:left w:val="nil" w:sz="6" w:space="0" w:color="auto"/>
              <w:bottom w:val="single" w:sz="12" w:space="0" w:color="000000"/>
              <w:right w:val="single" w:sz="8" w:space="0" w:color="000000"/>
            </w:tcBorders>
          </w:tcPr>
          <w:p>
            <w:pPr>
              <w:pStyle w:val="TableParagraph"/>
              <w:tabs>
                <w:tab w:pos="655" w:val="left" w:leader="none"/>
              </w:tabs>
              <w:spacing w:line="240" w:lineRule="auto" w:before="144"/>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8,651,214.91</w:t>
            </w:r>
          </w:p>
        </w:tc>
      </w:tr>
    </w:tbl>
    <w:p>
      <w:pPr>
        <w:spacing w:line="240" w:lineRule="auto" w:before="4"/>
        <w:rPr>
          <w:rFonts w:ascii="宋体" w:hAnsi="宋体" w:cs="宋体" w:eastAsia="宋体" w:hint="default"/>
          <w:sz w:val="8"/>
          <w:szCs w:val="8"/>
        </w:rPr>
      </w:pPr>
    </w:p>
    <w:p>
      <w:pPr>
        <w:pStyle w:val="BodyText"/>
        <w:spacing w:line="240" w:lineRule="auto" w:before="35"/>
        <w:ind w:left="654" w:right="0"/>
        <w:jc w:val="left"/>
      </w:pPr>
      <w:r>
        <w:rPr/>
        <w:t>（</w:t>
      </w:r>
      <w:r>
        <w:rPr>
          <w:rFonts w:ascii="Times New Roman" w:hAnsi="Times New Roman" w:cs="Times New Roman" w:eastAsia="Times New Roman" w:hint="default"/>
        </w:rPr>
        <w:t>3</w:t>
      </w:r>
      <w:r>
        <w:rPr/>
        <w:t>）其他应收款中无持公司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59"/>
        <w:ind w:left="654" w:right="0"/>
        <w:jc w:val="left"/>
      </w:pPr>
      <w:r>
        <w:rPr/>
        <w:t>（</w:t>
      </w:r>
      <w:r>
        <w:rPr>
          <w:rFonts w:ascii="Times New Roman" w:hAnsi="Times New Roman" w:cs="Times New Roman" w:eastAsia="Times New Roman" w:hint="default"/>
        </w:rPr>
        <w:t>4</w:t>
      </w:r>
      <w:r>
        <w:rPr/>
        <w:t>）其他应收款前五名单位金额情况</w:t>
      </w:r>
    </w:p>
    <w:tbl>
      <w:tblPr>
        <w:tblW w:w="0" w:type="auto"/>
        <w:jc w:val="left"/>
        <w:tblInd w:w="111" w:type="dxa"/>
        <w:tblLayout w:type="fixed"/>
        <w:tblCellMar>
          <w:top w:w="0" w:type="dxa"/>
          <w:left w:w="0" w:type="dxa"/>
          <w:bottom w:w="0" w:type="dxa"/>
          <w:right w:w="0" w:type="dxa"/>
        </w:tblCellMar>
        <w:tblLook w:val="01E0"/>
      </w:tblPr>
      <w:tblGrid>
        <w:gridCol w:w="4103"/>
        <w:gridCol w:w="1190"/>
        <w:gridCol w:w="1586"/>
        <w:gridCol w:w="1192"/>
        <w:gridCol w:w="1798"/>
      </w:tblGrid>
      <w:tr>
        <w:trPr>
          <w:trHeight w:val="922" w:hRule="exact"/>
        </w:trPr>
        <w:tc>
          <w:tcPr>
            <w:tcW w:w="410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450" w:lineRule="exact" w:before="28"/>
              <w:ind w:left="377" w:right="166"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5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798" w:type="dxa"/>
            <w:tcBorders>
              <w:top w:val="single" w:sz="12" w:space="0" w:color="000000"/>
              <w:left w:val="single" w:sz="6" w:space="0" w:color="000000"/>
              <w:bottom w:val="single" w:sz="6" w:space="0" w:color="000000"/>
              <w:right w:val="nil" w:sz="6" w:space="0" w:color="auto"/>
            </w:tcBorders>
          </w:tcPr>
          <w:p>
            <w:pPr>
              <w:pStyle w:val="TableParagraph"/>
              <w:spacing w:line="450" w:lineRule="exact" w:before="28"/>
              <w:ind w:left="314" w:right="162"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 额的比例</w:t>
            </w:r>
            <w:r>
              <w:rPr>
                <w:rFonts w:ascii="Times New Roman" w:hAnsi="Times New Roman" w:cs="Times New Roman" w:eastAsia="Times New Roman" w:hint="default"/>
                <w:sz w:val="21"/>
                <w:szCs w:val="21"/>
              </w:rPr>
              <w:t>(%)</w:t>
            </w:r>
          </w:p>
        </w:tc>
      </w:tr>
      <w:tr>
        <w:trPr>
          <w:trHeight w:val="565" w:hRule="exact"/>
        </w:trPr>
        <w:tc>
          <w:tcPr>
            <w:tcW w:w="4103" w:type="dxa"/>
            <w:tcBorders>
              <w:top w:val="single" w:sz="6" w:space="0" w:color="000000"/>
              <w:left w:val="nil" w:sz="6" w:space="0" w:color="auto"/>
              <w:bottom w:val="nil" w:sz="6" w:space="0" w:color="auto"/>
              <w:right w:val="single" w:sz="6" w:space="0" w:color="000000"/>
            </w:tcBorders>
          </w:tcPr>
          <w:p>
            <w:pPr>
              <w:pStyle w:val="TableParagraph"/>
              <w:spacing w:line="240" w:lineRule="auto" w:before="148"/>
              <w:ind w:left="122" w:right="0"/>
              <w:jc w:val="left"/>
              <w:rPr>
                <w:rFonts w:ascii="宋体" w:hAnsi="宋体" w:cs="宋体" w:eastAsia="宋体" w:hint="default"/>
                <w:sz w:val="21"/>
                <w:szCs w:val="21"/>
              </w:rPr>
            </w:pPr>
            <w:r>
              <w:rPr>
                <w:rFonts w:ascii="宋体" w:hAnsi="宋体" w:cs="宋体" w:eastAsia="宋体" w:hint="default"/>
                <w:sz w:val="21"/>
                <w:szCs w:val="21"/>
              </w:rPr>
              <w:t>北海市国家税务局海城区分局</w:t>
            </w:r>
          </w:p>
        </w:tc>
        <w:tc>
          <w:tcPr>
            <w:tcW w:w="11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8" w:right="0"/>
              <w:jc w:val="left"/>
              <w:rPr>
                <w:rFonts w:ascii="Times New Roman" w:hAnsi="Times New Roman" w:cs="Times New Roman" w:eastAsia="Times New Roman" w:hint="default"/>
                <w:sz w:val="21"/>
                <w:szCs w:val="21"/>
              </w:rPr>
            </w:pPr>
            <w:r>
              <w:rPr>
                <w:rFonts w:ascii="Times New Roman"/>
                <w:sz w:val="21"/>
              </w:rPr>
              <w:t>3,822,868.11</w:t>
            </w:r>
          </w:p>
        </w:tc>
        <w:tc>
          <w:tcPr>
            <w:tcW w:w="11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single" w:sz="6"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55" w:right="0"/>
              <w:jc w:val="left"/>
              <w:rPr>
                <w:rFonts w:ascii="Times New Roman" w:hAnsi="Times New Roman" w:cs="Times New Roman" w:eastAsia="Times New Roman" w:hint="default"/>
                <w:sz w:val="21"/>
                <w:szCs w:val="21"/>
              </w:rPr>
            </w:pPr>
            <w:r>
              <w:rPr>
                <w:rFonts w:ascii="Times New Roman"/>
                <w:sz w:val="21"/>
              </w:rPr>
              <w:t>20.87</w:t>
            </w:r>
          </w:p>
        </w:tc>
      </w:tr>
      <w:tr>
        <w:trPr>
          <w:trHeight w:val="454" w:hRule="exact"/>
        </w:trPr>
        <w:tc>
          <w:tcPr>
            <w:tcW w:w="41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北京市海淀区国家税务局第六税务所</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7"/>
              <w:ind w:left="234" w:right="0"/>
              <w:jc w:val="left"/>
              <w:rPr>
                <w:rFonts w:ascii="Times New Roman" w:hAnsi="Times New Roman" w:cs="Times New Roman" w:eastAsia="Times New Roman" w:hint="default"/>
                <w:sz w:val="21"/>
                <w:szCs w:val="21"/>
              </w:rPr>
            </w:pPr>
            <w:r>
              <w:rPr>
                <w:rFonts w:ascii="Times New Roman"/>
                <w:sz w:val="21"/>
              </w:rPr>
              <w:t>2,456,175.68</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07"/>
              <w:ind w:left="655" w:right="0"/>
              <w:jc w:val="left"/>
              <w:rPr>
                <w:rFonts w:ascii="Times New Roman" w:hAnsi="Times New Roman" w:cs="Times New Roman" w:eastAsia="Times New Roman" w:hint="default"/>
                <w:sz w:val="21"/>
                <w:szCs w:val="21"/>
              </w:rPr>
            </w:pPr>
            <w:r>
              <w:rPr>
                <w:rFonts w:ascii="Times New Roman"/>
                <w:sz w:val="21"/>
              </w:rPr>
              <w:t>13.41</w:t>
            </w:r>
          </w:p>
        </w:tc>
      </w:tr>
      <w:tr>
        <w:trPr>
          <w:trHeight w:val="454" w:hRule="exact"/>
        </w:trPr>
        <w:tc>
          <w:tcPr>
            <w:tcW w:w="41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南京市国家税务局鼓楼分局</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7"/>
              <w:ind w:left="234" w:right="0"/>
              <w:jc w:val="left"/>
              <w:rPr>
                <w:rFonts w:ascii="Times New Roman" w:hAnsi="Times New Roman" w:cs="Times New Roman" w:eastAsia="Times New Roman" w:hint="default"/>
                <w:sz w:val="21"/>
                <w:szCs w:val="21"/>
              </w:rPr>
            </w:pPr>
            <w:r>
              <w:rPr>
                <w:rFonts w:ascii="Times New Roman"/>
                <w:sz w:val="21"/>
              </w:rPr>
              <w:t>2,001,885.17</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07"/>
              <w:ind w:left="655" w:right="0"/>
              <w:jc w:val="left"/>
              <w:rPr>
                <w:rFonts w:ascii="Times New Roman" w:hAnsi="Times New Roman" w:cs="Times New Roman" w:eastAsia="Times New Roman" w:hint="default"/>
                <w:sz w:val="21"/>
                <w:szCs w:val="21"/>
              </w:rPr>
            </w:pPr>
            <w:r>
              <w:rPr>
                <w:rFonts w:ascii="Times New Roman"/>
                <w:sz w:val="21"/>
              </w:rPr>
              <w:t>10.93</w:t>
            </w:r>
          </w:p>
        </w:tc>
      </w:tr>
      <w:tr>
        <w:trPr>
          <w:trHeight w:val="454" w:hRule="exact"/>
        </w:trPr>
        <w:tc>
          <w:tcPr>
            <w:tcW w:w="4103"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杭州市滨江区国家税务局</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8"/>
              <w:ind w:left="234" w:right="0"/>
              <w:jc w:val="left"/>
              <w:rPr>
                <w:rFonts w:ascii="Times New Roman" w:hAnsi="Times New Roman" w:cs="Times New Roman" w:eastAsia="Times New Roman" w:hint="default"/>
                <w:sz w:val="21"/>
                <w:szCs w:val="21"/>
              </w:rPr>
            </w:pPr>
            <w:r>
              <w:rPr>
                <w:rFonts w:ascii="Times New Roman"/>
                <w:sz w:val="21"/>
              </w:rPr>
              <w:t>1,861,274.24</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nil" w:sz="6" w:space="0" w:color="auto"/>
              <w:right w:val="nil" w:sz="6" w:space="0" w:color="auto"/>
            </w:tcBorders>
          </w:tcPr>
          <w:p>
            <w:pPr>
              <w:pStyle w:val="TableParagraph"/>
              <w:spacing w:line="240" w:lineRule="auto" w:before="108"/>
              <w:ind w:left="655" w:right="0"/>
              <w:jc w:val="left"/>
              <w:rPr>
                <w:rFonts w:ascii="Times New Roman" w:hAnsi="Times New Roman" w:cs="Times New Roman" w:eastAsia="Times New Roman" w:hint="default"/>
                <w:sz w:val="21"/>
                <w:szCs w:val="21"/>
              </w:rPr>
            </w:pPr>
            <w:r>
              <w:rPr>
                <w:rFonts w:ascii="Times New Roman"/>
                <w:sz w:val="21"/>
              </w:rPr>
              <w:t>10.16</w:t>
            </w:r>
          </w:p>
        </w:tc>
      </w:tr>
      <w:tr>
        <w:trPr>
          <w:trHeight w:val="358" w:hRule="exact"/>
        </w:trPr>
        <w:tc>
          <w:tcPr>
            <w:tcW w:w="4103" w:type="dxa"/>
            <w:tcBorders>
              <w:top w:val="nil" w:sz="6" w:space="0" w:color="auto"/>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南京永旺盈合信息系统有限公司</w:t>
            </w:r>
          </w:p>
        </w:tc>
        <w:tc>
          <w:tcPr>
            <w:tcW w:w="119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7"/>
              <w:ind w:left="313" w:right="0"/>
              <w:jc w:val="left"/>
              <w:rPr>
                <w:rFonts w:ascii="Times New Roman" w:hAnsi="Times New Roman" w:cs="Times New Roman" w:eastAsia="Times New Roman" w:hint="default"/>
                <w:sz w:val="21"/>
                <w:szCs w:val="21"/>
              </w:rPr>
            </w:pPr>
            <w:r>
              <w:rPr>
                <w:rFonts w:ascii="Times New Roman"/>
                <w:sz w:val="21"/>
              </w:rPr>
              <w:t>895,000.00</w:t>
            </w:r>
          </w:p>
        </w:tc>
        <w:tc>
          <w:tcPr>
            <w:tcW w:w="119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nil" w:sz="6" w:space="0" w:color="auto"/>
              <w:left w:val="single" w:sz="6" w:space="0" w:color="000000"/>
              <w:bottom w:val="single" w:sz="6" w:space="0" w:color="000000"/>
              <w:right w:val="nil" w:sz="6" w:space="0" w:color="auto"/>
            </w:tcBorders>
          </w:tcPr>
          <w:p>
            <w:pPr>
              <w:pStyle w:val="TableParagraph"/>
              <w:spacing w:line="240" w:lineRule="auto" w:before="107"/>
              <w:ind w:left="708" w:right="0"/>
              <w:jc w:val="left"/>
              <w:rPr>
                <w:rFonts w:ascii="Times New Roman" w:hAnsi="Times New Roman" w:cs="Times New Roman" w:eastAsia="Times New Roman" w:hint="default"/>
                <w:sz w:val="21"/>
                <w:szCs w:val="21"/>
              </w:rPr>
            </w:pPr>
            <w:r>
              <w:rPr>
                <w:rFonts w:ascii="Times New Roman"/>
                <w:sz w:val="21"/>
              </w:rPr>
              <w:t>4.89</w:t>
            </w:r>
          </w:p>
        </w:tc>
      </w:tr>
      <w:tr>
        <w:trPr>
          <w:trHeight w:val="477" w:hRule="exact"/>
        </w:trPr>
        <w:tc>
          <w:tcPr>
            <w:tcW w:w="4103"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90" w:type="dxa"/>
            <w:tcBorders>
              <w:top w:val="single" w:sz="6" w:space="0" w:color="000000"/>
              <w:left w:val="single" w:sz="6" w:space="0" w:color="000000"/>
              <w:bottom w:val="single" w:sz="12" w:space="0" w:color="000000"/>
              <w:right w:val="single" w:sz="6" w:space="0" w:color="000000"/>
            </w:tcBorders>
          </w:tcPr>
          <w:p>
            <w:pPr/>
          </w:p>
        </w:tc>
        <w:tc>
          <w:tcPr>
            <w:tcW w:w="15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11,037,203.20</w:t>
            </w:r>
          </w:p>
        </w:tc>
        <w:tc>
          <w:tcPr>
            <w:tcW w:w="1192" w:type="dxa"/>
            <w:tcBorders>
              <w:top w:val="single" w:sz="6" w:space="0" w:color="000000"/>
              <w:left w:val="single" w:sz="6" w:space="0" w:color="000000"/>
              <w:bottom w:val="single" w:sz="12" w:space="0" w:color="000000"/>
              <w:right w:val="single" w:sz="6" w:space="0" w:color="000000"/>
            </w:tcBorders>
          </w:tcPr>
          <w:p>
            <w:pPr/>
          </w:p>
        </w:tc>
        <w:tc>
          <w:tcPr>
            <w:tcW w:w="1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55" w:right="0"/>
              <w:jc w:val="left"/>
              <w:rPr>
                <w:rFonts w:ascii="Times New Roman" w:hAnsi="Times New Roman" w:cs="Times New Roman" w:eastAsia="Times New Roman" w:hint="default"/>
                <w:sz w:val="21"/>
                <w:szCs w:val="21"/>
              </w:rPr>
            </w:pPr>
            <w:r>
              <w:rPr>
                <w:rFonts w:ascii="Times New Roman"/>
                <w:sz w:val="21"/>
              </w:rPr>
              <w:t>60.26</w:t>
            </w:r>
          </w:p>
        </w:tc>
      </w:tr>
    </w:tbl>
    <w:p>
      <w:pPr>
        <w:spacing w:line="240" w:lineRule="auto" w:before="6"/>
        <w:rPr>
          <w:rFonts w:ascii="宋体" w:hAnsi="宋体" w:cs="宋体" w:eastAsia="宋体" w:hint="default"/>
          <w:sz w:val="9"/>
          <w:szCs w:val="9"/>
        </w:rPr>
      </w:pPr>
    </w:p>
    <w:p>
      <w:pPr>
        <w:pStyle w:val="BodyText"/>
        <w:spacing w:line="240" w:lineRule="auto" w:before="35"/>
        <w:ind w:left="654" w:right="0"/>
        <w:jc w:val="left"/>
      </w:pPr>
      <w:r>
        <w:rPr/>
        <w:t>注：其他应收款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日比</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日增长了</w:t>
      </w:r>
      <w:r>
        <w:rPr>
          <w:rFonts w:ascii="Times New Roman" w:hAnsi="Times New Roman" w:cs="Times New Roman" w:eastAsia="Times New Roman" w:hint="default"/>
        </w:rPr>
        <w:t>111.76%</w:t>
      </w:r>
      <w:r>
        <w:rPr/>
        <w:t>，主要系本期软件销售收入增加使</w:t>
      </w:r>
    </w:p>
    <w:p>
      <w:pPr>
        <w:spacing w:after="0" w:line="240" w:lineRule="auto"/>
        <w:jc w:val="left"/>
        <w:sectPr>
          <w:pgSz w:w="11910" w:h="16840"/>
          <w:pgMar w:header="851" w:footer="982" w:top="1200" w:bottom="1180" w:left="900" w:right="52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7"/>
          <w:szCs w:val="7"/>
        </w:rPr>
      </w:pPr>
    </w:p>
    <w:p>
      <w:pPr>
        <w:pStyle w:val="BodyText"/>
        <w:spacing w:line="381" w:lineRule="auto" w:before="35"/>
        <w:ind w:left="254" w:right="210"/>
        <w:jc w:val="left"/>
      </w:pPr>
      <w:r>
        <w:rPr>
          <w:spacing w:val="-1"/>
        </w:rPr>
        <w:t>得相应软件增值税退税收入有所增加，部分退税款在期末尚未收到使得期末应收退税款增加，另外报告期</w:t>
      </w:r>
      <w:r>
        <w:rPr>
          <w:spacing w:val="-81"/>
        </w:rPr>
        <w:t> </w:t>
      </w:r>
      <w:r>
        <w:rPr>
          <w:spacing w:val="-81"/>
        </w:rPr>
      </w:r>
      <w:r>
        <w:rPr/>
        <w:t>内收购南京银石计算机系统有限公司</w:t>
      </w:r>
      <w:r>
        <w:rPr>
          <w:rFonts w:ascii="Times New Roman" w:hAnsi="Times New Roman" w:cs="Times New Roman" w:eastAsia="Times New Roman" w:hint="default"/>
        </w:rPr>
        <w:t>100</w:t>
      </w:r>
      <w:r>
        <w:rPr/>
        <w:t>％的股权，合并报表范围增加使得其他应收款期末余额较期初余 额增加了</w:t>
      </w:r>
      <w:r>
        <w:rPr>
          <w:rFonts w:ascii="Times New Roman" w:hAnsi="Times New Roman" w:cs="Times New Roman" w:eastAsia="Times New Roman" w:hint="default"/>
        </w:rPr>
        <w:t>372</w:t>
      </w:r>
      <w:r>
        <w:rPr/>
        <w:t>万元。</w:t>
      </w:r>
    </w:p>
    <w:p>
      <w:pPr>
        <w:pStyle w:val="BodyText"/>
        <w:spacing w:line="240" w:lineRule="auto" w:before="22"/>
        <w:ind w:left="673" w:right="210"/>
        <w:jc w:val="left"/>
      </w:pPr>
      <w:r>
        <w:rPr>
          <w:rFonts w:ascii="Times New Roman" w:hAnsi="Times New Roman" w:cs="Times New Roman" w:eastAsia="Times New Roman" w:hint="default"/>
        </w:rPr>
        <w:t>7</w:t>
      </w:r>
      <w:r>
        <w:rPr/>
        <w:t>．存货</w:t>
      </w:r>
    </w:p>
    <w:p>
      <w:pPr>
        <w:pStyle w:val="BodyText"/>
        <w:spacing w:line="240" w:lineRule="auto" w:before="159"/>
        <w:ind w:left="673" w:right="210"/>
        <w:jc w:val="left"/>
      </w:pPr>
      <w:r>
        <w:rPr/>
        <w:t>（</w:t>
      </w:r>
      <w:r>
        <w:rPr>
          <w:rFonts w:ascii="Times New Roman" w:hAnsi="Times New Roman" w:cs="Times New Roman" w:eastAsia="Times New Roman" w:hint="default"/>
        </w:rPr>
        <w:t>1</w:t>
      </w:r>
      <w:r>
        <w:rPr/>
        <w:t>）存货分类：</w:t>
      </w:r>
    </w:p>
    <w:tbl>
      <w:tblPr>
        <w:tblW w:w="0" w:type="auto"/>
        <w:jc w:val="left"/>
        <w:tblInd w:w="208" w:type="dxa"/>
        <w:tblLayout w:type="fixed"/>
        <w:tblCellMar>
          <w:top w:w="0" w:type="dxa"/>
          <w:left w:w="0" w:type="dxa"/>
          <w:bottom w:w="0" w:type="dxa"/>
          <w:right w:w="0" w:type="dxa"/>
        </w:tblCellMar>
        <w:tblLook w:val="01E0"/>
      </w:tblPr>
      <w:tblGrid>
        <w:gridCol w:w="2106"/>
        <w:gridCol w:w="1339"/>
        <w:gridCol w:w="1168"/>
        <w:gridCol w:w="1339"/>
        <w:gridCol w:w="1351"/>
        <w:gridCol w:w="1062"/>
        <w:gridCol w:w="1350"/>
      </w:tblGrid>
      <w:tr>
        <w:trPr>
          <w:trHeight w:val="470" w:hRule="exact"/>
        </w:trPr>
        <w:tc>
          <w:tcPr>
            <w:tcW w:w="210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tabs>
                <w:tab w:pos="1239" w:val="left" w:leader="none"/>
              </w:tabs>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4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76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60" w:hRule="exact"/>
        </w:trPr>
        <w:tc>
          <w:tcPr>
            <w:tcW w:w="2106" w:type="dxa"/>
            <w:vMerge/>
            <w:tcBorders>
              <w:left w:val="nil" w:sz="6" w:space="0" w:color="auto"/>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88" w:hRule="exact"/>
        </w:trPr>
        <w:tc>
          <w:tcPr>
            <w:tcW w:w="2106"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19,640,389.76</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317,633.59</w:t>
            </w:r>
          </w:p>
        </w:tc>
        <w:tc>
          <w:tcPr>
            <w:tcW w:w="13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19,322,756.17</w:t>
            </w:r>
          </w:p>
        </w:tc>
        <w:tc>
          <w:tcPr>
            <w:tcW w:w="13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23,782,186.02</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223,027.75</w:t>
            </w:r>
          </w:p>
        </w:tc>
        <w:tc>
          <w:tcPr>
            <w:tcW w:w="1350"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23,559,158.27</w:t>
            </w:r>
          </w:p>
        </w:tc>
      </w:tr>
      <w:tr>
        <w:trPr>
          <w:trHeight w:val="466" w:hRule="exact"/>
        </w:trPr>
        <w:tc>
          <w:tcPr>
            <w:tcW w:w="2106"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45" w:right="0"/>
              <w:jc w:val="left"/>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267" w:right="0"/>
              <w:jc w:val="left"/>
              <w:rPr>
                <w:rFonts w:ascii="Times New Roman" w:hAnsi="Times New Roman" w:cs="Times New Roman" w:eastAsia="Times New Roman" w:hint="default"/>
                <w:sz w:val="18"/>
                <w:szCs w:val="18"/>
              </w:rPr>
            </w:pPr>
            <w:r>
              <w:rPr>
                <w:rFonts w:ascii="Times New Roman"/>
                <w:sz w:val="18"/>
              </w:rPr>
              <w:t>35,679,513.31</w:t>
            </w:r>
          </w:p>
        </w:tc>
        <w:tc>
          <w:tcPr>
            <w:tcW w:w="1168" w:type="dxa"/>
            <w:vMerge/>
            <w:tcBorders>
              <w:left w:val="single" w:sz="4" w:space="0" w:color="000000"/>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267" w:right="0"/>
              <w:jc w:val="left"/>
              <w:rPr>
                <w:rFonts w:ascii="Times New Roman" w:hAnsi="Times New Roman" w:cs="Times New Roman" w:eastAsia="Times New Roman" w:hint="default"/>
                <w:sz w:val="18"/>
                <w:szCs w:val="18"/>
              </w:rPr>
            </w:pPr>
            <w:r>
              <w:rPr>
                <w:rFonts w:ascii="Times New Roman"/>
                <w:sz w:val="18"/>
              </w:rPr>
              <w:t>35,679,513.31</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18"/>
                <w:szCs w:val="18"/>
              </w:rPr>
            </w:pPr>
            <w:r>
              <w:rPr>
                <w:rFonts w:ascii="Times New Roman"/>
                <w:spacing w:val="-1"/>
                <w:sz w:val="18"/>
              </w:rPr>
              <w:t>35,936,804.88</w:t>
            </w:r>
          </w:p>
        </w:tc>
        <w:tc>
          <w:tcPr>
            <w:tcW w:w="1062" w:type="dxa"/>
            <w:vMerge/>
            <w:tcBorders>
              <w:left w:val="single" w:sz="4" w:space="0" w:color="000000"/>
              <w:right w:val="single" w:sz="4" w:space="0" w:color="000000"/>
            </w:tcBorders>
          </w:tcPr>
          <w:p>
            <w:pPr/>
          </w:p>
        </w:tc>
        <w:tc>
          <w:tcPr>
            <w:tcW w:w="1350"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29"/>
              <w:jc w:val="right"/>
              <w:rPr>
                <w:rFonts w:ascii="Times New Roman" w:hAnsi="Times New Roman" w:cs="Times New Roman" w:eastAsia="Times New Roman" w:hint="default"/>
                <w:sz w:val="18"/>
                <w:szCs w:val="18"/>
              </w:rPr>
            </w:pPr>
            <w:r>
              <w:rPr>
                <w:rFonts w:ascii="Times New Roman"/>
                <w:spacing w:val="-1"/>
                <w:sz w:val="18"/>
              </w:rPr>
              <w:t>35,936,804.88</w:t>
            </w:r>
          </w:p>
        </w:tc>
      </w:tr>
      <w:tr>
        <w:trPr>
          <w:trHeight w:val="352" w:hRule="exact"/>
        </w:trPr>
        <w:tc>
          <w:tcPr>
            <w:tcW w:w="2106" w:type="dxa"/>
            <w:tcBorders>
              <w:top w:val="nil" w:sz="6" w:space="0" w:color="auto"/>
              <w:left w:val="nil" w:sz="6" w:space="0" w:color="auto"/>
              <w:bottom w:val="single" w:sz="4" w:space="0" w:color="000000"/>
              <w:right w:val="single" w:sz="4" w:space="0" w:color="000000"/>
            </w:tcBorders>
          </w:tcPr>
          <w:p>
            <w:pPr>
              <w:pStyle w:val="TableParagraph"/>
              <w:spacing w:line="240" w:lineRule="auto" w:before="69"/>
              <w:ind w:left="4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39" w:type="dxa"/>
            <w:tcBorders>
              <w:top w:val="nil" w:sz="6" w:space="0" w:color="auto"/>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z w:val="18"/>
              </w:rPr>
              <w:t>37,264.50</w:t>
            </w:r>
          </w:p>
        </w:tc>
        <w:tc>
          <w:tcPr>
            <w:tcW w:w="1062" w:type="dxa"/>
            <w:vMerge/>
            <w:tcBorders>
              <w:left w:val="single" w:sz="4" w:space="0" w:color="000000"/>
              <w:bottom w:val="single" w:sz="4" w:space="0" w:color="000000"/>
              <w:right w:val="single" w:sz="4" w:space="0" w:color="000000"/>
            </w:tcBorders>
          </w:tcPr>
          <w:p>
            <w:pPr/>
          </w:p>
        </w:tc>
        <w:tc>
          <w:tcPr>
            <w:tcW w:w="1350" w:type="dxa"/>
            <w:tcBorders>
              <w:top w:val="nil" w:sz="6" w:space="0" w:color="auto"/>
              <w:left w:val="single" w:sz="4" w:space="0" w:color="000000"/>
              <w:bottom w:val="single" w:sz="4" w:space="0" w:color="000000"/>
              <w:right w:val="nil" w:sz="6" w:space="0" w:color="auto"/>
            </w:tcBorders>
          </w:tcPr>
          <w:p>
            <w:pPr>
              <w:pStyle w:val="TableParagraph"/>
              <w:spacing w:line="240" w:lineRule="auto" w:before="136"/>
              <w:ind w:right="29"/>
              <w:jc w:val="right"/>
              <w:rPr>
                <w:rFonts w:ascii="Times New Roman" w:hAnsi="Times New Roman" w:cs="Times New Roman" w:eastAsia="Times New Roman" w:hint="default"/>
                <w:sz w:val="18"/>
                <w:szCs w:val="18"/>
              </w:rPr>
            </w:pPr>
            <w:r>
              <w:rPr>
                <w:rFonts w:ascii="Times New Roman"/>
                <w:sz w:val="18"/>
              </w:rPr>
              <w:t>37,264.50</w:t>
            </w:r>
          </w:p>
        </w:tc>
      </w:tr>
      <w:tr>
        <w:trPr>
          <w:trHeight w:val="485" w:hRule="exact"/>
        </w:trPr>
        <w:tc>
          <w:tcPr>
            <w:tcW w:w="2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tabs>
                <w:tab w:pos="1239" w:val="left" w:leader="none"/>
              </w:tabs>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55,319,903.07</w:t>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317,633.59</w:t>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55,002,269.48</w:t>
            </w:r>
          </w:p>
        </w:tc>
        <w:tc>
          <w:tcPr>
            <w:tcW w:w="13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59,756,255.40</w:t>
            </w:r>
          </w:p>
        </w:tc>
        <w:tc>
          <w:tcPr>
            <w:tcW w:w="10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223,027.75</w:t>
            </w:r>
          </w:p>
        </w:tc>
        <w:tc>
          <w:tcPr>
            <w:tcW w:w="13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59,533,227.65</w:t>
            </w:r>
          </w:p>
        </w:tc>
      </w:tr>
    </w:tbl>
    <w:p>
      <w:pPr>
        <w:spacing w:line="240" w:lineRule="auto" w:before="6"/>
        <w:rPr>
          <w:rFonts w:ascii="宋体" w:hAnsi="宋体" w:cs="宋体" w:eastAsia="宋体" w:hint="default"/>
          <w:sz w:val="9"/>
          <w:szCs w:val="9"/>
        </w:rPr>
      </w:pPr>
    </w:p>
    <w:p>
      <w:pPr>
        <w:pStyle w:val="BodyText"/>
        <w:spacing w:line="240" w:lineRule="auto" w:before="35"/>
        <w:ind w:left="794" w:right="210"/>
        <w:jc w:val="left"/>
      </w:pPr>
      <w:r>
        <w:rPr/>
        <w:t>（</w:t>
      </w:r>
      <w:r>
        <w:rPr>
          <w:rFonts w:ascii="Times New Roman" w:hAnsi="Times New Roman" w:cs="Times New Roman" w:eastAsia="Times New Roman" w:hint="default"/>
        </w:rPr>
        <w:t>2</w:t>
      </w:r>
      <w:r>
        <w:rPr/>
        <w:t>）存货跌价准备：</w:t>
      </w:r>
    </w:p>
    <w:tbl>
      <w:tblPr>
        <w:tblW w:w="0" w:type="auto"/>
        <w:jc w:val="left"/>
        <w:tblInd w:w="116" w:type="dxa"/>
        <w:tblLayout w:type="fixed"/>
        <w:tblCellMar>
          <w:top w:w="0" w:type="dxa"/>
          <w:left w:w="0" w:type="dxa"/>
          <w:bottom w:w="0" w:type="dxa"/>
          <w:right w:w="0" w:type="dxa"/>
        </w:tblCellMar>
        <w:tblLook w:val="01E0"/>
      </w:tblPr>
      <w:tblGrid>
        <w:gridCol w:w="1368"/>
        <w:gridCol w:w="1322"/>
        <w:gridCol w:w="1600"/>
        <w:gridCol w:w="1794"/>
        <w:gridCol w:w="1793"/>
        <w:gridCol w:w="1992"/>
      </w:tblGrid>
      <w:tr>
        <w:trPr>
          <w:trHeight w:val="470" w:hRule="exact"/>
        </w:trPr>
        <w:tc>
          <w:tcPr>
            <w:tcW w:w="1368"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322"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00"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358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992" w:type="dxa"/>
            <w:vMerge w:val="restart"/>
            <w:tcBorders>
              <w:top w:val="single" w:sz="12"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60" w:hRule="exact"/>
        </w:trPr>
        <w:tc>
          <w:tcPr>
            <w:tcW w:w="1368" w:type="dxa"/>
            <w:vMerge/>
            <w:tcBorders>
              <w:left w:val="nil" w:sz="6" w:space="0" w:color="auto"/>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600"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992" w:type="dxa"/>
            <w:vMerge/>
            <w:tcBorders>
              <w:left w:val="single" w:sz="4" w:space="0" w:color="000000"/>
              <w:bottom w:val="single" w:sz="4" w:space="0" w:color="000000"/>
              <w:right w:val="nil" w:sz="6" w:space="0" w:color="auto"/>
            </w:tcBorders>
          </w:tcPr>
          <w:p>
            <w:pPr/>
          </w:p>
        </w:tc>
      </w:tr>
      <w:tr>
        <w:trPr>
          <w:trHeight w:val="461" w:hRule="exact"/>
        </w:trPr>
        <w:tc>
          <w:tcPr>
            <w:tcW w:w="1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223,027.75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94,605.84</w:t>
            </w:r>
          </w:p>
        </w:tc>
        <w:tc>
          <w:tcPr>
            <w:tcW w:w="1794"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317,633.59</w:t>
            </w:r>
          </w:p>
        </w:tc>
      </w:tr>
      <w:tr>
        <w:trPr>
          <w:trHeight w:val="470" w:hRule="exact"/>
        </w:trPr>
        <w:tc>
          <w:tcPr>
            <w:tcW w:w="1368" w:type="dxa"/>
            <w:tcBorders>
              <w:top w:val="single" w:sz="4" w:space="0" w:color="000000"/>
              <w:left w:val="nil" w:sz="6" w:space="0" w:color="auto"/>
              <w:bottom w:val="single" w:sz="12" w:space="0" w:color="000000"/>
              <w:right w:val="single" w:sz="4" w:space="0" w:color="000000"/>
            </w:tcBorders>
          </w:tcPr>
          <w:p>
            <w:pPr>
              <w:pStyle w:val="TableParagraph"/>
              <w:tabs>
                <w:tab w:pos="902" w:val="left" w:leader="none"/>
              </w:tabs>
              <w:spacing w:line="240" w:lineRule="auto" w:before="143"/>
              <w:ind w:left="2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223,027.75</w:t>
            </w:r>
          </w:p>
        </w:tc>
        <w:tc>
          <w:tcPr>
            <w:tcW w:w="1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94,605.84</w:t>
            </w:r>
          </w:p>
        </w:tc>
        <w:tc>
          <w:tcPr>
            <w:tcW w:w="1794" w:type="dxa"/>
            <w:tcBorders>
              <w:top w:val="single" w:sz="4" w:space="0" w:color="000000"/>
              <w:left w:val="single" w:sz="4" w:space="0" w:color="000000"/>
              <w:bottom w:val="single" w:sz="12" w:space="0" w:color="000000"/>
              <w:right w:val="single" w:sz="4" w:space="0" w:color="000000"/>
            </w:tcBorders>
          </w:tcPr>
          <w:p>
            <w:pPr/>
          </w:p>
        </w:tc>
        <w:tc>
          <w:tcPr>
            <w:tcW w:w="1793" w:type="dxa"/>
            <w:tcBorders>
              <w:top w:val="single" w:sz="4" w:space="0" w:color="000000"/>
              <w:left w:val="single" w:sz="4" w:space="0" w:color="000000"/>
              <w:bottom w:val="single" w:sz="12" w:space="0" w:color="000000"/>
              <w:right w:val="single" w:sz="4" w:space="0" w:color="000000"/>
            </w:tcBorders>
          </w:tcPr>
          <w:p>
            <w:pPr/>
          </w:p>
        </w:tc>
        <w:tc>
          <w:tcPr>
            <w:tcW w:w="19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317,633.59</w:t>
            </w:r>
          </w:p>
        </w:tc>
      </w:tr>
    </w:tbl>
    <w:p>
      <w:pPr>
        <w:spacing w:line="240" w:lineRule="auto" w:before="6"/>
        <w:rPr>
          <w:rFonts w:ascii="宋体" w:hAnsi="宋体" w:cs="宋体" w:eastAsia="宋体" w:hint="default"/>
          <w:sz w:val="9"/>
          <w:szCs w:val="9"/>
        </w:rPr>
      </w:pPr>
    </w:p>
    <w:p>
      <w:pPr>
        <w:pStyle w:val="BodyText"/>
        <w:spacing w:line="240" w:lineRule="auto" w:before="35"/>
        <w:ind w:left="674" w:right="210"/>
        <w:jc w:val="left"/>
      </w:pPr>
      <w:r>
        <w:rPr/>
        <w:t>（</w:t>
      </w:r>
      <w:r>
        <w:rPr>
          <w:rFonts w:ascii="Times New Roman" w:hAnsi="Times New Roman" w:cs="Times New Roman" w:eastAsia="Times New Roman" w:hint="default"/>
        </w:rPr>
        <w:t>3</w:t>
      </w:r>
      <w:r>
        <w:rPr/>
        <w:t>）</w:t>
      </w:r>
      <w:r>
        <w:rPr>
          <w:color w:val="323232"/>
        </w:rPr>
        <w:t>存货跌价准备情况</w:t>
      </w:r>
      <w:r>
        <w:rPr/>
      </w:r>
    </w:p>
    <w:tbl>
      <w:tblPr>
        <w:tblW w:w="0" w:type="auto"/>
        <w:jc w:val="left"/>
        <w:tblInd w:w="193" w:type="dxa"/>
        <w:tblLayout w:type="fixed"/>
        <w:tblCellMar>
          <w:top w:w="0" w:type="dxa"/>
          <w:left w:w="0" w:type="dxa"/>
          <w:bottom w:w="0" w:type="dxa"/>
          <w:right w:w="0" w:type="dxa"/>
        </w:tblCellMar>
        <w:tblLook w:val="01E0"/>
      </w:tblPr>
      <w:tblGrid>
        <w:gridCol w:w="1838"/>
        <w:gridCol w:w="2384"/>
        <w:gridCol w:w="2384"/>
        <w:gridCol w:w="3108"/>
      </w:tblGrid>
      <w:tr>
        <w:trPr>
          <w:trHeight w:val="920" w:hRule="exact"/>
        </w:trPr>
        <w:tc>
          <w:tcPr>
            <w:tcW w:w="18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tabs>
                <w:tab w:pos="1137" w:val="left" w:leader="none"/>
              </w:tabs>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84" w:type="dxa"/>
            <w:tcBorders>
              <w:top w:val="single" w:sz="12" w:space="0" w:color="000000"/>
              <w:left w:val="single" w:sz="4" w:space="0" w:color="000000"/>
              <w:bottom w:val="single" w:sz="4" w:space="0" w:color="000000"/>
              <w:right w:val="single" w:sz="4" w:space="0" w:color="000000"/>
            </w:tcBorders>
          </w:tcPr>
          <w:p>
            <w:pPr>
              <w:pStyle w:val="TableParagraph"/>
              <w:spacing w:line="450" w:lineRule="exact" w:before="28"/>
              <w:ind w:left="976" w:right="30" w:hanging="945"/>
              <w:jc w:val="left"/>
              <w:rPr>
                <w:rFonts w:ascii="宋体" w:hAnsi="宋体" w:cs="宋体" w:eastAsia="宋体" w:hint="default"/>
                <w:sz w:val="21"/>
                <w:szCs w:val="21"/>
              </w:rPr>
            </w:pPr>
            <w:r>
              <w:rPr>
                <w:rFonts w:ascii="宋体" w:hAnsi="宋体" w:cs="宋体" w:eastAsia="宋体" w:hint="default"/>
                <w:sz w:val="21"/>
                <w:szCs w:val="21"/>
              </w:rPr>
              <w:t>本期转销存货跌价准备的 原因</w:t>
            </w:r>
          </w:p>
        </w:tc>
        <w:tc>
          <w:tcPr>
            <w:tcW w:w="3108" w:type="dxa"/>
            <w:tcBorders>
              <w:top w:val="single" w:sz="12" w:space="0" w:color="000000"/>
              <w:left w:val="single" w:sz="4" w:space="0" w:color="000000"/>
              <w:bottom w:val="single" w:sz="4" w:space="0" w:color="000000"/>
              <w:right w:val="nil" w:sz="6" w:space="0" w:color="auto"/>
            </w:tcBorders>
          </w:tcPr>
          <w:p>
            <w:pPr>
              <w:pStyle w:val="TableParagraph"/>
              <w:spacing w:line="450" w:lineRule="exact" w:before="28"/>
              <w:ind w:left="970" w:right="83" w:hanging="893"/>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本期转销金额占该项存货年末余 额的比例</w:t>
            </w:r>
            <w:r>
              <w:rPr>
                <w:rFonts w:ascii="Times New Roman" w:hAnsi="Times New Roman" w:cs="Times New Roman" w:eastAsia="Times New Roman" w:hint="default"/>
                <w:sz w:val="21"/>
                <w:szCs w:val="21"/>
              </w:rPr>
              <w:t>(%)</w:t>
            </w:r>
          </w:p>
        </w:tc>
      </w:tr>
      <w:tr>
        <w:trPr>
          <w:trHeight w:val="470" w:hRule="exact"/>
        </w:trPr>
        <w:tc>
          <w:tcPr>
            <w:tcW w:w="18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成本高于可变现净值</w:t>
            </w:r>
          </w:p>
        </w:tc>
        <w:tc>
          <w:tcPr>
            <w:tcW w:w="2384" w:type="dxa"/>
            <w:tcBorders>
              <w:top w:val="single" w:sz="4" w:space="0" w:color="000000"/>
              <w:left w:val="single" w:sz="4" w:space="0" w:color="000000"/>
              <w:bottom w:val="single" w:sz="12" w:space="0" w:color="000000"/>
              <w:right w:val="single" w:sz="4" w:space="0" w:color="000000"/>
            </w:tcBorders>
          </w:tcPr>
          <w:p>
            <w:pPr/>
          </w:p>
        </w:tc>
        <w:tc>
          <w:tcPr>
            <w:tcW w:w="31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74" w:right="210"/>
        <w:jc w:val="left"/>
      </w:pPr>
      <w:r>
        <w:rPr>
          <w:rFonts w:ascii="Times New Roman" w:hAnsi="Times New Roman" w:cs="Times New Roman" w:eastAsia="Times New Roman" w:hint="default"/>
        </w:rPr>
        <w:t>8</w:t>
      </w:r>
      <w:r>
        <w:rPr/>
        <w:t>．一年内到期的非流动资产：</w:t>
      </w:r>
    </w:p>
    <w:tbl>
      <w:tblPr>
        <w:tblW w:w="0" w:type="auto"/>
        <w:jc w:val="left"/>
        <w:tblInd w:w="131" w:type="dxa"/>
        <w:tblLayout w:type="fixed"/>
        <w:tblCellMar>
          <w:top w:w="0" w:type="dxa"/>
          <w:left w:w="0" w:type="dxa"/>
          <w:bottom w:w="0" w:type="dxa"/>
          <w:right w:w="0" w:type="dxa"/>
        </w:tblCellMar>
        <w:tblLook w:val="01E0"/>
      </w:tblPr>
      <w:tblGrid>
        <w:gridCol w:w="4298"/>
        <w:gridCol w:w="2580"/>
        <w:gridCol w:w="2990"/>
      </w:tblGrid>
      <w:tr>
        <w:trPr>
          <w:trHeight w:val="470" w:hRule="exact"/>
        </w:trPr>
        <w:tc>
          <w:tcPr>
            <w:tcW w:w="4298"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4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9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57" w:hRule="exact"/>
        </w:trPr>
        <w:tc>
          <w:tcPr>
            <w:tcW w:w="4298" w:type="dxa"/>
            <w:tcBorders>
              <w:top w:val="single" w:sz="4" w:space="0" w:color="000000"/>
              <w:left w:val="nil" w:sz="6" w:space="0" w:color="auto"/>
              <w:bottom w:val="nil" w:sz="6" w:space="0" w:color="auto"/>
              <w:right w:val="single" w:sz="4" w:space="0" w:color="000000"/>
            </w:tcBorders>
          </w:tcPr>
          <w:p>
            <w:pPr>
              <w:pStyle w:val="TableParagraph"/>
              <w:spacing w:line="240" w:lineRule="auto" w:before="144"/>
              <w:ind w:left="122"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21,461.16</w:t>
            </w:r>
          </w:p>
        </w:tc>
        <w:tc>
          <w:tcPr>
            <w:tcW w:w="2990" w:type="dxa"/>
            <w:tcBorders>
              <w:top w:val="single" w:sz="4" w:space="0" w:color="000000"/>
              <w:left w:val="single" w:sz="4" w:space="0" w:color="000000"/>
              <w:bottom w:val="nil" w:sz="6" w:space="0" w:color="auto"/>
              <w:right w:val="nil" w:sz="6" w:space="0" w:color="auto"/>
            </w:tcBorders>
          </w:tcPr>
          <w:p>
            <w:pPr>
              <w:pStyle w:val="TableParagraph"/>
              <w:spacing w:line="240" w:lineRule="auto" w:before="144"/>
              <w:ind w:right="4"/>
              <w:jc w:val="center"/>
              <w:rPr>
                <w:rFonts w:ascii="宋体" w:hAnsi="宋体" w:cs="宋体" w:eastAsia="宋体" w:hint="default"/>
                <w:sz w:val="21"/>
                <w:szCs w:val="21"/>
              </w:rPr>
            </w:pPr>
            <w:r>
              <w:rPr>
                <w:rFonts w:ascii="宋体" w:hAnsi="宋体" w:cs="宋体" w:eastAsia="宋体" w:hint="default"/>
                <w:sz w:val="21"/>
                <w:szCs w:val="21"/>
              </w:rPr>
              <w:t>办公楼装修费</w:t>
            </w:r>
          </w:p>
        </w:tc>
      </w:tr>
      <w:tr>
        <w:trPr>
          <w:trHeight w:val="450" w:hRule="exact"/>
        </w:trPr>
        <w:tc>
          <w:tcPr>
            <w:tcW w:w="4298"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南京银石计算机系统有限公司</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43,291.67</w:t>
            </w:r>
          </w:p>
        </w:tc>
        <w:tc>
          <w:tcPr>
            <w:tcW w:w="2990"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sz w:val="21"/>
                <w:szCs w:val="21"/>
              </w:rPr>
              <w:t>房租</w:t>
            </w:r>
          </w:p>
        </w:tc>
      </w:tr>
      <w:tr>
        <w:trPr>
          <w:trHeight w:val="353" w:hRule="exact"/>
        </w:trPr>
        <w:tc>
          <w:tcPr>
            <w:tcW w:w="4298"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南京银石电脑系统工程有限公司</w:t>
            </w: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6,583.34</w:t>
            </w:r>
            <w:r>
              <w:rPr>
                <w:rFonts w:ascii="Times New Roman"/>
                <w:sz w:val="21"/>
              </w:rPr>
            </w:r>
          </w:p>
        </w:tc>
        <w:tc>
          <w:tcPr>
            <w:tcW w:w="2990" w:type="dxa"/>
            <w:tcBorders>
              <w:top w:val="nil" w:sz="6" w:space="0" w:color="auto"/>
              <w:left w:val="single" w:sz="4" w:space="0" w:color="000000"/>
              <w:bottom w:val="single" w:sz="4" w:space="0" w:color="000000"/>
              <w:right w:val="nil" w:sz="6" w:space="0" w:color="auto"/>
            </w:tcBorders>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sz w:val="21"/>
                <w:szCs w:val="21"/>
              </w:rPr>
              <w:t>房租</w:t>
            </w:r>
          </w:p>
        </w:tc>
      </w:tr>
      <w:tr>
        <w:trPr>
          <w:trHeight w:val="470" w:hRule="exact"/>
        </w:trPr>
        <w:tc>
          <w:tcPr>
            <w:tcW w:w="4298"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14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71,336.17</w:t>
            </w:r>
          </w:p>
        </w:tc>
        <w:tc>
          <w:tcPr>
            <w:tcW w:w="29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74" w:right="210"/>
        <w:jc w:val="left"/>
      </w:pPr>
      <w:r>
        <w:rPr>
          <w:rFonts w:ascii="Times New Roman" w:hAnsi="Times New Roman" w:cs="Times New Roman" w:eastAsia="Times New Roman" w:hint="default"/>
        </w:rPr>
        <w:t>9</w:t>
      </w:r>
      <w:r>
        <w:rPr/>
        <w:t>．可供出售金融资产：</w:t>
      </w:r>
    </w:p>
    <w:tbl>
      <w:tblPr>
        <w:tblW w:w="0" w:type="auto"/>
        <w:jc w:val="left"/>
        <w:tblInd w:w="126" w:type="dxa"/>
        <w:tblLayout w:type="fixed"/>
        <w:tblCellMar>
          <w:top w:w="0" w:type="dxa"/>
          <w:left w:w="0" w:type="dxa"/>
          <w:bottom w:w="0" w:type="dxa"/>
          <w:right w:w="0" w:type="dxa"/>
        </w:tblCellMar>
        <w:tblLook w:val="01E0"/>
      </w:tblPr>
      <w:tblGrid>
        <w:gridCol w:w="3310"/>
        <w:gridCol w:w="3372"/>
        <w:gridCol w:w="3187"/>
      </w:tblGrid>
      <w:tr>
        <w:trPr>
          <w:trHeight w:val="470"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4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105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958"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bl>
    <w:p>
      <w:pPr>
        <w:spacing w:after="0" w:line="240" w:lineRule="auto"/>
        <w:jc w:val="left"/>
        <w:rPr>
          <w:rFonts w:ascii="宋体" w:hAnsi="宋体" w:cs="宋体" w:eastAsia="宋体" w:hint="default"/>
          <w:sz w:val="21"/>
          <w:szCs w:val="21"/>
        </w:rPr>
        <w:sectPr>
          <w:footerReference w:type="default" r:id="rId44"/>
          <w:pgSz w:w="11910" w:h="16840"/>
          <w:pgMar w:footer="982" w:header="851" w:top="120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310"/>
        <w:gridCol w:w="3372"/>
        <w:gridCol w:w="3187"/>
      </w:tblGrid>
      <w:tr>
        <w:trPr>
          <w:trHeight w:val="467" w:hRule="exact"/>
        </w:trPr>
        <w:tc>
          <w:tcPr>
            <w:tcW w:w="3310"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323,342.00</w:t>
            </w:r>
          </w:p>
        </w:tc>
        <w:tc>
          <w:tcPr>
            <w:tcW w:w="3187"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334,582.40</w:t>
            </w:r>
          </w:p>
        </w:tc>
      </w:tr>
      <w:tr>
        <w:trPr>
          <w:trHeight w:val="471"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14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323,342.00</w:t>
            </w:r>
            <w:r>
              <w:rPr>
                <w:rFonts w:ascii="Times New Roman"/>
                <w:sz w:val="21"/>
              </w:rPr>
            </w:r>
          </w:p>
        </w:tc>
        <w:tc>
          <w:tcPr>
            <w:tcW w:w="3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334,582.40</w:t>
            </w:r>
            <w:r>
              <w:rPr>
                <w:rFonts w:ascii="Times New Roman"/>
                <w:sz w:val="21"/>
              </w:rPr>
            </w:r>
          </w:p>
        </w:tc>
      </w:tr>
    </w:tbl>
    <w:p>
      <w:pPr>
        <w:spacing w:line="240" w:lineRule="auto" w:before="4"/>
        <w:rPr>
          <w:rFonts w:ascii="宋体" w:hAnsi="宋体" w:cs="宋体" w:eastAsia="宋体" w:hint="default"/>
          <w:sz w:val="8"/>
          <w:szCs w:val="8"/>
        </w:rPr>
      </w:pPr>
    </w:p>
    <w:p>
      <w:pPr>
        <w:pStyle w:val="BodyText"/>
        <w:spacing w:line="403" w:lineRule="auto" w:before="35"/>
        <w:ind w:left="674" w:right="210" w:hanging="1"/>
        <w:jc w:val="left"/>
      </w:pPr>
      <w:r>
        <w:rPr/>
        <w:pict>
          <v:shape style="position:absolute;margin-left:49.830002pt;margin-top:41.553986pt;width:495.7pt;height:77.5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0"/>
                    <w:gridCol w:w="3372"/>
                    <w:gridCol w:w="3187"/>
                  </w:tblGrid>
                  <w:tr>
                    <w:trPr>
                      <w:trHeight w:val="509" w:hRule="exact"/>
                    </w:trPr>
                    <w:tc>
                      <w:tcPr>
                        <w:tcW w:w="33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31" w:val="left" w:leader="none"/>
                          </w:tabs>
                          <w:spacing w:line="240" w:lineRule="auto"/>
                          <w:ind w:right="121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3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00" w:hRule="exact"/>
                    </w:trPr>
                    <w:tc>
                      <w:tcPr>
                        <w:tcW w:w="3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凭证式国债</w:t>
                        </w:r>
                      </w:p>
                    </w:tc>
                    <w:tc>
                      <w:tcPr>
                        <w:tcW w:w="3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2,015,744.44</w:t>
                        </w:r>
                      </w:p>
                    </w:tc>
                    <w:tc>
                      <w:tcPr>
                        <w:tcW w:w="318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3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31" w:val="left" w:leader="none"/>
                          </w:tabs>
                          <w:spacing w:line="240" w:lineRule="auto"/>
                          <w:ind w:right="12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3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2,015,744.44</w:t>
                        </w:r>
                      </w:p>
                    </w:tc>
                    <w:tc>
                      <w:tcPr>
                        <w:tcW w:w="3187"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r>
        <w:rPr/>
        <w:t>注：系公司控股子公司</w:t>
      </w:r>
      <w:r>
        <w:rPr>
          <w:rFonts w:ascii="Times New Roman" w:hAnsi="Times New Roman" w:cs="Times New Roman" w:eastAsia="Times New Roman" w:hint="default"/>
        </w:rPr>
        <w:t>Infrasys International Ltd</w:t>
      </w:r>
      <w:r>
        <w:rPr/>
        <w:t>购入的</w:t>
      </w:r>
      <w:r>
        <w:rPr>
          <w:rFonts w:ascii="Times New Roman" w:hAnsi="Times New Roman" w:cs="Times New Roman" w:eastAsia="Times New Roman" w:hint="default"/>
        </w:rPr>
        <w:t>Mission Hills Golf</w:t>
      </w:r>
      <w:r>
        <w:rPr>
          <w:rFonts w:ascii="Times New Roman" w:hAnsi="Times New Roman" w:cs="Times New Roman" w:eastAsia="Times New Roman" w:hint="default"/>
          <w:spacing w:val="-18"/>
        </w:rPr>
        <w:t> </w:t>
      </w:r>
      <w:r>
        <w:rPr>
          <w:rFonts w:ascii="Times New Roman" w:hAnsi="Times New Roman" w:cs="Times New Roman" w:eastAsia="Times New Roman" w:hint="default"/>
        </w:rPr>
        <w:t>Club</w:t>
      </w:r>
      <w:r>
        <w:rPr/>
        <w:t>高尔夫会籍。 </w:t>
      </w:r>
      <w:r>
        <w:rPr>
          <w:rFonts w:ascii="Times New Roman" w:hAnsi="Times New Roman" w:cs="Times New Roman" w:eastAsia="Times New Roman" w:hint="default"/>
        </w:rPr>
        <w:t>10</w:t>
      </w:r>
      <w:r>
        <w:rPr/>
        <w:t>．持有至到期投资：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403" w:lineRule="auto" w:before="35"/>
        <w:ind w:left="253" w:right="334" w:firstLine="420"/>
        <w:jc w:val="left"/>
      </w:pPr>
      <w:r>
        <w:rPr/>
        <w:t>注：系公司控股子公司杭州西软科技有限公司购买的凭证式国债，其中凭证式国债本金为</w:t>
      </w:r>
      <w:r>
        <w:rPr>
          <w:rFonts w:ascii="Times New Roman" w:hAnsi="Times New Roman" w:cs="Times New Roman" w:eastAsia="Times New Roman" w:hint="default"/>
        </w:rPr>
        <w:t>200</w:t>
      </w:r>
      <w:r>
        <w:rPr/>
        <w:t>万元， 国债期限为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日，年利率为</w:t>
      </w:r>
      <w:r>
        <w:rPr>
          <w:rFonts w:ascii="Times New Roman" w:hAnsi="Times New Roman" w:cs="Times New Roman" w:eastAsia="Times New Roman" w:hint="default"/>
        </w:rPr>
        <w:t>2.6%</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ind w:left="673" w:right="210"/>
        <w:jc w:val="left"/>
      </w:pPr>
      <w:r>
        <w:rPr>
          <w:rFonts w:ascii="Times New Roman" w:hAnsi="Times New Roman" w:cs="Times New Roman" w:eastAsia="Times New Roman" w:hint="default"/>
        </w:rPr>
        <w:t>11</w:t>
      </w:r>
      <w:r>
        <w:rPr/>
        <w:t>．长期股权投资：</w:t>
      </w:r>
    </w:p>
    <w:tbl>
      <w:tblPr>
        <w:tblW w:w="0" w:type="auto"/>
        <w:jc w:val="left"/>
        <w:tblInd w:w="223" w:type="dxa"/>
        <w:tblLayout w:type="fixed"/>
        <w:tblCellMar>
          <w:top w:w="0" w:type="dxa"/>
          <w:left w:w="0" w:type="dxa"/>
          <w:bottom w:w="0" w:type="dxa"/>
          <w:right w:w="0" w:type="dxa"/>
        </w:tblCellMar>
        <w:tblLook w:val="01E0"/>
      </w:tblPr>
      <w:tblGrid>
        <w:gridCol w:w="1732"/>
        <w:gridCol w:w="1276"/>
        <w:gridCol w:w="992"/>
        <w:gridCol w:w="1276"/>
        <w:gridCol w:w="1418"/>
        <w:gridCol w:w="991"/>
        <w:gridCol w:w="1134"/>
      </w:tblGrid>
      <w:tr>
        <w:trPr>
          <w:trHeight w:val="1495" w:hRule="exact"/>
        </w:trPr>
        <w:tc>
          <w:tcPr>
            <w:tcW w:w="1732" w:type="dxa"/>
            <w:tcBorders>
              <w:top w:val="single" w:sz="12"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2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9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499" w:lineRule="auto"/>
              <w:ind w:left="124" w:right="125"/>
              <w:jc w:val="left"/>
              <w:rPr>
                <w:rFonts w:ascii="宋体" w:hAnsi="宋体" w:cs="宋体" w:eastAsia="宋体" w:hint="default"/>
                <w:sz w:val="18"/>
                <w:szCs w:val="18"/>
              </w:rPr>
            </w:pPr>
            <w:r>
              <w:rPr>
                <w:rFonts w:ascii="宋体" w:hAnsi="宋体" w:cs="宋体" w:eastAsia="宋体" w:hint="default"/>
                <w:sz w:val="18"/>
                <w:szCs w:val="18"/>
              </w:rPr>
              <w:t>在被投资 单位持股</w:t>
            </w:r>
          </w:p>
          <w:p>
            <w:pPr>
              <w:pStyle w:val="TableParagraph"/>
              <w:spacing w:line="240" w:lineRule="auto" w:before="61"/>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499" w:lineRule="auto"/>
              <w:ind w:left="106" w:right="115"/>
              <w:jc w:val="center"/>
              <w:rPr>
                <w:rFonts w:ascii="宋体" w:hAnsi="宋体" w:cs="宋体" w:eastAsia="宋体" w:hint="default"/>
                <w:sz w:val="18"/>
                <w:szCs w:val="18"/>
              </w:rPr>
            </w:pPr>
            <w:r>
              <w:rPr>
                <w:rFonts w:ascii="宋体" w:hAnsi="宋体" w:cs="宋体" w:eastAsia="宋体" w:hint="default"/>
                <w:sz w:val="18"/>
                <w:szCs w:val="18"/>
              </w:rPr>
              <w:t>在被投资单 位表决权比</w:t>
            </w:r>
          </w:p>
          <w:p>
            <w:pPr>
              <w:pStyle w:val="TableParagraph"/>
              <w:spacing w:line="240" w:lineRule="auto" w:before="61"/>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1117" w:hRule="exact"/>
        </w:trPr>
        <w:tc>
          <w:tcPr>
            <w:tcW w:w="1732" w:type="dxa"/>
            <w:tcBorders>
              <w:top w:val="single" w:sz="8" w:space="0" w:color="000000"/>
              <w:left w:val="nil" w:sz="6" w:space="0" w:color="auto"/>
              <w:bottom w:val="nil" w:sz="6" w:space="0" w:color="auto"/>
              <w:right w:val="single" w:sz="8" w:space="0" w:color="000000"/>
            </w:tcBorders>
          </w:tcPr>
          <w:p>
            <w:pPr>
              <w:pStyle w:val="TableParagraph"/>
              <w:spacing w:line="490" w:lineRule="exact" w:before="46"/>
              <w:ind w:left="122" w:right="89"/>
              <w:jc w:val="left"/>
              <w:rPr>
                <w:rFonts w:ascii="宋体" w:hAnsi="宋体" w:cs="宋体" w:eastAsia="宋体" w:hint="default"/>
                <w:sz w:val="18"/>
                <w:szCs w:val="18"/>
              </w:rPr>
            </w:pPr>
            <w:r>
              <w:rPr>
                <w:rFonts w:ascii="宋体" w:hAnsi="宋体" w:cs="宋体" w:eastAsia="宋体" w:hint="default"/>
                <w:spacing w:val="8"/>
                <w:sz w:val="18"/>
                <w:szCs w:val="18"/>
              </w:rPr>
              <w:t>一、权益法核算的 </w:t>
            </w:r>
            <w:r>
              <w:rPr>
                <w:rFonts w:ascii="宋体" w:hAnsi="宋体" w:cs="宋体" w:eastAsia="宋体" w:hint="default"/>
                <w:sz w:val="18"/>
                <w:szCs w:val="18"/>
              </w:rPr>
              <w:t>长期股权投资</w:t>
            </w:r>
          </w:p>
        </w:tc>
        <w:tc>
          <w:tcPr>
            <w:tcW w:w="1276" w:type="dxa"/>
            <w:tcBorders>
              <w:top w:val="single" w:sz="8" w:space="0" w:color="000000"/>
              <w:left w:val="single" w:sz="8" w:space="0" w:color="000000"/>
              <w:bottom w:val="nil" w:sz="6" w:space="0" w:color="auto"/>
              <w:right w:val="single" w:sz="8" w:space="0" w:color="000000"/>
            </w:tcBorders>
          </w:tcPr>
          <w:p>
            <w:pPr/>
          </w:p>
        </w:tc>
        <w:tc>
          <w:tcPr>
            <w:tcW w:w="992" w:type="dxa"/>
            <w:vMerge w:val="restart"/>
            <w:tcBorders>
              <w:top w:val="single" w:sz="8" w:space="0" w:color="000000"/>
              <w:left w:val="single" w:sz="8" w:space="0" w:color="000000"/>
              <w:right w:val="single" w:sz="8" w:space="0" w:color="000000"/>
            </w:tcBorders>
          </w:tcPr>
          <w:p>
            <w:pPr/>
          </w:p>
        </w:tc>
        <w:tc>
          <w:tcPr>
            <w:tcW w:w="1276" w:type="dxa"/>
            <w:tcBorders>
              <w:top w:val="single" w:sz="8" w:space="0" w:color="000000"/>
              <w:left w:val="single" w:sz="8" w:space="0" w:color="000000"/>
              <w:bottom w:val="nil" w:sz="6" w:space="0" w:color="auto"/>
              <w:right w:val="single" w:sz="8" w:space="0" w:color="000000"/>
            </w:tcBorders>
          </w:tcPr>
          <w:p>
            <w:pPr/>
          </w:p>
        </w:tc>
        <w:tc>
          <w:tcPr>
            <w:tcW w:w="1418" w:type="dxa"/>
            <w:tcBorders>
              <w:top w:val="single" w:sz="8" w:space="0" w:color="000000"/>
              <w:left w:val="single" w:sz="8" w:space="0" w:color="000000"/>
              <w:bottom w:val="nil" w:sz="6" w:space="0" w:color="auto"/>
              <w:right w:val="single" w:sz="8" w:space="0" w:color="000000"/>
            </w:tcBorders>
          </w:tcPr>
          <w:p>
            <w:pPr/>
          </w:p>
        </w:tc>
        <w:tc>
          <w:tcPr>
            <w:tcW w:w="991" w:type="dxa"/>
            <w:tcBorders>
              <w:top w:val="single" w:sz="8" w:space="0" w:color="000000"/>
              <w:left w:val="single" w:sz="8" w:space="0" w:color="000000"/>
              <w:bottom w:val="nil" w:sz="6" w:space="0" w:color="auto"/>
              <w:right w:val="single" w:sz="8" w:space="0" w:color="000000"/>
            </w:tcBorders>
          </w:tcPr>
          <w:p>
            <w:pPr/>
          </w:p>
        </w:tc>
        <w:tc>
          <w:tcPr>
            <w:tcW w:w="1134" w:type="dxa"/>
            <w:vMerge w:val="restart"/>
            <w:tcBorders>
              <w:top w:val="single" w:sz="8" w:space="0" w:color="000000"/>
              <w:left w:val="single" w:sz="8" w:space="0" w:color="000000"/>
              <w:right w:val="nil" w:sz="6" w:space="0" w:color="auto"/>
            </w:tcBorders>
          </w:tcPr>
          <w:p>
            <w:pPr/>
          </w:p>
        </w:tc>
      </w:tr>
      <w:tr>
        <w:trPr>
          <w:trHeight w:val="980" w:hRule="exact"/>
        </w:trPr>
        <w:tc>
          <w:tcPr>
            <w:tcW w:w="1732" w:type="dxa"/>
            <w:tcBorders>
              <w:top w:val="nil" w:sz="6" w:space="0" w:color="auto"/>
              <w:left w:val="nil" w:sz="6" w:space="0" w:color="auto"/>
              <w:bottom w:val="nil" w:sz="6" w:space="0" w:color="auto"/>
              <w:right w:val="single" w:sz="8"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pacing w:val="8"/>
                <w:sz w:val="18"/>
                <w:szCs w:val="18"/>
              </w:rPr>
              <w:t>二、成本法核算的</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6" w:type="dxa"/>
            <w:tcBorders>
              <w:top w:val="nil" w:sz="6" w:space="0" w:color="auto"/>
              <w:left w:val="single" w:sz="8" w:space="0" w:color="000000"/>
              <w:bottom w:val="nil" w:sz="6" w:space="0" w:color="auto"/>
              <w:right w:val="single" w:sz="8" w:space="0" w:color="000000"/>
            </w:tcBorders>
          </w:tcPr>
          <w:p>
            <w:pPr/>
          </w:p>
        </w:tc>
        <w:tc>
          <w:tcPr>
            <w:tcW w:w="992" w:type="dxa"/>
            <w:vMerge/>
            <w:tcBorders>
              <w:left w:val="single" w:sz="8" w:space="0" w:color="000000"/>
              <w:right w:val="single" w:sz="8" w:space="0" w:color="000000"/>
            </w:tcBorders>
          </w:tcPr>
          <w:p>
            <w:pPr/>
          </w:p>
        </w:tc>
        <w:tc>
          <w:tcPr>
            <w:tcW w:w="1276" w:type="dxa"/>
            <w:tcBorders>
              <w:top w:val="nil" w:sz="6" w:space="0" w:color="auto"/>
              <w:left w:val="single" w:sz="8" w:space="0" w:color="000000"/>
              <w:bottom w:val="nil" w:sz="6" w:space="0" w:color="auto"/>
              <w:right w:val="single" w:sz="8" w:space="0" w:color="000000"/>
            </w:tcBorders>
          </w:tcPr>
          <w:p>
            <w:pPr/>
          </w:p>
        </w:tc>
        <w:tc>
          <w:tcPr>
            <w:tcW w:w="1418" w:type="dxa"/>
            <w:tcBorders>
              <w:top w:val="nil" w:sz="6" w:space="0" w:color="auto"/>
              <w:left w:val="single" w:sz="8" w:space="0" w:color="000000"/>
              <w:bottom w:val="nil" w:sz="6" w:space="0" w:color="auto"/>
              <w:right w:val="single" w:sz="8" w:space="0" w:color="000000"/>
            </w:tcBorders>
          </w:tcPr>
          <w:p>
            <w:pPr/>
          </w:p>
        </w:tc>
        <w:tc>
          <w:tcPr>
            <w:tcW w:w="991" w:type="dxa"/>
            <w:tcBorders>
              <w:top w:val="nil" w:sz="6" w:space="0" w:color="auto"/>
              <w:left w:val="single" w:sz="8" w:space="0" w:color="000000"/>
              <w:bottom w:val="nil" w:sz="6" w:space="0" w:color="auto"/>
              <w:right w:val="single" w:sz="8" w:space="0" w:color="000000"/>
            </w:tcBorders>
          </w:tcPr>
          <w:p>
            <w:pPr/>
          </w:p>
        </w:tc>
        <w:tc>
          <w:tcPr>
            <w:tcW w:w="1134" w:type="dxa"/>
            <w:vMerge/>
            <w:tcBorders>
              <w:left w:val="single" w:sz="8" w:space="0" w:color="000000"/>
              <w:right w:val="nil" w:sz="6" w:space="0" w:color="auto"/>
            </w:tcBorders>
          </w:tcPr>
          <w:p>
            <w:pPr/>
          </w:p>
        </w:tc>
      </w:tr>
      <w:tr>
        <w:trPr>
          <w:trHeight w:val="980" w:hRule="exact"/>
        </w:trPr>
        <w:tc>
          <w:tcPr>
            <w:tcW w:w="1732" w:type="dxa"/>
            <w:tcBorders>
              <w:top w:val="nil" w:sz="6" w:space="0" w:color="auto"/>
              <w:left w:val="nil" w:sz="6" w:space="0" w:color="auto"/>
              <w:bottom w:val="nil" w:sz="6" w:space="0" w:color="auto"/>
              <w:right w:val="single" w:sz="8"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pacing w:val="8"/>
                <w:sz w:val="18"/>
                <w:szCs w:val="18"/>
              </w:rPr>
              <w:t>南京信融科技有限</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200,000.00</w:t>
            </w:r>
          </w:p>
        </w:tc>
        <w:tc>
          <w:tcPr>
            <w:tcW w:w="992" w:type="dxa"/>
            <w:vMerge/>
            <w:tcBorders>
              <w:left w:val="single" w:sz="8" w:space="0" w:color="000000"/>
              <w:right w:val="single" w:sz="8" w:space="0" w:color="000000"/>
            </w:tcBorders>
          </w:tcPr>
          <w:p>
            <w:pPr/>
          </w:p>
        </w:tc>
        <w:tc>
          <w:tcPr>
            <w:tcW w:w="1276"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200,000.00</w:t>
            </w:r>
          </w:p>
        </w:tc>
        <w:tc>
          <w:tcPr>
            <w:tcW w:w="1418"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z w:val="18"/>
              </w:rPr>
              <w:t>200,000.00</w:t>
            </w:r>
          </w:p>
        </w:tc>
        <w:tc>
          <w:tcPr>
            <w:tcW w:w="991"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320"/>
              <w:jc w:val="right"/>
              <w:rPr>
                <w:rFonts w:ascii="Times New Roman" w:hAnsi="Times New Roman" w:cs="Times New Roman" w:eastAsia="Times New Roman" w:hint="default"/>
                <w:sz w:val="18"/>
                <w:szCs w:val="18"/>
              </w:rPr>
            </w:pPr>
            <w:r>
              <w:rPr>
                <w:rFonts w:ascii="Times New Roman"/>
                <w:sz w:val="18"/>
              </w:rPr>
              <w:t>20%</w:t>
            </w:r>
          </w:p>
        </w:tc>
        <w:tc>
          <w:tcPr>
            <w:tcW w:w="1134" w:type="dxa"/>
            <w:vMerge/>
            <w:tcBorders>
              <w:left w:val="single" w:sz="8" w:space="0" w:color="000000"/>
              <w:right w:val="nil" w:sz="6" w:space="0" w:color="auto"/>
            </w:tcBorders>
          </w:tcPr>
          <w:p>
            <w:pPr/>
          </w:p>
        </w:tc>
      </w:tr>
      <w:tr>
        <w:trPr>
          <w:trHeight w:val="980" w:hRule="exact"/>
        </w:trPr>
        <w:tc>
          <w:tcPr>
            <w:tcW w:w="1732" w:type="dxa"/>
            <w:tcBorders>
              <w:top w:val="nil" w:sz="6" w:space="0" w:color="auto"/>
              <w:left w:val="nil" w:sz="6" w:space="0" w:color="auto"/>
              <w:bottom w:val="nil" w:sz="6" w:space="0" w:color="auto"/>
              <w:right w:val="single" w:sz="8"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pacing w:val="8"/>
                <w:sz w:val="18"/>
                <w:szCs w:val="18"/>
              </w:rPr>
              <w:t>江苏商通智能卡管</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理系统有限公司</w:t>
            </w:r>
          </w:p>
        </w:tc>
        <w:tc>
          <w:tcPr>
            <w:tcW w:w="1276"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500,000.00</w:t>
            </w:r>
          </w:p>
        </w:tc>
        <w:tc>
          <w:tcPr>
            <w:tcW w:w="992" w:type="dxa"/>
            <w:vMerge/>
            <w:tcBorders>
              <w:left w:val="single" w:sz="8" w:space="0" w:color="000000"/>
              <w:right w:val="single" w:sz="8" w:space="0" w:color="000000"/>
            </w:tcBorders>
          </w:tcPr>
          <w:p>
            <w:pPr/>
          </w:p>
        </w:tc>
        <w:tc>
          <w:tcPr>
            <w:tcW w:w="1276"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z w:val="18"/>
              </w:rPr>
              <w:t>500,000.00</w:t>
            </w:r>
          </w:p>
        </w:tc>
        <w:tc>
          <w:tcPr>
            <w:tcW w:w="1418"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z w:val="18"/>
              </w:rPr>
              <w:t>500,000.00</w:t>
            </w:r>
          </w:p>
        </w:tc>
        <w:tc>
          <w:tcPr>
            <w:tcW w:w="991" w:type="dxa"/>
            <w:tcBorders>
              <w:top w:val="nil" w:sz="6" w:space="0" w:color="auto"/>
              <w:left w:val="single" w:sz="8" w:space="0" w:color="000000"/>
              <w:bottom w:val="nil" w:sz="6" w:space="0" w:color="auto"/>
              <w:right w:val="single" w:sz="8" w:space="0" w:color="000000"/>
            </w:tcBorders>
          </w:tcPr>
          <w:p>
            <w:pPr>
              <w:pStyle w:val="TableParagraph"/>
              <w:spacing w:line="240" w:lineRule="auto" w:before="151"/>
              <w:ind w:right="320"/>
              <w:jc w:val="right"/>
              <w:rPr>
                <w:rFonts w:ascii="Times New Roman" w:hAnsi="Times New Roman" w:cs="Times New Roman" w:eastAsia="Times New Roman" w:hint="default"/>
                <w:sz w:val="18"/>
                <w:szCs w:val="18"/>
              </w:rPr>
            </w:pPr>
            <w:r>
              <w:rPr>
                <w:rFonts w:ascii="Times New Roman"/>
                <w:sz w:val="18"/>
              </w:rPr>
              <w:t>10%</w:t>
            </w:r>
          </w:p>
        </w:tc>
        <w:tc>
          <w:tcPr>
            <w:tcW w:w="1134" w:type="dxa"/>
            <w:vMerge/>
            <w:tcBorders>
              <w:left w:val="single" w:sz="8" w:space="0" w:color="000000"/>
              <w:right w:val="nil" w:sz="6" w:space="0" w:color="auto"/>
            </w:tcBorders>
          </w:tcPr>
          <w:p>
            <w:pPr/>
          </w:p>
        </w:tc>
      </w:tr>
      <w:tr>
        <w:trPr>
          <w:trHeight w:val="863" w:hRule="exact"/>
        </w:trPr>
        <w:tc>
          <w:tcPr>
            <w:tcW w:w="1732" w:type="dxa"/>
            <w:tcBorders>
              <w:top w:val="nil" w:sz="6" w:space="0" w:color="auto"/>
              <w:left w:val="nil" w:sz="6" w:space="0" w:color="auto"/>
              <w:bottom w:val="single" w:sz="8" w:space="0" w:color="000000"/>
              <w:right w:val="single" w:sz="8"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pacing w:val="8"/>
                <w:sz w:val="18"/>
                <w:szCs w:val="18"/>
              </w:rPr>
              <w:t>上海迅付信息科技</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15,750,000.00</w:t>
            </w:r>
          </w:p>
        </w:tc>
        <w:tc>
          <w:tcPr>
            <w:tcW w:w="992" w:type="dxa"/>
            <w:vMerge/>
            <w:tcBorders>
              <w:left w:val="single" w:sz="8" w:space="0" w:color="000000"/>
              <w:bottom w:val="single" w:sz="8" w:space="0" w:color="000000"/>
              <w:right w:val="single" w:sz="8" w:space="0" w:color="000000"/>
            </w:tcBorders>
          </w:tcPr>
          <w:p>
            <w:pPr/>
          </w:p>
        </w:tc>
        <w:tc>
          <w:tcPr>
            <w:tcW w:w="127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15,750,000.00</w:t>
            </w:r>
          </w:p>
        </w:tc>
        <w:tc>
          <w:tcPr>
            <w:tcW w:w="141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15,750,000.00</w:t>
            </w:r>
          </w:p>
        </w:tc>
        <w:tc>
          <w:tcPr>
            <w:tcW w:w="99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51"/>
              <w:ind w:right="319"/>
              <w:jc w:val="right"/>
              <w:rPr>
                <w:rFonts w:ascii="Times New Roman" w:hAnsi="Times New Roman" w:cs="Times New Roman" w:eastAsia="Times New Roman" w:hint="default"/>
                <w:sz w:val="18"/>
                <w:szCs w:val="18"/>
              </w:rPr>
            </w:pPr>
            <w:r>
              <w:rPr>
                <w:rFonts w:ascii="Times New Roman"/>
                <w:sz w:val="18"/>
              </w:rPr>
              <w:t>15%</w:t>
            </w:r>
          </w:p>
        </w:tc>
        <w:tc>
          <w:tcPr>
            <w:tcW w:w="1134" w:type="dxa"/>
            <w:vMerge/>
            <w:tcBorders>
              <w:left w:val="single" w:sz="8" w:space="0" w:color="000000"/>
              <w:bottom w:val="single" w:sz="8" w:space="0" w:color="000000"/>
              <w:right w:val="nil" w:sz="6" w:space="0" w:color="auto"/>
            </w:tcBorders>
          </w:tcPr>
          <w:p>
            <w:pPr/>
          </w:p>
        </w:tc>
      </w:tr>
      <w:tr>
        <w:trPr>
          <w:trHeight w:val="515" w:hRule="exact"/>
        </w:trPr>
        <w:tc>
          <w:tcPr>
            <w:tcW w:w="173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562" w:val="left" w:leader="none"/>
              </w:tabs>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16,450,000.00</w:t>
            </w:r>
          </w:p>
        </w:tc>
        <w:tc>
          <w:tcPr>
            <w:tcW w:w="992" w:type="dxa"/>
            <w:tcBorders>
              <w:top w:val="single" w:sz="8" w:space="0" w:color="000000"/>
              <w:left w:val="single" w:sz="8" w:space="0" w:color="000000"/>
              <w:bottom w:val="single" w:sz="12" w:space="0" w:color="000000"/>
              <w:right w:val="single" w:sz="8" w:space="0" w:color="000000"/>
            </w:tcBorders>
          </w:tcPr>
          <w:p>
            <w:pPr/>
          </w:p>
        </w:tc>
        <w:tc>
          <w:tcPr>
            <w:tcW w:w="12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16,450,000.00</w:t>
            </w:r>
          </w:p>
        </w:tc>
        <w:tc>
          <w:tcPr>
            <w:tcW w:w="141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16,450,000.00</w:t>
            </w:r>
          </w:p>
        </w:tc>
        <w:tc>
          <w:tcPr>
            <w:tcW w:w="991" w:type="dxa"/>
            <w:tcBorders>
              <w:top w:val="single" w:sz="8" w:space="0" w:color="000000"/>
              <w:left w:val="single" w:sz="8" w:space="0" w:color="000000"/>
              <w:bottom w:val="single" w:sz="12" w:space="0" w:color="000000"/>
              <w:right w:val="single" w:sz="8" w:space="0" w:color="000000"/>
            </w:tcBorders>
          </w:tcPr>
          <w:p>
            <w:pPr/>
          </w:p>
        </w:tc>
        <w:tc>
          <w:tcPr>
            <w:tcW w:w="1134" w:type="dxa"/>
            <w:tcBorders>
              <w:top w:val="single" w:sz="8" w:space="0" w:color="000000"/>
              <w:left w:val="single" w:sz="8"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2"/>
          <w:szCs w:val="12"/>
        </w:rPr>
      </w:pPr>
    </w:p>
    <w:p>
      <w:pPr>
        <w:pStyle w:val="BodyText"/>
        <w:spacing w:line="403" w:lineRule="auto" w:before="35"/>
        <w:ind w:left="254" w:right="210" w:firstLine="525"/>
        <w:jc w:val="left"/>
      </w:pPr>
      <w:r>
        <w:rPr>
          <w:spacing w:val="-1"/>
        </w:rPr>
        <w:t>注：（</w:t>
      </w:r>
      <w:r>
        <w:rPr>
          <w:rFonts w:ascii="Times New Roman" w:hAnsi="Times New Roman" w:cs="Times New Roman" w:eastAsia="Times New Roman" w:hint="default"/>
          <w:spacing w:val="-1"/>
        </w:rPr>
        <w:t>1</w:t>
      </w:r>
      <w:r>
        <w:rPr>
          <w:spacing w:val="-1"/>
        </w:rPr>
        <w:t>）公司本年收购南京银石计算机系统有限公司的股权，将其纳入合并报表范围，其收购前持</w:t>
      </w:r>
      <w:r>
        <w:rPr/>
        <w:t> 有南京信融科技有限公司</w:t>
      </w:r>
      <w:r>
        <w:rPr>
          <w:rFonts w:ascii="Times New Roman" w:hAnsi="Times New Roman" w:cs="Times New Roman" w:eastAsia="Times New Roman" w:hint="default"/>
        </w:rPr>
        <w:t>20%</w:t>
      </w:r>
      <w:r>
        <w:rPr/>
        <w:t>股权及江苏商通智能卡管理系统有限公司</w:t>
      </w:r>
      <w:r>
        <w:rPr>
          <w:rFonts w:ascii="Times New Roman" w:hAnsi="Times New Roman" w:cs="Times New Roman" w:eastAsia="Times New Roman" w:hint="default"/>
        </w:rPr>
        <w:t>10%</w:t>
      </w:r>
      <w:r>
        <w:rPr/>
        <w:t>股权。</w:t>
      </w:r>
    </w:p>
    <w:p>
      <w:pPr>
        <w:pStyle w:val="BodyText"/>
        <w:spacing w:line="240" w:lineRule="auto" w:before="42"/>
        <w:ind w:left="885" w:right="210"/>
        <w:jc w:val="left"/>
      </w:pPr>
      <w:r>
        <w:rPr/>
        <w:t>（</w:t>
      </w: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日召开的第四届董事会</w:t>
      </w:r>
      <w:r>
        <w:rPr>
          <w:rFonts w:ascii="Times New Roman" w:hAnsi="Times New Roman" w:cs="Times New Roman" w:eastAsia="Times New Roman" w:hint="default"/>
        </w:rPr>
        <w:t>2010</w:t>
      </w:r>
      <w:r>
        <w:rPr/>
        <w:t>年第一次临时会议审议通过，公司与上海环</w:t>
      </w:r>
    </w:p>
    <w:p>
      <w:pPr>
        <w:spacing w:line="240" w:lineRule="auto" w:before="3"/>
        <w:rPr>
          <w:rFonts w:ascii="宋体" w:hAnsi="宋体" w:cs="宋体" w:eastAsia="宋体" w:hint="default"/>
          <w:sz w:val="15"/>
          <w:szCs w:val="15"/>
        </w:rPr>
      </w:pPr>
    </w:p>
    <w:p>
      <w:pPr>
        <w:pStyle w:val="BodyText"/>
        <w:spacing w:line="240" w:lineRule="auto"/>
        <w:ind w:left="254" w:right="210"/>
        <w:jc w:val="left"/>
      </w:pPr>
      <w:r>
        <w:rPr/>
        <w:t>迅电子商务有限公司于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日签署了《上海迅付信息科技有限公司（以下简称</w:t>
      </w:r>
      <w:r>
        <w:rPr>
          <w:rFonts w:ascii="Times New Roman" w:hAnsi="Times New Roman" w:cs="Times New Roman" w:eastAsia="Times New Roman" w:hint="default"/>
        </w:rPr>
        <w:t>“</w:t>
      </w:r>
      <w:r>
        <w:rPr/>
        <w:t>上海迅付</w:t>
      </w:r>
      <w:r>
        <w:rPr>
          <w:rFonts w:ascii="Times New Roman" w:hAnsi="Times New Roman" w:cs="Times New Roman" w:eastAsia="Times New Roman" w:hint="default"/>
        </w:rPr>
        <w:t>”</w:t>
      </w:r>
      <w:r>
        <w:rPr/>
        <w:t>）股权</w:t>
      </w:r>
    </w:p>
    <w:p>
      <w:pPr>
        <w:spacing w:after="0" w:line="240" w:lineRule="auto"/>
        <w:jc w:val="left"/>
        <w:sectPr>
          <w:footerReference w:type="default" r:id="rId45"/>
          <w:pgSz w:w="11910" w:h="16840"/>
          <w:pgMar w:footer="982" w:header="851" w:top="1200" w:bottom="1180" w:left="880" w:right="880"/>
          <w:pgNumType w:start="101"/>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0"/>
          <w:szCs w:val="10"/>
        </w:rPr>
      </w:pPr>
    </w:p>
    <w:p>
      <w:pPr>
        <w:pStyle w:val="BodyText"/>
        <w:spacing w:line="240" w:lineRule="auto" w:before="35"/>
        <w:ind w:left="234" w:right="101"/>
        <w:jc w:val="left"/>
      </w:pPr>
      <w:r>
        <w:rPr/>
        <w:t>转让协议》，以人民币</w:t>
      </w:r>
      <w:r>
        <w:rPr>
          <w:rFonts w:ascii="Times New Roman" w:hAnsi="Times New Roman" w:cs="Times New Roman" w:eastAsia="Times New Roman" w:hint="default"/>
        </w:rPr>
        <w:t>1,575</w:t>
      </w:r>
      <w:r>
        <w:rPr/>
        <w:t>万元收购上海环迅电子商务有限公司持有的上海迅付</w:t>
      </w:r>
      <w:r>
        <w:rPr>
          <w:rFonts w:ascii="Times New Roman" w:hAnsi="Times New Roman" w:cs="Times New Roman" w:eastAsia="Times New Roman" w:hint="default"/>
        </w:rPr>
        <w:t>15%</w:t>
      </w:r>
      <w:r>
        <w:rPr/>
        <w:t>的股权。</w:t>
      </w:r>
    </w:p>
    <w:p>
      <w:pPr>
        <w:pStyle w:val="BodyText"/>
        <w:spacing w:line="240" w:lineRule="auto" w:before="135"/>
        <w:ind w:left="653" w:right="101"/>
        <w:jc w:val="left"/>
      </w:pPr>
      <w:r>
        <w:rPr>
          <w:rFonts w:ascii="Times New Roman" w:hAnsi="Times New Roman" w:cs="Times New Roman" w:eastAsia="Times New Roman" w:hint="default"/>
        </w:rPr>
        <w:t>12</w:t>
      </w:r>
      <w:r>
        <w:rPr/>
        <w:t>．投资性房地产</w:t>
      </w:r>
    </w:p>
    <w:tbl>
      <w:tblPr>
        <w:tblW w:w="0" w:type="auto"/>
        <w:jc w:val="left"/>
        <w:tblInd w:w="111" w:type="dxa"/>
        <w:tblLayout w:type="fixed"/>
        <w:tblCellMar>
          <w:top w:w="0" w:type="dxa"/>
          <w:left w:w="0" w:type="dxa"/>
          <w:bottom w:w="0" w:type="dxa"/>
          <w:right w:w="0" w:type="dxa"/>
        </w:tblCellMar>
        <w:tblLook w:val="01E0"/>
      </w:tblPr>
      <w:tblGrid>
        <w:gridCol w:w="4025"/>
        <w:gridCol w:w="1526"/>
        <w:gridCol w:w="1525"/>
        <w:gridCol w:w="1390"/>
        <w:gridCol w:w="1388"/>
      </w:tblGrid>
      <w:tr>
        <w:trPr>
          <w:trHeight w:val="446" w:hRule="exact"/>
        </w:trPr>
        <w:tc>
          <w:tcPr>
            <w:tcW w:w="40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3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37" w:hRule="exact"/>
        </w:trPr>
        <w:tc>
          <w:tcPr>
            <w:tcW w:w="4025"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21,673,670.32</w:t>
            </w:r>
          </w:p>
        </w:tc>
        <w:tc>
          <w:tcPr>
            <w:tcW w:w="1525" w:type="dxa"/>
            <w:tcBorders>
              <w:top w:val="single" w:sz="4" w:space="0" w:color="000000"/>
              <w:left w:val="single" w:sz="4" w:space="0" w:color="000000"/>
              <w:bottom w:val="nil" w:sz="6" w:space="0" w:color="auto"/>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c>
          <w:tcPr>
            <w:tcW w:w="1388"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21,673,670.32</w:t>
            </w:r>
          </w:p>
        </w:tc>
      </w:tr>
      <w:tr>
        <w:trPr>
          <w:trHeight w:val="42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pacing w:val="-1"/>
                <w:sz w:val="18"/>
              </w:rPr>
              <w:t>21,673,670.32</w:t>
            </w:r>
          </w:p>
        </w:tc>
        <w:tc>
          <w:tcPr>
            <w:tcW w:w="1525" w:type="dxa"/>
            <w:tcBorders>
              <w:top w:val="nil" w:sz="6" w:space="0" w:color="auto"/>
              <w:left w:val="single" w:sz="4" w:space="0" w:color="000000"/>
              <w:bottom w:val="nil" w:sz="6" w:space="0" w:color="auto"/>
              <w:right w:val="single" w:sz="4" w:space="0" w:color="000000"/>
            </w:tcBorders>
          </w:tcPr>
          <w:p>
            <w:pP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8"/>
                <w:szCs w:val="18"/>
              </w:rPr>
            </w:pPr>
            <w:r>
              <w:rPr>
                <w:rFonts w:ascii="Times New Roman"/>
                <w:spacing w:val="-1"/>
                <w:sz w:val="18"/>
              </w:rPr>
              <w:t>21,673,670.32</w:t>
            </w:r>
          </w:p>
        </w:tc>
      </w:tr>
      <w:tr>
        <w:trPr>
          <w:trHeight w:val="42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2,198,928.67</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588,285.36</w:t>
            </w: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8"/>
                <w:szCs w:val="18"/>
              </w:rPr>
            </w:pPr>
            <w:r>
              <w:rPr>
                <w:rFonts w:ascii="Times New Roman"/>
                <w:spacing w:val="-1"/>
                <w:sz w:val="18"/>
              </w:rPr>
              <w:t>2,787,214.03</w:t>
            </w:r>
          </w:p>
        </w:tc>
      </w:tr>
      <w:tr>
        <w:trPr>
          <w:trHeight w:val="42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2,198,928.67</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588,285.36</w:t>
            </w: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8"/>
                <w:szCs w:val="18"/>
              </w:rPr>
            </w:pPr>
            <w:r>
              <w:rPr>
                <w:rFonts w:ascii="Times New Roman"/>
                <w:spacing w:val="-1"/>
                <w:sz w:val="18"/>
              </w:rPr>
              <w:t>2,787,214.03</w:t>
            </w:r>
          </w:p>
        </w:tc>
      </w:tr>
      <w:tr>
        <w:trPr>
          <w:trHeight w:val="42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19,474,741.65</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-588,285.36</w:t>
            </w:r>
            <w:r>
              <w:rPr>
                <w:rFonts w:ascii="Times New Roman"/>
                <w:sz w:val="18"/>
              </w:rPr>
            </w: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8"/>
                <w:szCs w:val="18"/>
              </w:rPr>
            </w:pPr>
            <w:r>
              <w:rPr>
                <w:rFonts w:ascii="Times New Roman"/>
                <w:spacing w:val="-1"/>
                <w:sz w:val="18"/>
              </w:rPr>
              <w:t>18,886,456.29</w:t>
            </w:r>
          </w:p>
        </w:tc>
      </w:tr>
      <w:tr>
        <w:trPr>
          <w:trHeight w:val="42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19,474,741.65</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-588,285.36</w:t>
            </w:r>
            <w:r>
              <w:rPr>
                <w:rFonts w:ascii="Times New Roman"/>
                <w:sz w:val="18"/>
              </w:rPr>
            </w: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8"/>
                <w:szCs w:val="18"/>
              </w:rPr>
            </w:pPr>
            <w:r>
              <w:rPr>
                <w:rFonts w:ascii="Times New Roman"/>
                <w:spacing w:val="-1"/>
                <w:sz w:val="18"/>
              </w:rPr>
              <w:t>18,886,456.29</w:t>
            </w:r>
          </w:p>
        </w:tc>
      </w:tr>
      <w:tr>
        <w:trPr>
          <w:trHeight w:val="41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四、投资性房地产减值准备累计金额合计</w:t>
            </w:r>
          </w:p>
        </w:tc>
        <w:tc>
          <w:tcPr>
            <w:tcW w:w="1526" w:type="dxa"/>
            <w:tcBorders>
              <w:top w:val="nil" w:sz="6" w:space="0" w:color="auto"/>
              <w:left w:val="single" w:sz="4" w:space="0" w:color="000000"/>
              <w:bottom w:val="nil" w:sz="6" w:space="0" w:color="auto"/>
              <w:right w:val="single" w:sz="4" w:space="0" w:color="000000"/>
            </w:tcBorders>
          </w:tcPr>
          <w:p>
            <w:pPr/>
          </w:p>
        </w:tc>
        <w:tc>
          <w:tcPr>
            <w:tcW w:w="1525" w:type="dxa"/>
            <w:tcBorders>
              <w:top w:val="nil" w:sz="6" w:space="0" w:color="auto"/>
              <w:left w:val="single" w:sz="4" w:space="0" w:color="000000"/>
              <w:bottom w:val="nil" w:sz="6" w:space="0" w:color="auto"/>
              <w:right w:val="single" w:sz="4" w:space="0" w:color="000000"/>
            </w:tcBorders>
          </w:tcPr>
          <w:p>
            <w:pP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
        </w:tc>
      </w:tr>
      <w:tr>
        <w:trPr>
          <w:trHeight w:val="42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6" w:type="dxa"/>
            <w:tcBorders>
              <w:top w:val="nil" w:sz="6" w:space="0" w:color="auto"/>
              <w:left w:val="single" w:sz="4" w:space="0" w:color="000000"/>
              <w:bottom w:val="nil" w:sz="6" w:space="0" w:color="auto"/>
              <w:right w:val="single" w:sz="4" w:space="0" w:color="000000"/>
            </w:tcBorders>
          </w:tcPr>
          <w:p>
            <w:pPr/>
          </w:p>
        </w:tc>
        <w:tc>
          <w:tcPr>
            <w:tcW w:w="1525" w:type="dxa"/>
            <w:tcBorders>
              <w:top w:val="nil" w:sz="6" w:space="0" w:color="auto"/>
              <w:left w:val="single" w:sz="4" w:space="0" w:color="000000"/>
              <w:bottom w:val="nil" w:sz="6" w:space="0" w:color="auto"/>
              <w:right w:val="single" w:sz="4" w:space="0" w:color="000000"/>
            </w:tcBorders>
          </w:tcPr>
          <w:p>
            <w:pP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
        </w:tc>
      </w:tr>
      <w:tr>
        <w:trPr>
          <w:trHeight w:val="436" w:hRule="exact"/>
        </w:trPr>
        <w:tc>
          <w:tcPr>
            <w:tcW w:w="40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19,474,741.65</w:t>
            </w:r>
          </w:p>
        </w:tc>
        <w:tc>
          <w:tcPr>
            <w:tcW w:w="1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w w:val="95"/>
                <w:sz w:val="18"/>
              </w:rPr>
              <w:t>-588,285.36</w:t>
            </w:r>
            <w:r>
              <w:rPr>
                <w:rFonts w:ascii="Times New Roman"/>
                <w:sz w:val="18"/>
              </w:rPr>
            </w:r>
          </w:p>
        </w:tc>
        <w:tc>
          <w:tcPr>
            <w:tcW w:w="1390" w:type="dxa"/>
            <w:vMerge/>
            <w:tcBorders>
              <w:left w:val="single" w:sz="4" w:space="0" w:color="000000"/>
              <w:right w:val="single" w:sz="4" w:space="0" w:color="000000"/>
            </w:tcBorders>
          </w:tcPr>
          <w:p>
            <w:pPr/>
          </w:p>
        </w:tc>
        <w:tc>
          <w:tcPr>
            <w:tcW w:w="1388"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pacing w:val="-1"/>
                <w:sz w:val="18"/>
              </w:rPr>
              <w:t>18,886,456.29</w:t>
            </w:r>
          </w:p>
        </w:tc>
      </w:tr>
      <w:tr>
        <w:trPr>
          <w:trHeight w:val="336" w:hRule="exact"/>
        </w:trPr>
        <w:tc>
          <w:tcPr>
            <w:tcW w:w="4025"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spacing w:val="-1"/>
                <w:sz w:val="18"/>
              </w:rPr>
              <w:t>19,474,741.65</w:t>
            </w:r>
          </w:p>
        </w:tc>
        <w:tc>
          <w:tcPr>
            <w:tcW w:w="15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-588,285.36</w:t>
            </w:r>
            <w:r>
              <w:rPr>
                <w:rFonts w:ascii="Times New Roman"/>
                <w:sz w:val="18"/>
              </w:rPr>
            </w:r>
          </w:p>
        </w:tc>
        <w:tc>
          <w:tcPr>
            <w:tcW w:w="1390" w:type="dxa"/>
            <w:vMerge/>
            <w:tcBorders>
              <w:left w:val="single" w:sz="4" w:space="0" w:color="000000"/>
              <w:bottom w:val="single" w:sz="12" w:space="0" w:color="000000"/>
              <w:right w:val="single" w:sz="4" w:space="0" w:color="000000"/>
            </w:tcBorders>
          </w:tcPr>
          <w:p>
            <w:pPr/>
          </w:p>
        </w:tc>
        <w:tc>
          <w:tcPr>
            <w:tcW w:w="138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8"/>
                <w:szCs w:val="18"/>
              </w:rPr>
            </w:pPr>
            <w:r>
              <w:rPr>
                <w:rFonts w:ascii="Times New Roman"/>
                <w:spacing w:val="-1"/>
                <w:sz w:val="18"/>
              </w:rPr>
              <w:t>18,886,456.29</w:t>
            </w:r>
          </w:p>
        </w:tc>
      </w:tr>
    </w:tbl>
    <w:p>
      <w:pPr>
        <w:spacing w:line="240" w:lineRule="auto" w:before="8"/>
        <w:rPr>
          <w:rFonts w:ascii="宋体" w:hAnsi="宋体" w:cs="宋体" w:eastAsia="宋体" w:hint="default"/>
          <w:sz w:val="7"/>
          <w:szCs w:val="7"/>
        </w:rPr>
      </w:pPr>
    </w:p>
    <w:p>
      <w:pPr>
        <w:pStyle w:val="BodyText"/>
        <w:spacing w:line="352" w:lineRule="auto" w:before="35"/>
        <w:ind w:left="234" w:right="275"/>
        <w:jc w:val="left"/>
      </w:pPr>
      <w:r>
        <w:rPr/>
        <w:t>注：（</w:t>
      </w:r>
      <w:r>
        <w:rPr>
          <w:rFonts w:ascii="Times New Roman" w:hAnsi="Times New Roman" w:cs="Times New Roman" w:eastAsia="Times New Roman" w:hint="default"/>
        </w:rPr>
        <w:t>1</w:t>
      </w:r>
      <w:r>
        <w:rPr/>
        <w:t>）投资性房地产系公司全资子公司上海石基信息技术有限公司将座落在上海市浦东新区的中融恒 瑞国际大厦西楼</w:t>
      </w:r>
      <w:r>
        <w:rPr>
          <w:rFonts w:ascii="Times New Roman" w:hAnsi="Times New Roman" w:cs="Times New Roman" w:eastAsia="Times New Roman" w:hint="default"/>
        </w:rPr>
        <w:t>1201</w:t>
      </w:r>
      <w:r>
        <w:rPr/>
        <w:t>、</w:t>
      </w:r>
      <w:r>
        <w:rPr>
          <w:rFonts w:ascii="Times New Roman" w:hAnsi="Times New Roman" w:cs="Times New Roman" w:eastAsia="Times New Roman" w:hint="default"/>
        </w:rPr>
        <w:t>1202</w:t>
      </w:r>
      <w:r>
        <w:rPr/>
        <w:t>和</w:t>
      </w:r>
      <w:r>
        <w:rPr>
          <w:rFonts w:ascii="Times New Roman" w:hAnsi="Times New Roman" w:cs="Times New Roman" w:eastAsia="Times New Roman" w:hint="default"/>
        </w:rPr>
        <w:t>1203</w:t>
      </w:r>
      <w:r>
        <w:rPr/>
        <w:t>室用于对外出租。</w:t>
      </w:r>
    </w:p>
    <w:p>
      <w:pPr>
        <w:pStyle w:val="BodyText"/>
        <w:spacing w:line="240" w:lineRule="auto" w:before="26"/>
        <w:ind w:left="654" w:right="101"/>
        <w:jc w:val="left"/>
      </w:pPr>
      <w:r>
        <w:rPr/>
        <w:t>（</w:t>
      </w:r>
      <w:r>
        <w:rPr>
          <w:rFonts w:ascii="Times New Roman" w:hAnsi="Times New Roman" w:cs="Times New Roman" w:eastAsia="Times New Roman" w:hint="default"/>
        </w:rPr>
        <w:t>2</w:t>
      </w:r>
      <w:r>
        <w:rPr/>
        <w:t>）报告期末投资性房地产未减值，故未计提投资性房地产减值准备。</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0"/>
          <w:szCs w:val="20"/>
        </w:rPr>
      </w:pPr>
    </w:p>
    <w:p>
      <w:pPr>
        <w:pStyle w:val="BodyText"/>
        <w:spacing w:line="240" w:lineRule="auto"/>
        <w:ind w:left="654" w:right="101"/>
        <w:jc w:val="left"/>
      </w:pPr>
      <w:r>
        <w:rPr>
          <w:rFonts w:ascii="Times New Roman" w:hAnsi="Times New Roman" w:cs="Times New Roman" w:eastAsia="Times New Roman" w:hint="default"/>
        </w:rPr>
        <w:t>13</w:t>
      </w:r>
      <w:r>
        <w:rPr/>
        <w:t>．固定资产</w:t>
      </w:r>
    </w:p>
    <w:p>
      <w:pPr>
        <w:pStyle w:val="BodyText"/>
        <w:spacing w:line="240" w:lineRule="auto" w:before="135"/>
        <w:ind w:left="654" w:right="101"/>
        <w:jc w:val="left"/>
      </w:pPr>
      <w:r>
        <w:rPr/>
        <w:t>（</w:t>
      </w:r>
      <w:r>
        <w:rPr>
          <w:rFonts w:ascii="Times New Roman" w:hAnsi="Times New Roman" w:cs="Times New Roman" w:eastAsia="Times New Roman" w:hint="default"/>
        </w:rPr>
        <w:t>1</w:t>
      </w:r>
      <w:r>
        <w:rPr/>
        <w:t>）固定资产明细：</w:t>
      </w:r>
    </w:p>
    <w:tbl>
      <w:tblPr>
        <w:tblW w:w="0" w:type="auto"/>
        <w:jc w:val="left"/>
        <w:tblInd w:w="111" w:type="dxa"/>
        <w:tblLayout w:type="fixed"/>
        <w:tblCellMar>
          <w:top w:w="0" w:type="dxa"/>
          <w:left w:w="0" w:type="dxa"/>
          <w:bottom w:w="0" w:type="dxa"/>
          <w:right w:w="0" w:type="dxa"/>
        </w:tblCellMar>
        <w:tblLook w:val="01E0"/>
      </w:tblPr>
      <w:tblGrid>
        <w:gridCol w:w="3904"/>
        <w:gridCol w:w="1586"/>
        <w:gridCol w:w="1388"/>
        <w:gridCol w:w="1512"/>
        <w:gridCol w:w="1478"/>
      </w:tblGrid>
      <w:tr>
        <w:trPr>
          <w:trHeight w:val="446" w:hRule="exact"/>
        </w:trPr>
        <w:tc>
          <w:tcPr>
            <w:tcW w:w="39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36" w:hRule="exact"/>
        </w:trPr>
        <w:tc>
          <w:tcPr>
            <w:tcW w:w="3904"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153,247,405.99</w:t>
            </w:r>
          </w:p>
        </w:tc>
        <w:tc>
          <w:tcPr>
            <w:tcW w:w="1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4,528,568.83</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1,361,871.98</w:t>
            </w:r>
          </w:p>
        </w:tc>
        <w:tc>
          <w:tcPr>
            <w:tcW w:w="1478"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156,414,102.84</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129,668,789.20</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773,490.73</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130,442,279.93</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15,483,678.46</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1,572,499.48</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17,056,177.94</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5,640,293.33</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2,071,278.62</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1,361,871.98</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6,349,699.97</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2,454,645.00</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2"/>
                <w:sz w:val="18"/>
              </w:rPr>
              <w:t>111,300.00</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2,565,945.00</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18,115,846.95</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8,956,907.95</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1,326,492.24</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25,746,262.66</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6,383,531.54</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pacing w:val="-1"/>
                <w:sz w:val="18"/>
              </w:rPr>
              <w:t>5,118,200.67</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11,501,732.21</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8,065,618.94</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pacing w:val="-1"/>
                <w:sz w:val="18"/>
              </w:rPr>
              <w:t>2,405,477.43</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10,471,096.37</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2,724,968.39</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1,241,226.16</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1,326,492.24</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2,639,702.31</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941,728.08</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192,003.69</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1,133,731.77</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135,131,559.04</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pacing w:val="-1"/>
                <w:sz w:val="18"/>
              </w:rPr>
              <w:t>-4,428,339.12</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35,379.74</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130,667,840.18</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123,285,257.66</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pacing w:val="-1"/>
                <w:sz w:val="18"/>
              </w:rPr>
              <w:t>-4,344,709.94</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118,940,547.72</w:t>
            </w:r>
          </w:p>
        </w:tc>
      </w:tr>
      <w:tr>
        <w:trPr>
          <w:trHeight w:val="336" w:hRule="exact"/>
        </w:trPr>
        <w:tc>
          <w:tcPr>
            <w:tcW w:w="3904"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7,418,059.52</w:t>
            </w:r>
          </w:p>
        </w:tc>
        <w:tc>
          <w:tcPr>
            <w:tcW w:w="13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w w:val="95"/>
                <w:sz w:val="18"/>
              </w:rPr>
              <w:t>-832,977.95</w:t>
            </w:r>
            <w:r>
              <w:rPr>
                <w:rFonts w:ascii="Times New Roman"/>
                <w:sz w:val="18"/>
              </w:rPr>
            </w:r>
          </w:p>
        </w:tc>
        <w:tc>
          <w:tcPr>
            <w:tcW w:w="1512" w:type="dxa"/>
            <w:tcBorders>
              <w:top w:val="nil" w:sz="6" w:space="0" w:color="auto"/>
              <w:left w:val="single" w:sz="4" w:space="0" w:color="000000"/>
              <w:bottom w:val="single" w:sz="12" w:space="0" w:color="000000"/>
              <w:right w:val="single" w:sz="4" w:space="0" w:color="000000"/>
            </w:tcBorders>
          </w:tcPr>
          <w:p>
            <w:pPr/>
          </w:p>
        </w:tc>
        <w:tc>
          <w:tcPr>
            <w:tcW w:w="14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6,585,081.57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904"/>
        <w:gridCol w:w="1586"/>
        <w:gridCol w:w="1388"/>
        <w:gridCol w:w="1512"/>
        <w:gridCol w:w="1478"/>
      </w:tblGrid>
      <w:tr>
        <w:trPr>
          <w:trHeight w:val="453" w:hRule="exact"/>
        </w:trPr>
        <w:tc>
          <w:tcPr>
            <w:tcW w:w="390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1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7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36" w:hRule="exact"/>
        </w:trPr>
        <w:tc>
          <w:tcPr>
            <w:tcW w:w="3904"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2,915,324.94</w:t>
            </w:r>
          </w:p>
        </w:tc>
        <w:tc>
          <w:tcPr>
            <w:tcW w:w="1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830,052.46</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35,379.74</w:t>
            </w:r>
          </w:p>
        </w:tc>
        <w:tc>
          <w:tcPr>
            <w:tcW w:w="1478"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3,709,997.66</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1,512,916.92</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-80,703.69</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1,432,213.23</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四、固定资产账面减值准备累计金额合计</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1,271,148.60</w:t>
            </w:r>
          </w:p>
        </w:tc>
        <w:tc>
          <w:tcPr>
            <w:tcW w:w="138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1,271,148.60</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59,460.72</w:t>
            </w:r>
          </w:p>
        </w:tc>
        <w:tc>
          <w:tcPr>
            <w:tcW w:w="138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59,460.72</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662,686.49</w:t>
            </w:r>
          </w:p>
        </w:tc>
        <w:tc>
          <w:tcPr>
            <w:tcW w:w="138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662,686.49</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109,581.01</w:t>
            </w:r>
          </w:p>
        </w:tc>
        <w:tc>
          <w:tcPr>
            <w:tcW w:w="138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109,581.01</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439,420.38</w:t>
            </w:r>
          </w:p>
        </w:tc>
        <w:tc>
          <w:tcPr>
            <w:tcW w:w="1388"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439,420.38</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133,860,410.44</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4"/>
              <w:jc w:val="right"/>
              <w:rPr>
                <w:rFonts w:ascii="Times New Roman" w:hAnsi="Times New Roman" w:cs="Times New Roman" w:eastAsia="Times New Roman" w:hint="default"/>
                <w:sz w:val="18"/>
                <w:szCs w:val="18"/>
              </w:rPr>
            </w:pPr>
            <w:r>
              <w:rPr>
                <w:rFonts w:ascii="Times New Roman"/>
                <w:spacing w:val="-1"/>
                <w:sz w:val="18"/>
              </w:rPr>
              <w:t>-4,320,716.04</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35,379.74</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129,396,691.58</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123,225,796.94</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pacing w:val="-1"/>
                <w:sz w:val="18"/>
              </w:rPr>
              <w:t>-4,344,709.94</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118,881,087.00</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6,755,373.03</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w w:val="95"/>
                <w:sz w:val="18"/>
              </w:rPr>
              <w:t>-832,977.95</w:t>
            </w:r>
            <w:r>
              <w:rPr>
                <w:rFonts w:ascii="Times New Roman"/>
                <w:sz w:val="18"/>
              </w:rPr>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5,922,395.08</w:t>
            </w:r>
          </w:p>
        </w:tc>
      </w:tr>
      <w:tr>
        <w:trPr>
          <w:trHeight w:val="426" w:hRule="exact"/>
        </w:trPr>
        <w:tc>
          <w:tcPr>
            <w:tcW w:w="390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2,805,743.93</w:t>
            </w:r>
          </w:p>
        </w:tc>
        <w:tc>
          <w:tcPr>
            <w:tcW w:w="1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z w:val="18"/>
              </w:rPr>
              <w:t>937,675.54</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35,379.74</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pacing w:val="-1"/>
                <w:sz w:val="18"/>
              </w:rPr>
              <w:t>3,600,416.65</w:t>
            </w:r>
          </w:p>
        </w:tc>
      </w:tr>
      <w:tr>
        <w:trPr>
          <w:trHeight w:val="336" w:hRule="exact"/>
        </w:trPr>
        <w:tc>
          <w:tcPr>
            <w:tcW w:w="3904"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1,073,496.54</w:t>
            </w:r>
          </w:p>
        </w:tc>
        <w:tc>
          <w:tcPr>
            <w:tcW w:w="13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w w:val="95"/>
                <w:sz w:val="18"/>
              </w:rPr>
              <w:t>-80,703.69</w:t>
            </w:r>
            <w:r>
              <w:rPr>
                <w:rFonts w:ascii="Times New Roman"/>
                <w:sz w:val="18"/>
              </w:rPr>
            </w:r>
          </w:p>
        </w:tc>
        <w:tc>
          <w:tcPr>
            <w:tcW w:w="1512" w:type="dxa"/>
            <w:tcBorders>
              <w:top w:val="nil" w:sz="6" w:space="0" w:color="auto"/>
              <w:left w:val="single" w:sz="4" w:space="0" w:color="000000"/>
              <w:bottom w:val="single" w:sz="12" w:space="0" w:color="000000"/>
              <w:right w:val="single" w:sz="4" w:space="0" w:color="000000"/>
            </w:tcBorders>
          </w:tcPr>
          <w:p>
            <w:pPr/>
          </w:p>
        </w:tc>
        <w:tc>
          <w:tcPr>
            <w:tcW w:w="14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8"/>
                <w:szCs w:val="18"/>
              </w:rPr>
            </w:pPr>
            <w:r>
              <w:rPr>
                <w:rFonts w:ascii="Times New Roman"/>
                <w:sz w:val="18"/>
              </w:rPr>
              <w:t>992,792.85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35"/>
        <w:ind w:left="654" w:right="101"/>
        <w:jc w:val="left"/>
      </w:pPr>
      <w:r>
        <w:rPr>
          <w:rFonts w:ascii="Times New Roman" w:hAnsi="Times New Roman" w:cs="Times New Roman" w:eastAsia="Times New Roman" w:hint="default"/>
        </w:rPr>
        <w:t>14</w:t>
      </w:r>
      <w:r>
        <w:rPr/>
        <w:t>．在建工程</w:t>
      </w:r>
    </w:p>
    <w:tbl>
      <w:tblPr>
        <w:tblW w:w="0" w:type="auto"/>
        <w:jc w:val="left"/>
        <w:tblInd w:w="173" w:type="dxa"/>
        <w:tblLayout w:type="fixed"/>
        <w:tblCellMar>
          <w:top w:w="0" w:type="dxa"/>
          <w:left w:w="0" w:type="dxa"/>
          <w:bottom w:w="0" w:type="dxa"/>
          <w:right w:w="0" w:type="dxa"/>
        </w:tblCellMar>
        <w:tblLook w:val="01E0"/>
      </w:tblPr>
      <w:tblGrid>
        <w:gridCol w:w="2156"/>
        <w:gridCol w:w="1412"/>
        <w:gridCol w:w="1081"/>
        <w:gridCol w:w="1414"/>
        <w:gridCol w:w="1286"/>
        <w:gridCol w:w="1081"/>
        <w:gridCol w:w="1284"/>
      </w:tblGrid>
      <w:tr>
        <w:trPr>
          <w:trHeight w:val="448" w:hRule="exact"/>
        </w:trPr>
        <w:tc>
          <w:tcPr>
            <w:tcW w:w="215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tabs>
                <w:tab w:pos="1295" w:val="left" w:leader="none"/>
              </w:tabs>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0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65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9"/>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2" w:hRule="exact"/>
        </w:trPr>
        <w:tc>
          <w:tcPr>
            <w:tcW w:w="2156" w:type="dxa"/>
            <w:vMerge/>
            <w:tcBorders>
              <w:left w:val="nil" w:sz="6" w:space="0" w:color="auto"/>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78"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1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0"/>
              <w:ind w:left="213"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864" w:hRule="exact"/>
        </w:trPr>
        <w:tc>
          <w:tcPr>
            <w:tcW w:w="2156" w:type="dxa"/>
            <w:tcBorders>
              <w:top w:val="single" w:sz="6" w:space="0" w:color="000000"/>
              <w:left w:val="nil" w:sz="6" w:space="0" w:color="auto"/>
              <w:bottom w:val="single" w:sz="4" w:space="0" w:color="000000"/>
              <w:right w:val="single" w:sz="6" w:space="0" w:color="000000"/>
            </w:tcBorders>
          </w:tcPr>
          <w:p>
            <w:pPr>
              <w:pStyle w:val="TableParagraph"/>
              <w:spacing w:line="426" w:lineRule="exact" w:before="24"/>
              <w:ind w:left="45" w:right="421"/>
              <w:jc w:val="left"/>
              <w:rPr>
                <w:rFonts w:ascii="宋体" w:hAnsi="宋体" w:cs="宋体" w:eastAsia="宋体" w:hint="default"/>
                <w:sz w:val="21"/>
                <w:szCs w:val="21"/>
              </w:rPr>
            </w:pPr>
            <w:r>
              <w:rPr>
                <w:rFonts w:ascii="宋体" w:hAnsi="宋体" w:cs="宋体" w:eastAsia="宋体" w:hint="default"/>
                <w:sz w:val="21"/>
                <w:szCs w:val="21"/>
              </w:rPr>
              <w:t>北海石基客户技术 支持与服务中心</w:t>
            </w:r>
          </w:p>
        </w:tc>
        <w:tc>
          <w:tcPr>
            <w:tcW w:w="141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72" w:right="0"/>
              <w:jc w:val="left"/>
              <w:rPr>
                <w:rFonts w:ascii="Times New Roman" w:hAnsi="Times New Roman" w:cs="Times New Roman" w:eastAsia="Times New Roman" w:hint="default"/>
                <w:sz w:val="21"/>
                <w:szCs w:val="21"/>
              </w:rPr>
            </w:pPr>
            <w:r>
              <w:rPr>
                <w:rFonts w:ascii="Times New Roman"/>
                <w:sz w:val="21"/>
              </w:rPr>
              <w:t>5,348,974.13</w:t>
            </w:r>
          </w:p>
        </w:tc>
        <w:tc>
          <w:tcPr>
            <w:tcW w:w="1081" w:type="dxa"/>
            <w:tcBorders>
              <w:top w:val="single" w:sz="6" w:space="0" w:color="000000"/>
              <w:left w:val="single" w:sz="6" w:space="0" w:color="000000"/>
              <w:bottom w:val="single" w:sz="4" w:space="0" w:color="000000"/>
              <w:right w:val="single" w:sz="6" w:space="0" w:color="000000"/>
            </w:tcBorders>
          </w:tcPr>
          <w:p>
            <w:pPr/>
          </w:p>
        </w:tc>
        <w:tc>
          <w:tcPr>
            <w:tcW w:w="14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73" w:right="0"/>
              <w:jc w:val="left"/>
              <w:rPr>
                <w:rFonts w:ascii="Times New Roman" w:hAnsi="Times New Roman" w:cs="Times New Roman" w:eastAsia="Times New Roman" w:hint="default"/>
                <w:sz w:val="21"/>
                <w:szCs w:val="21"/>
              </w:rPr>
            </w:pPr>
            <w:r>
              <w:rPr>
                <w:rFonts w:ascii="Times New Roman"/>
                <w:sz w:val="21"/>
              </w:rPr>
              <w:t>5,348,974.13</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84" w:right="0"/>
              <w:jc w:val="left"/>
              <w:rPr>
                <w:rFonts w:ascii="Times New Roman" w:hAnsi="Times New Roman" w:cs="Times New Roman" w:eastAsia="Times New Roman" w:hint="default"/>
                <w:sz w:val="21"/>
                <w:szCs w:val="21"/>
              </w:rPr>
            </w:pPr>
            <w:r>
              <w:rPr>
                <w:rFonts w:ascii="Times New Roman"/>
                <w:sz w:val="21"/>
              </w:rPr>
              <w:t>1,974,746.50</w:t>
            </w:r>
          </w:p>
        </w:tc>
        <w:tc>
          <w:tcPr>
            <w:tcW w:w="1081" w:type="dxa"/>
            <w:tcBorders>
              <w:top w:val="single" w:sz="6" w:space="0" w:color="000000"/>
              <w:left w:val="single" w:sz="6" w:space="0" w:color="000000"/>
              <w:bottom w:val="single" w:sz="4" w:space="0" w:color="000000"/>
              <w:right w:val="single" w:sz="6" w:space="0" w:color="000000"/>
            </w:tcBorders>
          </w:tcPr>
          <w:p>
            <w:pPr/>
          </w:p>
        </w:tc>
        <w:tc>
          <w:tcPr>
            <w:tcW w:w="1284" w:type="dxa"/>
            <w:tcBorders>
              <w:top w:val="single" w:sz="6" w:space="0" w:color="000000"/>
              <w:left w:val="single" w:sz="6"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82" w:right="0"/>
              <w:jc w:val="left"/>
              <w:rPr>
                <w:rFonts w:ascii="Times New Roman" w:hAnsi="Times New Roman" w:cs="Times New Roman" w:eastAsia="Times New Roman" w:hint="default"/>
                <w:sz w:val="21"/>
                <w:szCs w:val="21"/>
              </w:rPr>
            </w:pPr>
            <w:r>
              <w:rPr>
                <w:rFonts w:ascii="Times New Roman"/>
                <w:sz w:val="21"/>
              </w:rPr>
              <w:t>1,974,746.50</w:t>
            </w:r>
          </w:p>
        </w:tc>
      </w:tr>
      <w:tr>
        <w:trPr>
          <w:trHeight w:val="447" w:hRule="exact"/>
        </w:trPr>
        <w:tc>
          <w:tcPr>
            <w:tcW w:w="2156" w:type="dxa"/>
            <w:tcBorders>
              <w:top w:val="single" w:sz="4" w:space="0" w:color="000000"/>
              <w:left w:val="nil" w:sz="6" w:space="0" w:color="auto"/>
              <w:bottom w:val="single" w:sz="12" w:space="0" w:color="000000"/>
              <w:right w:val="single" w:sz="6" w:space="0" w:color="000000"/>
            </w:tcBorders>
          </w:tcPr>
          <w:p>
            <w:pPr>
              <w:pStyle w:val="TableParagraph"/>
              <w:tabs>
                <w:tab w:pos="1295" w:val="left" w:leader="none"/>
              </w:tabs>
              <w:spacing w:line="240" w:lineRule="auto" w:before="120"/>
              <w:ind w:left="6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5,348,974.13</w:t>
            </w:r>
          </w:p>
        </w:tc>
        <w:tc>
          <w:tcPr>
            <w:tcW w:w="1081" w:type="dxa"/>
            <w:tcBorders>
              <w:top w:val="single" w:sz="4" w:space="0" w:color="000000"/>
              <w:left w:val="single" w:sz="6" w:space="0" w:color="000000"/>
              <w:bottom w:val="single" w:sz="12" w:space="0" w:color="000000"/>
              <w:right w:val="single" w:sz="6" w:space="0" w:color="000000"/>
            </w:tcBorders>
          </w:tcPr>
          <w:p>
            <w:pPr/>
          </w:p>
        </w:tc>
        <w:tc>
          <w:tcPr>
            <w:tcW w:w="141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5,348,974.13</w:t>
            </w:r>
          </w:p>
        </w:tc>
        <w:tc>
          <w:tcPr>
            <w:tcW w:w="12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5" w:right="0"/>
              <w:jc w:val="left"/>
              <w:rPr>
                <w:rFonts w:ascii="Times New Roman" w:hAnsi="Times New Roman" w:cs="Times New Roman" w:eastAsia="Times New Roman" w:hint="default"/>
                <w:sz w:val="21"/>
                <w:szCs w:val="21"/>
              </w:rPr>
            </w:pPr>
            <w:r>
              <w:rPr>
                <w:rFonts w:ascii="Times New Roman"/>
                <w:sz w:val="21"/>
              </w:rPr>
              <w:t>1,974,746.50</w:t>
            </w:r>
          </w:p>
        </w:tc>
        <w:tc>
          <w:tcPr>
            <w:tcW w:w="1081" w:type="dxa"/>
            <w:tcBorders>
              <w:top w:val="single" w:sz="4" w:space="0" w:color="000000"/>
              <w:left w:val="single" w:sz="6" w:space="0" w:color="000000"/>
              <w:bottom w:val="single" w:sz="12" w:space="0" w:color="000000"/>
              <w:right w:val="single" w:sz="6" w:space="0" w:color="000000"/>
            </w:tcBorders>
          </w:tcPr>
          <w:p>
            <w:pPr/>
          </w:p>
        </w:tc>
        <w:tc>
          <w:tcPr>
            <w:tcW w:w="1284"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2" w:right="0"/>
              <w:jc w:val="left"/>
              <w:rPr>
                <w:rFonts w:ascii="Times New Roman" w:hAnsi="Times New Roman" w:cs="Times New Roman" w:eastAsia="Times New Roman" w:hint="default"/>
                <w:sz w:val="21"/>
                <w:szCs w:val="21"/>
              </w:rPr>
            </w:pPr>
            <w:r>
              <w:rPr>
                <w:rFonts w:ascii="Times New Roman"/>
                <w:sz w:val="21"/>
              </w:rPr>
              <w:t>1,974,746.50</w:t>
            </w:r>
          </w:p>
        </w:tc>
      </w:tr>
    </w:tbl>
    <w:p>
      <w:pPr>
        <w:spacing w:line="240" w:lineRule="auto" w:before="9"/>
        <w:rPr>
          <w:rFonts w:ascii="宋体" w:hAnsi="宋体" w:cs="宋体" w:eastAsia="宋体" w:hint="default"/>
          <w:sz w:val="7"/>
          <w:szCs w:val="7"/>
        </w:rPr>
      </w:pPr>
    </w:p>
    <w:p>
      <w:pPr>
        <w:pStyle w:val="BodyText"/>
        <w:spacing w:line="240" w:lineRule="auto" w:before="35"/>
        <w:ind w:left="654" w:right="101"/>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）重大在建工程项目变动情况</w:t>
      </w:r>
      <w:r>
        <w:rPr>
          <w:spacing w:val="-55"/>
        </w:rPr>
        <w:t> </w:t>
      </w:r>
      <w:r>
        <w:rPr>
          <w:rFonts w:ascii="Times New Roman" w:hAnsi="Times New Roman" w:cs="Times New Roman" w:eastAsia="Times New Roman" w:hint="default"/>
        </w:rPr>
        <w:t>a</w:t>
      </w:r>
    </w:p>
    <w:tbl>
      <w:tblPr>
        <w:tblW w:w="0" w:type="auto"/>
        <w:jc w:val="left"/>
        <w:tblInd w:w="177" w:type="dxa"/>
        <w:tblLayout w:type="fixed"/>
        <w:tblCellMar>
          <w:top w:w="0" w:type="dxa"/>
          <w:left w:w="0" w:type="dxa"/>
          <w:bottom w:w="0" w:type="dxa"/>
          <w:right w:w="0" w:type="dxa"/>
        </w:tblCellMar>
        <w:tblLook w:val="01E0"/>
      </w:tblPr>
      <w:tblGrid>
        <w:gridCol w:w="3114"/>
        <w:gridCol w:w="1315"/>
        <w:gridCol w:w="1252"/>
        <w:gridCol w:w="1097"/>
        <w:gridCol w:w="752"/>
        <w:gridCol w:w="1280"/>
        <w:gridCol w:w="898"/>
      </w:tblGrid>
      <w:tr>
        <w:trPr>
          <w:trHeight w:val="874" w:hRule="exact"/>
        </w:trPr>
        <w:tc>
          <w:tcPr>
            <w:tcW w:w="3114"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3"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097" w:type="dxa"/>
            <w:tcBorders>
              <w:top w:val="single" w:sz="12" w:space="0" w:color="000000"/>
              <w:left w:val="single" w:sz="6" w:space="0" w:color="000000"/>
              <w:bottom w:val="single" w:sz="6" w:space="0" w:color="000000"/>
              <w:right w:val="single" w:sz="6" w:space="0" w:color="000000"/>
            </w:tcBorders>
          </w:tcPr>
          <w:p>
            <w:pPr>
              <w:pStyle w:val="TableParagraph"/>
              <w:spacing w:line="426" w:lineRule="exact" w:before="32"/>
              <w:ind w:left="92" w:right="88" w:firstLine="90"/>
              <w:jc w:val="left"/>
              <w:rPr>
                <w:rFonts w:ascii="宋体" w:hAnsi="宋体" w:cs="宋体" w:eastAsia="宋体" w:hint="default"/>
                <w:sz w:val="18"/>
                <w:szCs w:val="18"/>
              </w:rPr>
            </w:pPr>
            <w:r>
              <w:rPr>
                <w:rFonts w:ascii="宋体" w:hAnsi="宋体" w:cs="宋体" w:eastAsia="宋体" w:hint="default"/>
                <w:sz w:val="18"/>
                <w:szCs w:val="18"/>
              </w:rPr>
              <w:t>本年转入 固定资产额</w:t>
            </w:r>
          </w:p>
        </w:tc>
        <w:tc>
          <w:tcPr>
            <w:tcW w:w="752" w:type="dxa"/>
            <w:tcBorders>
              <w:top w:val="single" w:sz="12" w:space="0" w:color="000000"/>
              <w:left w:val="single" w:sz="6" w:space="0" w:color="000000"/>
              <w:bottom w:val="single" w:sz="6" w:space="0" w:color="000000"/>
              <w:right w:val="single" w:sz="6" w:space="0" w:color="000000"/>
            </w:tcBorders>
          </w:tcPr>
          <w:p>
            <w:pPr>
              <w:pStyle w:val="TableParagraph"/>
              <w:spacing w:line="426" w:lineRule="exact" w:before="32"/>
              <w:ind w:left="99" w:right="96" w:firstLine="90"/>
              <w:jc w:val="left"/>
              <w:rPr>
                <w:rFonts w:ascii="宋体" w:hAnsi="宋体" w:cs="宋体" w:eastAsia="宋体" w:hint="default"/>
                <w:sz w:val="18"/>
                <w:szCs w:val="18"/>
              </w:rPr>
            </w:pPr>
            <w:r>
              <w:rPr>
                <w:rFonts w:ascii="宋体" w:hAnsi="宋体" w:cs="宋体" w:eastAsia="宋体" w:hint="default"/>
                <w:sz w:val="18"/>
                <w:szCs w:val="18"/>
              </w:rPr>
              <w:t>其他 减少额</w:t>
            </w:r>
          </w:p>
        </w:tc>
        <w:tc>
          <w:tcPr>
            <w:tcW w:w="12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898" w:type="dxa"/>
            <w:tcBorders>
              <w:top w:val="single" w:sz="12" w:space="0" w:color="000000"/>
              <w:left w:val="single" w:sz="6" w:space="0" w:color="000000"/>
              <w:bottom w:val="single" w:sz="6" w:space="0" w:color="000000"/>
              <w:right w:val="nil" w:sz="6" w:space="0" w:color="auto"/>
            </w:tcBorders>
          </w:tcPr>
          <w:p>
            <w:pPr>
              <w:pStyle w:val="TableParagraph"/>
              <w:spacing w:line="426" w:lineRule="exact" w:before="32"/>
              <w:ind w:left="261" w:right="87" w:hanging="180"/>
              <w:jc w:val="left"/>
              <w:rPr>
                <w:rFonts w:ascii="宋体" w:hAnsi="宋体" w:cs="宋体" w:eastAsia="宋体" w:hint="default"/>
                <w:sz w:val="18"/>
                <w:szCs w:val="18"/>
              </w:rPr>
            </w:pPr>
            <w:r>
              <w:rPr>
                <w:rFonts w:ascii="宋体" w:hAnsi="宋体" w:cs="宋体" w:eastAsia="宋体" w:hint="default"/>
                <w:sz w:val="18"/>
                <w:szCs w:val="18"/>
              </w:rPr>
              <w:t>利息资本 化率</w:t>
            </w:r>
          </w:p>
        </w:tc>
      </w:tr>
      <w:tr>
        <w:trPr>
          <w:trHeight w:val="440" w:hRule="exact"/>
        </w:trPr>
        <w:tc>
          <w:tcPr>
            <w:tcW w:w="3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北海石基客户技术支持与服务中心</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1,974,746.50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3,374,227.63</w:t>
            </w:r>
          </w:p>
        </w:tc>
        <w:tc>
          <w:tcPr>
            <w:tcW w:w="1097"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5,348,974.13</w:t>
            </w:r>
          </w:p>
        </w:tc>
        <w:tc>
          <w:tcPr>
            <w:tcW w:w="898" w:type="dxa"/>
            <w:tcBorders>
              <w:top w:val="single" w:sz="6" w:space="0" w:color="000000"/>
              <w:left w:val="single" w:sz="6" w:space="0" w:color="000000"/>
              <w:bottom w:val="single" w:sz="6" w:space="0" w:color="000000"/>
              <w:right w:val="nil" w:sz="6" w:space="0" w:color="auto"/>
            </w:tcBorders>
          </w:tcPr>
          <w:p>
            <w:pPr/>
          </w:p>
        </w:tc>
      </w:tr>
      <w:tr>
        <w:trPr>
          <w:trHeight w:val="449" w:hRule="exact"/>
        </w:trPr>
        <w:tc>
          <w:tcPr>
            <w:tcW w:w="31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56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1,974,746.50</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3,374,227.63</w:t>
            </w:r>
          </w:p>
        </w:tc>
        <w:tc>
          <w:tcPr>
            <w:tcW w:w="1097" w:type="dxa"/>
            <w:tcBorders>
              <w:top w:val="single" w:sz="6" w:space="0" w:color="000000"/>
              <w:left w:val="single" w:sz="6" w:space="0" w:color="000000"/>
              <w:bottom w:val="single" w:sz="12" w:space="0" w:color="000000"/>
              <w:right w:val="single" w:sz="6" w:space="0" w:color="000000"/>
            </w:tcBorders>
          </w:tcPr>
          <w:p>
            <w:pPr/>
          </w:p>
        </w:tc>
        <w:tc>
          <w:tcPr>
            <w:tcW w:w="752" w:type="dxa"/>
            <w:tcBorders>
              <w:top w:val="single" w:sz="6" w:space="0" w:color="000000"/>
              <w:left w:val="single" w:sz="6" w:space="0" w:color="000000"/>
              <w:bottom w:val="single" w:sz="12" w:space="0" w:color="000000"/>
              <w:right w:val="single" w:sz="6" w:space="0" w:color="000000"/>
            </w:tcBorders>
          </w:tcPr>
          <w:p>
            <w:pP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5,348,974.13</w:t>
            </w:r>
          </w:p>
        </w:tc>
        <w:tc>
          <w:tcPr>
            <w:tcW w:w="89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8"/>
          <w:szCs w:val="8"/>
        </w:rPr>
      </w:pPr>
    </w:p>
    <w:p>
      <w:pPr>
        <w:pStyle w:val="BodyText"/>
        <w:spacing w:line="240" w:lineRule="auto" w:before="35"/>
        <w:ind w:left="654" w:right="101"/>
        <w:jc w:val="left"/>
        <w:rPr>
          <w:rFonts w:ascii="Times New Roman" w:hAnsi="Times New Roman" w:cs="Times New Roman" w:eastAsia="Times New Roman" w:hint="default"/>
        </w:rPr>
      </w:pPr>
      <w:r>
        <w:rPr/>
        <w:t>重大在建工程项目变动情况</w:t>
      </w:r>
      <w:r>
        <w:rPr>
          <w:spacing w:val="-53"/>
        </w:rPr>
        <w:t> </w:t>
      </w:r>
      <w:r>
        <w:rPr>
          <w:rFonts w:ascii="Times New Roman" w:hAnsi="Times New Roman" w:cs="Times New Roman" w:eastAsia="Times New Roman" w:hint="default"/>
        </w:rPr>
        <w:t>b</w:t>
      </w:r>
    </w:p>
    <w:tbl>
      <w:tblPr>
        <w:tblW w:w="0" w:type="auto"/>
        <w:jc w:val="left"/>
        <w:tblInd w:w="177" w:type="dxa"/>
        <w:tblLayout w:type="fixed"/>
        <w:tblCellMar>
          <w:top w:w="0" w:type="dxa"/>
          <w:left w:w="0" w:type="dxa"/>
          <w:bottom w:w="0" w:type="dxa"/>
          <w:right w:w="0" w:type="dxa"/>
        </w:tblCellMar>
        <w:tblLook w:val="01E0"/>
      </w:tblPr>
      <w:tblGrid>
        <w:gridCol w:w="2188"/>
        <w:gridCol w:w="1122"/>
        <w:gridCol w:w="1123"/>
        <w:gridCol w:w="1385"/>
        <w:gridCol w:w="594"/>
        <w:gridCol w:w="1385"/>
        <w:gridCol w:w="1912"/>
      </w:tblGrid>
      <w:tr>
        <w:trPr>
          <w:trHeight w:val="872" w:hRule="exact"/>
        </w:trPr>
        <w:tc>
          <w:tcPr>
            <w:tcW w:w="2188"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2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3" w:type="dxa"/>
            <w:tcBorders>
              <w:top w:val="single" w:sz="12" w:space="0" w:color="000000"/>
              <w:left w:val="single" w:sz="6" w:space="0" w:color="000000"/>
              <w:bottom w:val="single" w:sz="4" w:space="0" w:color="000000"/>
              <w:right w:val="single" w:sz="6" w:space="0" w:color="000000"/>
            </w:tcBorders>
          </w:tcPr>
          <w:p>
            <w:pPr>
              <w:pStyle w:val="TableParagraph"/>
              <w:spacing w:line="426" w:lineRule="exact" w:before="32"/>
              <w:ind w:left="374" w:right="372"/>
              <w:jc w:val="center"/>
              <w:rPr>
                <w:rFonts w:ascii="宋体" w:hAnsi="宋体" w:cs="宋体" w:eastAsia="宋体" w:hint="default"/>
                <w:sz w:val="18"/>
                <w:szCs w:val="18"/>
              </w:rPr>
            </w:pPr>
            <w:r>
              <w:rPr>
                <w:rFonts w:ascii="宋体" w:hAnsi="宋体" w:cs="宋体" w:eastAsia="宋体" w:hint="default"/>
                <w:sz w:val="18"/>
                <w:szCs w:val="18"/>
              </w:rPr>
              <w:t>资金 来源</w:t>
            </w:r>
          </w:p>
        </w:tc>
        <w:tc>
          <w:tcPr>
            <w:tcW w:w="1385" w:type="dxa"/>
            <w:tcBorders>
              <w:top w:val="single" w:sz="12" w:space="0" w:color="000000"/>
              <w:left w:val="single" w:sz="6" w:space="0" w:color="000000"/>
              <w:bottom w:val="single" w:sz="4" w:space="0" w:color="000000"/>
              <w:right w:val="single" w:sz="6" w:space="0" w:color="000000"/>
            </w:tcBorders>
          </w:tcPr>
          <w:p>
            <w:pPr>
              <w:pStyle w:val="TableParagraph"/>
              <w:spacing w:line="426" w:lineRule="exact" w:before="32"/>
              <w:ind w:left="235" w:right="233"/>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c>
          <w:tcPr>
            <w:tcW w:w="594" w:type="dxa"/>
            <w:tcBorders>
              <w:top w:val="single" w:sz="12" w:space="0" w:color="000000"/>
              <w:left w:val="single" w:sz="6" w:space="0" w:color="000000"/>
              <w:bottom w:val="single" w:sz="4" w:space="0" w:color="000000"/>
              <w:right w:val="single" w:sz="6" w:space="0" w:color="000000"/>
            </w:tcBorders>
          </w:tcPr>
          <w:p>
            <w:pPr>
              <w:pStyle w:val="TableParagraph"/>
              <w:spacing w:line="426" w:lineRule="exact" w:before="32"/>
              <w:ind w:left="109" w:right="108"/>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385" w:type="dxa"/>
            <w:tcBorders>
              <w:top w:val="single" w:sz="12" w:space="0" w:color="000000"/>
              <w:left w:val="single" w:sz="6" w:space="0" w:color="000000"/>
              <w:bottom w:val="single" w:sz="4" w:space="0" w:color="000000"/>
              <w:right w:val="single" w:sz="6" w:space="0" w:color="000000"/>
            </w:tcBorders>
          </w:tcPr>
          <w:p>
            <w:pPr>
              <w:pStyle w:val="TableParagraph"/>
              <w:spacing w:line="426" w:lineRule="exact" w:before="32"/>
              <w:ind w:left="235" w:right="233" w:firstLine="90"/>
              <w:jc w:val="left"/>
              <w:rPr>
                <w:rFonts w:ascii="宋体" w:hAnsi="宋体" w:cs="宋体" w:eastAsia="宋体" w:hint="default"/>
                <w:sz w:val="18"/>
                <w:szCs w:val="18"/>
              </w:rPr>
            </w:pPr>
            <w:r>
              <w:rPr>
                <w:rFonts w:ascii="宋体" w:hAnsi="宋体" w:cs="宋体" w:eastAsia="宋体" w:hint="default"/>
                <w:sz w:val="18"/>
                <w:szCs w:val="18"/>
              </w:rPr>
              <w:t>利息资本 化累计金额</w:t>
            </w:r>
          </w:p>
        </w:tc>
        <w:tc>
          <w:tcPr>
            <w:tcW w:w="1912" w:type="dxa"/>
            <w:tcBorders>
              <w:top w:val="single" w:sz="12" w:space="0" w:color="000000"/>
              <w:left w:val="single" w:sz="6" w:space="0" w:color="000000"/>
              <w:bottom w:val="single" w:sz="4" w:space="0" w:color="000000"/>
              <w:right w:val="nil" w:sz="6" w:space="0" w:color="auto"/>
            </w:tcBorders>
          </w:tcPr>
          <w:p>
            <w:pPr>
              <w:pStyle w:val="TableParagraph"/>
              <w:spacing w:line="426" w:lineRule="exact" w:before="32"/>
              <w:ind w:left="317" w:right="324" w:firstLine="180"/>
              <w:jc w:val="left"/>
              <w:rPr>
                <w:rFonts w:ascii="宋体" w:hAnsi="宋体" w:cs="宋体" w:eastAsia="宋体" w:hint="default"/>
                <w:sz w:val="18"/>
                <w:szCs w:val="18"/>
              </w:rPr>
            </w:pPr>
            <w:r>
              <w:rPr>
                <w:rFonts w:ascii="宋体" w:hAnsi="宋体" w:cs="宋体" w:eastAsia="宋体" w:hint="default"/>
                <w:sz w:val="18"/>
                <w:szCs w:val="18"/>
              </w:rPr>
              <w:t>其中：本期 利息资本化金额</w:t>
            </w:r>
          </w:p>
        </w:tc>
      </w:tr>
      <w:tr>
        <w:trPr>
          <w:trHeight w:val="862" w:hRule="exact"/>
        </w:trPr>
        <w:tc>
          <w:tcPr>
            <w:tcW w:w="2188" w:type="dxa"/>
            <w:tcBorders>
              <w:top w:val="single" w:sz="4" w:space="0" w:color="000000"/>
              <w:left w:val="nil" w:sz="6" w:space="0" w:color="auto"/>
              <w:bottom w:val="single" w:sz="4" w:space="0" w:color="000000"/>
              <w:right w:val="single" w:sz="6" w:space="0" w:color="000000"/>
            </w:tcBorders>
          </w:tcPr>
          <w:p>
            <w:pPr>
              <w:pStyle w:val="TableParagraph"/>
              <w:spacing w:line="426" w:lineRule="exact" w:before="32"/>
              <w:ind w:left="42" w:right="696"/>
              <w:jc w:val="left"/>
              <w:rPr>
                <w:rFonts w:ascii="宋体" w:hAnsi="宋体" w:cs="宋体" w:eastAsia="宋体" w:hint="default"/>
                <w:sz w:val="18"/>
                <w:szCs w:val="18"/>
              </w:rPr>
            </w:pPr>
            <w:r>
              <w:rPr>
                <w:rFonts w:ascii="宋体" w:hAnsi="宋体" w:cs="宋体" w:eastAsia="宋体" w:hint="default"/>
                <w:sz w:val="18"/>
                <w:szCs w:val="18"/>
              </w:rPr>
              <w:t>北海石基客户技术 支持与服务中心</w:t>
            </w:r>
          </w:p>
        </w:tc>
        <w:tc>
          <w:tcPr>
            <w:tcW w:w="112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7,380.00</w:t>
            </w:r>
          </w:p>
        </w:tc>
        <w:tc>
          <w:tcPr>
            <w:tcW w:w="112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3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7.25</w:t>
            </w:r>
            <w:r>
              <w:rPr>
                <w:rFonts w:ascii="宋体" w:hAnsi="宋体" w:cs="宋体" w:eastAsia="宋体" w:hint="default"/>
                <w:sz w:val="18"/>
                <w:szCs w:val="18"/>
              </w:rPr>
              <w:t>％</w:t>
            </w:r>
          </w:p>
        </w:tc>
        <w:tc>
          <w:tcPr>
            <w:tcW w:w="59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在建</w:t>
            </w:r>
          </w:p>
        </w:tc>
        <w:tc>
          <w:tcPr>
            <w:tcW w:w="1385" w:type="dxa"/>
            <w:tcBorders>
              <w:top w:val="single" w:sz="4" w:space="0" w:color="000000"/>
              <w:left w:val="single" w:sz="6" w:space="0" w:color="000000"/>
              <w:bottom w:val="single" w:sz="4" w:space="0" w:color="000000"/>
              <w:right w:val="single" w:sz="6" w:space="0" w:color="000000"/>
            </w:tcBorders>
          </w:tcPr>
          <w:p>
            <w:pPr/>
          </w:p>
        </w:tc>
        <w:tc>
          <w:tcPr>
            <w:tcW w:w="1912" w:type="dxa"/>
            <w:tcBorders>
              <w:top w:val="single" w:sz="4" w:space="0" w:color="000000"/>
              <w:left w:val="single" w:sz="6" w:space="0" w:color="000000"/>
              <w:bottom w:val="single" w:sz="4" w:space="0" w:color="000000"/>
              <w:right w:val="nil" w:sz="6" w:space="0" w:color="auto"/>
            </w:tcBorders>
          </w:tcPr>
          <w:p>
            <w:pPr/>
          </w:p>
        </w:tc>
      </w:tr>
      <w:tr>
        <w:trPr>
          <w:trHeight w:val="446" w:hRule="exact"/>
        </w:trPr>
        <w:tc>
          <w:tcPr>
            <w:tcW w:w="218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tabs>
                <w:tab w:pos="56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2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7,380.00</w:t>
            </w:r>
          </w:p>
        </w:tc>
        <w:tc>
          <w:tcPr>
            <w:tcW w:w="1123" w:type="dxa"/>
            <w:tcBorders>
              <w:top w:val="single" w:sz="4" w:space="0" w:color="000000"/>
              <w:left w:val="single" w:sz="6" w:space="0" w:color="000000"/>
              <w:bottom w:val="single" w:sz="12" w:space="0" w:color="000000"/>
              <w:right w:val="single" w:sz="6" w:space="0" w:color="000000"/>
            </w:tcBorders>
          </w:tcPr>
          <w:p>
            <w:pPr/>
          </w:p>
        </w:tc>
        <w:tc>
          <w:tcPr>
            <w:tcW w:w="1385" w:type="dxa"/>
            <w:tcBorders>
              <w:top w:val="single" w:sz="4" w:space="0" w:color="000000"/>
              <w:left w:val="single" w:sz="6" w:space="0" w:color="000000"/>
              <w:bottom w:val="single" w:sz="12" w:space="0" w:color="000000"/>
              <w:right w:val="single" w:sz="6" w:space="0" w:color="000000"/>
            </w:tcBorders>
          </w:tcPr>
          <w:p>
            <w:pPr/>
          </w:p>
        </w:tc>
        <w:tc>
          <w:tcPr>
            <w:tcW w:w="594" w:type="dxa"/>
            <w:tcBorders>
              <w:top w:val="single" w:sz="4" w:space="0" w:color="000000"/>
              <w:left w:val="single" w:sz="6" w:space="0" w:color="000000"/>
              <w:bottom w:val="single" w:sz="12" w:space="0" w:color="000000"/>
              <w:right w:val="single" w:sz="6" w:space="0" w:color="000000"/>
            </w:tcBorders>
          </w:tcPr>
          <w:p>
            <w:pPr/>
          </w:p>
        </w:tc>
        <w:tc>
          <w:tcPr>
            <w:tcW w:w="1385" w:type="dxa"/>
            <w:tcBorders>
              <w:top w:val="single" w:sz="4" w:space="0" w:color="000000"/>
              <w:left w:val="single" w:sz="6" w:space="0" w:color="000000"/>
              <w:bottom w:val="single" w:sz="12" w:space="0" w:color="000000"/>
              <w:right w:val="single" w:sz="6" w:space="0" w:color="000000"/>
            </w:tcBorders>
          </w:tcPr>
          <w:p>
            <w:pPr/>
          </w:p>
        </w:tc>
        <w:tc>
          <w:tcPr>
            <w:tcW w:w="1912" w:type="dxa"/>
            <w:tcBorders>
              <w:top w:val="single" w:sz="4" w:space="0" w:color="000000"/>
              <w:left w:val="single" w:sz="6" w:space="0" w:color="000000"/>
              <w:bottom w:val="single" w:sz="12" w:space="0" w:color="000000"/>
              <w:right w:val="nil" w:sz="6" w:space="0" w:color="auto"/>
            </w:tcBorders>
          </w:tcPr>
          <w:p>
            <w:pPr/>
          </w:p>
        </w:tc>
      </w:tr>
    </w:tbl>
    <w:p>
      <w:pPr>
        <w:spacing w:line="240" w:lineRule="auto" w:before="8"/>
        <w:rPr>
          <w:rFonts w:ascii="Times New Roman" w:hAnsi="Times New Roman" w:cs="Times New Roman" w:eastAsia="Times New Roman" w:hint="default"/>
          <w:sz w:val="8"/>
          <w:szCs w:val="8"/>
        </w:rPr>
      </w:pPr>
    </w:p>
    <w:p>
      <w:pPr>
        <w:pStyle w:val="BodyText"/>
        <w:spacing w:line="240" w:lineRule="auto" w:before="35"/>
        <w:ind w:left="669" w:right="101"/>
        <w:jc w:val="left"/>
      </w:pPr>
      <w:r>
        <w:rPr/>
        <w:t>（</w:t>
      </w:r>
      <w:r>
        <w:rPr>
          <w:rFonts w:ascii="Times New Roman" w:hAnsi="Times New Roman" w:cs="Times New Roman" w:eastAsia="Times New Roman" w:hint="default"/>
        </w:rPr>
        <w:t>2</w:t>
      </w:r>
      <w:r>
        <w:rPr/>
        <w:t>）报告期末在建工程未减值，故未计提在建工程减值准备。</w:t>
      </w:r>
    </w:p>
    <w:p>
      <w:pPr>
        <w:pStyle w:val="BodyText"/>
        <w:spacing w:line="240" w:lineRule="auto" w:before="99"/>
        <w:ind w:left="654" w:right="101"/>
        <w:jc w:val="left"/>
      </w:pPr>
      <w:r>
        <w:rPr>
          <w:rFonts w:ascii="Times New Roman" w:hAnsi="Times New Roman" w:cs="Times New Roman" w:eastAsia="Times New Roman" w:hint="default"/>
        </w:rPr>
        <w:t>15</w:t>
      </w:r>
      <w:r>
        <w:rPr/>
        <w:t>．无形资产</w:t>
      </w:r>
    </w:p>
    <w:p>
      <w:pPr>
        <w:spacing w:after="0" w:line="240" w:lineRule="auto"/>
        <w:jc w:val="left"/>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8"/>
        <w:ind w:left="654" w:right="101"/>
        <w:jc w:val="left"/>
      </w:pPr>
      <w:r>
        <w:rPr/>
        <w:t>（</w:t>
      </w:r>
      <w:r>
        <w:rPr>
          <w:rFonts w:ascii="Times New Roman" w:hAnsi="Times New Roman" w:cs="Times New Roman" w:eastAsia="Times New Roman" w:hint="default"/>
        </w:rPr>
        <w:t>1</w:t>
      </w:r>
      <w:r>
        <w:rPr/>
        <w:t>）无形资产明细情况：</w:t>
      </w:r>
    </w:p>
    <w:tbl>
      <w:tblPr>
        <w:tblW w:w="0" w:type="auto"/>
        <w:jc w:val="left"/>
        <w:tblInd w:w="111" w:type="dxa"/>
        <w:tblLayout w:type="fixed"/>
        <w:tblCellMar>
          <w:top w:w="0" w:type="dxa"/>
          <w:left w:w="0" w:type="dxa"/>
          <w:bottom w:w="0" w:type="dxa"/>
          <w:right w:w="0" w:type="dxa"/>
        </w:tblCellMar>
        <w:tblLook w:val="01E0"/>
      </w:tblPr>
      <w:tblGrid>
        <w:gridCol w:w="4009"/>
        <w:gridCol w:w="1484"/>
        <w:gridCol w:w="1573"/>
        <w:gridCol w:w="1321"/>
        <w:gridCol w:w="1481"/>
      </w:tblGrid>
      <w:tr>
        <w:trPr>
          <w:trHeight w:val="410" w:hRule="exact"/>
        </w:trPr>
        <w:tc>
          <w:tcPr>
            <w:tcW w:w="4009"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127"/>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33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7"/>
              <w:ind w:left="206"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7"/>
              <w:ind w:left="42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95" w:hRule="exact"/>
        </w:trPr>
        <w:tc>
          <w:tcPr>
            <w:tcW w:w="4009"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4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74,269,424.20</w:t>
            </w:r>
          </w:p>
        </w:tc>
        <w:tc>
          <w:tcPr>
            <w:tcW w:w="15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38,339,972.97</w:t>
            </w:r>
          </w:p>
        </w:tc>
        <w:tc>
          <w:tcPr>
            <w:tcW w:w="1321" w:type="dxa"/>
            <w:vMerge w:val="restart"/>
            <w:tcBorders>
              <w:top w:val="single" w:sz="4" w:space="0" w:color="000000"/>
              <w:left w:val="single" w:sz="4" w:space="0" w:color="000000"/>
              <w:right w:val="single" w:sz="4" w:space="0" w:color="000000"/>
            </w:tcBorders>
          </w:tcPr>
          <w:p>
            <w:pPr/>
          </w:p>
        </w:tc>
        <w:tc>
          <w:tcPr>
            <w:tcW w:w="1481"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112,609,397.17</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9,800,000.00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1,280,000.00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9,339,380.00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9,339,380.00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源代码</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8,127,578.00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8,127,578.00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5,136,840.00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5,136,840.00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、阳溢软件许可权</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29,450,423.68</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29,450,423.68</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、美食联通系统</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10,099,490.00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10,099,490.00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QIS</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z w:val="18"/>
              </w:rPr>
              <w:t>530,850.13</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530,850.13</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Pos Master Ltd customer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Information</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z w:val="18"/>
              </w:rPr>
              <w:t>504,862.39</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z w:val="18"/>
              </w:rPr>
              <w:t>504,862.39</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、土地使用权</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3,048,554.78</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3,048,554.78</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、石基酒店分销在线处理平台</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35,291,418.19</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35,291,418.19</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34,225,755.44</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15,187,123.14</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49,412,878.58</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7,022,908.21</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1,960,849.96</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8,983,758.17</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1,280,000.00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1,280,000.00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2,918,556.29</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1,167,422.48</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4,085,978.77</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源代码</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4,063,788.92</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1,625,515.60</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5,689,304.52</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spacing w:val="-1"/>
                <w:sz w:val="18"/>
              </w:rPr>
              <w:t>1,284,210.00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1,027,368.00</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2,311,578.00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、阳溢软件许可权</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7,362,605.92</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5,521,954.44</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12,884,560.36</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、美食联通系统</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10,099,490.00</w:t>
            </w: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10,099,490.00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QIS</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99,534.40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128,254.01</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227,788.41</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Pos Master Ltd customer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Information</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94,661.70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121,975.35</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z w:val="18"/>
              </w:rPr>
              <w:t>216,637.05</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、土地使用权</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104,641.50</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104,641.50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、石基酒店分销在线处理平台</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3,529,141.80</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3,529,141.80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40,043,668.76</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23,152,849.83</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63,196,518.59</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2,777,091.79</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-1,960,849.96</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z w:val="18"/>
              </w:rPr>
              <w:t>816,241.83</w:t>
            </w:r>
          </w:p>
        </w:tc>
      </w:tr>
      <w:tr>
        <w:trPr>
          <w:trHeight w:val="460"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pacing w:val="-1"/>
                <w:sz w:val="18"/>
              </w:rPr>
              <w:t>6,420,823.71</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pacing w:val="-1"/>
                <w:sz w:val="18"/>
              </w:rPr>
              <w:t>-1,167,422.48</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7"/>
              <w:jc w:val="right"/>
              <w:rPr>
                <w:rFonts w:ascii="Times New Roman" w:hAnsi="Times New Roman" w:cs="Times New Roman" w:eastAsia="Times New Roman" w:hint="default"/>
                <w:sz w:val="18"/>
                <w:szCs w:val="18"/>
              </w:rPr>
            </w:pPr>
            <w:r>
              <w:rPr>
                <w:rFonts w:ascii="Times New Roman"/>
                <w:spacing w:val="-1"/>
                <w:sz w:val="18"/>
              </w:rPr>
              <w:t>5,253,401.23</w:t>
            </w:r>
          </w:p>
        </w:tc>
      </w:tr>
      <w:tr>
        <w:trPr>
          <w:trHeight w:val="356" w:hRule="exact"/>
        </w:trPr>
        <w:tc>
          <w:tcPr>
            <w:tcW w:w="4009"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源代码</w:t>
            </w:r>
          </w:p>
        </w:tc>
        <w:tc>
          <w:tcPr>
            <w:tcW w:w="14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4,063,789.08</w:t>
            </w:r>
          </w:p>
        </w:tc>
        <w:tc>
          <w:tcPr>
            <w:tcW w:w="15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-1,625,515.60</w:t>
            </w:r>
          </w:p>
        </w:tc>
        <w:tc>
          <w:tcPr>
            <w:tcW w:w="1321" w:type="dxa"/>
            <w:vMerge/>
            <w:tcBorders>
              <w:left w:val="single" w:sz="4" w:space="0" w:color="000000"/>
              <w:bottom w:val="single" w:sz="12" w:space="0" w:color="000000"/>
              <w:right w:val="single" w:sz="4" w:space="0" w:color="000000"/>
            </w:tcBorders>
          </w:tcPr>
          <w:p>
            <w:pPr/>
          </w:p>
        </w:tc>
        <w:tc>
          <w:tcPr>
            <w:tcW w:w="148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2,438,273.48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009"/>
        <w:gridCol w:w="1484"/>
        <w:gridCol w:w="1573"/>
        <w:gridCol w:w="1321"/>
        <w:gridCol w:w="1481"/>
      </w:tblGrid>
      <w:tr>
        <w:trPr>
          <w:trHeight w:val="417" w:hRule="exact"/>
        </w:trPr>
        <w:tc>
          <w:tcPr>
            <w:tcW w:w="4009" w:type="dxa"/>
            <w:tcBorders>
              <w:top w:val="single" w:sz="18"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127"/>
              <w:ind w:left="1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8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27"/>
              <w:ind w:left="37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7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27"/>
              <w:ind w:left="331"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21"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27"/>
              <w:ind w:left="206"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81"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27"/>
              <w:ind w:left="42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95" w:hRule="exact"/>
        </w:trPr>
        <w:tc>
          <w:tcPr>
            <w:tcW w:w="4009" w:type="dxa"/>
            <w:tcBorders>
              <w:top w:val="single" w:sz="4" w:space="0" w:color="000000"/>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p>
        </w:tc>
        <w:tc>
          <w:tcPr>
            <w:tcW w:w="14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3,852,630.00</w:t>
            </w:r>
          </w:p>
        </w:tc>
        <w:tc>
          <w:tcPr>
            <w:tcW w:w="15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-1,027,368.00</w:t>
            </w:r>
          </w:p>
        </w:tc>
        <w:tc>
          <w:tcPr>
            <w:tcW w:w="1321" w:type="dxa"/>
            <w:vMerge w:val="restart"/>
            <w:tcBorders>
              <w:top w:val="single" w:sz="4" w:space="0" w:color="000000"/>
              <w:left w:val="single" w:sz="4" w:space="0" w:color="000000"/>
              <w:right w:val="single" w:sz="4" w:space="0" w:color="000000"/>
            </w:tcBorders>
          </w:tcPr>
          <w:p>
            <w:pPr/>
          </w:p>
        </w:tc>
        <w:tc>
          <w:tcPr>
            <w:tcW w:w="1481"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2,825,262.00</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、阳溢软件许可权</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22,087,817.76</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-5,521,954.44</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16,565,863.32</w:t>
            </w:r>
          </w:p>
        </w:tc>
      </w:tr>
      <w:tr>
        <w:trPr>
          <w:trHeight w:val="460"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、美食联通系统</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470"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ISMPOS AND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QIS</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431,315.73</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w w:val="95"/>
                <w:sz w:val="18"/>
              </w:rPr>
              <w:t>-128,254.01</w:t>
            </w:r>
            <w:r>
              <w:rPr>
                <w:rFonts w:ascii="Times New Roman"/>
                <w:sz w:val="18"/>
              </w:rPr>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7"/>
              <w:jc w:val="right"/>
              <w:rPr>
                <w:rFonts w:ascii="Times New Roman" w:hAnsi="Times New Roman" w:cs="Times New Roman" w:eastAsia="Times New Roman" w:hint="default"/>
                <w:sz w:val="18"/>
                <w:szCs w:val="18"/>
              </w:rPr>
            </w:pPr>
            <w:r>
              <w:rPr>
                <w:rFonts w:ascii="Times New Roman"/>
                <w:sz w:val="18"/>
              </w:rPr>
              <w:t>303,061.72</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Pos Master Ltd customer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Information</w:t>
            </w:r>
          </w:p>
        </w:tc>
        <w:tc>
          <w:tcPr>
            <w:tcW w:w="14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410,200.69</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5"/>
                <w:sz w:val="18"/>
              </w:rPr>
              <w:t>-121,975.35</w:t>
            </w:r>
            <w:r>
              <w:rPr>
                <w:rFonts w:ascii="Times New Roman"/>
                <w:sz w:val="18"/>
              </w:rPr>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z w:val="18"/>
              </w:rPr>
              <w:t>288,225.34</w:t>
            </w:r>
          </w:p>
        </w:tc>
      </w:tr>
      <w:tr>
        <w:trPr>
          <w:trHeight w:val="465" w:hRule="exact"/>
        </w:trPr>
        <w:tc>
          <w:tcPr>
            <w:tcW w:w="4009"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、土地使用权</w:t>
            </w:r>
          </w:p>
        </w:tc>
        <w:tc>
          <w:tcPr>
            <w:tcW w:w="1484" w:type="dxa"/>
            <w:tcBorders>
              <w:top w:val="nil" w:sz="6" w:space="0" w:color="auto"/>
              <w:left w:val="single" w:sz="4" w:space="0" w:color="000000"/>
              <w:bottom w:val="nil" w:sz="6" w:space="0" w:color="auto"/>
              <w:right w:val="single" w:sz="4" w:space="0" w:color="000000"/>
            </w:tcBorders>
          </w:tcPr>
          <w:p>
            <w:pP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2,943,913.28</w:t>
            </w:r>
          </w:p>
        </w:tc>
        <w:tc>
          <w:tcPr>
            <w:tcW w:w="1321" w:type="dxa"/>
            <w:vMerge/>
            <w:tcBorders>
              <w:left w:val="single" w:sz="4" w:space="0" w:color="000000"/>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2,943,913.28</w:t>
            </w:r>
          </w:p>
        </w:tc>
      </w:tr>
      <w:tr>
        <w:trPr>
          <w:trHeight w:val="356" w:hRule="exact"/>
        </w:trPr>
        <w:tc>
          <w:tcPr>
            <w:tcW w:w="4009"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、石基酒店分销在线处理平台</w:t>
            </w:r>
          </w:p>
        </w:tc>
        <w:tc>
          <w:tcPr>
            <w:tcW w:w="1484" w:type="dxa"/>
            <w:tcBorders>
              <w:top w:val="nil" w:sz="6" w:space="0" w:color="auto"/>
              <w:left w:val="single" w:sz="4" w:space="0" w:color="000000"/>
              <w:bottom w:val="single" w:sz="12" w:space="0" w:color="000000"/>
              <w:right w:val="single" w:sz="4" w:space="0" w:color="000000"/>
            </w:tcBorders>
          </w:tcPr>
          <w:p>
            <w:pPr/>
          </w:p>
        </w:tc>
        <w:tc>
          <w:tcPr>
            <w:tcW w:w="15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31,762,276.39</w:t>
            </w:r>
          </w:p>
        </w:tc>
        <w:tc>
          <w:tcPr>
            <w:tcW w:w="1321" w:type="dxa"/>
            <w:vMerge/>
            <w:tcBorders>
              <w:left w:val="single" w:sz="4" w:space="0" w:color="000000"/>
              <w:bottom w:val="single" w:sz="12" w:space="0" w:color="000000"/>
              <w:right w:val="single" w:sz="4" w:space="0" w:color="000000"/>
            </w:tcBorders>
          </w:tcPr>
          <w:p>
            <w:pPr/>
          </w:p>
        </w:tc>
        <w:tc>
          <w:tcPr>
            <w:tcW w:w="148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31,762,276.39</w:t>
            </w:r>
          </w:p>
        </w:tc>
      </w:tr>
    </w:tbl>
    <w:p>
      <w:pPr>
        <w:pStyle w:val="BodyText"/>
        <w:spacing w:line="240" w:lineRule="auto" w:before="83"/>
        <w:ind w:left="654" w:right="229"/>
        <w:jc w:val="left"/>
      </w:pPr>
      <w:r>
        <w:rPr/>
        <w:t>（</w:t>
      </w:r>
      <w:r>
        <w:rPr>
          <w:rFonts w:ascii="Times New Roman" w:hAnsi="Times New Roman" w:cs="Times New Roman" w:eastAsia="Times New Roman" w:hint="default"/>
        </w:rPr>
        <w:t>2</w:t>
      </w:r>
      <w:r>
        <w:rPr/>
        <w:t>）报告期末无形资产未减值，故未计提无形资产减值准备。</w:t>
      </w:r>
    </w:p>
    <w:p>
      <w:pPr>
        <w:pStyle w:val="BodyText"/>
        <w:spacing w:line="321" w:lineRule="auto" w:before="99"/>
        <w:ind w:left="233" w:right="229" w:firstLine="420"/>
        <w:jc w:val="left"/>
      </w:pPr>
      <w:r>
        <w:rPr>
          <w:spacing w:val="-1"/>
        </w:rPr>
        <w:t>（</w:t>
      </w:r>
      <w:r>
        <w:rPr>
          <w:rFonts w:ascii="Times New Roman" w:hAnsi="Times New Roman" w:cs="Times New Roman" w:eastAsia="Times New Roman" w:hint="default"/>
          <w:spacing w:val="-1"/>
        </w:rPr>
        <w:t>3</w:t>
      </w:r>
      <w:r>
        <w:rPr>
          <w:spacing w:val="-1"/>
        </w:rPr>
        <w:t>）无形资产</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日增长了</w:t>
      </w:r>
      <w:r>
        <w:rPr>
          <w:rFonts w:ascii="Times New Roman" w:hAnsi="Times New Roman" w:cs="Times New Roman" w:eastAsia="Times New Roman" w:hint="default"/>
          <w:spacing w:val="-1"/>
        </w:rPr>
        <w:t>57.82%</w:t>
      </w:r>
      <w:r>
        <w:rPr>
          <w:spacing w:val="-1"/>
        </w:rPr>
        <w:t>，主要系开发支出</w:t>
      </w:r>
      <w:r>
        <w:rPr>
          <w:rFonts w:ascii="Times New Roman" w:hAnsi="Times New Roman" w:cs="Times New Roman" w:eastAsia="Times New Roman" w:hint="default"/>
          <w:spacing w:val="-1"/>
        </w:rPr>
        <w:t>“</w:t>
      </w:r>
      <w:r>
        <w:rPr>
          <w:spacing w:val="-1"/>
        </w:rPr>
        <w:t>石基酒店分销在线</w:t>
      </w:r>
      <w:r>
        <w:rPr/>
        <w:t> 处理平台</w:t>
      </w:r>
      <w:r>
        <w:rPr>
          <w:rFonts w:ascii="Times New Roman" w:hAnsi="Times New Roman" w:cs="Times New Roman" w:eastAsia="Times New Roman" w:hint="default"/>
        </w:rPr>
        <w:t>”</w:t>
      </w:r>
      <w:r>
        <w:rPr/>
        <w:t>本年度研发完成转入无形资产所致。</w:t>
      </w:r>
    </w:p>
    <w:p>
      <w:pPr>
        <w:spacing w:line="240" w:lineRule="auto" w:before="5"/>
        <w:rPr>
          <w:rFonts w:ascii="宋体" w:hAnsi="宋体" w:cs="宋体" w:eastAsia="宋体" w:hint="default"/>
          <w:sz w:val="31"/>
          <w:szCs w:val="31"/>
        </w:rPr>
      </w:pPr>
    </w:p>
    <w:p>
      <w:pPr>
        <w:pStyle w:val="BodyText"/>
        <w:spacing w:line="240" w:lineRule="auto"/>
        <w:ind w:left="653" w:right="229"/>
        <w:jc w:val="left"/>
      </w:pPr>
      <w:r>
        <w:rPr>
          <w:rFonts w:ascii="Times New Roman" w:hAnsi="Times New Roman" w:cs="Times New Roman" w:eastAsia="Times New Roman" w:hint="default"/>
        </w:rPr>
        <w:t>16</w:t>
      </w:r>
      <w:r>
        <w:rPr/>
        <w:t>．开发支出</w:t>
      </w:r>
    </w:p>
    <w:tbl>
      <w:tblPr>
        <w:tblW w:w="0" w:type="auto"/>
        <w:jc w:val="left"/>
        <w:tblInd w:w="111" w:type="dxa"/>
        <w:tblLayout w:type="fixed"/>
        <w:tblCellMar>
          <w:top w:w="0" w:type="dxa"/>
          <w:left w:w="0" w:type="dxa"/>
          <w:bottom w:w="0" w:type="dxa"/>
          <w:right w:w="0" w:type="dxa"/>
        </w:tblCellMar>
        <w:tblLook w:val="01E0"/>
      </w:tblPr>
      <w:tblGrid>
        <w:gridCol w:w="2280"/>
        <w:gridCol w:w="1603"/>
        <w:gridCol w:w="1564"/>
        <w:gridCol w:w="1148"/>
        <w:gridCol w:w="1663"/>
        <w:gridCol w:w="1610"/>
      </w:tblGrid>
      <w:tr>
        <w:trPr>
          <w:trHeight w:val="410" w:hRule="exact"/>
        </w:trPr>
        <w:tc>
          <w:tcPr>
            <w:tcW w:w="228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0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12"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本年转出</w:t>
            </w:r>
          </w:p>
        </w:tc>
        <w:tc>
          <w:tcPr>
            <w:tcW w:w="1610"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790" w:hRule="exact"/>
        </w:trPr>
        <w:tc>
          <w:tcPr>
            <w:tcW w:w="2280" w:type="dxa"/>
            <w:vMerge/>
            <w:tcBorders>
              <w:left w:val="nil" w:sz="6" w:space="0" w:color="auto"/>
              <w:bottom w:val="single" w:sz="4" w:space="0" w:color="000000"/>
              <w:right w:val="single" w:sz="6" w:space="0" w:color="000000"/>
            </w:tcBorders>
          </w:tcPr>
          <w:p>
            <w:pPr/>
          </w:p>
        </w:tc>
        <w:tc>
          <w:tcPr>
            <w:tcW w:w="1603" w:type="dxa"/>
            <w:vMerge/>
            <w:tcBorders>
              <w:left w:val="single" w:sz="6" w:space="0" w:color="000000"/>
              <w:bottom w:val="single" w:sz="4" w:space="0" w:color="000000"/>
              <w:right w:val="single" w:sz="6" w:space="0" w:color="000000"/>
            </w:tcBorders>
          </w:tcPr>
          <w:p>
            <w:pPr/>
          </w:p>
        </w:tc>
        <w:tc>
          <w:tcPr>
            <w:tcW w:w="1564" w:type="dxa"/>
            <w:vMerge/>
            <w:tcBorders>
              <w:left w:val="single" w:sz="6" w:space="0" w:color="000000"/>
              <w:bottom w:val="single" w:sz="4" w:space="0" w:color="000000"/>
              <w:right w:val="single" w:sz="6" w:space="0" w:color="000000"/>
            </w:tcBorders>
          </w:tcPr>
          <w:p>
            <w:pPr/>
          </w:p>
        </w:tc>
        <w:tc>
          <w:tcPr>
            <w:tcW w:w="1148" w:type="dxa"/>
            <w:tcBorders>
              <w:top w:val="single" w:sz="4" w:space="0" w:color="000000"/>
              <w:left w:val="single" w:sz="6" w:space="0" w:color="000000"/>
              <w:bottom w:val="single" w:sz="4" w:space="0" w:color="000000"/>
              <w:right w:val="single" w:sz="6" w:space="0" w:color="000000"/>
            </w:tcBorders>
          </w:tcPr>
          <w:p>
            <w:pPr>
              <w:pStyle w:val="TableParagraph"/>
              <w:spacing w:line="390" w:lineRule="exact" w:before="25"/>
              <w:ind w:left="296" w:right="295"/>
              <w:jc w:val="left"/>
              <w:rPr>
                <w:rFonts w:ascii="宋体" w:hAnsi="宋体" w:cs="宋体" w:eastAsia="宋体" w:hint="default"/>
                <w:sz w:val="18"/>
                <w:szCs w:val="18"/>
              </w:rPr>
            </w:pPr>
            <w:r>
              <w:rPr>
                <w:rFonts w:ascii="宋体" w:hAnsi="宋体" w:cs="宋体" w:eastAsia="宋体" w:hint="default"/>
                <w:sz w:val="18"/>
                <w:szCs w:val="18"/>
              </w:rPr>
              <w:t>计入当 期损益</w:t>
            </w:r>
          </w:p>
        </w:tc>
        <w:tc>
          <w:tcPr>
            <w:tcW w:w="1663" w:type="dxa"/>
            <w:tcBorders>
              <w:top w:val="single" w:sz="4" w:space="0" w:color="000000"/>
              <w:left w:val="single" w:sz="6" w:space="0" w:color="000000"/>
              <w:bottom w:val="single" w:sz="4" w:space="0" w:color="000000"/>
              <w:right w:val="single" w:sz="6" w:space="0" w:color="000000"/>
            </w:tcBorders>
          </w:tcPr>
          <w:p>
            <w:pPr>
              <w:pStyle w:val="TableParagraph"/>
              <w:spacing w:line="390" w:lineRule="exact" w:before="25"/>
              <w:ind w:left="554" w:right="462" w:hanging="90"/>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610" w:type="dxa"/>
            <w:vMerge/>
            <w:tcBorders>
              <w:left w:val="single" w:sz="6" w:space="0" w:color="000000"/>
              <w:bottom w:val="single" w:sz="4" w:space="0" w:color="000000"/>
              <w:right w:val="nil" w:sz="6" w:space="0" w:color="auto"/>
            </w:tcBorders>
          </w:tcPr>
          <w:p>
            <w:pPr/>
          </w:p>
        </w:tc>
      </w:tr>
      <w:tr>
        <w:trPr>
          <w:trHeight w:val="862" w:hRule="exact"/>
        </w:trPr>
        <w:tc>
          <w:tcPr>
            <w:tcW w:w="2280" w:type="dxa"/>
            <w:tcBorders>
              <w:top w:val="single" w:sz="4" w:space="0" w:color="000000"/>
              <w:left w:val="nil" w:sz="6" w:space="0" w:color="auto"/>
              <w:bottom w:val="nil" w:sz="6" w:space="0" w:color="auto"/>
              <w:right w:val="single" w:sz="6" w:space="0" w:color="000000"/>
            </w:tcBorders>
          </w:tcPr>
          <w:p>
            <w:pPr>
              <w:pStyle w:val="TableParagraph"/>
              <w:spacing w:line="398" w:lineRule="auto" w:before="127"/>
              <w:ind w:left="122" w:right="168"/>
              <w:jc w:val="left"/>
              <w:rPr>
                <w:rFonts w:ascii="宋体" w:hAnsi="宋体" w:cs="宋体" w:eastAsia="宋体" w:hint="default"/>
                <w:sz w:val="18"/>
                <w:szCs w:val="18"/>
              </w:rPr>
            </w:pPr>
            <w:r>
              <w:rPr>
                <w:rFonts w:ascii="宋体" w:hAnsi="宋体" w:cs="宋体" w:eastAsia="宋体" w:hint="default"/>
                <w:sz w:val="18"/>
                <w:szCs w:val="18"/>
              </w:rPr>
              <w:t>石基酒店分销在线处理平 台</w:t>
            </w:r>
          </w:p>
        </w:tc>
        <w:tc>
          <w:tcPr>
            <w:tcW w:w="1603" w:type="dxa"/>
            <w:vMerge w:val="restart"/>
            <w:tcBorders>
              <w:top w:val="single" w:sz="4"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35,291,418.19</w:t>
            </w:r>
          </w:p>
        </w:tc>
        <w:tc>
          <w:tcPr>
            <w:tcW w:w="1564" w:type="dxa"/>
            <w:tcBorders>
              <w:top w:val="single" w:sz="4" w:space="0" w:color="000000"/>
              <w:left w:val="single" w:sz="6" w:space="0" w:color="000000"/>
              <w:bottom w:val="nil" w:sz="6" w:space="0" w:color="auto"/>
              <w:right w:val="single" w:sz="6" w:space="0" w:color="000000"/>
            </w:tcBorders>
          </w:tcPr>
          <w:p>
            <w:pPr/>
          </w:p>
        </w:tc>
        <w:tc>
          <w:tcPr>
            <w:tcW w:w="1148" w:type="dxa"/>
            <w:vMerge w:val="restart"/>
            <w:tcBorders>
              <w:top w:val="single" w:sz="4" w:space="0" w:color="000000"/>
              <w:left w:val="single" w:sz="6" w:space="0" w:color="000000"/>
              <w:right w:val="single" w:sz="6" w:space="0" w:color="000000"/>
            </w:tcBorders>
          </w:tcPr>
          <w:p>
            <w:pPr/>
          </w:p>
        </w:tc>
        <w:tc>
          <w:tcPr>
            <w:tcW w:w="1663" w:type="dxa"/>
            <w:vMerge w:val="restart"/>
            <w:tcBorders>
              <w:top w:val="single" w:sz="4"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35,291,418.19</w:t>
            </w:r>
          </w:p>
        </w:tc>
        <w:tc>
          <w:tcPr>
            <w:tcW w:w="1610" w:type="dxa"/>
            <w:tcBorders>
              <w:top w:val="single" w:sz="4" w:space="0" w:color="000000"/>
              <w:left w:val="single" w:sz="6" w:space="0" w:color="000000"/>
              <w:bottom w:val="nil" w:sz="6" w:space="0" w:color="auto"/>
              <w:right w:val="nil" w:sz="6" w:space="0" w:color="auto"/>
            </w:tcBorders>
          </w:tcPr>
          <w:p>
            <w:pPr/>
          </w:p>
        </w:tc>
      </w:tr>
      <w:tr>
        <w:trPr>
          <w:trHeight w:val="785" w:hRule="exact"/>
        </w:trPr>
        <w:tc>
          <w:tcPr>
            <w:tcW w:w="2280" w:type="dxa"/>
            <w:tcBorders>
              <w:top w:val="nil" w:sz="6" w:space="0" w:color="auto"/>
              <w:left w:val="nil" w:sz="6" w:space="0" w:color="auto"/>
              <w:bottom w:val="nil" w:sz="6" w:space="0" w:color="auto"/>
              <w:right w:val="single" w:sz="6" w:space="0" w:color="000000"/>
            </w:tcBorders>
          </w:tcPr>
          <w:p>
            <w:pPr>
              <w:pStyle w:val="TableParagraph"/>
              <w:spacing w:line="376" w:lineRule="auto" w:before="49"/>
              <w:ind w:left="122" w:right="8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Sinfonia</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酒店前台管理系</w:t>
            </w:r>
            <w:r>
              <w:rPr>
                <w:rFonts w:ascii="宋体" w:hAnsi="宋体" w:cs="宋体" w:eastAsia="宋体" w:hint="default"/>
                <w:spacing w:val="13"/>
                <w:w w:val="99"/>
                <w:sz w:val="18"/>
                <w:szCs w:val="18"/>
              </w:rPr>
              <w:t> </w:t>
            </w:r>
            <w:r>
              <w:rPr>
                <w:rFonts w:ascii="宋体" w:hAnsi="宋体" w:cs="宋体" w:eastAsia="宋体" w:hint="default"/>
                <w:sz w:val="18"/>
                <w:szCs w:val="18"/>
              </w:rPr>
              <w:t>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V1.0.1707.sp3</w:t>
            </w:r>
          </w:p>
        </w:tc>
        <w:tc>
          <w:tcPr>
            <w:tcW w:w="1603" w:type="dxa"/>
            <w:vMerge/>
            <w:tcBorders>
              <w:left w:val="single" w:sz="6" w:space="0" w:color="000000"/>
              <w:right w:val="single" w:sz="6" w:space="0" w:color="000000"/>
            </w:tcBorders>
          </w:tcPr>
          <w:p>
            <w:pPr/>
          </w:p>
        </w:tc>
        <w:tc>
          <w:tcPr>
            <w:tcW w:w="15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pacing w:val="-1"/>
                <w:sz w:val="18"/>
              </w:rPr>
              <w:t>2,824,821.95</w:t>
            </w:r>
          </w:p>
        </w:tc>
        <w:tc>
          <w:tcPr>
            <w:tcW w:w="1148" w:type="dxa"/>
            <w:vMerge/>
            <w:tcBorders>
              <w:left w:val="single" w:sz="6" w:space="0" w:color="000000"/>
              <w:right w:val="single" w:sz="6" w:space="0" w:color="000000"/>
            </w:tcBorders>
          </w:tcPr>
          <w:p>
            <w:pPr/>
          </w:p>
        </w:tc>
        <w:tc>
          <w:tcPr>
            <w:tcW w:w="1663" w:type="dxa"/>
            <w:vMerge/>
            <w:tcBorders>
              <w:left w:val="single" w:sz="6" w:space="0" w:color="000000"/>
              <w:right w:val="single" w:sz="6" w:space="0" w:color="000000"/>
            </w:tcBorders>
          </w:tcPr>
          <w:p>
            <w:pPr/>
          </w:p>
        </w:tc>
        <w:tc>
          <w:tcPr>
            <w:tcW w:w="1610" w:type="dxa"/>
            <w:tcBorders>
              <w:top w:val="nil" w:sz="6" w:space="0" w:color="auto"/>
              <w:left w:val="single" w:sz="6"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2,824,821.95</w:t>
            </w:r>
          </w:p>
        </w:tc>
      </w:tr>
      <w:tr>
        <w:trPr>
          <w:trHeight w:val="780" w:hRule="exact"/>
        </w:trPr>
        <w:tc>
          <w:tcPr>
            <w:tcW w:w="228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pacing w:val="24"/>
                <w:sz w:val="18"/>
                <w:szCs w:val="18"/>
              </w:rPr>
              <w:t>银行卡收单一体化系统</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40" w:lineRule="auto" w:before="154"/>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PGS</w:t>
            </w:r>
            <w:r>
              <w:rPr>
                <w:rFonts w:ascii="宋体" w:hAnsi="宋体" w:cs="宋体" w:eastAsia="宋体" w:hint="default"/>
                <w:sz w:val="18"/>
                <w:szCs w:val="18"/>
              </w:rPr>
              <w:t>）</w:t>
            </w:r>
            <w:r>
              <w:rPr>
                <w:rFonts w:ascii="Times New Roman" w:hAnsi="Times New Roman" w:cs="Times New Roman" w:eastAsia="Times New Roman" w:hint="default"/>
                <w:sz w:val="18"/>
                <w:szCs w:val="18"/>
              </w:rPr>
              <w:t>V2.8</w:t>
            </w:r>
          </w:p>
        </w:tc>
        <w:tc>
          <w:tcPr>
            <w:tcW w:w="1603" w:type="dxa"/>
            <w:vMerge/>
            <w:tcBorders>
              <w:left w:val="single" w:sz="6" w:space="0" w:color="000000"/>
              <w:right w:val="single" w:sz="6" w:space="0" w:color="000000"/>
            </w:tcBorders>
          </w:tcPr>
          <w:p>
            <w:pPr/>
          </w:p>
        </w:tc>
        <w:tc>
          <w:tcPr>
            <w:tcW w:w="1564"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605,510.09</w:t>
            </w:r>
          </w:p>
        </w:tc>
        <w:tc>
          <w:tcPr>
            <w:tcW w:w="1148" w:type="dxa"/>
            <w:vMerge/>
            <w:tcBorders>
              <w:left w:val="single" w:sz="6" w:space="0" w:color="000000"/>
              <w:right w:val="single" w:sz="6" w:space="0" w:color="000000"/>
            </w:tcBorders>
          </w:tcPr>
          <w:p>
            <w:pPr/>
          </w:p>
        </w:tc>
        <w:tc>
          <w:tcPr>
            <w:tcW w:w="1663" w:type="dxa"/>
            <w:vMerge/>
            <w:tcBorders>
              <w:left w:val="single" w:sz="6" w:space="0" w:color="000000"/>
              <w:right w:val="single" w:sz="6" w:space="0" w:color="000000"/>
            </w:tcBorders>
          </w:tcPr>
          <w:p>
            <w:pPr/>
          </w:p>
        </w:tc>
        <w:tc>
          <w:tcPr>
            <w:tcW w:w="1610"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605,510.09</w:t>
            </w:r>
          </w:p>
        </w:tc>
      </w:tr>
      <w:tr>
        <w:trPr>
          <w:trHeight w:val="775" w:hRule="exact"/>
        </w:trPr>
        <w:tc>
          <w:tcPr>
            <w:tcW w:w="2280" w:type="dxa"/>
            <w:tcBorders>
              <w:top w:val="nil" w:sz="6" w:space="0" w:color="auto"/>
              <w:left w:val="nil" w:sz="6" w:space="0" w:color="auto"/>
              <w:bottom w:val="nil" w:sz="6" w:space="0" w:color="auto"/>
              <w:right w:val="single" w:sz="6" w:space="0" w:color="000000"/>
            </w:tcBorders>
          </w:tcPr>
          <w:p>
            <w:pPr>
              <w:pStyle w:val="TableParagraph"/>
              <w:spacing w:line="398" w:lineRule="auto" w:before="44"/>
              <w:ind w:left="122" w:right="91"/>
              <w:jc w:val="left"/>
              <w:rPr>
                <w:rFonts w:ascii="宋体" w:hAnsi="宋体" w:cs="宋体" w:eastAsia="宋体" w:hint="default"/>
                <w:sz w:val="18"/>
                <w:szCs w:val="18"/>
              </w:rPr>
            </w:pPr>
            <w:r>
              <w:rPr>
                <w:rFonts w:ascii="宋体" w:hAnsi="宋体" w:cs="宋体" w:eastAsia="宋体" w:hint="default"/>
                <w:spacing w:val="6"/>
                <w:sz w:val="18"/>
                <w:szCs w:val="18"/>
              </w:rPr>
              <w:t>石基酒店售后服务支持系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w:t>
            </w:r>
          </w:p>
        </w:tc>
        <w:tc>
          <w:tcPr>
            <w:tcW w:w="1603" w:type="dxa"/>
            <w:vMerge/>
            <w:tcBorders>
              <w:left w:val="single" w:sz="6" w:space="0" w:color="000000"/>
              <w:right w:val="single" w:sz="6" w:space="0" w:color="000000"/>
            </w:tcBorders>
          </w:tcPr>
          <w:p>
            <w:pPr/>
          </w:p>
        </w:tc>
        <w:tc>
          <w:tcPr>
            <w:tcW w:w="1564"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284,595.51</w:t>
            </w:r>
          </w:p>
        </w:tc>
        <w:tc>
          <w:tcPr>
            <w:tcW w:w="1148" w:type="dxa"/>
            <w:vMerge/>
            <w:tcBorders>
              <w:left w:val="single" w:sz="6" w:space="0" w:color="000000"/>
              <w:right w:val="single" w:sz="6" w:space="0" w:color="000000"/>
            </w:tcBorders>
          </w:tcPr>
          <w:p>
            <w:pPr/>
          </w:p>
        </w:tc>
        <w:tc>
          <w:tcPr>
            <w:tcW w:w="1663" w:type="dxa"/>
            <w:vMerge/>
            <w:tcBorders>
              <w:left w:val="single" w:sz="6" w:space="0" w:color="000000"/>
              <w:right w:val="single" w:sz="6" w:space="0" w:color="000000"/>
            </w:tcBorders>
          </w:tcPr>
          <w:p>
            <w:pPr/>
          </w:p>
        </w:tc>
        <w:tc>
          <w:tcPr>
            <w:tcW w:w="1610"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284,595.51</w:t>
            </w:r>
          </w:p>
        </w:tc>
      </w:tr>
      <w:tr>
        <w:trPr>
          <w:trHeight w:val="707" w:hRule="exact"/>
        </w:trPr>
        <w:tc>
          <w:tcPr>
            <w:tcW w:w="2280" w:type="dxa"/>
            <w:tcBorders>
              <w:top w:val="nil" w:sz="6" w:space="0" w:color="auto"/>
              <w:left w:val="nil" w:sz="6" w:space="0" w:color="auto"/>
              <w:bottom w:val="single" w:sz="4"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Pastoral</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酒店前台管理系统</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V1.0</w:t>
            </w:r>
          </w:p>
        </w:tc>
        <w:tc>
          <w:tcPr>
            <w:tcW w:w="1603" w:type="dxa"/>
            <w:vMerge/>
            <w:tcBorders>
              <w:left w:val="single" w:sz="6" w:space="0" w:color="000000"/>
              <w:bottom w:val="single" w:sz="4" w:space="0" w:color="000000"/>
              <w:right w:val="single" w:sz="6" w:space="0" w:color="000000"/>
            </w:tcBorders>
          </w:tcPr>
          <w:p>
            <w:pPr/>
          </w:p>
        </w:tc>
        <w:tc>
          <w:tcPr>
            <w:tcW w:w="1564"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1"/>
              <w:ind w:right="97"/>
              <w:jc w:val="right"/>
              <w:rPr>
                <w:rFonts w:ascii="Times New Roman" w:hAnsi="Times New Roman" w:cs="Times New Roman" w:eastAsia="Times New Roman" w:hint="default"/>
                <w:sz w:val="18"/>
                <w:szCs w:val="18"/>
              </w:rPr>
            </w:pPr>
            <w:r>
              <w:rPr>
                <w:rFonts w:ascii="Times New Roman"/>
                <w:sz w:val="18"/>
              </w:rPr>
              <w:t>155,883.46</w:t>
            </w:r>
          </w:p>
        </w:tc>
        <w:tc>
          <w:tcPr>
            <w:tcW w:w="1148" w:type="dxa"/>
            <w:vMerge/>
            <w:tcBorders>
              <w:left w:val="single" w:sz="6" w:space="0" w:color="000000"/>
              <w:bottom w:val="single" w:sz="4" w:space="0" w:color="000000"/>
              <w:right w:val="single" w:sz="6" w:space="0" w:color="000000"/>
            </w:tcBorders>
          </w:tcPr>
          <w:p>
            <w:pPr/>
          </w:p>
        </w:tc>
        <w:tc>
          <w:tcPr>
            <w:tcW w:w="1663" w:type="dxa"/>
            <w:vMerge/>
            <w:tcBorders>
              <w:left w:val="single" w:sz="6" w:space="0" w:color="000000"/>
              <w:bottom w:val="single" w:sz="4" w:space="0" w:color="000000"/>
              <w:right w:val="single" w:sz="6" w:space="0" w:color="000000"/>
            </w:tcBorders>
          </w:tcPr>
          <w:p>
            <w:pPr/>
          </w:p>
        </w:tc>
        <w:tc>
          <w:tcPr>
            <w:tcW w:w="1610" w:type="dxa"/>
            <w:tcBorders>
              <w:top w:val="nil" w:sz="6" w:space="0" w:color="auto"/>
              <w:left w:val="single" w:sz="6" w:space="0" w:color="000000"/>
              <w:bottom w:val="single" w:sz="4" w:space="0" w:color="000000"/>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155,883.46</w:t>
            </w:r>
          </w:p>
        </w:tc>
      </w:tr>
      <w:tr>
        <w:trPr>
          <w:trHeight w:val="411" w:hRule="exact"/>
        </w:trPr>
        <w:tc>
          <w:tcPr>
            <w:tcW w:w="2280" w:type="dxa"/>
            <w:tcBorders>
              <w:top w:val="single" w:sz="4" w:space="0" w:color="000000"/>
              <w:left w:val="nil" w:sz="6" w:space="0" w:color="auto"/>
              <w:bottom w:val="single" w:sz="12" w:space="0" w:color="000000"/>
              <w:right w:val="single" w:sz="6" w:space="0" w:color="000000"/>
            </w:tcBorders>
          </w:tcPr>
          <w:p>
            <w:pPr>
              <w:pStyle w:val="TableParagraph"/>
              <w:tabs>
                <w:tab w:pos="1371" w:val="left" w:leader="none"/>
              </w:tabs>
              <w:spacing w:line="240" w:lineRule="auto" w:before="128"/>
              <w:ind w:left="7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0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35,291,418.19</w:t>
            </w:r>
          </w:p>
        </w:tc>
        <w:tc>
          <w:tcPr>
            <w:tcW w:w="156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3,870,811.01</w:t>
            </w:r>
          </w:p>
        </w:tc>
        <w:tc>
          <w:tcPr>
            <w:tcW w:w="1148" w:type="dxa"/>
            <w:tcBorders>
              <w:top w:val="single" w:sz="4" w:space="0" w:color="000000"/>
              <w:left w:val="single" w:sz="6" w:space="0" w:color="000000"/>
              <w:bottom w:val="single" w:sz="12" w:space="0" w:color="000000"/>
              <w:right w:val="single" w:sz="6" w:space="0" w:color="000000"/>
            </w:tcBorders>
          </w:tcPr>
          <w:p>
            <w:pPr/>
          </w:p>
        </w:tc>
        <w:tc>
          <w:tcPr>
            <w:tcW w:w="166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35,291,418.19</w:t>
            </w:r>
          </w:p>
        </w:tc>
        <w:tc>
          <w:tcPr>
            <w:tcW w:w="161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3,870,811.01</w:t>
            </w:r>
          </w:p>
        </w:tc>
      </w:tr>
    </w:tbl>
    <w:p>
      <w:pPr>
        <w:spacing w:line="240" w:lineRule="auto" w:before="12"/>
        <w:rPr>
          <w:rFonts w:ascii="宋体" w:hAnsi="宋体" w:cs="宋体" w:eastAsia="宋体" w:hint="default"/>
          <w:sz w:val="4"/>
          <w:szCs w:val="4"/>
        </w:rPr>
      </w:pPr>
    </w:p>
    <w:p>
      <w:pPr>
        <w:pStyle w:val="BodyText"/>
        <w:spacing w:line="321" w:lineRule="auto" w:before="35"/>
        <w:ind w:left="654" w:right="229"/>
        <w:jc w:val="left"/>
      </w:pPr>
      <w:r>
        <w:rPr/>
        <w:t>注</w:t>
      </w:r>
      <w:r>
        <w:rPr>
          <w:spacing w:val="-54"/>
        </w:rPr>
        <w:t> </w:t>
      </w:r>
      <w:r>
        <w:rPr>
          <w:rFonts w:ascii="Times New Roman" w:hAnsi="Times New Roman" w:cs="Times New Roman" w:eastAsia="Times New Roman" w:hint="default"/>
        </w:rPr>
        <w:t>1</w:t>
      </w:r>
      <w:r>
        <w:rPr/>
        <w:t>、本期开发支出占本期研究开发项目支出总额的比例为</w:t>
      </w:r>
      <w:r>
        <w:rPr>
          <w:spacing w:val="-54"/>
        </w:rPr>
        <w:t> </w:t>
      </w:r>
      <w:r>
        <w:rPr>
          <w:rFonts w:ascii="Times New Roman" w:hAnsi="Times New Roman" w:cs="Times New Roman" w:eastAsia="Times New Roman" w:hint="default"/>
        </w:rPr>
        <w:t>100.00%</w:t>
      </w:r>
      <w:r>
        <w:rPr/>
        <w:t>。 注</w:t>
      </w:r>
      <w:r>
        <w:rPr>
          <w:rFonts w:ascii="Times New Roman" w:hAnsi="Times New Roman" w:cs="Times New Roman" w:eastAsia="Times New Roman" w:hint="default"/>
        </w:rPr>
        <w:t>2</w:t>
      </w:r>
      <w:r>
        <w:rPr/>
        <w:t>、通过公司内部研发形成的无形资产占无形资产期末账面价值的比例为</w:t>
      </w:r>
      <w:r>
        <w:rPr>
          <w:rFonts w:ascii="Times New Roman" w:hAnsi="Times New Roman" w:cs="Times New Roman" w:eastAsia="Times New Roman" w:hint="default"/>
        </w:rPr>
        <w:t>50.26%</w:t>
      </w:r>
      <w:r>
        <w:rPr/>
        <w:t>。 </w:t>
      </w:r>
      <w:r>
        <w:rPr>
          <w:spacing w:val="-1"/>
        </w:rPr>
        <w:t>注</w:t>
      </w:r>
      <w:r>
        <w:rPr>
          <w:rFonts w:ascii="Times New Roman" w:hAnsi="Times New Roman" w:cs="Times New Roman" w:eastAsia="Times New Roman" w:hint="default"/>
          <w:spacing w:val="-1"/>
        </w:rPr>
        <w:t>3</w:t>
      </w:r>
      <w:r>
        <w:rPr>
          <w:spacing w:val="-1"/>
        </w:rPr>
        <w:t>、开发支出</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日比</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日下降了</w:t>
      </w:r>
      <w:r>
        <w:rPr>
          <w:rFonts w:ascii="Times New Roman" w:hAnsi="Times New Roman" w:cs="Times New Roman" w:eastAsia="Times New Roman" w:hint="default"/>
          <w:spacing w:val="-1"/>
        </w:rPr>
        <w:t>89.03%</w:t>
      </w:r>
      <w:r>
        <w:rPr>
          <w:spacing w:val="-1"/>
        </w:rPr>
        <w:t>，主要系开发支出</w:t>
      </w:r>
      <w:r>
        <w:rPr>
          <w:rFonts w:ascii="Times New Roman" w:hAnsi="Times New Roman" w:cs="Times New Roman" w:eastAsia="Times New Roman" w:hint="default"/>
          <w:spacing w:val="-1"/>
        </w:rPr>
        <w:t>“</w:t>
      </w:r>
      <w:r>
        <w:rPr>
          <w:spacing w:val="-1"/>
        </w:rPr>
        <w:t>石基酒店分销在线</w:t>
      </w:r>
    </w:p>
    <w:p>
      <w:pPr>
        <w:pStyle w:val="BodyText"/>
        <w:spacing w:line="240" w:lineRule="auto" w:before="20"/>
        <w:ind w:left="233" w:right="229"/>
        <w:jc w:val="left"/>
      </w:pPr>
      <w:r>
        <w:rPr/>
        <w:t>处理平台</w:t>
      </w:r>
      <w:r>
        <w:rPr>
          <w:rFonts w:ascii="Times New Roman" w:hAnsi="Times New Roman" w:cs="Times New Roman" w:eastAsia="Times New Roman" w:hint="default"/>
        </w:rPr>
        <w:t>”</w:t>
      </w:r>
      <w:r>
        <w:rPr/>
        <w:t>本年度研发完成转入无形资产所致。</w:t>
      </w:r>
    </w:p>
    <w:p>
      <w:pPr>
        <w:pStyle w:val="BodyText"/>
        <w:spacing w:line="240" w:lineRule="auto" w:before="159"/>
        <w:ind w:left="653" w:right="229"/>
        <w:jc w:val="left"/>
      </w:pPr>
      <w:r>
        <w:rPr>
          <w:rFonts w:ascii="Times New Roman" w:hAnsi="Times New Roman" w:cs="Times New Roman" w:eastAsia="Times New Roman" w:hint="default"/>
        </w:rPr>
        <w:t>17</w:t>
      </w:r>
      <w:r>
        <w:rPr/>
        <w:t>．商誉</w:t>
      </w:r>
    </w:p>
    <w:tbl>
      <w:tblPr>
        <w:tblW w:w="0" w:type="auto"/>
        <w:jc w:val="left"/>
        <w:tblInd w:w="106" w:type="dxa"/>
        <w:tblLayout w:type="fixed"/>
        <w:tblCellMar>
          <w:top w:w="0" w:type="dxa"/>
          <w:left w:w="0" w:type="dxa"/>
          <w:bottom w:w="0" w:type="dxa"/>
          <w:right w:w="0" w:type="dxa"/>
        </w:tblCellMar>
        <w:tblLook w:val="01E0"/>
      </w:tblPr>
      <w:tblGrid>
        <w:gridCol w:w="2322"/>
        <w:gridCol w:w="1720"/>
        <w:gridCol w:w="1648"/>
        <w:gridCol w:w="1320"/>
        <w:gridCol w:w="1874"/>
        <w:gridCol w:w="985"/>
      </w:tblGrid>
      <w:tr>
        <w:trPr>
          <w:trHeight w:val="920" w:hRule="exact"/>
        </w:trPr>
        <w:tc>
          <w:tcPr>
            <w:tcW w:w="232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8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985" w:type="dxa"/>
            <w:tcBorders>
              <w:top w:val="single" w:sz="12" w:space="0" w:color="000000"/>
              <w:left w:val="single" w:sz="4" w:space="0" w:color="000000"/>
              <w:bottom w:val="single" w:sz="4" w:space="0" w:color="000000"/>
              <w:right w:val="nil" w:sz="6" w:space="0" w:color="auto"/>
            </w:tcBorders>
          </w:tcPr>
          <w:p>
            <w:pPr>
              <w:pStyle w:val="TableParagraph"/>
              <w:spacing w:line="450" w:lineRule="exact" w:before="37"/>
              <w:ind w:left="307" w:right="131" w:hanging="180"/>
              <w:jc w:val="left"/>
              <w:rPr>
                <w:rFonts w:ascii="宋体" w:hAnsi="宋体" w:cs="宋体" w:eastAsia="宋体" w:hint="default"/>
                <w:sz w:val="18"/>
                <w:szCs w:val="18"/>
              </w:rPr>
            </w:pPr>
            <w:r>
              <w:rPr>
                <w:rFonts w:ascii="宋体" w:hAnsi="宋体" w:cs="宋体" w:eastAsia="宋体" w:hint="default"/>
                <w:sz w:val="18"/>
                <w:szCs w:val="18"/>
              </w:rPr>
              <w:t>期末减值 准备</w:t>
            </w:r>
          </w:p>
        </w:tc>
      </w:tr>
    </w:tbl>
    <w:p>
      <w:pPr>
        <w:spacing w:after="0" w:line="450" w:lineRule="exact"/>
        <w:jc w:val="left"/>
        <w:rPr>
          <w:rFonts w:ascii="宋体" w:hAnsi="宋体" w:cs="宋体" w:eastAsia="宋体" w:hint="default"/>
          <w:sz w:val="18"/>
          <w:szCs w:val="18"/>
        </w:rPr>
        <w:sectPr>
          <w:pgSz w:w="11910" w:h="16840"/>
          <w:pgMar w:header="851" w:footer="982" w:top="1200" w:bottom="1180" w:left="900" w:right="900"/>
        </w:sectPr>
      </w:pP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322"/>
        <w:gridCol w:w="1720"/>
        <w:gridCol w:w="1648"/>
        <w:gridCol w:w="1320"/>
        <w:gridCol w:w="1874"/>
        <w:gridCol w:w="985"/>
      </w:tblGrid>
      <w:tr>
        <w:trPr>
          <w:trHeight w:val="599" w:hRule="exact"/>
        </w:trPr>
        <w:tc>
          <w:tcPr>
            <w:tcW w:w="2322" w:type="dxa"/>
            <w:tcBorders>
              <w:top w:val="single" w:sz="18"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720" w:type="dxa"/>
            <w:tcBorders>
              <w:top w:val="single" w:sz="18"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41,079,739.22</w:t>
            </w:r>
          </w:p>
        </w:tc>
        <w:tc>
          <w:tcPr>
            <w:tcW w:w="1648" w:type="dxa"/>
            <w:vMerge w:val="restart"/>
            <w:tcBorders>
              <w:top w:val="single" w:sz="1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47,742,187.30</w:t>
            </w:r>
          </w:p>
        </w:tc>
        <w:tc>
          <w:tcPr>
            <w:tcW w:w="1320" w:type="dxa"/>
            <w:vMerge w:val="restart"/>
            <w:tcBorders>
              <w:top w:val="single" w:sz="1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674,856.35</w:t>
            </w:r>
          </w:p>
        </w:tc>
        <w:tc>
          <w:tcPr>
            <w:tcW w:w="1874" w:type="dxa"/>
            <w:tcBorders>
              <w:top w:val="single" w:sz="18"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41,079,739.22</w:t>
            </w:r>
          </w:p>
        </w:tc>
        <w:tc>
          <w:tcPr>
            <w:tcW w:w="985" w:type="dxa"/>
            <w:vMerge w:val="restart"/>
            <w:tcBorders>
              <w:top w:val="single" w:sz="18" w:space="0" w:color="000000"/>
              <w:left w:val="single" w:sz="4" w:space="0" w:color="000000"/>
              <w:right w:val="nil" w:sz="6" w:space="0" w:color="auto"/>
            </w:tcBorders>
          </w:tcPr>
          <w:p>
            <w:pPr/>
          </w:p>
        </w:tc>
      </w:tr>
      <w:tr>
        <w:trPr>
          <w:trHeight w:val="440" w:hRule="exact"/>
        </w:trPr>
        <w:tc>
          <w:tcPr>
            <w:tcW w:w="2322"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5"/>
                <w:sz w:val="18"/>
              </w:rPr>
              <w:t> </w:t>
            </w:r>
            <w:r>
              <w:rPr>
                <w:rFonts w:ascii="Times New Roman"/>
                <w:sz w:val="18"/>
              </w:rPr>
              <w:t>Ltd</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20,087,813.10</w:t>
            </w:r>
          </w:p>
        </w:tc>
        <w:tc>
          <w:tcPr>
            <w:tcW w:w="1648" w:type="dxa"/>
            <w:vMerge/>
            <w:tcBorders>
              <w:left w:val="single" w:sz="4" w:space="0" w:color="000000"/>
              <w:right w:val="single" w:sz="4" w:space="0" w:color="000000"/>
            </w:tcBorders>
          </w:tcPr>
          <w:p>
            <w:pPr/>
          </w:p>
        </w:tc>
        <w:tc>
          <w:tcPr>
            <w:tcW w:w="1320" w:type="dxa"/>
            <w:vMerge/>
            <w:tcBorders>
              <w:left w:val="single" w:sz="4" w:space="0" w:color="000000"/>
              <w:right w:val="single" w:sz="4" w:space="0" w:color="000000"/>
            </w:tcBorders>
          </w:tcPr>
          <w:p>
            <w:pPr/>
          </w:p>
        </w:tc>
        <w:tc>
          <w:tcPr>
            <w:tcW w:w="18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19,412,956.75</w:t>
            </w:r>
          </w:p>
        </w:tc>
        <w:tc>
          <w:tcPr>
            <w:tcW w:w="985" w:type="dxa"/>
            <w:vMerge/>
            <w:tcBorders>
              <w:left w:val="single" w:sz="4" w:space="0" w:color="000000"/>
              <w:right w:val="nil" w:sz="6" w:space="0" w:color="auto"/>
            </w:tcBorders>
          </w:tcPr>
          <w:p>
            <w:pPr/>
          </w:p>
        </w:tc>
      </w:tr>
      <w:tr>
        <w:trPr>
          <w:trHeight w:val="788" w:hRule="exact"/>
        </w:trPr>
        <w:tc>
          <w:tcPr>
            <w:tcW w:w="2322" w:type="dxa"/>
            <w:tcBorders>
              <w:top w:val="nil" w:sz="6" w:space="0" w:color="auto"/>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20" w:type="dxa"/>
            <w:tcBorders>
              <w:top w:val="nil" w:sz="6" w:space="0" w:color="auto"/>
              <w:left w:val="single" w:sz="4" w:space="0" w:color="000000"/>
              <w:bottom w:val="single" w:sz="4" w:space="0" w:color="000000"/>
              <w:right w:val="single" w:sz="4" w:space="0" w:color="000000"/>
            </w:tcBorders>
          </w:tcPr>
          <w:p>
            <w:pPr/>
          </w:p>
        </w:tc>
        <w:tc>
          <w:tcPr>
            <w:tcW w:w="1648"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8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47,742,187.30</w:t>
            </w:r>
          </w:p>
        </w:tc>
        <w:tc>
          <w:tcPr>
            <w:tcW w:w="985" w:type="dxa"/>
            <w:vMerge/>
            <w:tcBorders>
              <w:left w:val="single" w:sz="4" w:space="0" w:color="000000"/>
              <w:bottom w:val="single" w:sz="4" w:space="0" w:color="000000"/>
              <w:right w:val="nil" w:sz="6" w:space="0" w:color="auto"/>
            </w:tcBorders>
          </w:tcPr>
          <w:p>
            <w:pPr/>
          </w:p>
        </w:tc>
      </w:tr>
      <w:tr>
        <w:trPr>
          <w:trHeight w:val="470" w:hRule="exact"/>
        </w:trPr>
        <w:tc>
          <w:tcPr>
            <w:tcW w:w="23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61,167,552.32</w:t>
            </w:r>
          </w:p>
        </w:tc>
        <w:tc>
          <w:tcPr>
            <w:tcW w:w="16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47,742,187.30</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674,856.35</w:t>
            </w:r>
          </w:p>
        </w:tc>
        <w:tc>
          <w:tcPr>
            <w:tcW w:w="18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108,234,883.27</w:t>
            </w:r>
          </w:p>
        </w:tc>
        <w:tc>
          <w:tcPr>
            <w:tcW w:w="98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8"/>
          <w:szCs w:val="8"/>
        </w:rPr>
      </w:pPr>
    </w:p>
    <w:p>
      <w:pPr>
        <w:pStyle w:val="BodyText"/>
        <w:spacing w:line="240" w:lineRule="auto" w:before="35"/>
        <w:ind w:left="674" w:right="210"/>
        <w:jc w:val="left"/>
      </w:pPr>
      <w:r>
        <w:rPr/>
        <w:t>注：（</w:t>
      </w:r>
      <w:r>
        <w:rPr>
          <w:rFonts w:ascii="Times New Roman" w:hAnsi="Times New Roman" w:cs="Times New Roman" w:eastAsia="Times New Roman" w:hint="default"/>
        </w:rPr>
        <w:t>1</w:t>
      </w:r>
      <w:r>
        <w:rPr/>
        <w:t>）商誉本期减少额系港币汇率变动导致的外币报表折算差额所致。</w:t>
      </w:r>
    </w:p>
    <w:p>
      <w:pPr>
        <w:pStyle w:val="BodyText"/>
        <w:spacing w:line="372" w:lineRule="auto" w:before="159"/>
        <w:ind w:left="254" w:right="210" w:firstLine="840"/>
        <w:jc w:val="left"/>
      </w:pPr>
      <w:r>
        <w:rPr>
          <w:spacing w:val="-2"/>
        </w:rPr>
        <w:t>（</w:t>
      </w:r>
      <w:r>
        <w:rPr>
          <w:rFonts w:ascii="Times New Roman" w:hAnsi="Times New Roman" w:cs="Times New Roman" w:eastAsia="Times New Roman" w:hint="default"/>
          <w:spacing w:val="-2"/>
        </w:rPr>
        <w:t>2</w:t>
      </w:r>
      <w:r>
        <w:rPr>
          <w:spacing w:val="-2"/>
        </w:rPr>
        <w:t>）商誉本期增加额系报告期内以</w:t>
      </w:r>
      <w:r>
        <w:rPr>
          <w:rFonts w:ascii="Times New Roman" w:hAnsi="Times New Roman" w:cs="Times New Roman" w:eastAsia="Times New Roman" w:hint="default"/>
          <w:spacing w:val="-2"/>
        </w:rPr>
        <w:t>6,000</w:t>
      </w:r>
      <w:r>
        <w:rPr>
          <w:spacing w:val="-2"/>
        </w:rPr>
        <w:t>万元收购南京银石</w:t>
      </w:r>
      <w:r>
        <w:rPr>
          <w:rFonts w:ascii="Times New Roman" w:hAnsi="Times New Roman" w:cs="Times New Roman" w:eastAsia="Times New Roman" w:hint="default"/>
          <w:spacing w:val="-2"/>
        </w:rPr>
        <w:t>100%</w:t>
      </w:r>
      <w:r>
        <w:rPr>
          <w:spacing w:val="-2"/>
        </w:rPr>
        <w:t>的股权，股权收购成本与南京银</w:t>
      </w:r>
      <w:r>
        <w:rPr/>
        <w:t> 石收购日可辨认资产、负债的差额</w:t>
      </w:r>
      <w:r>
        <w:rPr>
          <w:rFonts w:ascii="Times New Roman" w:hAnsi="Times New Roman" w:cs="Times New Roman" w:eastAsia="Times New Roman" w:hint="default"/>
        </w:rPr>
        <w:t>47,742,187.30</w:t>
      </w:r>
      <w:r>
        <w:rPr/>
        <w:t>元计入商誉。</w:t>
      </w:r>
    </w:p>
    <w:p>
      <w:pPr>
        <w:pStyle w:val="BodyText"/>
        <w:spacing w:line="240" w:lineRule="auto" w:before="31"/>
        <w:ind w:left="1094" w:right="210"/>
        <w:jc w:val="left"/>
      </w:pPr>
      <w:r>
        <w:rPr/>
        <w:t>（</w:t>
      </w:r>
      <w:r>
        <w:rPr>
          <w:rFonts w:ascii="Times New Roman" w:hAnsi="Times New Roman" w:cs="Times New Roman" w:eastAsia="Times New Roman" w:hint="default"/>
        </w:rPr>
        <w:t>3</w:t>
      </w:r>
      <w:r>
        <w:rPr/>
        <w:t>）报告期末商誉未减值，故未计提商誉减值准备。</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BodyText"/>
        <w:spacing w:line="240" w:lineRule="auto"/>
        <w:ind w:left="674" w:right="210"/>
        <w:jc w:val="left"/>
      </w:pPr>
      <w:r>
        <w:rPr>
          <w:rFonts w:ascii="Times New Roman" w:hAnsi="Times New Roman" w:cs="Times New Roman" w:eastAsia="Times New Roman" w:hint="default"/>
        </w:rPr>
        <w:t>18</w:t>
      </w:r>
      <w:r>
        <w:rPr/>
        <w:t>．长期待摊费用</w:t>
      </w:r>
    </w:p>
    <w:tbl>
      <w:tblPr>
        <w:tblW w:w="0" w:type="auto"/>
        <w:jc w:val="left"/>
        <w:tblInd w:w="116" w:type="dxa"/>
        <w:tblLayout w:type="fixed"/>
        <w:tblCellMar>
          <w:top w:w="0" w:type="dxa"/>
          <w:left w:w="0" w:type="dxa"/>
          <w:bottom w:w="0" w:type="dxa"/>
          <w:right w:w="0" w:type="dxa"/>
        </w:tblCellMar>
        <w:tblLook w:val="01E0"/>
      </w:tblPr>
      <w:tblGrid>
        <w:gridCol w:w="2881"/>
        <w:gridCol w:w="1129"/>
        <w:gridCol w:w="912"/>
        <w:gridCol w:w="912"/>
        <w:gridCol w:w="1129"/>
        <w:gridCol w:w="1129"/>
        <w:gridCol w:w="1776"/>
      </w:tblGrid>
      <w:tr>
        <w:trPr>
          <w:trHeight w:val="920" w:hRule="exact"/>
        </w:trPr>
        <w:tc>
          <w:tcPr>
            <w:tcW w:w="2881"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12" w:type="dxa"/>
            <w:tcBorders>
              <w:top w:val="single" w:sz="12" w:space="0" w:color="000000"/>
              <w:left w:val="single" w:sz="4" w:space="0" w:color="000000"/>
              <w:bottom w:val="single" w:sz="4" w:space="0" w:color="000000"/>
              <w:right w:val="single" w:sz="4" w:space="0" w:color="000000"/>
            </w:tcBorders>
          </w:tcPr>
          <w:p>
            <w:pPr>
              <w:pStyle w:val="TableParagraph"/>
              <w:spacing w:line="450" w:lineRule="exact" w:before="37"/>
              <w:ind w:left="181" w:right="179" w:firstLine="90"/>
              <w:jc w:val="left"/>
              <w:rPr>
                <w:rFonts w:ascii="宋体" w:hAnsi="宋体" w:cs="宋体" w:eastAsia="宋体" w:hint="default"/>
                <w:sz w:val="18"/>
                <w:szCs w:val="18"/>
              </w:rPr>
            </w:pPr>
            <w:r>
              <w:rPr>
                <w:rFonts w:ascii="宋体" w:hAnsi="宋体" w:cs="宋体" w:eastAsia="宋体" w:hint="default"/>
                <w:sz w:val="18"/>
                <w:szCs w:val="18"/>
              </w:rPr>
              <w:t>本期 增加额</w:t>
            </w:r>
          </w:p>
        </w:tc>
        <w:tc>
          <w:tcPr>
            <w:tcW w:w="912" w:type="dxa"/>
            <w:tcBorders>
              <w:top w:val="single" w:sz="12" w:space="0" w:color="000000"/>
              <w:left w:val="single" w:sz="4" w:space="0" w:color="000000"/>
              <w:bottom w:val="single" w:sz="4" w:space="0" w:color="000000"/>
              <w:right w:val="single" w:sz="4" w:space="0" w:color="000000"/>
            </w:tcBorders>
          </w:tcPr>
          <w:p>
            <w:pPr>
              <w:pStyle w:val="TableParagraph"/>
              <w:spacing w:line="450" w:lineRule="exact" w:before="37"/>
              <w:ind w:left="181" w:right="179" w:firstLine="90"/>
              <w:jc w:val="left"/>
              <w:rPr>
                <w:rFonts w:ascii="宋体" w:hAnsi="宋体" w:cs="宋体" w:eastAsia="宋体" w:hint="default"/>
                <w:sz w:val="18"/>
                <w:szCs w:val="18"/>
              </w:rPr>
            </w:pPr>
            <w:r>
              <w:rPr>
                <w:rFonts w:ascii="宋体" w:hAnsi="宋体" w:cs="宋体" w:eastAsia="宋体" w:hint="default"/>
                <w:sz w:val="18"/>
                <w:szCs w:val="18"/>
              </w:rPr>
              <w:t>本期 摊销额</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450" w:lineRule="exact" w:before="37"/>
              <w:ind w:left="289" w:right="288" w:firstLine="90"/>
              <w:jc w:val="left"/>
              <w:rPr>
                <w:rFonts w:ascii="宋体" w:hAnsi="宋体" w:cs="宋体" w:eastAsia="宋体" w:hint="default"/>
                <w:sz w:val="18"/>
                <w:szCs w:val="18"/>
              </w:rPr>
            </w:pPr>
            <w:r>
              <w:rPr>
                <w:rFonts w:ascii="宋体" w:hAnsi="宋体" w:cs="宋体" w:eastAsia="宋体" w:hint="default"/>
                <w:sz w:val="18"/>
                <w:szCs w:val="18"/>
              </w:rPr>
              <w:t>其他 减少额</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75"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21,461.16</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21,461.16</w:t>
            </w:r>
          </w:p>
        </w:tc>
        <w:tc>
          <w:tcPr>
            <w:tcW w:w="11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一年内到期</w:t>
            </w:r>
          </w:p>
        </w:tc>
      </w:tr>
      <w:tr>
        <w:trPr>
          <w:trHeight w:val="485" w:hRule="exact"/>
        </w:trPr>
        <w:tc>
          <w:tcPr>
            <w:tcW w:w="28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21,461.16</w:t>
            </w:r>
          </w:p>
        </w:tc>
        <w:tc>
          <w:tcPr>
            <w:tcW w:w="912" w:type="dxa"/>
            <w:tcBorders>
              <w:top w:val="single" w:sz="4" w:space="0" w:color="000000"/>
              <w:left w:val="single" w:sz="4" w:space="0" w:color="000000"/>
              <w:bottom w:val="single" w:sz="12" w:space="0" w:color="000000"/>
              <w:right w:val="single" w:sz="4" w:space="0" w:color="000000"/>
            </w:tcBorders>
          </w:tcPr>
          <w:p>
            <w:pPr/>
          </w:p>
        </w:tc>
        <w:tc>
          <w:tcPr>
            <w:tcW w:w="912" w:type="dxa"/>
            <w:tcBorders>
              <w:top w:val="single" w:sz="4" w:space="0" w:color="000000"/>
              <w:left w:val="single" w:sz="4" w:space="0" w:color="000000"/>
              <w:bottom w:val="single" w:sz="12" w:space="0" w:color="000000"/>
              <w:right w:val="single" w:sz="4" w:space="0" w:color="000000"/>
            </w:tcBorders>
          </w:tcPr>
          <w:p>
            <w:pP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21,461.16</w:t>
            </w:r>
          </w:p>
        </w:tc>
        <w:tc>
          <w:tcPr>
            <w:tcW w:w="1129" w:type="dxa"/>
            <w:tcBorders>
              <w:top w:val="single" w:sz="4" w:space="0" w:color="000000"/>
              <w:left w:val="single" w:sz="4" w:space="0" w:color="000000"/>
              <w:bottom w:val="single" w:sz="12" w:space="0" w:color="000000"/>
              <w:right w:val="single" w:sz="4" w:space="0" w:color="000000"/>
            </w:tcBorders>
          </w:tcPr>
          <w:p>
            <w:pPr/>
          </w:p>
        </w:tc>
        <w:tc>
          <w:tcPr>
            <w:tcW w:w="177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74" w:right="210"/>
        <w:jc w:val="left"/>
      </w:pPr>
      <w:r>
        <w:rPr>
          <w:rFonts w:ascii="Times New Roman" w:hAnsi="Times New Roman" w:cs="Times New Roman" w:eastAsia="Times New Roman" w:hint="default"/>
        </w:rPr>
        <w:t>19</w:t>
      </w:r>
      <w:r>
        <w:rPr/>
        <w:t>．递延所得税资产</w:t>
      </w:r>
    </w:p>
    <w:p>
      <w:pPr>
        <w:pStyle w:val="BodyText"/>
        <w:spacing w:line="240" w:lineRule="auto" w:before="159"/>
        <w:ind w:left="674" w:right="210"/>
        <w:jc w:val="left"/>
      </w:pPr>
      <w:r>
        <w:rPr/>
        <w:t>（</w:t>
      </w:r>
      <w:r>
        <w:rPr>
          <w:rFonts w:ascii="Times New Roman" w:hAnsi="Times New Roman" w:cs="Times New Roman" w:eastAsia="Times New Roman" w:hint="default"/>
        </w:rPr>
        <w:t>1</w:t>
      </w:r>
      <w:r>
        <w:rPr/>
        <w:t>）已确认的递延所得税资产和递延所得税负债</w:t>
      </w:r>
    </w:p>
    <w:tbl>
      <w:tblPr>
        <w:tblW w:w="0" w:type="auto"/>
        <w:jc w:val="left"/>
        <w:tblInd w:w="131" w:type="dxa"/>
        <w:tblLayout w:type="fixed"/>
        <w:tblCellMar>
          <w:top w:w="0" w:type="dxa"/>
          <w:left w:w="0" w:type="dxa"/>
          <w:bottom w:w="0" w:type="dxa"/>
          <w:right w:w="0" w:type="dxa"/>
        </w:tblCellMar>
        <w:tblLook w:val="01E0"/>
      </w:tblPr>
      <w:tblGrid>
        <w:gridCol w:w="5887"/>
        <w:gridCol w:w="1985"/>
        <w:gridCol w:w="1997"/>
      </w:tblGrid>
      <w:tr>
        <w:trPr>
          <w:trHeight w:val="470" w:hRule="exact"/>
        </w:trPr>
        <w:tc>
          <w:tcPr>
            <w:tcW w:w="5887"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43"/>
              <w:ind w:right="250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left="56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7"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43"/>
              <w:ind w:left="57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43" w:hRule="exact"/>
        </w:trPr>
        <w:tc>
          <w:tcPr>
            <w:tcW w:w="5887" w:type="dxa"/>
            <w:tcBorders>
              <w:top w:val="single" w:sz="4" w:space="0" w:color="000000"/>
              <w:left w:val="nil" w:sz="6" w:space="0" w:color="auto"/>
              <w:bottom w:val="nil" w:sz="6" w:space="0" w:color="auto"/>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5" w:type="dxa"/>
            <w:tcBorders>
              <w:top w:val="single" w:sz="4" w:space="0" w:color="000000"/>
              <w:left w:val="single" w:sz="6" w:space="0" w:color="000000"/>
              <w:bottom w:val="nil" w:sz="6" w:space="0" w:color="auto"/>
              <w:right w:val="single" w:sz="6" w:space="0" w:color="000000"/>
            </w:tcBorders>
          </w:tcPr>
          <w:p>
            <w:pPr/>
          </w:p>
        </w:tc>
        <w:tc>
          <w:tcPr>
            <w:tcW w:w="1997" w:type="dxa"/>
            <w:tcBorders>
              <w:top w:val="single" w:sz="4" w:space="0" w:color="000000"/>
              <w:left w:val="single" w:sz="6" w:space="0" w:color="000000"/>
              <w:bottom w:val="nil" w:sz="6" w:space="0" w:color="auto"/>
              <w:right w:val="nil" w:sz="6" w:space="0" w:color="auto"/>
            </w:tcBorders>
          </w:tcPr>
          <w:p>
            <w:pPr/>
          </w:p>
        </w:tc>
      </w:tr>
      <w:tr>
        <w:trPr>
          <w:trHeight w:val="463"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1,317,514.36</w:t>
            </w:r>
            <w:r>
              <w:rPr>
                <w:rFonts w:ascii="Times New Roman"/>
                <w:sz w:val="21"/>
              </w:rPr>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107"/>
              <w:jc w:val="right"/>
              <w:rPr>
                <w:rFonts w:ascii="Times New Roman" w:hAnsi="Times New Roman" w:cs="Times New Roman" w:eastAsia="Times New Roman" w:hint="default"/>
                <w:sz w:val="21"/>
                <w:szCs w:val="21"/>
              </w:rPr>
            </w:pPr>
            <w:r>
              <w:rPr>
                <w:rFonts w:ascii="Times New Roman"/>
                <w:spacing w:val="-1"/>
                <w:sz w:val="21"/>
              </w:rPr>
              <w:t>1,217,048.73</w:t>
            </w:r>
          </w:p>
        </w:tc>
      </w:tr>
      <w:tr>
        <w:trPr>
          <w:trHeight w:val="450"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内部销售形成的存货</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51,358.26</w:t>
            </w:r>
          </w:p>
        </w:tc>
        <w:tc>
          <w:tcPr>
            <w:tcW w:w="1997" w:type="dxa"/>
            <w:tcBorders>
              <w:top w:val="nil" w:sz="6" w:space="0" w:color="auto"/>
              <w:left w:val="single" w:sz="6" w:space="0" w:color="000000"/>
              <w:bottom w:val="nil" w:sz="6" w:space="0" w:color="auto"/>
              <w:right w:val="nil" w:sz="6" w:space="0" w:color="auto"/>
            </w:tcBorders>
          </w:tcPr>
          <w:p>
            <w:pPr/>
          </w:p>
        </w:tc>
      </w:tr>
      <w:tr>
        <w:trPr>
          <w:trHeight w:val="450" w:hRule="exact"/>
        </w:trPr>
        <w:tc>
          <w:tcPr>
            <w:tcW w:w="5887" w:type="dxa"/>
            <w:tcBorders>
              <w:top w:val="nil" w:sz="6" w:space="0" w:color="auto"/>
              <w:left w:val="nil" w:sz="6" w:space="0" w:color="auto"/>
              <w:bottom w:val="nil" w:sz="6" w:space="0" w:color="auto"/>
              <w:right w:val="single" w:sz="6" w:space="0" w:color="000000"/>
            </w:tcBorders>
          </w:tcPr>
          <w:p>
            <w:pPr>
              <w:pStyle w:val="TableParagraph"/>
              <w:tabs>
                <w:tab w:pos="631" w:val="left" w:leader="none"/>
              </w:tabs>
              <w:spacing w:line="240" w:lineRule="auto" w:before="42"/>
              <w:ind w:right="250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1,368,872.62</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1,217,048.73</w:t>
            </w:r>
          </w:p>
        </w:tc>
      </w:tr>
      <w:tr>
        <w:trPr>
          <w:trHeight w:val="437"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85" w:type="dxa"/>
            <w:tcBorders>
              <w:top w:val="nil" w:sz="6" w:space="0" w:color="auto"/>
              <w:left w:val="single" w:sz="6" w:space="0" w:color="000000"/>
              <w:bottom w:val="nil" w:sz="6" w:space="0" w:color="auto"/>
              <w:right w:val="single" w:sz="6" w:space="0" w:color="000000"/>
            </w:tcBorders>
          </w:tcPr>
          <w:p>
            <w:pPr/>
          </w:p>
        </w:tc>
        <w:tc>
          <w:tcPr>
            <w:tcW w:w="1997" w:type="dxa"/>
            <w:tcBorders>
              <w:top w:val="nil" w:sz="6" w:space="0" w:color="auto"/>
              <w:left w:val="single" w:sz="6" w:space="0" w:color="000000"/>
              <w:bottom w:val="nil" w:sz="6" w:space="0" w:color="auto"/>
              <w:right w:val="nil" w:sz="6" w:space="0" w:color="auto"/>
            </w:tcBorders>
          </w:tcPr>
          <w:p>
            <w:pPr/>
          </w:p>
        </w:tc>
      </w:tr>
      <w:tr>
        <w:trPr>
          <w:trHeight w:val="463"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已做纳税扣除的开发支出</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528,614.17</w:t>
            </w:r>
          </w:p>
        </w:tc>
        <w:tc>
          <w:tcPr>
            <w:tcW w:w="1997" w:type="dxa"/>
            <w:tcBorders>
              <w:top w:val="nil" w:sz="6" w:space="0" w:color="auto"/>
              <w:left w:val="single" w:sz="6" w:space="0" w:color="000000"/>
              <w:bottom w:val="nil" w:sz="6" w:space="0" w:color="auto"/>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21"/>
                <w:szCs w:val="21"/>
              </w:rPr>
            </w:pPr>
            <w:r>
              <w:rPr>
                <w:rFonts w:ascii="Times New Roman"/>
                <w:spacing w:val="-1"/>
                <w:sz w:val="21"/>
              </w:rPr>
              <w:t>528,614.17</w:t>
            </w:r>
          </w:p>
        </w:tc>
      </w:tr>
      <w:tr>
        <w:trPr>
          <w:trHeight w:val="450" w:hRule="exact"/>
        </w:trPr>
        <w:tc>
          <w:tcPr>
            <w:tcW w:w="5887" w:type="dxa"/>
            <w:tcBorders>
              <w:top w:val="nil" w:sz="6" w:space="0" w:color="auto"/>
              <w:left w:val="nil" w:sz="6" w:space="0" w:color="auto"/>
              <w:bottom w:val="nil" w:sz="6" w:space="0" w:color="auto"/>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境外股东分配股利应交的税金</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516,867.29</w:t>
            </w:r>
            <w:r>
              <w:rPr>
                <w:rFonts w:ascii="Times New Roman"/>
                <w:sz w:val="21"/>
              </w:rPr>
            </w:r>
          </w:p>
        </w:tc>
        <w:tc>
          <w:tcPr>
            <w:tcW w:w="1997" w:type="dxa"/>
            <w:tcBorders>
              <w:top w:val="nil" w:sz="6" w:space="0" w:color="auto"/>
              <w:left w:val="single" w:sz="6" w:space="0" w:color="000000"/>
              <w:bottom w:val="nil" w:sz="6" w:space="0" w:color="auto"/>
              <w:right w:val="nil" w:sz="6" w:space="0" w:color="auto"/>
            </w:tcBorders>
          </w:tcPr>
          <w:p>
            <w:pPr/>
          </w:p>
        </w:tc>
      </w:tr>
      <w:tr>
        <w:trPr>
          <w:trHeight w:val="364" w:hRule="exact"/>
        </w:trPr>
        <w:tc>
          <w:tcPr>
            <w:tcW w:w="5887" w:type="dxa"/>
            <w:tcBorders>
              <w:top w:val="nil" w:sz="6" w:space="0" w:color="auto"/>
              <w:left w:val="nil" w:sz="6" w:space="0" w:color="auto"/>
              <w:bottom w:val="single" w:sz="12" w:space="0" w:color="000000"/>
              <w:right w:val="single" w:sz="6" w:space="0" w:color="000000"/>
            </w:tcBorders>
          </w:tcPr>
          <w:p>
            <w:pPr>
              <w:pStyle w:val="TableParagraph"/>
              <w:tabs>
                <w:tab w:pos="631" w:val="left" w:leader="none"/>
              </w:tabs>
              <w:spacing w:line="240" w:lineRule="auto" w:before="42"/>
              <w:ind w:right="250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8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6"/>
              <w:ind w:right="97"/>
              <w:jc w:val="right"/>
              <w:rPr>
                <w:rFonts w:ascii="Times New Roman" w:hAnsi="Times New Roman" w:cs="Times New Roman" w:eastAsia="Times New Roman" w:hint="default"/>
                <w:sz w:val="21"/>
                <w:szCs w:val="21"/>
              </w:rPr>
            </w:pPr>
            <w:r>
              <w:rPr>
                <w:rFonts w:ascii="Times New Roman"/>
                <w:spacing w:val="-1"/>
                <w:sz w:val="21"/>
              </w:rPr>
              <w:t>1,045,481.46</w:t>
            </w:r>
          </w:p>
        </w:tc>
        <w:tc>
          <w:tcPr>
            <w:tcW w:w="1997" w:type="dxa"/>
            <w:tcBorders>
              <w:top w:val="nil" w:sz="6" w:space="0" w:color="auto"/>
              <w:left w:val="single" w:sz="6" w:space="0" w:color="000000"/>
              <w:bottom w:val="single" w:sz="12" w:space="0" w:color="000000"/>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1"/>
                <w:szCs w:val="21"/>
              </w:rPr>
            </w:pPr>
            <w:r>
              <w:rPr>
                <w:rFonts w:ascii="Times New Roman"/>
                <w:spacing w:val="-1"/>
                <w:sz w:val="21"/>
              </w:rPr>
              <w:t>528,614.17</w:t>
            </w:r>
          </w:p>
        </w:tc>
      </w:tr>
    </w:tbl>
    <w:p>
      <w:pPr>
        <w:spacing w:line="240" w:lineRule="auto" w:before="5"/>
        <w:rPr>
          <w:rFonts w:ascii="宋体" w:hAnsi="宋体" w:cs="宋体" w:eastAsia="宋体" w:hint="default"/>
          <w:sz w:val="6"/>
          <w:szCs w:val="6"/>
        </w:rPr>
      </w:pPr>
    </w:p>
    <w:p>
      <w:pPr>
        <w:pStyle w:val="BodyText"/>
        <w:spacing w:line="240" w:lineRule="auto" w:before="35"/>
        <w:ind w:left="569" w:right="210"/>
        <w:jc w:val="left"/>
      </w:pPr>
      <w:r>
        <w:rPr/>
        <w:t>（</w:t>
      </w:r>
      <w:r>
        <w:rPr>
          <w:rFonts w:ascii="Times New Roman" w:hAnsi="Times New Roman" w:cs="Times New Roman" w:eastAsia="Times New Roman" w:hint="default"/>
        </w:rPr>
        <w:t>2</w:t>
      </w:r>
      <w:r>
        <w:rPr/>
        <w:t>）未确认递延所得税资产明细</w:t>
      </w:r>
    </w:p>
    <w:tbl>
      <w:tblPr>
        <w:tblW w:w="0" w:type="auto"/>
        <w:jc w:val="left"/>
        <w:tblInd w:w="131" w:type="dxa"/>
        <w:tblLayout w:type="fixed"/>
        <w:tblCellMar>
          <w:top w:w="0" w:type="dxa"/>
          <w:left w:w="0" w:type="dxa"/>
          <w:bottom w:w="0" w:type="dxa"/>
          <w:right w:w="0" w:type="dxa"/>
        </w:tblCellMar>
        <w:tblLook w:val="01E0"/>
      </w:tblPr>
      <w:tblGrid>
        <w:gridCol w:w="4074"/>
        <w:gridCol w:w="2898"/>
        <w:gridCol w:w="2897"/>
      </w:tblGrid>
      <w:tr>
        <w:trPr>
          <w:trHeight w:val="430" w:hRule="exact"/>
        </w:trPr>
        <w:tc>
          <w:tcPr>
            <w:tcW w:w="4074" w:type="dxa"/>
            <w:tcBorders>
              <w:top w:val="single" w:sz="12" w:space="0" w:color="000000"/>
              <w:left w:val="nil" w:sz="6" w:space="0" w:color="auto"/>
              <w:bottom w:val="single" w:sz="4" w:space="0" w:color="000000"/>
              <w:right w:val="single" w:sz="6" w:space="0" w:color="000000"/>
            </w:tcBorders>
          </w:tcPr>
          <w:p>
            <w:pPr>
              <w:pStyle w:val="TableParagraph"/>
              <w:tabs>
                <w:tab w:pos="652" w:val="left" w:leader="none"/>
              </w:tabs>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9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897"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6" w:hRule="exact"/>
        </w:trPr>
        <w:tc>
          <w:tcPr>
            <w:tcW w:w="4074" w:type="dxa"/>
            <w:tcBorders>
              <w:top w:val="single" w:sz="4" w:space="0" w:color="000000"/>
              <w:left w:val="nil" w:sz="6" w:space="0" w:color="auto"/>
              <w:bottom w:val="nil" w:sz="6" w:space="0" w:color="auto"/>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8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6"/>
              <w:ind w:right="97"/>
              <w:jc w:val="right"/>
              <w:rPr>
                <w:rFonts w:ascii="Times New Roman" w:hAnsi="Times New Roman" w:cs="Times New Roman" w:eastAsia="Times New Roman" w:hint="default"/>
                <w:sz w:val="21"/>
                <w:szCs w:val="21"/>
              </w:rPr>
            </w:pPr>
            <w:r>
              <w:rPr>
                <w:rFonts w:ascii="Times New Roman"/>
                <w:spacing w:val="-1"/>
                <w:sz w:val="21"/>
              </w:rPr>
              <w:t>5,470,128.45</w:t>
            </w:r>
          </w:p>
        </w:tc>
        <w:tc>
          <w:tcPr>
            <w:tcW w:w="2897" w:type="dxa"/>
            <w:tcBorders>
              <w:top w:val="single" w:sz="4" w:space="0" w:color="000000"/>
              <w:left w:val="single" w:sz="6" w:space="0" w:color="000000"/>
              <w:bottom w:val="nil" w:sz="6" w:space="0" w:color="auto"/>
              <w:right w:val="nil" w:sz="6" w:space="0" w:color="auto"/>
            </w:tcBorders>
          </w:tcPr>
          <w:p>
            <w:pPr>
              <w:pStyle w:val="TableParagraph"/>
              <w:spacing w:line="240" w:lineRule="auto" w:before="166"/>
              <w:ind w:right="105"/>
              <w:jc w:val="right"/>
              <w:rPr>
                <w:rFonts w:ascii="Times New Roman" w:hAnsi="Times New Roman" w:cs="Times New Roman" w:eastAsia="Times New Roman" w:hint="default"/>
                <w:sz w:val="21"/>
                <w:szCs w:val="21"/>
              </w:rPr>
            </w:pPr>
            <w:r>
              <w:rPr>
                <w:rFonts w:ascii="Times New Roman"/>
                <w:spacing w:val="-1"/>
                <w:sz w:val="21"/>
              </w:rPr>
              <w:t>3,138,567.40</w:t>
            </w:r>
          </w:p>
        </w:tc>
      </w:tr>
      <w:tr>
        <w:trPr>
          <w:trHeight w:val="335" w:hRule="exact"/>
        </w:trPr>
        <w:tc>
          <w:tcPr>
            <w:tcW w:w="4074" w:type="dxa"/>
            <w:tcBorders>
              <w:top w:val="nil" w:sz="6" w:space="0" w:color="auto"/>
              <w:left w:val="nil" w:sz="6" w:space="0" w:color="auto"/>
              <w:bottom w:val="single" w:sz="4"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89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-10,724,875.93</w:t>
            </w:r>
            <w:r>
              <w:rPr>
                <w:rFonts w:ascii="Times New Roman"/>
                <w:sz w:val="21"/>
              </w:rPr>
            </w:r>
          </w:p>
        </w:tc>
        <w:tc>
          <w:tcPr>
            <w:tcW w:w="2897" w:type="dxa"/>
            <w:tcBorders>
              <w:top w:val="nil" w:sz="6" w:space="0" w:color="auto"/>
              <w:left w:val="single" w:sz="6" w:space="0" w:color="000000"/>
              <w:bottom w:val="single"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21"/>
                <w:szCs w:val="21"/>
              </w:rPr>
            </w:pPr>
            <w:r>
              <w:rPr>
                <w:rFonts w:ascii="Times New Roman"/>
                <w:spacing w:val="-1"/>
                <w:sz w:val="21"/>
              </w:rPr>
              <w:t>-24,610,445.27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074"/>
        <w:gridCol w:w="2898"/>
        <w:gridCol w:w="2897"/>
      </w:tblGrid>
      <w:tr>
        <w:trPr>
          <w:trHeight w:val="437" w:hRule="exact"/>
        </w:trPr>
        <w:tc>
          <w:tcPr>
            <w:tcW w:w="4074" w:type="dxa"/>
            <w:tcBorders>
              <w:top w:val="single" w:sz="10"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98" w:type="dxa"/>
            <w:tcBorders>
              <w:top w:val="single" w:sz="10" w:space="0" w:color="000000"/>
              <w:left w:val="single" w:sz="6" w:space="0" w:color="000000"/>
              <w:bottom w:val="single" w:sz="12" w:space="0" w:color="000000"/>
              <w:right w:val="single" w:sz="6" w:space="0" w:color="000000"/>
            </w:tcBorders>
          </w:tcPr>
          <w:p>
            <w:pPr>
              <w:pStyle w:val="TableParagraph"/>
              <w:spacing w:line="240" w:lineRule="auto" w:before="166"/>
              <w:ind w:left="1610" w:right="0"/>
              <w:jc w:val="left"/>
              <w:rPr>
                <w:rFonts w:ascii="Times New Roman" w:hAnsi="Times New Roman" w:cs="Times New Roman" w:eastAsia="Times New Roman" w:hint="default"/>
                <w:sz w:val="21"/>
                <w:szCs w:val="21"/>
              </w:rPr>
            </w:pPr>
            <w:r>
              <w:rPr>
                <w:rFonts w:ascii="Times New Roman"/>
                <w:sz w:val="21"/>
              </w:rPr>
              <w:t>-5,254,747.48</w:t>
            </w:r>
          </w:p>
        </w:tc>
        <w:tc>
          <w:tcPr>
            <w:tcW w:w="2897" w:type="dxa"/>
            <w:tcBorders>
              <w:top w:val="single" w:sz="10" w:space="0" w:color="000000"/>
              <w:left w:val="single" w:sz="6" w:space="0" w:color="000000"/>
              <w:bottom w:val="single" w:sz="12" w:space="0" w:color="000000"/>
              <w:right w:val="nil" w:sz="6" w:space="0" w:color="auto"/>
            </w:tcBorders>
          </w:tcPr>
          <w:p>
            <w:pPr>
              <w:pStyle w:val="TableParagraph"/>
              <w:spacing w:line="240" w:lineRule="auto" w:before="166"/>
              <w:ind w:left="1503" w:right="0"/>
              <w:jc w:val="left"/>
              <w:rPr>
                <w:rFonts w:ascii="Times New Roman" w:hAnsi="Times New Roman" w:cs="Times New Roman" w:eastAsia="Times New Roman" w:hint="default"/>
                <w:sz w:val="21"/>
                <w:szCs w:val="21"/>
              </w:rPr>
            </w:pPr>
            <w:r>
              <w:rPr>
                <w:rFonts w:ascii="Times New Roman"/>
                <w:sz w:val="21"/>
              </w:rPr>
              <w:t>-21,471,877.87</w:t>
            </w:r>
          </w:p>
        </w:tc>
      </w:tr>
    </w:tbl>
    <w:p>
      <w:pPr>
        <w:spacing w:line="240" w:lineRule="auto" w:before="2"/>
        <w:rPr>
          <w:rFonts w:ascii="宋体" w:hAnsi="宋体" w:cs="宋体" w:eastAsia="宋体" w:hint="default"/>
          <w:sz w:val="5"/>
          <w:szCs w:val="5"/>
        </w:rPr>
      </w:pPr>
    </w:p>
    <w:p>
      <w:pPr>
        <w:pStyle w:val="BodyText"/>
        <w:spacing w:line="240" w:lineRule="auto" w:before="35"/>
        <w:ind w:left="674" w:right="490"/>
        <w:jc w:val="left"/>
      </w:pPr>
      <w:r>
        <w:rPr/>
        <w:t>（</w:t>
      </w:r>
      <w:r>
        <w:rPr>
          <w:rFonts w:ascii="Times New Roman" w:hAnsi="Times New Roman" w:cs="Times New Roman" w:eastAsia="Times New Roman" w:hint="default"/>
        </w:rPr>
        <w:t>3</w:t>
      </w:r>
      <w:r>
        <w:rPr/>
        <w:t>）未确认递延所得税资产的可抵扣亏损将于以下年度到期</w:t>
      </w:r>
    </w:p>
    <w:tbl>
      <w:tblPr>
        <w:tblW w:w="0" w:type="auto"/>
        <w:jc w:val="left"/>
        <w:tblInd w:w="131" w:type="dxa"/>
        <w:tblLayout w:type="fixed"/>
        <w:tblCellMar>
          <w:top w:w="0" w:type="dxa"/>
          <w:left w:w="0" w:type="dxa"/>
          <w:bottom w:w="0" w:type="dxa"/>
          <w:right w:w="0" w:type="dxa"/>
        </w:tblCellMar>
        <w:tblLook w:val="01E0"/>
      </w:tblPr>
      <w:tblGrid>
        <w:gridCol w:w="3151"/>
        <w:gridCol w:w="2239"/>
        <w:gridCol w:w="2239"/>
        <w:gridCol w:w="2239"/>
      </w:tblGrid>
      <w:tr>
        <w:trPr>
          <w:trHeight w:val="429" w:hRule="exact"/>
        </w:trPr>
        <w:tc>
          <w:tcPr>
            <w:tcW w:w="3151"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02"/>
              <w:ind w:right="1138"/>
              <w:jc w:val="right"/>
              <w:rPr>
                <w:rFonts w:ascii="宋体" w:hAnsi="宋体" w:cs="宋体" w:eastAsia="宋体" w:hint="default"/>
                <w:sz w:val="21"/>
                <w:szCs w:val="21"/>
              </w:rPr>
            </w:pPr>
            <w:r>
              <w:rPr>
                <w:rFonts w:ascii="宋体" w:hAnsi="宋体" w:cs="宋体" w:eastAsia="宋体" w:hint="default"/>
                <w:sz w:val="21"/>
                <w:szCs w:val="21"/>
              </w:rPr>
              <w:t>年</w:t>
              <w:tab/>
              <w:t>份</w:t>
            </w:r>
          </w:p>
        </w:tc>
        <w:tc>
          <w:tcPr>
            <w:tcW w:w="223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left="692"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23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left="69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239"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89" w:hRule="exact"/>
        </w:trPr>
        <w:tc>
          <w:tcPr>
            <w:tcW w:w="3151" w:type="dxa"/>
            <w:tcBorders>
              <w:top w:val="single" w:sz="4" w:space="0" w:color="000000"/>
              <w:left w:val="nil" w:sz="6" w:space="0" w:color="auto"/>
              <w:bottom w:val="nil" w:sz="6" w:space="0" w:color="auto"/>
              <w:right w:val="single" w:sz="6"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9"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16" w:right="0"/>
              <w:jc w:val="left"/>
              <w:rPr>
                <w:rFonts w:ascii="Times New Roman" w:hAnsi="Times New Roman" w:cs="Times New Roman" w:eastAsia="Times New Roman" w:hint="default"/>
                <w:sz w:val="21"/>
                <w:szCs w:val="21"/>
              </w:rPr>
            </w:pPr>
            <w:r>
              <w:rPr>
                <w:rFonts w:ascii="Times New Roman"/>
                <w:sz w:val="21"/>
              </w:rPr>
              <w:t>10,724,875.93</w:t>
            </w:r>
          </w:p>
        </w:tc>
        <w:tc>
          <w:tcPr>
            <w:tcW w:w="2239" w:type="dxa"/>
            <w:vMerge w:val="restart"/>
            <w:tcBorders>
              <w:top w:val="single" w:sz="4" w:space="0" w:color="000000"/>
              <w:left w:val="single" w:sz="6" w:space="0" w:color="000000"/>
              <w:right w:val="single" w:sz="6" w:space="0" w:color="000000"/>
            </w:tcBorders>
          </w:tcPr>
          <w:p>
            <w:pPr>
              <w:pStyle w:val="TableParagraph"/>
              <w:spacing w:line="240" w:lineRule="auto" w:before="167"/>
              <w:ind w:left="916" w:right="0"/>
              <w:jc w:val="left"/>
              <w:rPr>
                <w:rFonts w:ascii="Times New Roman" w:hAnsi="Times New Roman" w:cs="Times New Roman" w:eastAsia="Times New Roman" w:hint="default"/>
                <w:sz w:val="21"/>
                <w:szCs w:val="21"/>
              </w:rPr>
            </w:pPr>
            <w:r>
              <w:rPr>
                <w:rFonts w:ascii="Times New Roman"/>
                <w:sz w:val="21"/>
              </w:rPr>
              <w:t>24,610,125.27</w:t>
            </w:r>
          </w:p>
        </w:tc>
        <w:tc>
          <w:tcPr>
            <w:tcW w:w="2239" w:type="dxa"/>
            <w:vMerge w:val="restart"/>
            <w:tcBorders>
              <w:top w:val="single" w:sz="4" w:space="0" w:color="000000"/>
              <w:left w:val="single" w:sz="6" w:space="0" w:color="000000"/>
              <w:right w:val="nil" w:sz="6" w:space="0" w:color="auto"/>
            </w:tcBorders>
          </w:tcPr>
          <w:p>
            <w:pPr/>
          </w:p>
        </w:tc>
      </w:tr>
      <w:tr>
        <w:trPr>
          <w:trHeight w:val="342" w:hRule="exact"/>
        </w:trPr>
        <w:tc>
          <w:tcPr>
            <w:tcW w:w="3151" w:type="dxa"/>
            <w:tcBorders>
              <w:top w:val="nil" w:sz="6" w:space="0" w:color="auto"/>
              <w:left w:val="nil" w:sz="6" w:space="0" w:color="auto"/>
              <w:bottom w:val="single" w:sz="4"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39" w:type="dxa"/>
            <w:vMerge/>
            <w:tcBorders>
              <w:left w:val="single" w:sz="6" w:space="0" w:color="000000"/>
              <w:bottom w:val="single" w:sz="4" w:space="0" w:color="000000"/>
              <w:right w:val="single" w:sz="6" w:space="0" w:color="000000"/>
            </w:tcBorders>
          </w:tcPr>
          <w:p>
            <w:pPr/>
          </w:p>
        </w:tc>
        <w:tc>
          <w:tcPr>
            <w:tcW w:w="2239" w:type="dxa"/>
            <w:vMerge/>
            <w:tcBorders>
              <w:left w:val="single" w:sz="6" w:space="0" w:color="000000"/>
              <w:bottom w:val="single" w:sz="4" w:space="0" w:color="000000"/>
              <w:right w:val="single" w:sz="6" w:space="0" w:color="000000"/>
            </w:tcBorders>
          </w:tcPr>
          <w:p>
            <w:pPr/>
          </w:p>
        </w:tc>
        <w:tc>
          <w:tcPr>
            <w:tcW w:w="2239" w:type="dxa"/>
            <w:vMerge/>
            <w:tcBorders>
              <w:left w:val="single" w:sz="6" w:space="0" w:color="000000"/>
              <w:bottom w:val="single" w:sz="4" w:space="0" w:color="000000"/>
              <w:right w:val="nil" w:sz="6" w:space="0" w:color="auto"/>
            </w:tcBorders>
          </w:tcPr>
          <w:p>
            <w:pPr/>
          </w:p>
        </w:tc>
      </w:tr>
      <w:tr>
        <w:trPr>
          <w:trHeight w:val="430" w:hRule="exact"/>
        </w:trPr>
        <w:tc>
          <w:tcPr>
            <w:tcW w:w="3151"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02"/>
              <w:ind w:right="113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3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left="916" w:right="0"/>
              <w:jc w:val="left"/>
              <w:rPr>
                <w:rFonts w:ascii="Times New Roman" w:hAnsi="Times New Roman" w:cs="Times New Roman" w:eastAsia="Times New Roman" w:hint="default"/>
                <w:sz w:val="21"/>
                <w:szCs w:val="21"/>
              </w:rPr>
            </w:pPr>
            <w:r>
              <w:rPr>
                <w:rFonts w:ascii="Times New Roman"/>
                <w:sz w:val="21"/>
              </w:rPr>
              <w:t>10,724,875.93</w:t>
            </w:r>
          </w:p>
        </w:tc>
        <w:tc>
          <w:tcPr>
            <w:tcW w:w="2239"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left="917" w:right="0"/>
              <w:jc w:val="left"/>
              <w:rPr>
                <w:rFonts w:ascii="Times New Roman" w:hAnsi="Times New Roman" w:cs="Times New Roman" w:eastAsia="Times New Roman" w:hint="default"/>
                <w:sz w:val="21"/>
                <w:szCs w:val="21"/>
              </w:rPr>
            </w:pPr>
            <w:r>
              <w:rPr>
                <w:rFonts w:ascii="Times New Roman"/>
                <w:sz w:val="21"/>
              </w:rPr>
              <w:t>24,610,125.27</w:t>
            </w:r>
          </w:p>
        </w:tc>
        <w:tc>
          <w:tcPr>
            <w:tcW w:w="2239" w:type="dxa"/>
            <w:tcBorders>
              <w:top w:val="single" w:sz="4"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6"/>
          <w:szCs w:val="6"/>
        </w:rPr>
      </w:pPr>
    </w:p>
    <w:p>
      <w:pPr>
        <w:pStyle w:val="BodyText"/>
        <w:spacing w:line="240" w:lineRule="auto" w:before="35"/>
        <w:ind w:left="674" w:right="490"/>
        <w:jc w:val="left"/>
      </w:pPr>
      <w:r>
        <w:rPr/>
        <w:t>（</w:t>
      </w:r>
      <w:r>
        <w:rPr>
          <w:rFonts w:ascii="Times New Roman" w:hAnsi="Times New Roman" w:cs="Times New Roman" w:eastAsia="Times New Roman" w:hint="default"/>
        </w:rPr>
        <w:t>4</w:t>
      </w:r>
      <w:r>
        <w:rPr/>
        <w:t>）应纳税差异和可抵扣差异项目明细</w:t>
      </w:r>
    </w:p>
    <w:tbl>
      <w:tblPr>
        <w:tblW w:w="0" w:type="auto"/>
        <w:jc w:val="left"/>
        <w:tblInd w:w="209" w:type="dxa"/>
        <w:tblLayout w:type="fixed"/>
        <w:tblCellMar>
          <w:top w:w="0" w:type="dxa"/>
          <w:left w:w="0" w:type="dxa"/>
          <w:bottom w:w="0" w:type="dxa"/>
          <w:right w:w="0" w:type="dxa"/>
        </w:tblCellMar>
        <w:tblLook w:val="01E0"/>
      </w:tblPr>
      <w:tblGrid>
        <w:gridCol w:w="4818"/>
        <w:gridCol w:w="4968"/>
      </w:tblGrid>
      <w:tr>
        <w:trPr>
          <w:trHeight w:val="429" w:hRule="exact"/>
        </w:trPr>
        <w:tc>
          <w:tcPr>
            <w:tcW w:w="4818" w:type="dxa"/>
            <w:tcBorders>
              <w:top w:val="single" w:sz="12" w:space="0" w:color="000000"/>
              <w:left w:val="nil" w:sz="6" w:space="0" w:color="auto"/>
              <w:bottom w:val="single" w:sz="4" w:space="0" w:color="000000"/>
              <w:right w:val="single" w:sz="6" w:space="0" w:color="000000"/>
            </w:tcBorders>
          </w:tcPr>
          <w:p>
            <w:pPr>
              <w:pStyle w:val="TableParagraph"/>
              <w:tabs>
                <w:tab w:pos="652" w:val="left" w:leader="none"/>
              </w:tabs>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968" w:type="dxa"/>
            <w:tcBorders>
              <w:top w:val="single" w:sz="12" w:space="0" w:color="000000"/>
              <w:left w:val="single" w:sz="6" w:space="0" w:color="000000"/>
              <w:bottom w:val="single" w:sz="4" w:space="0" w:color="000000"/>
              <w:right w:val="nil" w:sz="6" w:space="0" w:color="auto"/>
            </w:tcBorders>
          </w:tcPr>
          <w:p>
            <w:pPr>
              <w:pStyle w:val="TableParagraph"/>
              <w:tabs>
                <w:tab w:pos="631" w:val="left" w:leader="none"/>
              </w:tabs>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83" w:hRule="exact"/>
        </w:trPr>
        <w:tc>
          <w:tcPr>
            <w:tcW w:w="4818" w:type="dxa"/>
            <w:tcBorders>
              <w:top w:val="single" w:sz="4" w:space="0" w:color="000000"/>
              <w:left w:val="nil" w:sz="6" w:space="0" w:color="auto"/>
              <w:bottom w:val="nil" w:sz="6" w:space="0" w:color="auto"/>
              <w:right w:val="single" w:sz="6" w:space="0" w:color="000000"/>
            </w:tcBorders>
          </w:tcPr>
          <w:p>
            <w:pPr>
              <w:pStyle w:val="TableParagraph"/>
              <w:spacing w:line="240" w:lineRule="auto" w:before="104"/>
              <w:ind w:right="1657"/>
              <w:jc w:val="right"/>
              <w:rPr>
                <w:rFonts w:ascii="宋体" w:hAnsi="宋体" w:cs="宋体" w:eastAsia="宋体" w:hint="default"/>
                <w:sz w:val="21"/>
                <w:szCs w:val="21"/>
              </w:rPr>
            </w:pPr>
            <w:r>
              <w:rPr>
                <w:rFonts w:ascii="宋体" w:hAnsi="宋体" w:cs="宋体" w:eastAsia="宋体" w:hint="default"/>
                <w:sz w:val="21"/>
                <w:szCs w:val="21"/>
              </w:rPr>
              <w:t>可抵扣差异项目</w:t>
            </w:r>
          </w:p>
        </w:tc>
        <w:tc>
          <w:tcPr>
            <w:tcW w:w="4968" w:type="dxa"/>
            <w:tcBorders>
              <w:top w:val="single" w:sz="4" w:space="0" w:color="000000"/>
              <w:left w:val="single" w:sz="6" w:space="0" w:color="000000"/>
              <w:bottom w:val="nil" w:sz="6" w:space="0" w:color="auto"/>
              <w:right w:val="nil" w:sz="6" w:space="0" w:color="auto"/>
            </w:tcBorders>
          </w:tcPr>
          <w:p>
            <w:pPr/>
          </w:p>
        </w:tc>
      </w:tr>
      <w:tr>
        <w:trPr>
          <w:trHeight w:val="423" w:hRule="exact"/>
        </w:trPr>
        <w:tc>
          <w:tcPr>
            <w:tcW w:w="4818"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4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8,218,955.69</w:t>
            </w:r>
          </w:p>
        </w:tc>
      </w:tr>
      <w:tr>
        <w:trPr>
          <w:trHeight w:val="410" w:hRule="exact"/>
        </w:trPr>
        <w:tc>
          <w:tcPr>
            <w:tcW w:w="4818"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21"/>
                <w:szCs w:val="21"/>
              </w:rPr>
            </w:pPr>
            <w:r>
              <w:rPr>
                <w:rFonts w:ascii="Times New Roman"/>
                <w:spacing w:val="-1"/>
                <w:sz w:val="21"/>
              </w:rPr>
              <w:t>829,827.23</w:t>
            </w:r>
            <w:r>
              <w:rPr>
                <w:rFonts w:ascii="Times New Roman"/>
                <w:sz w:val="21"/>
              </w:rPr>
            </w:r>
          </w:p>
        </w:tc>
      </w:tr>
      <w:tr>
        <w:trPr>
          <w:trHeight w:val="410" w:hRule="exact"/>
        </w:trPr>
        <w:tc>
          <w:tcPr>
            <w:tcW w:w="4818"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21"/>
                <w:szCs w:val="21"/>
              </w:rPr>
            </w:pPr>
            <w:r>
              <w:rPr>
                <w:rFonts w:ascii="Times New Roman"/>
                <w:spacing w:val="-1"/>
                <w:sz w:val="21"/>
              </w:rPr>
              <w:t>94,605.84</w:t>
            </w:r>
          </w:p>
        </w:tc>
      </w:tr>
      <w:tr>
        <w:trPr>
          <w:trHeight w:val="410" w:hRule="exact"/>
        </w:trPr>
        <w:tc>
          <w:tcPr>
            <w:tcW w:w="4818"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内部销售形成的存货</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21"/>
                <w:szCs w:val="21"/>
              </w:rPr>
            </w:pPr>
            <w:r>
              <w:rPr>
                <w:rFonts w:ascii="Times New Roman"/>
                <w:spacing w:val="-1"/>
                <w:sz w:val="21"/>
              </w:rPr>
              <w:t>406,660.99</w:t>
            </w:r>
            <w:r>
              <w:rPr>
                <w:rFonts w:ascii="Times New Roman"/>
                <w:sz w:val="21"/>
              </w:rPr>
            </w:r>
          </w:p>
        </w:tc>
      </w:tr>
      <w:tr>
        <w:trPr>
          <w:trHeight w:val="410" w:hRule="exact"/>
        </w:trPr>
        <w:tc>
          <w:tcPr>
            <w:tcW w:w="4818" w:type="dxa"/>
            <w:tcBorders>
              <w:top w:val="nil" w:sz="6" w:space="0" w:color="auto"/>
              <w:left w:val="nil" w:sz="6" w:space="0" w:color="auto"/>
              <w:bottom w:val="nil" w:sz="6" w:space="0" w:color="auto"/>
              <w:right w:val="single" w:sz="6" w:space="0" w:color="000000"/>
            </w:tcBorders>
          </w:tcPr>
          <w:p>
            <w:pPr>
              <w:pStyle w:val="TableParagraph"/>
              <w:tabs>
                <w:tab w:pos="652" w:val="left" w:leader="none"/>
              </w:tabs>
              <w:spacing w:line="240" w:lineRule="auto" w:before="22"/>
              <w:ind w:left="2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21"/>
                <w:szCs w:val="21"/>
              </w:rPr>
            </w:pPr>
            <w:r>
              <w:rPr>
                <w:rFonts w:ascii="Times New Roman"/>
                <w:spacing w:val="-1"/>
                <w:sz w:val="21"/>
              </w:rPr>
              <w:t>9,550,049.75</w:t>
            </w:r>
          </w:p>
        </w:tc>
      </w:tr>
      <w:tr>
        <w:trPr>
          <w:trHeight w:val="397" w:hRule="exact"/>
        </w:trPr>
        <w:tc>
          <w:tcPr>
            <w:tcW w:w="4818"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right="1657"/>
              <w:jc w:val="right"/>
              <w:rPr>
                <w:rFonts w:ascii="宋体" w:hAnsi="宋体" w:cs="宋体" w:eastAsia="宋体" w:hint="default"/>
                <w:sz w:val="21"/>
                <w:szCs w:val="21"/>
              </w:rPr>
            </w:pPr>
            <w:r>
              <w:rPr>
                <w:rFonts w:ascii="宋体" w:hAnsi="宋体" w:cs="宋体" w:eastAsia="宋体" w:hint="default"/>
                <w:sz w:val="21"/>
                <w:szCs w:val="21"/>
              </w:rPr>
              <w:t>应纳税差异项目</w:t>
            </w:r>
          </w:p>
        </w:tc>
        <w:tc>
          <w:tcPr>
            <w:tcW w:w="4968" w:type="dxa"/>
            <w:tcBorders>
              <w:top w:val="nil" w:sz="6" w:space="0" w:color="auto"/>
              <w:left w:val="single" w:sz="6" w:space="0" w:color="000000"/>
              <w:bottom w:val="nil" w:sz="6" w:space="0" w:color="auto"/>
              <w:right w:val="nil" w:sz="6" w:space="0" w:color="auto"/>
            </w:tcBorders>
          </w:tcPr>
          <w:p>
            <w:pPr/>
          </w:p>
        </w:tc>
      </w:tr>
      <w:tr>
        <w:trPr>
          <w:trHeight w:val="423" w:hRule="exact"/>
        </w:trPr>
        <w:tc>
          <w:tcPr>
            <w:tcW w:w="4818"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4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968" w:type="dxa"/>
            <w:tcBorders>
              <w:top w:val="nil" w:sz="6" w:space="0" w:color="auto"/>
              <w:left w:val="single" w:sz="6" w:space="0" w:color="000000"/>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21"/>
                <w:szCs w:val="21"/>
              </w:rPr>
            </w:pPr>
            <w:r>
              <w:rPr>
                <w:rFonts w:ascii="Times New Roman"/>
                <w:spacing w:val="-1"/>
                <w:sz w:val="21"/>
              </w:rPr>
              <w:t>7,048,188.93</w:t>
            </w:r>
          </w:p>
        </w:tc>
      </w:tr>
      <w:tr>
        <w:trPr>
          <w:trHeight w:val="335" w:hRule="exact"/>
        </w:trPr>
        <w:tc>
          <w:tcPr>
            <w:tcW w:w="4818" w:type="dxa"/>
            <w:tcBorders>
              <w:top w:val="nil" w:sz="6" w:space="0" w:color="auto"/>
              <w:left w:val="nil" w:sz="6" w:space="0" w:color="auto"/>
              <w:bottom w:val="single" w:sz="4" w:space="0" w:color="000000"/>
              <w:right w:val="single" w:sz="6"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境外股东分配股利</w:t>
            </w:r>
          </w:p>
        </w:tc>
        <w:tc>
          <w:tcPr>
            <w:tcW w:w="4968" w:type="dxa"/>
            <w:tcBorders>
              <w:top w:val="nil" w:sz="6" w:space="0" w:color="auto"/>
              <w:left w:val="single" w:sz="6" w:space="0" w:color="000000"/>
              <w:bottom w:val="single" w:sz="4" w:space="0" w:color="000000"/>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21"/>
                <w:szCs w:val="21"/>
              </w:rPr>
            </w:pPr>
            <w:r>
              <w:rPr>
                <w:rFonts w:ascii="Times New Roman"/>
                <w:spacing w:val="-1"/>
                <w:sz w:val="21"/>
              </w:rPr>
              <w:t>10,337,349.32</w:t>
            </w:r>
          </w:p>
        </w:tc>
      </w:tr>
      <w:tr>
        <w:trPr>
          <w:trHeight w:val="430" w:hRule="exact"/>
        </w:trPr>
        <w:tc>
          <w:tcPr>
            <w:tcW w:w="4818" w:type="dxa"/>
            <w:tcBorders>
              <w:top w:val="single" w:sz="4"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496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6"/>
              <w:ind w:right="27"/>
              <w:jc w:val="right"/>
              <w:rPr>
                <w:rFonts w:ascii="Times New Roman" w:hAnsi="Times New Roman" w:cs="Times New Roman" w:eastAsia="Times New Roman" w:hint="default"/>
                <w:sz w:val="21"/>
                <w:szCs w:val="21"/>
              </w:rPr>
            </w:pPr>
            <w:r>
              <w:rPr>
                <w:rFonts w:ascii="Times New Roman"/>
                <w:spacing w:val="-1"/>
                <w:sz w:val="21"/>
              </w:rPr>
              <w:t>17,385,538.25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35"/>
        <w:ind w:left="674" w:right="490"/>
        <w:jc w:val="left"/>
      </w:pPr>
      <w:r>
        <w:rPr>
          <w:rFonts w:ascii="Times New Roman" w:hAnsi="Times New Roman" w:cs="Times New Roman" w:eastAsia="Times New Roman" w:hint="default"/>
        </w:rPr>
        <w:t>20</w:t>
      </w:r>
      <w:r>
        <w:rPr/>
        <w:t>．资产减值准备</w:t>
      </w:r>
    </w:p>
    <w:tbl>
      <w:tblPr>
        <w:tblW w:w="0" w:type="auto"/>
        <w:jc w:val="left"/>
        <w:tblInd w:w="131" w:type="dxa"/>
        <w:tblLayout w:type="fixed"/>
        <w:tblCellMar>
          <w:top w:w="0" w:type="dxa"/>
          <w:left w:w="0" w:type="dxa"/>
          <w:bottom w:w="0" w:type="dxa"/>
          <w:right w:w="0" w:type="dxa"/>
        </w:tblCellMar>
        <w:tblLook w:val="01E0"/>
      </w:tblPr>
      <w:tblGrid>
        <w:gridCol w:w="2735"/>
        <w:gridCol w:w="1567"/>
        <w:gridCol w:w="1363"/>
        <w:gridCol w:w="1355"/>
        <w:gridCol w:w="660"/>
        <w:gridCol w:w="1349"/>
        <w:gridCol w:w="1380"/>
      </w:tblGrid>
      <w:tr>
        <w:trPr>
          <w:trHeight w:val="430" w:hRule="exact"/>
        </w:trPr>
        <w:tc>
          <w:tcPr>
            <w:tcW w:w="273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57" w:val="left" w:leader="none"/>
              </w:tabs>
              <w:spacing w:line="240" w:lineRule="auto" w:before="120"/>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7"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1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6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35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11"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20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6"/>
              <w:ind w:left="548"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80"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2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0" w:hRule="exact"/>
        </w:trPr>
        <w:tc>
          <w:tcPr>
            <w:tcW w:w="2735" w:type="dxa"/>
            <w:vMerge/>
            <w:tcBorders>
              <w:left w:val="nil" w:sz="6" w:space="0" w:color="auto"/>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355" w:type="dxa"/>
            <w:vMerge/>
            <w:tcBorders>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80" w:type="dxa"/>
            <w:vMerge/>
            <w:tcBorders>
              <w:left w:val="single" w:sz="4" w:space="0" w:color="000000"/>
              <w:bottom w:val="single" w:sz="4" w:space="0" w:color="000000"/>
              <w:right w:val="nil" w:sz="6" w:space="0" w:color="auto"/>
            </w:tcBorders>
          </w:tcPr>
          <w:p>
            <w:pPr/>
          </w:p>
        </w:tc>
      </w:tr>
      <w:tr>
        <w:trPr>
          <w:trHeight w:val="511" w:hRule="exact"/>
        </w:trPr>
        <w:tc>
          <w:tcPr>
            <w:tcW w:w="2735" w:type="dxa"/>
            <w:tcBorders>
              <w:top w:val="single" w:sz="4" w:space="0" w:color="000000"/>
              <w:left w:val="nil" w:sz="6" w:space="0" w:color="auto"/>
              <w:bottom w:val="nil" w:sz="6" w:space="0" w:color="auto"/>
              <w:right w:val="single" w:sz="4"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9,427,514.60</w:t>
            </w:r>
          </w:p>
        </w:tc>
        <w:tc>
          <w:tcPr>
            <w:tcW w:w="13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4,264,470.32</w:t>
            </w:r>
          </w:p>
        </w:tc>
        <w:tc>
          <w:tcPr>
            <w:tcW w:w="13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868,172.55</w:t>
            </w:r>
          </w:p>
        </w:tc>
        <w:tc>
          <w:tcPr>
            <w:tcW w:w="660" w:type="dxa"/>
            <w:vMerge w:val="restart"/>
            <w:tcBorders>
              <w:top w:val="single" w:sz="4" w:space="0" w:color="000000"/>
              <w:left w:val="single" w:sz="4" w:space="0" w:color="000000"/>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1,535,422.45</w:t>
            </w:r>
          </w:p>
        </w:tc>
        <w:tc>
          <w:tcPr>
            <w:tcW w:w="1380"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13,024,735.02</w:t>
            </w:r>
          </w:p>
        </w:tc>
      </w:tr>
      <w:tr>
        <w:trPr>
          <w:trHeight w:val="410" w:hRule="exact"/>
        </w:trPr>
        <w:tc>
          <w:tcPr>
            <w:tcW w:w="273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．应收账款坏账准备</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8,801,273.37</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3,664,584.41</w:t>
            </w:r>
          </w:p>
        </w:tc>
        <w:tc>
          <w:tcPr>
            <w:tcW w:w="13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z w:val="18"/>
              </w:rPr>
              <w:t>733,337.06</w:t>
            </w:r>
          </w:p>
        </w:tc>
        <w:tc>
          <w:tcPr>
            <w:tcW w:w="660" w:type="dxa"/>
            <w:vMerge/>
            <w:tcBorders>
              <w:left w:val="single" w:sz="4" w:space="0" w:color="000000"/>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1,535,422.45</w:t>
            </w:r>
          </w:p>
        </w:tc>
        <w:tc>
          <w:tcPr>
            <w:tcW w:w="1380"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11,663,772.39</w:t>
            </w:r>
          </w:p>
        </w:tc>
      </w:tr>
      <w:tr>
        <w:trPr>
          <w:trHeight w:val="410" w:hRule="exact"/>
        </w:trPr>
        <w:tc>
          <w:tcPr>
            <w:tcW w:w="2735"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．其他应收账款坏账准备</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626,241.23</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599,885.91</w:t>
            </w:r>
          </w:p>
        </w:tc>
        <w:tc>
          <w:tcPr>
            <w:tcW w:w="13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z w:val="18"/>
              </w:rPr>
              <w:t>134,835.49</w:t>
            </w:r>
          </w:p>
        </w:tc>
        <w:tc>
          <w:tcPr>
            <w:tcW w:w="660" w:type="dxa"/>
            <w:vMerge/>
            <w:tcBorders>
              <w:left w:val="single" w:sz="4" w:space="0" w:color="000000"/>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1,360,962.63</w:t>
            </w:r>
          </w:p>
        </w:tc>
      </w:tr>
      <w:tr>
        <w:trPr>
          <w:trHeight w:val="410" w:hRule="exact"/>
        </w:trPr>
        <w:tc>
          <w:tcPr>
            <w:tcW w:w="273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z w:val="18"/>
              </w:rPr>
              <w:t>223,027.75</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94,605.84</w:t>
            </w:r>
          </w:p>
        </w:tc>
        <w:tc>
          <w:tcPr>
            <w:tcW w:w="1355" w:type="dxa"/>
            <w:tcBorders>
              <w:top w:val="nil" w:sz="6" w:space="0" w:color="auto"/>
              <w:left w:val="single" w:sz="4" w:space="0" w:color="000000"/>
              <w:bottom w:val="nil" w:sz="6" w:space="0" w:color="auto"/>
              <w:right w:val="single" w:sz="4" w:space="0" w:color="000000"/>
            </w:tcBorders>
          </w:tcPr>
          <w:p>
            <w:pPr/>
          </w:p>
        </w:tc>
        <w:tc>
          <w:tcPr>
            <w:tcW w:w="660" w:type="dxa"/>
            <w:vMerge/>
            <w:tcBorders>
              <w:left w:val="single" w:sz="4" w:space="0" w:color="000000"/>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80"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317,633.59</w:t>
            </w:r>
          </w:p>
        </w:tc>
      </w:tr>
      <w:tr>
        <w:trPr>
          <w:trHeight w:val="318" w:hRule="exact"/>
        </w:trPr>
        <w:tc>
          <w:tcPr>
            <w:tcW w:w="2735"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1,271,148.60</w:t>
            </w:r>
          </w:p>
        </w:tc>
        <w:tc>
          <w:tcPr>
            <w:tcW w:w="1363" w:type="dxa"/>
            <w:tcBorders>
              <w:top w:val="nil" w:sz="6" w:space="0" w:color="auto"/>
              <w:left w:val="single" w:sz="4" w:space="0" w:color="000000"/>
              <w:bottom w:val="single" w:sz="4" w:space="0" w:color="000000"/>
              <w:right w:val="single" w:sz="4" w:space="0" w:color="000000"/>
            </w:tcBorders>
          </w:tcPr>
          <w:p>
            <w:pPr/>
          </w:p>
        </w:tc>
        <w:tc>
          <w:tcPr>
            <w:tcW w:w="1355" w:type="dxa"/>
            <w:tcBorders>
              <w:top w:val="nil" w:sz="6" w:space="0" w:color="auto"/>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80"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1,271,148.60</w:t>
            </w:r>
          </w:p>
        </w:tc>
      </w:tr>
      <w:tr>
        <w:trPr>
          <w:trHeight w:val="430" w:hRule="exact"/>
        </w:trPr>
        <w:tc>
          <w:tcPr>
            <w:tcW w:w="2735"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147"/>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10,921,690.95</w:t>
            </w:r>
          </w:p>
        </w:tc>
        <w:tc>
          <w:tcPr>
            <w:tcW w:w="13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4,359,076.16</w:t>
            </w:r>
          </w:p>
        </w:tc>
        <w:tc>
          <w:tcPr>
            <w:tcW w:w="13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868,172.55</w:t>
            </w:r>
          </w:p>
        </w:tc>
        <w:tc>
          <w:tcPr>
            <w:tcW w:w="660" w:type="dxa"/>
            <w:tcBorders>
              <w:top w:val="single" w:sz="4" w:space="0" w:color="000000"/>
              <w:left w:val="single" w:sz="4" w:space="0" w:color="000000"/>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1,535,422.45</w:t>
            </w:r>
          </w:p>
        </w:tc>
        <w:tc>
          <w:tcPr>
            <w:tcW w:w="13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14,613,517.21</w:t>
            </w:r>
          </w:p>
        </w:tc>
      </w:tr>
    </w:tbl>
    <w:p>
      <w:pPr>
        <w:spacing w:line="240" w:lineRule="auto" w:before="6"/>
        <w:rPr>
          <w:rFonts w:ascii="宋体" w:hAnsi="宋体" w:cs="宋体" w:eastAsia="宋体" w:hint="default"/>
          <w:sz w:val="6"/>
          <w:szCs w:val="6"/>
        </w:rPr>
      </w:pPr>
    </w:p>
    <w:p>
      <w:pPr>
        <w:pStyle w:val="BodyText"/>
        <w:spacing w:line="240" w:lineRule="auto" w:before="35"/>
        <w:ind w:left="674" w:right="490"/>
        <w:jc w:val="left"/>
      </w:pPr>
      <w:r>
        <w:rPr/>
        <w:t>注：应收账款坏账准备本期转销原因和明细详见附注（五）</w:t>
      </w:r>
      <w:r>
        <w:rPr>
          <w:rFonts w:ascii="Times New Roman" w:hAnsi="Times New Roman" w:cs="Times New Roman" w:eastAsia="Times New Roman" w:hint="default"/>
        </w:rPr>
        <w:t>.4</w:t>
      </w:r>
      <w:r>
        <w:rPr/>
        <w:t>。</w:t>
      </w:r>
    </w:p>
    <w:p>
      <w:pPr>
        <w:pStyle w:val="BodyText"/>
        <w:spacing w:line="240" w:lineRule="auto" w:before="116"/>
        <w:ind w:left="673" w:right="490"/>
        <w:jc w:val="left"/>
      </w:pPr>
      <w:r>
        <w:rPr>
          <w:rFonts w:ascii="Times New Roman" w:hAnsi="Times New Roman" w:cs="Times New Roman" w:eastAsia="Times New Roman" w:hint="default"/>
        </w:rPr>
        <w:t>21</w:t>
      </w:r>
      <w:r>
        <w:rPr/>
        <w:t>．应付账款</w:t>
      </w:r>
    </w:p>
    <w:tbl>
      <w:tblPr>
        <w:tblW w:w="0" w:type="auto"/>
        <w:jc w:val="left"/>
        <w:tblInd w:w="116" w:type="dxa"/>
        <w:tblLayout w:type="fixed"/>
        <w:tblCellMar>
          <w:top w:w="0" w:type="dxa"/>
          <w:left w:w="0" w:type="dxa"/>
          <w:bottom w:w="0" w:type="dxa"/>
          <w:right w:w="0" w:type="dxa"/>
        </w:tblCellMar>
        <w:tblLook w:val="01E0"/>
      </w:tblPr>
      <w:tblGrid>
        <w:gridCol w:w="3508"/>
        <w:gridCol w:w="3155"/>
        <w:gridCol w:w="3206"/>
      </w:tblGrid>
      <w:tr>
        <w:trPr>
          <w:trHeight w:val="427" w:hRule="exact"/>
        </w:trPr>
        <w:tc>
          <w:tcPr>
            <w:tcW w:w="3508"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99"/>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5" w:hRule="exact"/>
        </w:trPr>
        <w:tc>
          <w:tcPr>
            <w:tcW w:w="3508"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99"/>
              <w:ind w:left="1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3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3"/>
              <w:ind w:left="1834" w:right="0"/>
              <w:jc w:val="left"/>
              <w:rPr>
                <w:rFonts w:ascii="Times New Roman" w:hAnsi="Times New Roman" w:cs="Times New Roman" w:eastAsia="Times New Roman" w:hint="default"/>
                <w:sz w:val="21"/>
                <w:szCs w:val="21"/>
              </w:rPr>
            </w:pPr>
            <w:r>
              <w:rPr>
                <w:rFonts w:ascii="Times New Roman"/>
                <w:sz w:val="21"/>
              </w:rPr>
              <w:t>23,529,820.03</w:t>
            </w:r>
          </w:p>
        </w:tc>
        <w:tc>
          <w:tcPr>
            <w:tcW w:w="3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3"/>
              <w:ind w:left="1893" w:right="0"/>
              <w:jc w:val="left"/>
              <w:rPr>
                <w:rFonts w:ascii="Times New Roman" w:hAnsi="Times New Roman" w:cs="Times New Roman" w:eastAsia="Times New Roman" w:hint="default"/>
                <w:sz w:val="21"/>
                <w:szCs w:val="21"/>
              </w:rPr>
            </w:pPr>
            <w:r>
              <w:rPr>
                <w:rFonts w:ascii="Times New Roman"/>
                <w:sz w:val="21"/>
              </w:rPr>
              <w:t>11,470,003.92</w:t>
            </w:r>
          </w:p>
        </w:tc>
      </w:tr>
    </w:tbl>
    <w:p>
      <w:pPr>
        <w:spacing w:line="240" w:lineRule="auto" w:before="1"/>
        <w:rPr>
          <w:rFonts w:ascii="宋体" w:hAnsi="宋体" w:cs="宋体" w:eastAsia="宋体" w:hint="default"/>
          <w:sz w:val="6"/>
          <w:szCs w:val="6"/>
        </w:rPr>
      </w:pPr>
    </w:p>
    <w:p>
      <w:pPr>
        <w:pStyle w:val="BodyText"/>
        <w:spacing w:line="240" w:lineRule="auto" w:before="35"/>
        <w:ind w:left="674" w:right="490"/>
        <w:jc w:val="left"/>
      </w:pPr>
      <w:r>
        <w:rPr/>
        <w:t>注</w:t>
      </w:r>
      <w:r>
        <w:rPr>
          <w:spacing w:val="-105"/>
        </w:rPr>
        <w:t>：</w:t>
      </w:r>
      <w:r>
        <w:rPr/>
        <w:t>（</w:t>
      </w:r>
      <w:r>
        <w:rPr>
          <w:rFonts w:ascii="Times New Roman" w:hAnsi="Times New Roman" w:cs="Times New Roman" w:eastAsia="Times New Roman" w:hint="default"/>
        </w:rPr>
        <w:t>1</w:t>
      </w:r>
      <w:r>
        <w:rPr/>
        <w:t>）</w:t>
      </w:r>
      <w:r>
        <w:rPr>
          <w:spacing w:val="-2"/>
        </w:rPr>
        <w:t>应</w:t>
      </w:r>
      <w:r>
        <w:rPr/>
        <w:t>付账款按币种列示如下：</w:t>
      </w:r>
    </w:p>
    <w:tbl>
      <w:tblPr>
        <w:tblW w:w="0" w:type="auto"/>
        <w:jc w:val="left"/>
        <w:tblInd w:w="136" w:type="dxa"/>
        <w:tblLayout w:type="fixed"/>
        <w:tblCellMar>
          <w:top w:w="0" w:type="dxa"/>
          <w:left w:w="0" w:type="dxa"/>
          <w:bottom w:w="0" w:type="dxa"/>
          <w:right w:w="0" w:type="dxa"/>
        </w:tblCellMar>
        <w:tblLook w:val="01E0"/>
      </w:tblPr>
      <w:tblGrid>
        <w:gridCol w:w="1962"/>
        <w:gridCol w:w="7892"/>
      </w:tblGrid>
      <w:tr>
        <w:trPr>
          <w:trHeight w:val="431" w:hRule="exact"/>
        </w:trPr>
        <w:tc>
          <w:tcPr>
            <w:tcW w:w="1962" w:type="dxa"/>
            <w:tcBorders>
              <w:top w:val="single" w:sz="12" w:space="0" w:color="000000"/>
              <w:left w:val="nil" w:sz="6" w:space="0" w:color="auto"/>
              <w:bottom w:val="single" w:sz="8" w:space="0" w:color="000000"/>
              <w:right w:val="single" w:sz="8" w:space="0" w:color="000000"/>
            </w:tcBorders>
          </w:tcPr>
          <w:p>
            <w:pPr>
              <w:pStyle w:val="TableParagraph"/>
              <w:tabs>
                <w:tab w:pos="1191" w:val="left" w:leader="none"/>
              </w:tabs>
              <w:spacing w:line="240" w:lineRule="auto" w:before="99"/>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99"/>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bl>
    <w:p>
      <w:pPr>
        <w:spacing w:after="0" w:line="240" w:lineRule="auto"/>
        <w:jc w:val="center"/>
        <w:rPr>
          <w:rFonts w:ascii="宋体" w:hAnsi="宋体" w:cs="宋体" w:eastAsia="宋体" w:hint="default"/>
          <w:sz w:val="21"/>
          <w:szCs w:val="21"/>
        </w:rPr>
        <w:sectPr>
          <w:pgSz w:w="11910" w:h="16840"/>
          <w:pgMar w:header="851" w:footer="982" w:top="1200" w:bottom="1180" w:left="880" w:right="380"/>
        </w:sectPr>
      </w:pPr>
    </w:p>
    <w:p>
      <w:pPr>
        <w:spacing w:line="240" w:lineRule="auto" w:before="11"/>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976"/>
        <w:gridCol w:w="1973"/>
        <w:gridCol w:w="1973"/>
        <w:gridCol w:w="1974"/>
        <w:gridCol w:w="1973"/>
      </w:tblGrid>
      <w:tr>
        <w:trPr>
          <w:trHeight w:val="452" w:hRule="exact"/>
        </w:trPr>
        <w:tc>
          <w:tcPr>
            <w:tcW w:w="1976" w:type="dxa"/>
            <w:tcBorders>
              <w:top w:val="single" w:sz="18" w:space="0" w:color="000000"/>
              <w:left w:val="nil" w:sz="6" w:space="0" w:color="auto"/>
              <w:bottom w:val="single" w:sz="8" w:space="0" w:color="000000"/>
              <w:right w:val="single" w:sz="8" w:space="0" w:color="000000"/>
            </w:tcBorders>
          </w:tcPr>
          <w:p>
            <w:pP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29"/>
              <w:ind w:left="766"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129"/>
              <w:ind w:right="11"/>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496" w:hRule="exact"/>
        </w:trPr>
        <w:tc>
          <w:tcPr>
            <w:tcW w:w="1976" w:type="dxa"/>
            <w:tcBorders>
              <w:top w:val="single" w:sz="8" w:space="0" w:color="000000"/>
              <w:left w:val="nil" w:sz="6" w:space="0" w:color="auto"/>
              <w:bottom w:val="nil" w:sz="6" w:space="0" w:color="auto"/>
              <w:right w:val="single" w:sz="8"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4"/>
              <w:ind w:right="95"/>
              <w:jc w:val="right"/>
              <w:rPr>
                <w:rFonts w:ascii="Times New Roman" w:hAnsi="Times New Roman" w:cs="Times New Roman" w:eastAsia="Times New Roman" w:hint="default"/>
                <w:sz w:val="21"/>
                <w:szCs w:val="21"/>
              </w:rPr>
            </w:pPr>
            <w:r>
              <w:rPr>
                <w:rFonts w:ascii="Times New Roman"/>
                <w:spacing w:val="-1"/>
                <w:sz w:val="21"/>
              </w:rPr>
              <w:t>18,450,989.31</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4"/>
              <w:ind w:right="96"/>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164"/>
              <w:ind w:right="106"/>
              <w:jc w:val="right"/>
              <w:rPr>
                <w:rFonts w:ascii="Times New Roman" w:hAnsi="Times New Roman" w:cs="Times New Roman" w:eastAsia="Times New Roman" w:hint="default"/>
                <w:sz w:val="21"/>
                <w:szCs w:val="21"/>
              </w:rPr>
            </w:pPr>
            <w:r>
              <w:rPr>
                <w:rFonts w:ascii="Times New Roman"/>
                <w:spacing w:val="-1"/>
                <w:sz w:val="21"/>
              </w:rPr>
              <w:t>18,450,989.31</w:t>
            </w:r>
          </w:p>
        </w:tc>
      </w:tr>
      <w:tr>
        <w:trPr>
          <w:trHeight w:val="406" w:hRule="exact"/>
        </w:trPr>
        <w:tc>
          <w:tcPr>
            <w:tcW w:w="1976" w:type="dxa"/>
            <w:tcBorders>
              <w:top w:val="nil" w:sz="6" w:space="0" w:color="auto"/>
              <w:left w:val="nil" w:sz="6" w:space="0" w:color="auto"/>
              <w:bottom w:val="nil" w:sz="6" w:space="0" w:color="auto"/>
              <w:right w:val="single" w:sz="8"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6"/>
              <w:jc w:val="right"/>
              <w:rPr>
                <w:rFonts w:ascii="Times New Roman" w:hAnsi="Times New Roman" w:cs="Times New Roman" w:eastAsia="Times New Roman" w:hint="default"/>
                <w:sz w:val="21"/>
                <w:szCs w:val="21"/>
              </w:rPr>
            </w:pPr>
            <w:r>
              <w:rPr>
                <w:rFonts w:ascii="Times New Roman"/>
                <w:spacing w:val="-1"/>
                <w:sz w:val="21"/>
              </w:rPr>
              <w:t>5,964,060.54</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0.8509</w:t>
            </w:r>
            <w:r>
              <w:rPr>
                <w:rFonts w:ascii="Times New Roman"/>
                <w:sz w:val="21"/>
              </w:rPr>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7"/>
              <w:jc w:val="right"/>
              <w:rPr>
                <w:rFonts w:ascii="Times New Roman" w:hAnsi="Times New Roman" w:cs="Times New Roman" w:eastAsia="Times New Roman" w:hint="default"/>
                <w:sz w:val="21"/>
                <w:szCs w:val="21"/>
              </w:rPr>
            </w:pPr>
            <w:r>
              <w:rPr>
                <w:rFonts w:ascii="Times New Roman"/>
                <w:spacing w:val="-2"/>
                <w:sz w:val="21"/>
              </w:rPr>
              <w:t>5,074,819.11</w:t>
            </w:r>
          </w:p>
        </w:tc>
      </w:tr>
      <w:tr>
        <w:trPr>
          <w:trHeight w:val="406" w:hRule="exact"/>
        </w:trPr>
        <w:tc>
          <w:tcPr>
            <w:tcW w:w="1976" w:type="dxa"/>
            <w:tcBorders>
              <w:top w:val="nil" w:sz="6" w:space="0" w:color="auto"/>
              <w:left w:val="nil" w:sz="6" w:space="0" w:color="auto"/>
              <w:bottom w:val="nil" w:sz="6" w:space="0" w:color="auto"/>
              <w:right w:val="single" w:sz="8"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pacing w:val="-1"/>
                <w:sz w:val="21"/>
              </w:rPr>
              <w:t>136.96</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5.12785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1"/>
                <w:szCs w:val="21"/>
              </w:rPr>
            </w:pPr>
            <w:r>
              <w:rPr>
                <w:rFonts w:ascii="Times New Roman"/>
                <w:spacing w:val="-1"/>
                <w:sz w:val="21"/>
              </w:rPr>
              <w:t>702.31</w:t>
            </w:r>
          </w:p>
        </w:tc>
      </w:tr>
      <w:tr>
        <w:trPr>
          <w:trHeight w:val="336" w:hRule="exact"/>
        </w:trPr>
        <w:tc>
          <w:tcPr>
            <w:tcW w:w="1976" w:type="dxa"/>
            <w:tcBorders>
              <w:top w:val="nil" w:sz="6" w:space="0" w:color="auto"/>
              <w:left w:val="nil" w:sz="6" w:space="0" w:color="auto"/>
              <w:bottom w:val="single" w:sz="8" w:space="0" w:color="000000"/>
              <w:right w:val="single" w:sz="8"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3"/>
              <w:ind w:right="1"/>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1,539.21</w:t>
            </w:r>
            <w:r>
              <w:rPr>
                <w:rFonts w:ascii="Times New Roman"/>
                <w:sz w:val="21"/>
              </w:rPr>
            </w:r>
          </w:p>
        </w:tc>
        <w:tc>
          <w:tcPr>
            <w:tcW w:w="19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2.1500</w:t>
            </w:r>
            <w:r>
              <w:rPr>
                <w:rFonts w:ascii="Times New Roman"/>
                <w:sz w:val="21"/>
              </w:rPr>
            </w:r>
          </w:p>
        </w:tc>
        <w:tc>
          <w:tcPr>
            <w:tcW w:w="1973" w:type="dxa"/>
            <w:tcBorders>
              <w:top w:val="nil" w:sz="6" w:space="0" w:color="auto"/>
              <w:left w:val="single" w:sz="8" w:space="0" w:color="000000"/>
              <w:bottom w:val="single" w:sz="8" w:space="0" w:color="000000"/>
              <w:right w:val="nil" w:sz="6" w:space="0" w:color="auto"/>
            </w:tcBorders>
          </w:tcPr>
          <w:p>
            <w:pPr>
              <w:pStyle w:val="TableParagraph"/>
              <w:spacing w:line="240" w:lineRule="auto" w:before="83"/>
              <w:ind w:right="108"/>
              <w:jc w:val="right"/>
              <w:rPr>
                <w:rFonts w:ascii="Times New Roman" w:hAnsi="Times New Roman" w:cs="Times New Roman" w:eastAsia="Times New Roman" w:hint="default"/>
                <w:sz w:val="21"/>
                <w:szCs w:val="21"/>
              </w:rPr>
            </w:pPr>
            <w:r>
              <w:rPr>
                <w:rFonts w:ascii="Times New Roman"/>
                <w:spacing w:val="-1"/>
                <w:sz w:val="21"/>
              </w:rPr>
              <w:t>3,309.30</w:t>
            </w:r>
            <w:r>
              <w:rPr>
                <w:rFonts w:ascii="Times New Roman"/>
                <w:sz w:val="21"/>
              </w:rPr>
            </w:r>
          </w:p>
        </w:tc>
      </w:tr>
      <w:tr>
        <w:trPr>
          <w:trHeight w:val="431" w:hRule="exact"/>
        </w:trPr>
        <w:tc>
          <w:tcPr>
            <w:tcW w:w="1976" w:type="dxa"/>
            <w:tcBorders>
              <w:top w:val="single" w:sz="8" w:space="0" w:color="000000"/>
              <w:left w:val="nil" w:sz="6" w:space="0" w:color="auto"/>
              <w:bottom w:val="single" w:sz="12" w:space="0" w:color="000000"/>
              <w:right w:val="single" w:sz="8" w:space="0" w:color="000000"/>
            </w:tcBorders>
          </w:tcPr>
          <w:p>
            <w:pPr>
              <w:pStyle w:val="TableParagraph"/>
              <w:tabs>
                <w:tab w:pos="1205" w:val="left" w:leader="none"/>
              </w:tabs>
              <w:spacing w:line="240" w:lineRule="auto" w:before="100"/>
              <w:ind w:left="5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4"/>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4"/>
              <w:ind w:left="7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64"/>
              <w:ind w:right="106"/>
              <w:jc w:val="right"/>
              <w:rPr>
                <w:rFonts w:ascii="Times New Roman" w:hAnsi="Times New Roman" w:cs="Times New Roman" w:eastAsia="Times New Roman" w:hint="default"/>
                <w:sz w:val="21"/>
                <w:szCs w:val="21"/>
              </w:rPr>
            </w:pPr>
            <w:r>
              <w:rPr>
                <w:rFonts w:ascii="Times New Roman"/>
                <w:spacing w:val="-1"/>
                <w:sz w:val="21"/>
              </w:rPr>
              <w:t>23,529,820.03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1976"/>
        <w:gridCol w:w="1973"/>
        <w:gridCol w:w="1973"/>
        <w:gridCol w:w="1974"/>
        <w:gridCol w:w="1973"/>
      </w:tblGrid>
      <w:tr>
        <w:trPr>
          <w:trHeight w:val="430" w:hRule="exact"/>
        </w:trPr>
        <w:tc>
          <w:tcPr>
            <w:tcW w:w="1976" w:type="dxa"/>
            <w:vMerge w:val="restart"/>
            <w:tcBorders>
              <w:top w:val="single" w:sz="12" w:space="0" w:color="000000"/>
              <w:left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tabs>
                <w:tab w:pos="1205" w:val="left" w:leader="none"/>
              </w:tabs>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99"/>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36" w:hRule="exact"/>
        </w:trPr>
        <w:tc>
          <w:tcPr>
            <w:tcW w:w="1976"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766"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right="11"/>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496" w:hRule="exact"/>
        </w:trPr>
        <w:tc>
          <w:tcPr>
            <w:tcW w:w="1976" w:type="dxa"/>
            <w:tcBorders>
              <w:top w:val="single" w:sz="8" w:space="0" w:color="000000"/>
              <w:left w:val="nil" w:sz="6" w:space="0" w:color="auto"/>
              <w:bottom w:val="nil" w:sz="6" w:space="0" w:color="auto"/>
              <w:right w:val="single" w:sz="8"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4"/>
              <w:ind w:right="95"/>
              <w:jc w:val="right"/>
              <w:rPr>
                <w:rFonts w:ascii="Times New Roman" w:hAnsi="Times New Roman" w:cs="Times New Roman" w:eastAsia="Times New Roman" w:hint="default"/>
                <w:sz w:val="21"/>
                <w:szCs w:val="21"/>
              </w:rPr>
            </w:pPr>
            <w:r>
              <w:rPr>
                <w:rFonts w:ascii="Times New Roman"/>
                <w:spacing w:val="-1"/>
                <w:sz w:val="21"/>
              </w:rPr>
              <w:t>9,893,292.50</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164"/>
              <w:ind w:right="105"/>
              <w:jc w:val="right"/>
              <w:rPr>
                <w:rFonts w:ascii="Times New Roman" w:hAnsi="Times New Roman" w:cs="Times New Roman" w:eastAsia="Times New Roman" w:hint="default"/>
                <w:sz w:val="21"/>
                <w:szCs w:val="21"/>
              </w:rPr>
            </w:pPr>
            <w:r>
              <w:rPr>
                <w:rFonts w:ascii="Times New Roman"/>
                <w:spacing w:val="-1"/>
                <w:sz w:val="21"/>
              </w:rPr>
              <w:t>9,893,292.50</w:t>
            </w:r>
          </w:p>
        </w:tc>
      </w:tr>
      <w:tr>
        <w:trPr>
          <w:trHeight w:val="406" w:hRule="exact"/>
        </w:trPr>
        <w:tc>
          <w:tcPr>
            <w:tcW w:w="1976" w:type="dxa"/>
            <w:tcBorders>
              <w:top w:val="nil" w:sz="6" w:space="0" w:color="auto"/>
              <w:left w:val="nil" w:sz="6" w:space="0" w:color="auto"/>
              <w:bottom w:val="nil" w:sz="6" w:space="0" w:color="auto"/>
              <w:right w:val="single" w:sz="8"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5"/>
              <w:jc w:val="right"/>
              <w:rPr>
                <w:rFonts w:ascii="Times New Roman" w:hAnsi="Times New Roman" w:cs="Times New Roman" w:eastAsia="Times New Roman" w:hint="default"/>
                <w:sz w:val="21"/>
                <w:szCs w:val="21"/>
              </w:rPr>
            </w:pPr>
            <w:r>
              <w:rPr>
                <w:rFonts w:ascii="Times New Roman"/>
                <w:spacing w:val="-1"/>
                <w:sz w:val="21"/>
              </w:rPr>
              <w:t>1,789,458.03</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0"/>
              <w:jc w:val="center"/>
              <w:rPr>
                <w:rFonts w:ascii="Times New Roman" w:hAnsi="Times New Roman" w:cs="Times New Roman" w:eastAsia="Times New Roman" w:hint="default"/>
                <w:sz w:val="21"/>
                <w:szCs w:val="21"/>
              </w:rPr>
            </w:pPr>
            <w:r>
              <w:rPr>
                <w:rFonts w:ascii="Times New Roman"/>
                <w:sz w:val="21"/>
              </w:rPr>
              <w:t>0.8805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1"/>
                <w:szCs w:val="21"/>
              </w:rPr>
            </w:pPr>
            <w:r>
              <w:rPr>
                <w:rFonts w:ascii="Times New Roman"/>
                <w:spacing w:val="-1"/>
                <w:sz w:val="21"/>
              </w:rPr>
              <w:t>1,575,582.01</w:t>
            </w:r>
          </w:p>
        </w:tc>
      </w:tr>
      <w:tr>
        <w:trPr>
          <w:trHeight w:val="337" w:hRule="exact"/>
        </w:trPr>
        <w:tc>
          <w:tcPr>
            <w:tcW w:w="1976" w:type="dxa"/>
            <w:tcBorders>
              <w:top w:val="nil" w:sz="6" w:space="0" w:color="auto"/>
              <w:left w:val="nil" w:sz="6" w:space="0" w:color="auto"/>
              <w:bottom w:val="single" w:sz="8" w:space="0" w:color="000000"/>
              <w:right w:val="single" w:sz="8" w:space="0" w:color="000000"/>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4"/>
              <w:ind w:right="96"/>
              <w:jc w:val="right"/>
              <w:rPr>
                <w:rFonts w:ascii="Times New Roman" w:hAnsi="Times New Roman" w:cs="Times New Roman" w:eastAsia="Times New Roman" w:hint="default"/>
                <w:sz w:val="21"/>
                <w:szCs w:val="21"/>
              </w:rPr>
            </w:pPr>
            <w:r>
              <w:rPr>
                <w:rFonts w:ascii="Times New Roman"/>
                <w:spacing w:val="-1"/>
                <w:sz w:val="21"/>
              </w:rPr>
              <w:t>566.00</w:t>
            </w:r>
            <w:r>
              <w:rPr>
                <w:rFonts w:ascii="Times New Roman"/>
                <w:sz w:val="21"/>
              </w:rPr>
            </w:r>
          </w:p>
        </w:tc>
        <w:tc>
          <w:tcPr>
            <w:tcW w:w="19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1.9954</w:t>
            </w:r>
          </w:p>
        </w:tc>
        <w:tc>
          <w:tcPr>
            <w:tcW w:w="1973" w:type="dxa"/>
            <w:tcBorders>
              <w:top w:val="nil" w:sz="6" w:space="0" w:color="auto"/>
              <w:left w:val="single" w:sz="8" w:space="0" w:color="000000"/>
              <w:bottom w:val="single" w:sz="8" w:space="0" w:color="000000"/>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21"/>
                <w:szCs w:val="21"/>
              </w:rPr>
            </w:pPr>
            <w:r>
              <w:rPr>
                <w:rFonts w:ascii="Times New Roman"/>
                <w:spacing w:val="-1"/>
                <w:sz w:val="21"/>
              </w:rPr>
              <w:t>1,129.41</w:t>
            </w:r>
            <w:r>
              <w:rPr>
                <w:rFonts w:ascii="Times New Roman"/>
                <w:sz w:val="21"/>
              </w:rPr>
            </w:r>
          </w:p>
        </w:tc>
      </w:tr>
      <w:tr>
        <w:trPr>
          <w:trHeight w:val="431" w:hRule="exact"/>
        </w:trPr>
        <w:tc>
          <w:tcPr>
            <w:tcW w:w="1976" w:type="dxa"/>
            <w:tcBorders>
              <w:top w:val="single" w:sz="8" w:space="0" w:color="000000"/>
              <w:left w:val="nil" w:sz="6" w:space="0" w:color="auto"/>
              <w:bottom w:val="single" w:sz="12" w:space="0" w:color="000000"/>
              <w:right w:val="single" w:sz="8" w:space="0" w:color="000000"/>
            </w:tcBorders>
          </w:tcPr>
          <w:p>
            <w:pPr>
              <w:pStyle w:val="TableParagraph"/>
              <w:tabs>
                <w:tab w:pos="1205" w:val="left" w:leader="none"/>
              </w:tabs>
              <w:spacing w:line="240" w:lineRule="auto" w:before="100"/>
              <w:ind w:left="5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4"/>
              <w:ind w:left="76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64"/>
              <w:ind w:right="106"/>
              <w:jc w:val="right"/>
              <w:rPr>
                <w:rFonts w:ascii="Times New Roman" w:hAnsi="Times New Roman" w:cs="Times New Roman" w:eastAsia="Times New Roman" w:hint="default"/>
                <w:sz w:val="21"/>
                <w:szCs w:val="21"/>
              </w:rPr>
            </w:pPr>
            <w:r>
              <w:rPr>
                <w:rFonts w:ascii="Times New Roman"/>
                <w:spacing w:val="-1"/>
                <w:sz w:val="21"/>
              </w:rPr>
              <w:t>11,470,003.92</w:t>
            </w:r>
          </w:p>
        </w:tc>
      </w:tr>
    </w:tbl>
    <w:p>
      <w:pPr>
        <w:spacing w:line="240" w:lineRule="auto" w:before="12"/>
        <w:rPr>
          <w:rFonts w:ascii="宋体" w:hAnsi="宋体" w:cs="宋体" w:eastAsia="宋体" w:hint="default"/>
          <w:sz w:val="4"/>
          <w:szCs w:val="4"/>
        </w:rPr>
      </w:pPr>
    </w:p>
    <w:p>
      <w:pPr>
        <w:pStyle w:val="BodyText"/>
        <w:spacing w:line="240" w:lineRule="auto" w:before="35"/>
        <w:ind w:left="674" w:right="210"/>
        <w:jc w:val="left"/>
      </w:pPr>
      <w:r>
        <w:rPr/>
        <w:t>（</w:t>
      </w:r>
      <w:r>
        <w:rPr>
          <w:rFonts w:ascii="Times New Roman" w:hAnsi="Times New Roman" w:cs="Times New Roman" w:eastAsia="Times New Roman" w:hint="default"/>
        </w:rPr>
        <w:t>2</w:t>
      </w:r>
      <w:r>
        <w:rPr/>
        <w:t>）应付账款年末余额中无持公司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）以上表决权股份股东单位的款项。</w:t>
      </w:r>
    </w:p>
    <w:p>
      <w:pPr>
        <w:pStyle w:val="BodyText"/>
        <w:spacing w:line="336" w:lineRule="auto" w:before="115"/>
        <w:ind w:left="253" w:right="210" w:firstLine="420"/>
        <w:jc w:val="left"/>
      </w:pPr>
      <w:r>
        <w:rPr/>
        <w:t>（</w:t>
      </w:r>
      <w:r>
        <w:rPr>
          <w:rFonts w:ascii="Times New Roman" w:hAnsi="Times New Roman" w:cs="Times New Roman" w:eastAsia="Times New Roman" w:hint="default"/>
        </w:rPr>
        <w:t>3</w:t>
      </w:r>
      <w:r>
        <w:rPr/>
        <w:t>）应付账款</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日比</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日上升</w:t>
      </w:r>
      <w:r>
        <w:rPr>
          <w:spacing w:val="-49"/>
        </w:rPr>
        <w:t> </w:t>
      </w:r>
      <w:r>
        <w:rPr>
          <w:rFonts w:ascii="Times New Roman" w:hAnsi="Times New Roman" w:cs="Times New Roman" w:eastAsia="Times New Roman" w:hint="default"/>
        </w:rPr>
        <w:t>105.14</w:t>
      </w:r>
      <w:r>
        <w:rPr/>
        <w:t>％，主要是随着业务大幅增加， 公司为了销售的需要适当增加了存货的采购量，使得应付账款相应有所增加。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673" w:right="210"/>
        <w:jc w:val="left"/>
      </w:pPr>
      <w:r>
        <w:rPr>
          <w:rFonts w:ascii="Times New Roman" w:hAnsi="Times New Roman" w:cs="Times New Roman" w:eastAsia="Times New Roman" w:hint="default"/>
        </w:rPr>
        <w:t>22</w:t>
      </w:r>
      <w:r>
        <w:rPr/>
        <w:t>．预收账款</w:t>
      </w:r>
    </w:p>
    <w:tbl>
      <w:tblPr>
        <w:tblW w:w="0" w:type="auto"/>
        <w:jc w:val="left"/>
        <w:tblInd w:w="116" w:type="dxa"/>
        <w:tblLayout w:type="fixed"/>
        <w:tblCellMar>
          <w:top w:w="0" w:type="dxa"/>
          <w:left w:w="0" w:type="dxa"/>
          <w:bottom w:w="0" w:type="dxa"/>
          <w:right w:w="0" w:type="dxa"/>
        </w:tblCellMar>
        <w:tblLook w:val="01E0"/>
      </w:tblPr>
      <w:tblGrid>
        <w:gridCol w:w="3508"/>
        <w:gridCol w:w="3155"/>
        <w:gridCol w:w="3206"/>
      </w:tblGrid>
      <w:tr>
        <w:trPr>
          <w:trHeight w:val="425" w:hRule="exact"/>
        </w:trPr>
        <w:tc>
          <w:tcPr>
            <w:tcW w:w="3508"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99"/>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27" w:hRule="exact"/>
        </w:trPr>
        <w:tc>
          <w:tcPr>
            <w:tcW w:w="3508"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99"/>
              <w:ind w:left="19"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3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3"/>
              <w:ind w:left="1834" w:right="0"/>
              <w:jc w:val="left"/>
              <w:rPr>
                <w:rFonts w:ascii="Times New Roman" w:hAnsi="Times New Roman" w:cs="Times New Roman" w:eastAsia="Times New Roman" w:hint="default"/>
                <w:sz w:val="21"/>
                <w:szCs w:val="21"/>
              </w:rPr>
            </w:pPr>
            <w:r>
              <w:rPr>
                <w:rFonts w:ascii="Times New Roman"/>
                <w:sz w:val="21"/>
              </w:rPr>
              <w:t>72,314,623.29</w:t>
            </w:r>
          </w:p>
        </w:tc>
        <w:tc>
          <w:tcPr>
            <w:tcW w:w="3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3"/>
              <w:ind w:left="1886" w:right="0"/>
              <w:jc w:val="left"/>
              <w:rPr>
                <w:rFonts w:ascii="Times New Roman" w:hAnsi="Times New Roman" w:cs="Times New Roman" w:eastAsia="Times New Roman" w:hint="default"/>
                <w:sz w:val="21"/>
                <w:szCs w:val="21"/>
              </w:rPr>
            </w:pPr>
            <w:r>
              <w:rPr>
                <w:rFonts w:ascii="Times New Roman"/>
                <w:sz w:val="21"/>
              </w:rPr>
              <w:t>84,321,385.57</w:t>
            </w:r>
          </w:p>
        </w:tc>
      </w:tr>
    </w:tbl>
    <w:p>
      <w:pPr>
        <w:spacing w:line="240" w:lineRule="auto" w:before="2"/>
        <w:rPr>
          <w:rFonts w:ascii="宋体" w:hAnsi="宋体" w:cs="宋体" w:eastAsia="宋体" w:hint="default"/>
          <w:sz w:val="6"/>
          <w:szCs w:val="6"/>
        </w:rPr>
      </w:pPr>
    </w:p>
    <w:p>
      <w:pPr>
        <w:pStyle w:val="BodyText"/>
        <w:spacing w:line="240" w:lineRule="auto" w:before="35"/>
        <w:ind w:left="674" w:right="210"/>
        <w:jc w:val="left"/>
      </w:pPr>
      <w:r>
        <w:rPr/>
        <w:t>注</w:t>
      </w:r>
      <w:r>
        <w:rPr>
          <w:spacing w:val="-105"/>
        </w:rPr>
        <w:t>：</w:t>
      </w:r>
      <w:r>
        <w:rPr/>
        <w:t>（</w:t>
      </w:r>
      <w:r>
        <w:rPr>
          <w:rFonts w:ascii="Times New Roman" w:hAnsi="Times New Roman" w:cs="Times New Roman" w:eastAsia="Times New Roman" w:hint="default"/>
        </w:rPr>
        <w:t>1</w:t>
      </w:r>
      <w:r>
        <w:rPr/>
        <w:t>）</w:t>
      </w:r>
      <w:r>
        <w:rPr>
          <w:spacing w:val="-2"/>
        </w:rPr>
        <w:t>预</w:t>
      </w:r>
      <w:r>
        <w:rPr/>
        <w:t>收账款按币种列示如下：</w:t>
      </w:r>
    </w:p>
    <w:tbl>
      <w:tblPr>
        <w:tblW w:w="0" w:type="auto"/>
        <w:jc w:val="left"/>
        <w:tblInd w:w="146" w:type="dxa"/>
        <w:tblLayout w:type="fixed"/>
        <w:tblCellMar>
          <w:top w:w="0" w:type="dxa"/>
          <w:left w:w="0" w:type="dxa"/>
          <w:bottom w:w="0" w:type="dxa"/>
          <w:right w:w="0" w:type="dxa"/>
        </w:tblCellMar>
        <w:tblLook w:val="01E0"/>
      </w:tblPr>
      <w:tblGrid>
        <w:gridCol w:w="1962"/>
        <w:gridCol w:w="1973"/>
        <w:gridCol w:w="1973"/>
        <w:gridCol w:w="1974"/>
        <w:gridCol w:w="1973"/>
      </w:tblGrid>
      <w:tr>
        <w:trPr>
          <w:trHeight w:val="430" w:hRule="exact"/>
        </w:trPr>
        <w:tc>
          <w:tcPr>
            <w:tcW w:w="1962" w:type="dxa"/>
            <w:vMerge w:val="restart"/>
            <w:tcBorders>
              <w:top w:val="single" w:sz="12" w:space="0" w:color="000000"/>
              <w:left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tabs>
                <w:tab w:pos="1191" w:val="left" w:leader="none"/>
              </w:tabs>
              <w:spacing w:line="240" w:lineRule="auto"/>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99"/>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37" w:hRule="exact"/>
        </w:trPr>
        <w:tc>
          <w:tcPr>
            <w:tcW w:w="1962"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0"/>
              <w:ind w:left="659"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95" w:hRule="exact"/>
        </w:trPr>
        <w:tc>
          <w:tcPr>
            <w:tcW w:w="1962" w:type="dxa"/>
            <w:tcBorders>
              <w:top w:val="single" w:sz="8" w:space="0" w:color="000000"/>
              <w:left w:val="nil" w:sz="6" w:space="0" w:color="auto"/>
              <w:bottom w:val="nil" w:sz="6" w:space="0" w:color="auto"/>
              <w:right w:val="single" w:sz="8" w:space="0" w:color="000000"/>
            </w:tcBorders>
          </w:tcPr>
          <w:p>
            <w:pPr>
              <w:pStyle w:val="TableParagraph"/>
              <w:spacing w:line="240" w:lineRule="auto" w:before="99"/>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3"/>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3"/>
              <w:ind w:right="95"/>
              <w:jc w:val="right"/>
              <w:rPr>
                <w:rFonts w:ascii="Times New Roman" w:hAnsi="Times New Roman" w:cs="Times New Roman" w:eastAsia="Times New Roman" w:hint="default"/>
                <w:sz w:val="21"/>
                <w:szCs w:val="21"/>
              </w:rPr>
            </w:pPr>
            <w:r>
              <w:rPr>
                <w:rFonts w:ascii="Times New Roman"/>
                <w:spacing w:val="-1"/>
                <w:sz w:val="21"/>
              </w:rPr>
              <w:t>67,288,027.11</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63"/>
              <w:ind w:right="96"/>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163"/>
              <w:ind w:right="106"/>
              <w:jc w:val="right"/>
              <w:rPr>
                <w:rFonts w:ascii="Times New Roman" w:hAnsi="Times New Roman" w:cs="Times New Roman" w:eastAsia="Times New Roman" w:hint="default"/>
                <w:sz w:val="21"/>
                <w:szCs w:val="21"/>
              </w:rPr>
            </w:pPr>
            <w:r>
              <w:rPr>
                <w:rFonts w:ascii="Times New Roman"/>
                <w:spacing w:val="-1"/>
                <w:sz w:val="21"/>
              </w:rPr>
              <w:t>67,288,027.11</w:t>
            </w:r>
          </w:p>
        </w:tc>
      </w:tr>
      <w:tr>
        <w:trPr>
          <w:trHeight w:val="406" w:hRule="exact"/>
        </w:trPr>
        <w:tc>
          <w:tcPr>
            <w:tcW w:w="1962" w:type="dxa"/>
            <w:tcBorders>
              <w:top w:val="nil" w:sz="6" w:space="0" w:color="auto"/>
              <w:left w:val="nil" w:sz="6" w:space="0" w:color="auto"/>
              <w:bottom w:val="nil" w:sz="6" w:space="0" w:color="auto"/>
              <w:right w:val="single" w:sz="8" w:space="0" w:color="000000"/>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pacing w:val="-1"/>
                <w:sz w:val="21"/>
              </w:rPr>
              <w:t>4,635,671.69</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84"/>
              <w:ind w:right="97"/>
              <w:jc w:val="right"/>
              <w:rPr>
                <w:rFonts w:ascii="Times New Roman" w:hAnsi="Times New Roman" w:cs="Times New Roman" w:eastAsia="Times New Roman" w:hint="default"/>
                <w:sz w:val="21"/>
                <w:szCs w:val="21"/>
              </w:rPr>
            </w:pPr>
            <w:r>
              <w:rPr>
                <w:rFonts w:ascii="Times New Roman"/>
                <w:spacing w:val="-1"/>
                <w:sz w:val="21"/>
              </w:rPr>
              <w:t>0.8509</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21"/>
                <w:szCs w:val="21"/>
              </w:rPr>
            </w:pPr>
            <w:r>
              <w:rPr>
                <w:rFonts w:ascii="Times New Roman"/>
                <w:spacing w:val="-1"/>
                <w:sz w:val="21"/>
              </w:rPr>
              <w:t>3,944,493.05</w:t>
            </w:r>
          </w:p>
        </w:tc>
      </w:tr>
      <w:tr>
        <w:trPr>
          <w:trHeight w:val="406" w:hRule="exact"/>
        </w:trPr>
        <w:tc>
          <w:tcPr>
            <w:tcW w:w="1962" w:type="dxa"/>
            <w:tcBorders>
              <w:top w:val="nil" w:sz="6" w:space="0" w:color="auto"/>
              <w:left w:val="nil" w:sz="6" w:space="0" w:color="auto"/>
              <w:bottom w:val="nil" w:sz="6" w:space="0" w:color="auto"/>
              <w:right w:val="single" w:sz="8" w:space="0" w:color="000000"/>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1"/>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129,718.12</w:t>
            </w:r>
            <w:r>
              <w:rPr>
                <w:rFonts w:ascii="Times New Roman"/>
                <w:sz w:val="21"/>
              </w:rPr>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5.1279</w:t>
            </w:r>
            <w:r>
              <w:rPr>
                <w:rFonts w:ascii="Times New Roman"/>
                <w:sz w:val="21"/>
              </w:rPr>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83"/>
              <w:ind w:right="108"/>
              <w:jc w:val="right"/>
              <w:rPr>
                <w:rFonts w:ascii="Times New Roman" w:hAnsi="Times New Roman" w:cs="Times New Roman" w:eastAsia="Times New Roman" w:hint="default"/>
                <w:sz w:val="21"/>
                <w:szCs w:val="21"/>
              </w:rPr>
            </w:pPr>
            <w:r>
              <w:rPr>
                <w:rFonts w:ascii="Times New Roman"/>
                <w:spacing w:val="-1"/>
                <w:sz w:val="21"/>
              </w:rPr>
              <w:t>665,175.06</w:t>
            </w:r>
            <w:r>
              <w:rPr>
                <w:rFonts w:ascii="Times New Roman"/>
                <w:sz w:val="21"/>
              </w:rPr>
            </w:r>
          </w:p>
        </w:tc>
      </w:tr>
      <w:tr>
        <w:trPr>
          <w:trHeight w:val="332" w:hRule="exact"/>
        </w:trPr>
        <w:tc>
          <w:tcPr>
            <w:tcW w:w="1962" w:type="dxa"/>
            <w:tcBorders>
              <w:top w:val="nil" w:sz="6" w:space="0" w:color="auto"/>
              <w:left w:val="nil" w:sz="6" w:space="0" w:color="auto"/>
              <w:bottom w:val="single" w:sz="4" w:space="0" w:color="000000"/>
              <w:right w:val="single" w:sz="8" w:space="0" w:color="000000"/>
            </w:tcBorders>
          </w:tcPr>
          <w:p>
            <w:pPr>
              <w:pStyle w:val="TableParagraph"/>
              <w:spacing w:line="240" w:lineRule="auto" w:before="20"/>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83"/>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83"/>
              <w:ind w:right="97"/>
              <w:jc w:val="right"/>
              <w:rPr>
                <w:rFonts w:ascii="Times New Roman" w:hAnsi="Times New Roman" w:cs="Times New Roman" w:eastAsia="Times New Roman" w:hint="default"/>
                <w:sz w:val="21"/>
                <w:szCs w:val="21"/>
              </w:rPr>
            </w:pPr>
            <w:r>
              <w:rPr>
                <w:rFonts w:ascii="Times New Roman"/>
                <w:spacing w:val="-1"/>
                <w:sz w:val="21"/>
              </w:rPr>
              <w:t>193,920.03</w:t>
            </w:r>
            <w:r>
              <w:rPr>
                <w:rFonts w:ascii="Times New Roman"/>
                <w:sz w:val="21"/>
              </w:rPr>
            </w:r>
          </w:p>
        </w:tc>
        <w:tc>
          <w:tcPr>
            <w:tcW w:w="1974"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2.1500</w:t>
            </w:r>
            <w:r>
              <w:rPr>
                <w:rFonts w:ascii="Times New Roman"/>
                <w:sz w:val="21"/>
              </w:rPr>
            </w:r>
          </w:p>
        </w:tc>
        <w:tc>
          <w:tcPr>
            <w:tcW w:w="1973" w:type="dxa"/>
            <w:tcBorders>
              <w:top w:val="nil" w:sz="6" w:space="0" w:color="auto"/>
              <w:left w:val="single" w:sz="8" w:space="0" w:color="000000"/>
              <w:bottom w:val="single" w:sz="4" w:space="0" w:color="000000"/>
              <w:right w:val="nil" w:sz="6" w:space="0" w:color="auto"/>
            </w:tcBorders>
          </w:tcPr>
          <w:p>
            <w:pPr>
              <w:pStyle w:val="TableParagraph"/>
              <w:spacing w:line="240" w:lineRule="auto" w:before="83"/>
              <w:ind w:right="107"/>
              <w:jc w:val="right"/>
              <w:rPr>
                <w:rFonts w:ascii="Times New Roman" w:hAnsi="Times New Roman" w:cs="Times New Roman" w:eastAsia="Times New Roman" w:hint="default"/>
                <w:sz w:val="21"/>
                <w:szCs w:val="21"/>
              </w:rPr>
            </w:pPr>
            <w:r>
              <w:rPr>
                <w:rFonts w:ascii="Times New Roman"/>
                <w:spacing w:val="-1"/>
                <w:sz w:val="21"/>
              </w:rPr>
              <w:t>416,928.07</w:t>
            </w:r>
            <w:r>
              <w:rPr>
                <w:rFonts w:ascii="Times New Roman"/>
                <w:sz w:val="21"/>
              </w:rPr>
            </w:r>
          </w:p>
        </w:tc>
      </w:tr>
      <w:tr>
        <w:trPr>
          <w:trHeight w:val="425" w:hRule="exact"/>
        </w:trPr>
        <w:tc>
          <w:tcPr>
            <w:tcW w:w="1962" w:type="dxa"/>
            <w:tcBorders>
              <w:top w:val="single" w:sz="4" w:space="0" w:color="000000"/>
              <w:left w:val="nil" w:sz="6" w:space="0" w:color="auto"/>
              <w:bottom w:val="single" w:sz="12" w:space="0" w:color="000000"/>
              <w:right w:val="single" w:sz="8" w:space="0" w:color="000000"/>
            </w:tcBorders>
          </w:tcPr>
          <w:p>
            <w:pPr>
              <w:pStyle w:val="TableParagraph"/>
              <w:tabs>
                <w:tab w:pos="1191" w:val="left" w:leader="none"/>
              </w:tabs>
              <w:spacing w:line="240" w:lineRule="auto" w:before="99"/>
              <w:ind w:left="56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6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63"/>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63"/>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63"/>
              <w:ind w:right="106"/>
              <w:jc w:val="right"/>
              <w:rPr>
                <w:rFonts w:ascii="Times New Roman" w:hAnsi="Times New Roman" w:cs="Times New Roman" w:eastAsia="Times New Roman" w:hint="default"/>
                <w:sz w:val="21"/>
                <w:szCs w:val="21"/>
              </w:rPr>
            </w:pPr>
            <w:r>
              <w:rPr>
                <w:rFonts w:ascii="Times New Roman"/>
                <w:spacing w:val="-1"/>
                <w:sz w:val="21"/>
              </w:rPr>
              <w:t>72,314,623.29</w:t>
            </w:r>
          </w:p>
        </w:tc>
      </w:tr>
      <w:tr>
        <w:trPr>
          <w:trHeight w:val="495" w:hRule="exact"/>
        </w:trPr>
        <w:tc>
          <w:tcPr>
            <w:tcW w:w="1962"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191" w:val="left" w:leader="none"/>
              </w:tabs>
              <w:spacing w:line="240" w:lineRule="auto" w:before="152"/>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2"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62"/>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00" w:hRule="exact"/>
        </w:trPr>
        <w:tc>
          <w:tcPr>
            <w:tcW w:w="1962"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7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3"/>
              <w:ind w:left="659"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90" w:hRule="exact"/>
        </w:trPr>
        <w:tc>
          <w:tcPr>
            <w:tcW w:w="1962" w:type="dxa"/>
            <w:tcBorders>
              <w:top w:val="single" w:sz="8" w:space="0" w:color="000000"/>
              <w:left w:val="nil" w:sz="6" w:space="0" w:color="auto"/>
              <w:bottom w:val="nil" w:sz="6" w:space="0" w:color="auto"/>
              <w:right w:val="single" w:sz="8"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80,209,720.95</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87" w:right="0"/>
              <w:jc w:val="lef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8" w:space="0" w:color="000000"/>
              <w:left w:val="single" w:sz="8"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80,209,720.95</w:t>
            </w:r>
          </w:p>
        </w:tc>
      </w:tr>
      <w:tr>
        <w:trPr>
          <w:trHeight w:val="470" w:hRule="exact"/>
        </w:trPr>
        <w:tc>
          <w:tcPr>
            <w:tcW w:w="1962" w:type="dxa"/>
            <w:tcBorders>
              <w:top w:val="nil" w:sz="6" w:space="0" w:color="auto"/>
              <w:left w:val="nil" w:sz="6" w:space="0" w:color="auto"/>
              <w:bottom w:val="nil" w:sz="6" w:space="0" w:color="auto"/>
              <w:right w:val="single" w:sz="8" w:space="0" w:color="000000"/>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pacing w:val="-1"/>
                <w:sz w:val="21"/>
              </w:rPr>
              <w:t>3,456,336.80</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6"/>
              <w:ind w:left="687" w:right="0"/>
              <w:jc w:val="left"/>
              <w:rPr>
                <w:rFonts w:ascii="Times New Roman" w:hAnsi="Times New Roman" w:cs="Times New Roman" w:eastAsia="Times New Roman" w:hint="default"/>
                <w:sz w:val="21"/>
                <w:szCs w:val="21"/>
              </w:rPr>
            </w:pPr>
            <w:r>
              <w:rPr>
                <w:rFonts w:ascii="Times New Roman"/>
                <w:sz w:val="21"/>
              </w:rPr>
              <w:t>0.8805</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3,043,235.43</w:t>
            </w:r>
          </w:p>
        </w:tc>
      </w:tr>
      <w:tr>
        <w:trPr>
          <w:trHeight w:val="359" w:hRule="exact"/>
        </w:trPr>
        <w:tc>
          <w:tcPr>
            <w:tcW w:w="1962" w:type="dxa"/>
            <w:tcBorders>
              <w:top w:val="nil" w:sz="6" w:space="0" w:color="auto"/>
              <w:left w:val="nil" w:sz="6" w:space="0" w:color="auto"/>
              <w:bottom w:val="nil" w:sz="6" w:space="0" w:color="auto"/>
              <w:right w:val="single" w:sz="8" w:space="0" w:color="000000"/>
            </w:tcBorders>
          </w:tcPr>
          <w:p>
            <w:pPr>
              <w:pStyle w:val="TableParagraph"/>
              <w:spacing w:line="240" w:lineRule="auto" w:before="52"/>
              <w:ind w:left="1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SGD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152,841.40</w:t>
            </w:r>
            <w:r>
              <w:rPr>
                <w:rFonts w:ascii="Times New Roman"/>
                <w:sz w:val="21"/>
              </w:rPr>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6"/>
              <w:ind w:left="686" w:right="0"/>
              <w:jc w:val="left"/>
              <w:rPr>
                <w:rFonts w:ascii="Times New Roman" w:hAnsi="Times New Roman" w:cs="Times New Roman" w:eastAsia="Times New Roman" w:hint="default"/>
                <w:sz w:val="21"/>
                <w:szCs w:val="21"/>
              </w:rPr>
            </w:pPr>
            <w:r>
              <w:rPr>
                <w:rFonts w:ascii="Times New Roman"/>
                <w:sz w:val="21"/>
              </w:rPr>
              <w:t>4.8656</w:t>
            </w:r>
          </w:p>
        </w:tc>
        <w:tc>
          <w:tcPr>
            <w:tcW w:w="1973" w:type="dxa"/>
            <w:tcBorders>
              <w:top w:val="nil" w:sz="6" w:space="0" w:color="auto"/>
              <w:left w:val="single" w:sz="8" w:space="0" w:color="000000"/>
              <w:bottom w:val="nil" w:sz="6" w:space="0" w:color="auto"/>
              <w:right w:val="nil" w:sz="6" w:space="0" w:color="auto"/>
            </w:tcBorders>
          </w:tcPr>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743,068.04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976"/>
        <w:gridCol w:w="1973"/>
        <w:gridCol w:w="1973"/>
        <w:gridCol w:w="1974"/>
        <w:gridCol w:w="1973"/>
      </w:tblGrid>
      <w:tr>
        <w:trPr>
          <w:trHeight w:val="482" w:hRule="exact"/>
        </w:trPr>
        <w:tc>
          <w:tcPr>
            <w:tcW w:w="1976" w:type="dxa"/>
            <w:tcBorders>
              <w:top w:val="single" w:sz="6" w:space="0" w:color="000000"/>
              <w:left w:val="nil" w:sz="6" w:space="0" w:color="auto"/>
              <w:bottom w:val="single" w:sz="4" w:space="0" w:color="000000"/>
              <w:right w:val="single" w:sz="8"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8"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single" w:sz="6" w:space="0" w:color="000000"/>
              <w:left w:val="single" w:sz="8"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09" w:right="0"/>
              <w:jc w:val="left"/>
              <w:rPr>
                <w:rFonts w:ascii="Times New Roman" w:hAnsi="Times New Roman" w:cs="Times New Roman" w:eastAsia="Times New Roman" w:hint="default"/>
                <w:sz w:val="21"/>
                <w:szCs w:val="21"/>
              </w:rPr>
            </w:pPr>
            <w:r>
              <w:rPr>
                <w:rFonts w:ascii="Times New Roman"/>
                <w:sz w:val="21"/>
              </w:rPr>
              <w:t>163,053.00</w:t>
            </w:r>
          </w:p>
        </w:tc>
        <w:tc>
          <w:tcPr>
            <w:tcW w:w="1974" w:type="dxa"/>
            <w:tcBorders>
              <w:top w:val="single" w:sz="6" w:space="0" w:color="000000"/>
              <w:left w:val="single" w:sz="8"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1.9954</w:t>
            </w:r>
          </w:p>
        </w:tc>
        <w:tc>
          <w:tcPr>
            <w:tcW w:w="1973" w:type="dxa"/>
            <w:tcBorders>
              <w:top w:val="single" w:sz="6" w:space="0" w:color="000000"/>
              <w:left w:val="single" w:sz="8"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325,361.15</w:t>
            </w:r>
            <w:r>
              <w:rPr>
                <w:rFonts w:ascii="Times New Roman"/>
                <w:sz w:val="21"/>
              </w:rPr>
            </w:r>
          </w:p>
        </w:tc>
      </w:tr>
      <w:tr>
        <w:trPr>
          <w:trHeight w:val="490" w:hRule="exact"/>
        </w:trPr>
        <w:tc>
          <w:tcPr>
            <w:tcW w:w="1976" w:type="dxa"/>
            <w:tcBorders>
              <w:top w:val="single" w:sz="4" w:space="0" w:color="000000"/>
              <w:left w:val="nil" w:sz="6" w:space="0" w:color="auto"/>
              <w:bottom w:val="single" w:sz="12" w:space="0" w:color="000000"/>
              <w:right w:val="single" w:sz="8" w:space="0" w:color="000000"/>
            </w:tcBorders>
          </w:tcPr>
          <w:p>
            <w:pPr>
              <w:pStyle w:val="TableParagraph"/>
              <w:tabs>
                <w:tab w:pos="1205" w:val="left" w:leader="none"/>
              </w:tabs>
              <w:spacing w:line="240" w:lineRule="auto" w:before="162"/>
              <w:ind w:left="57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84,321,385.57</w:t>
            </w:r>
          </w:p>
        </w:tc>
      </w:tr>
    </w:tbl>
    <w:p>
      <w:pPr>
        <w:spacing w:line="240" w:lineRule="auto" w:before="10"/>
        <w:rPr>
          <w:rFonts w:ascii="宋体" w:hAnsi="宋体" w:cs="宋体" w:eastAsia="宋体" w:hint="default"/>
          <w:sz w:val="9"/>
          <w:szCs w:val="9"/>
        </w:rPr>
      </w:pPr>
    </w:p>
    <w:p>
      <w:pPr>
        <w:pStyle w:val="BodyText"/>
        <w:spacing w:line="240" w:lineRule="auto" w:before="35"/>
        <w:ind w:left="674" w:right="210"/>
        <w:jc w:val="left"/>
      </w:pPr>
      <w:r>
        <w:rPr/>
        <w:t>（</w:t>
      </w:r>
      <w:r>
        <w:rPr>
          <w:rFonts w:ascii="Times New Roman" w:hAnsi="Times New Roman" w:cs="Times New Roman" w:eastAsia="Times New Roman" w:hint="default"/>
        </w:rPr>
        <w:t>2</w:t>
      </w:r>
      <w:r>
        <w:rPr/>
        <w:t>）预收账款年末余额中无欠持本公司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240" w:lineRule="auto"/>
        <w:ind w:left="674" w:right="210"/>
        <w:jc w:val="left"/>
      </w:pPr>
      <w:r>
        <w:rPr>
          <w:rFonts w:ascii="Times New Roman" w:hAnsi="Times New Roman" w:cs="Times New Roman" w:eastAsia="Times New Roman" w:hint="default"/>
        </w:rPr>
        <w:t>23</w:t>
      </w:r>
      <w:r>
        <w:rPr/>
        <w:t>．应付职工薪酬</w:t>
      </w:r>
    </w:p>
    <w:p>
      <w:pPr>
        <w:pStyle w:val="BodyText"/>
        <w:spacing w:line="240" w:lineRule="auto" w:before="179"/>
        <w:ind w:left="674" w:right="210"/>
        <w:jc w:val="left"/>
      </w:pPr>
      <w:r>
        <w:rPr/>
        <w:t>（</w:t>
      </w:r>
      <w:r>
        <w:rPr>
          <w:rFonts w:ascii="Times New Roman" w:hAnsi="Times New Roman" w:cs="Times New Roman" w:eastAsia="Times New Roman" w:hint="default"/>
        </w:rPr>
        <w:t>1</w:t>
      </w:r>
      <w:r>
        <w:rPr/>
        <w:t>）应付职工薪酬明细：</w:t>
      </w:r>
    </w:p>
    <w:tbl>
      <w:tblPr>
        <w:tblW w:w="0" w:type="auto"/>
        <w:jc w:val="left"/>
        <w:tblInd w:w="131" w:type="dxa"/>
        <w:tblLayout w:type="fixed"/>
        <w:tblCellMar>
          <w:top w:w="0" w:type="dxa"/>
          <w:left w:w="0" w:type="dxa"/>
          <w:bottom w:w="0" w:type="dxa"/>
          <w:right w:w="0" w:type="dxa"/>
        </w:tblCellMar>
        <w:tblLook w:val="01E0"/>
      </w:tblPr>
      <w:tblGrid>
        <w:gridCol w:w="3458"/>
        <w:gridCol w:w="1603"/>
        <w:gridCol w:w="1603"/>
        <w:gridCol w:w="1602"/>
        <w:gridCol w:w="1602"/>
      </w:tblGrid>
      <w:tr>
        <w:trPr>
          <w:trHeight w:val="490" w:hRule="exact"/>
        </w:trPr>
        <w:tc>
          <w:tcPr>
            <w:tcW w:w="3458" w:type="dxa"/>
            <w:tcBorders>
              <w:top w:val="single" w:sz="12" w:space="0" w:color="000000"/>
              <w:left w:val="nil" w:sz="6" w:space="0" w:color="auto"/>
              <w:bottom w:val="single" w:sz="4" w:space="0" w:color="000000"/>
              <w:right w:val="single" w:sz="6" w:space="0" w:color="000000"/>
            </w:tcBorders>
          </w:tcPr>
          <w:p>
            <w:pPr>
              <w:pStyle w:val="TableParagraph"/>
              <w:tabs>
                <w:tab w:pos="653" w:val="left" w:leader="none"/>
              </w:tabs>
              <w:spacing w:line="240" w:lineRule="auto" w:before="162"/>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0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62"/>
              <w:ind w:left="37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0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62"/>
              <w:ind w:left="26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0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62"/>
              <w:ind w:left="268"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60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62"/>
              <w:ind w:left="37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86" w:hRule="exact"/>
        </w:trPr>
        <w:tc>
          <w:tcPr>
            <w:tcW w:w="3458" w:type="dxa"/>
            <w:tcBorders>
              <w:top w:val="single" w:sz="4" w:space="0" w:color="000000"/>
              <w:left w:val="nil" w:sz="6" w:space="0" w:color="auto"/>
              <w:bottom w:val="nil" w:sz="6" w:space="0" w:color="auto"/>
              <w:right w:val="single" w:sz="6"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0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1,970,483.84</w:t>
            </w:r>
          </w:p>
        </w:tc>
        <w:tc>
          <w:tcPr>
            <w:tcW w:w="160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82,638,509.25</w:t>
            </w:r>
          </w:p>
        </w:tc>
        <w:tc>
          <w:tcPr>
            <w:tcW w:w="160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76,647,096.99</w:t>
            </w:r>
          </w:p>
        </w:tc>
        <w:tc>
          <w:tcPr>
            <w:tcW w:w="1602" w:type="dxa"/>
            <w:tcBorders>
              <w:top w:val="single" w:sz="4" w:space="0" w:color="000000"/>
              <w:left w:val="single" w:sz="6"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7,961,896.10</w:t>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03" w:type="dxa"/>
            <w:tcBorders>
              <w:top w:val="nil" w:sz="6" w:space="0" w:color="auto"/>
              <w:left w:val="single" w:sz="6" w:space="0" w:color="000000"/>
              <w:bottom w:val="nil" w:sz="6" w:space="0" w:color="auto"/>
              <w:right w:val="single" w:sz="6" w:space="0" w:color="000000"/>
            </w:tcBorders>
          </w:tcPr>
          <w:p>
            <w:pP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951,557.02</w:t>
            </w:r>
            <w:r>
              <w:rPr>
                <w:rFonts w:ascii="Times New Roman"/>
                <w:sz w:val="21"/>
              </w:rPr>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951,557.02</w:t>
            </w:r>
            <w:r>
              <w:rPr>
                <w:rFonts w:ascii="Times New Roman"/>
                <w:sz w:val="21"/>
              </w:rPr>
            </w:r>
          </w:p>
        </w:tc>
        <w:tc>
          <w:tcPr>
            <w:tcW w:w="1602" w:type="dxa"/>
            <w:tcBorders>
              <w:top w:val="nil" w:sz="6" w:space="0" w:color="auto"/>
              <w:left w:val="single" w:sz="6" w:space="0" w:color="000000"/>
              <w:bottom w:val="nil" w:sz="6" w:space="0" w:color="auto"/>
              <w:right w:val="nil" w:sz="6" w:space="0" w:color="auto"/>
            </w:tcBorders>
          </w:tcPr>
          <w:p>
            <w:pP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357,368.53</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7,504,233.73</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7,513,364.79</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348,237.47</w:t>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21"/>
                <w:szCs w:val="21"/>
              </w:rPr>
            </w:pPr>
            <w:r>
              <w:rPr>
                <w:rFonts w:ascii="Times New Roman"/>
                <w:spacing w:val="-1"/>
                <w:sz w:val="21"/>
              </w:rPr>
              <w:t>58,821.42</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21"/>
                <w:szCs w:val="21"/>
              </w:rPr>
            </w:pPr>
            <w:r>
              <w:rPr>
                <w:rFonts w:ascii="Times New Roman"/>
                <w:spacing w:val="-1"/>
                <w:sz w:val="21"/>
              </w:rPr>
              <w:t>2,127,884.07</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21"/>
                <w:szCs w:val="21"/>
              </w:rPr>
            </w:pPr>
            <w:r>
              <w:rPr>
                <w:rFonts w:ascii="Times New Roman"/>
                <w:spacing w:val="-1"/>
                <w:sz w:val="21"/>
              </w:rPr>
              <w:t>2,120,180.06</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104"/>
              <w:jc w:val="right"/>
              <w:rPr>
                <w:rFonts w:ascii="Times New Roman" w:hAnsi="Times New Roman" w:cs="Times New Roman" w:eastAsia="Times New Roman" w:hint="default"/>
                <w:sz w:val="21"/>
                <w:szCs w:val="21"/>
              </w:rPr>
            </w:pPr>
            <w:r>
              <w:rPr>
                <w:rFonts w:ascii="Times New Roman"/>
                <w:spacing w:val="-1"/>
                <w:sz w:val="21"/>
              </w:rPr>
              <w:t>66,525.43</w:t>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271,902.36</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4,872,623.12</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4,885,919.22</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258,606.26</w:t>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17,927.27</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300,965.62</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303,002.59</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spacing w:val="-1"/>
                <w:sz w:val="21"/>
              </w:rPr>
              <w:t>15,890.30</w:t>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9"/>
              <w:jc w:val="right"/>
              <w:rPr>
                <w:rFonts w:ascii="Times New Roman" w:hAnsi="Times New Roman" w:cs="Times New Roman" w:eastAsia="Times New Roman" w:hint="default"/>
                <w:sz w:val="21"/>
                <w:szCs w:val="21"/>
              </w:rPr>
            </w:pPr>
            <w:r>
              <w:rPr>
                <w:rFonts w:ascii="Times New Roman"/>
                <w:spacing w:val="-1"/>
                <w:sz w:val="21"/>
              </w:rPr>
              <w:t>3,421.97</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21"/>
                <w:szCs w:val="21"/>
              </w:rPr>
            </w:pPr>
            <w:r>
              <w:rPr>
                <w:rFonts w:ascii="Times New Roman"/>
                <w:spacing w:val="-1"/>
                <w:sz w:val="21"/>
              </w:rPr>
              <w:t>92,893.58</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21"/>
                <w:szCs w:val="21"/>
              </w:rPr>
            </w:pPr>
            <w:r>
              <w:rPr>
                <w:rFonts w:ascii="Times New Roman"/>
                <w:spacing w:val="-1"/>
                <w:sz w:val="21"/>
              </w:rPr>
              <w:t>93,412.32</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21"/>
                <w:szCs w:val="21"/>
              </w:rPr>
            </w:pPr>
            <w:r>
              <w:rPr>
                <w:rFonts w:ascii="Times New Roman"/>
                <w:spacing w:val="-1"/>
                <w:sz w:val="21"/>
              </w:rPr>
              <w:t>2,903.23</w:t>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7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5,295.51</w:t>
            </w:r>
            <w:r>
              <w:rPr>
                <w:rFonts w:ascii="Times New Roman"/>
                <w:sz w:val="21"/>
              </w:rPr>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109,867.34</w:t>
            </w:r>
            <w:r>
              <w:rPr>
                <w:rFonts w:ascii="Times New Roman"/>
                <w:sz w:val="21"/>
              </w:rPr>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2"/>
                <w:sz w:val="21"/>
              </w:rPr>
              <w:t>110,850.60</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4,312.25</w:t>
            </w:r>
            <w:r>
              <w:rPr>
                <w:rFonts w:ascii="Times New Roman"/>
                <w:sz w:val="21"/>
              </w:rPr>
            </w: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60,769.12</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2,107,695.67</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2,075,481.88</w:t>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21"/>
                <w:szCs w:val="21"/>
              </w:rPr>
            </w:pPr>
            <w:r>
              <w:rPr>
                <w:rFonts w:ascii="Times New Roman"/>
                <w:spacing w:val="-1"/>
                <w:sz w:val="21"/>
              </w:rPr>
              <w:t>92,982.91</w:t>
            </w:r>
          </w:p>
        </w:tc>
      </w:tr>
      <w:tr>
        <w:trPr>
          <w:trHeight w:val="457"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603" w:type="dxa"/>
            <w:tcBorders>
              <w:top w:val="nil" w:sz="6" w:space="0" w:color="auto"/>
              <w:left w:val="single" w:sz="6" w:space="0" w:color="000000"/>
              <w:bottom w:val="nil" w:sz="6" w:space="0" w:color="auto"/>
              <w:right w:val="single" w:sz="6" w:space="0" w:color="000000"/>
            </w:tcBorders>
          </w:tcPr>
          <w:p>
            <w:pPr/>
          </w:p>
        </w:tc>
        <w:tc>
          <w:tcPr>
            <w:tcW w:w="1603" w:type="dxa"/>
            <w:tcBorders>
              <w:top w:val="nil" w:sz="6" w:space="0" w:color="auto"/>
              <w:left w:val="single" w:sz="6" w:space="0" w:color="000000"/>
              <w:bottom w:val="nil" w:sz="6" w:space="0" w:color="auto"/>
              <w:right w:val="single" w:sz="6" w:space="0" w:color="000000"/>
            </w:tcBorders>
          </w:tcPr>
          <w:p>
            <w:pPr/>
          </w:p>
        </w:tc>
        <w:tc>
          <w:tcPr>
            <w:tcW w:w="1602" w:type="dxa"/>
            <w:tcBorders>
              <w:top w:val="nil" w:sz="6" w:space="0" w:color="auto"/>
              <w:left w:val="single" w:sz="6" w:space="0" w:color="000000"/>
              <w:bottom w:val="nil" w:sz="6" w:space="0" w:color="auto"/>
              <w:right w:val="single" w:sz="6" w:space="0" w:color="000000"/>
            </w:tcBorders>
          </w:tcPr>
          <w:p>
            <w:pPr/>
          </w:p>
        </w:tc>
        <w:tc>
          <w:tcPr>
            <w:tcW w:w="1602" w:type="dxa"/>
            <w:tcBorders>
              <w:top w:val="nil" w:sz="6" w:space="0" w:color="auto"/>
              <w:left w:val="single" w:sz="6" w:space="0" w:color="000000"/>
              <w:bottom w:val="nil" w:sz="6" w:space="0" w:color="auto"/>
              <w:right w:val="nil" w:sz="6" w:space="0" w:color="auto"/>
            </w:tcBorders>
          </w:tcPr>
          <w:p>
            <w:pPr/>
          </w:p>
        </w:tc>
      </w:tr>
      <w:tr>
        <w:trPr>
          <w:trHeight w:val="470" w:hRule="exact"/>
        </w:trPr>
        <w:tc>
          <w:tcPr>
            <w:tcW w:w="3458"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2"/>
                <w:sz w:val="21"/>
              </w:rPr>
              <w:t>4,976,611.23</w:t>
            </w:r>
            <w:r>
              <w:rPr>
                <w:rFonts w:ascii="Times New Roman"/>
                <w:sz w:val="21"/>
              </w:rPr>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1"/>
                <w:sz w:val="21"/>
              </w:rPr>
              <w:t>2,335,404.07</w:t>
            </w:r>
          </w:p>
        </w:tc>
        <w:tc>
          <w:tcPr>
            <w:tcW w:w="1602"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100"/>
              <w:jc w:val="right"/>
              <w:rPr>
                <w:rFonts w:ascii="Times New Roman" w:hAnsi="Times New Roman" w:cs="Times New Roman" w:eastAsia="Times New Roman" w:hint="default"/>
                <w:sz w:val="21"/>
                <w:szCs w:val="21"/>
              </w:rPr>
            </w:pPr>
            <w:r>
              <w:rPr>
                <w:rFonts w:ascii="Times New Roman"/>
                <w:spacing w:val="-1"/>
                <w:sz w:val="21"/>
              </w:rPr>
              <w:t>797,543.64</w:t>
            </w:r>
            <w:r>
              <w:rPr>
                <w:rFonts w:ascii="Times New Roman"/>
                <w:sz w:val="21"/>
              </w:rPr>
            </w:r>
          </w:p>
        </w:tc>
        <w:tc>
          <w:tcPr>
            <w:tcW w:w="1602" w:type="dxa"/>
            <w:tcBorders>
              <w:top w:val="nil" w:sz="6" w:space="0" w:color="auto"/>
              <w:left w:val="single" w:sz="6" w:space="0" w:color="000000"/>
              <w:bottom w:val="nil" w:sz="6" w:space="0" w:color="auto"/>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21"/>
                <w:szCs w:val="21"/>
              </w:rPr>
            </w:pPr>
            <w:r>
              <w:rPr>
                <w:rFonts w:ascii="Times New Roman"/>
                <w:spacing w:val="-1"/>
                <w:sz w:val="21"/>
              </w:rPr>
              <w:t>6,514,471.66</w:t>
            </w:r>
          </w:p>
        </w:tc>
      </w:tr>
      <w:tr>
        <w:trPr>
          <w:trHeight w:val="377" w:hRule="exact"/>
        </w:trPr>
        <w:tc>
          <w:tcPr>
            <w:tcW w:w="3458" w:type="dxa"/>
            <w:tcBorders>
              <w:top w:val="nil" w:sz="6" w:space="0" w:color="auto"/>
              <w:left w:val="nil" w:sz="6" w:space="0" w:color="auto"/>
              <w:bottom w:val="single" w:sz="4" w:space="0" w:color="000000"/>
              <w:right w:val="single" w:sz="6"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603" w:type="dxa"/>
            <w:tcBorders>
              <w:top w:val="nil" w:sz="6" w:space="0" w:color="auto"/>
              <w:left w:val="single" w:sz="6" w:space="0" w:color="000000"/>
              <w:bottom w:val="single" w:sz="4" w:space="0" w:color="000000"/>
              <w:right w:val="single" w:sz="6" w:space="0" w:color="000000"/>
            </w:tcBorders>
          </w:tcPr>
          <w:p>
            <w:pPr/>
          </w:p>
        </w:tc>
        <w:tc>
          <w:tcPr>
            <w:tcW w:w="1603" w:type="dxa"/>
            <w:tcBorders>
              <w:top w:val="nil" w:sz="6" w:space="0" w:color="auto"/>
              <w:left w:val="single" w:sz="6" w:space="0" w:color="000000"/>
              <w:bottom w:val="single" w:sz="4" w:space="0" w:color="000000"/>
              <w:right w:val="single" w:sz="6" w:space="0" w:color="000000"/>
            </w:tcBorders>
          </w:tcPr>
          <w:p>
            <w:pPr/>
          </w:p>
        </w:tc>
        <w:tc>
          <w:tcPr>
            <w:tcW w:w="1602" w:type="dxa"/>
            <w:tcBorders>
              <w:top w:val="nil" w:sz="6" w:space="0" w:color="auto"/>
              <w:left w:val="single" w:sz="6" w:space="0" w:color="000000"/>
              <w:bottom w:val="single" w:sz="4" w:space="0" w:color="000000"/>
              <w:right w:val="single" w:sz="6" w:space="0" w:color="000000"/>
            </w:tcBorders>
          </w:tcPr>
          <w:p>
            <w:pPr/>
          </w:p>
        </w:tc>
        <w:tc>
          <w:tcPr>
            <w:tcW w:w="1602" w:type="dxa"/>
            <w:tcBorders>
              <w:top w:val="nil" w:sz="6" w:space="0" w:color="auto"/>
              <w:left w:val="single" w:sz="6" w:space="0" w:color="000000"/>
              <w:bottom w:val="single" w:sz="4" w:space="0" w:color="000000"/>
              <w:right w:val="nil" w:sz="6" w:space="0" w:color="auto"/>
            </w:tcBorders>
          </w:tcPr>
          <w:p>
            <w:pPr/>
          </w:p>
        </w:tc>
      </w:tr>
      <w:tr>
        <w:trPr>
          <w:trHeight w:val="490" w:hRule="exact"/>
        </w:trPr>
        <w:tc>
          <w:tcPr>
            <w:tcW w:w="3458" w:type="dxa"/>
            <w:tcBorders>
              <w:top w:val="single" w:sz="4"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164"/>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0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7,365,232.72</w:t>
            </w:r>
          </w:p>
        </w:tc>
        <w:tc>
          <w:tcPr>
            <w:tcW w:w="160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95,490,992.95</w:t>
            </w:r>
          </w:p>
        </w:tc>
        <w:tc>
          <w:tcPr>
            <w:tcW w:w="160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87,938,637.53</w:t>
            </w:r>
          </w:p>
        </w:tc>
        <w:tc>
          <w:tcPr>
            <w:tcW w:w="160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14,917,588.14</w:t>
            </w:r>
          </w:p>
        </w:tc>
      </w:tr>
    </w:tbl>
    <w:p>
      <w:pPr>
        <w:spacing w:line="240" w:lineRule="auto" w:before="13"/>
        <w:rPr>
          <w:rFonts w:ascii="宋体" w:hAnsi="宋体" w:cs="宋体" w:eastAsia="宋体" w:hint="default"/>
          <w:sz w:val="10"/>
          <w:szCs w:val="10"/>
        </w:rPr>
      </w:pPr>
    </w:p>
    <w:p>
      <w:pPr>
        <w:pStyle w:val="BodyText"/>
        <w:spacing w:line="240" w:lineRule="auto" w:before="35"/>
        <w:ind w:left="674" w:right="210"/>
        <w:jc w:val="left"/>
      </w:pPr>
      <w:r>
        <w:rPr/>
        <w:t>（</w:t>
      </w:r>
      <w:r>
        <w:rPr>
          <w:rFonts w:ascii="Times New Roman" w:hAnsi="Times New Roman" w:cs="Times New Roman" w:eastAsia="Times New Roman" w:hint="default"/>
        </w:rPr>
        <w:t>2</w:t>
      </w:r>
      <w:r>
        <w:rPr/>
        <w:t>）工会经费和职工教育经费余额为</w:t>
      </w:r>
      <w:r>
        <w:rPr>
          <w:rFonts w:ascii="Times New Roman" w:hAnsi="Times New Roman" w:cs="Times New Roman" w:eastAsia="Times New Roman" w:hint="default"/>
        </w:rPr>
        <w:t>6,288,761.51</w:t>
      </w:r>
      <w:r>
        <w:rPr/>
        <w:t>元。</w:t>
      </w:r>
    </w:p>
    <w:p>
      <w:pPr>
        <w:pStyle w:val="BodyText"/>
        <w:spacing w:line="388" w:lineRule="auto" w:before="179"/>
        <w:ind w:left="254" w:right="250" w:firstLine="420"/>
        <w:jc w:val="both"/>
      </w:pPr>
      <w:r>
        <w:rPr>
          <w:spacing w:val="-2"/>
        </w:rPr>
        <w:t>（</w:t>
      </w:r>
      <w:r>
        <w:rPr>
          <w:rFonts w:ascii="Times New Roman" w:hAnsi="Times New Roman" w:cs="Times New Roman" w:eastAsia="Times New Roman" w:hint="default"/>
          <w:spacing w:val="-2"/>
        </w:rPr>
        <w:t>3</w:t>
      </w:r>
      <w:r>
        <w:rPr>
          <w:spacing w:val="-2"/>
        </w:rPr>
        <w:t>）应付职工薪酬</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日增长了</w:t>
      </w:r>
      <w:r>
        <w:rPr>
          <w:rFonts w:ascii="Times New Roman" w:hAnsi="Times New Roman" w:cs="Times New Roman" w:eastAsia="Times New Roman" w:hint="default"/>
          <w:spacing w:val="-2"/>
        </w:rPr>
        <w:t>102.54</w:t>
      </w:r>
      <w:r>
        <w:rPr>
          <w:spacing w:val="-2"/>
        </w:rPr>
        <w:t>％，主要是由于</w:t>
      </w:r>
      <w:r>
        <w:rPr>
          <w:rFonts w:ascii="Times New Roman" w:hAnsi="Times New Roman" w:cs="Times New Roman" w:eastAsia="Times New Roman" w:hint="default"/>
          <w:spacing w:val="-2"/>
        </w:rPr>
        <w:t>2010</w:t>
      </w:r>
      <w:r>
        <w:rPr>
          <w:spacing w:val="-2"/>
        </w:rPr>
        <w:t>年度杭州西软</w:t>
      </w:r>
      <w:r>
        <w:rPr/>
        <w:t> </w:t>
      </w:r>
      <w:r>
        <w:rPr>
          <w:spacing w:val="-1"/>
        </w:rPr>
        <w:t>科技有限公司、南京银石计算机系统有限公司计提年终奖尚未发放以及</w:t>
      </w:r>
      <w:r>
        <w:rPr>
          <w:rFonts w:ascii="Times New Roman" w:hAnsi="Times New Roman" w:cs="Times New Roman" w:eastAsia="Times New Roman" w:hint="default"/>
          <w:spacing w:val="-1"/>
        </w:rPr>
        <w:t>2010</w:t>
      </w:r>
      <w:r>
        <w:rPr>
          <w:spacing w:val="-1"/>
        </w:rPr>
        <w:t>年计提的工会经费和职工教育</w:t>
      </w:r>
      <w:r>
        <w:rPr>
          <w:spacing w:val="-82"/>
        </w:rPr>
        <w:t> </w:t>
      </w:r>
      <w:r>
        <w:rPr>
          <w:spacing w:val="-82"/>
        </w:rPr>
      </w:r>
      <w:r>
        <w:rPr/>
        <w:t>经费未完全使用所致。</w:t>
      </w:r>
    </w:p>
    <w:p>
      <w:pPr>
        <w:pStyle w:val="BodyText"/>
        <w:spacing w:line="240" w:lineRule="auto" w:before="16"/>
        <w:ind w:left="674" w:right="210"/>
        <w:jc w:val="left"/>
      </w:pPr>
      <w:r>
        <w:rPr>
          <w:rFonts w:ascii="Times New Roman" w:hAnsi="Times New Roman" w:cs="Times New Roman" w:eastAsia="Times New Roman" w:hint="default"/>
        </w:rPr>
        <w:t>24</w:t>
      </w:r>
      <w:r>
        <w:rPr/>
        <w:t>．应交税费</w:t>
      </w:r>
    </w:p>
    <w:tbl>
      <w:tblPr>
        <w:tblW w:w="0" w:type="auto"/>
        <w:jc w:val="left"/>
        <w:tblInd w:w="131" w:type="dxa"/>
        <w:tblLayout w:type="fixed"/>
        <w:tblCellMar>
          <w:top w:w="0" w:type="dxa"/>
          <w:left w:w="0" w:type="dxa"/>
          <w:bottom w:w="0" w:type="dxa"/>
          <w:right w:w="0" w:type="dxa"/>
        </w:tblCellMar>
        <w:tblLook w:val="01E0"/>
      </w:tblPr>
      <w:tblGrid>
        <w:gridCol w:w="3506"/>
        <w:gridCol w:w="3174"/>
        <w:gridCol w:w="3174"/>
      </w:tblGrid>
      <w:tr>
        <w:trPr>
          <w:trHeight w:val="440" w:hRule="exact"/>
        </w:trPr>
        <w:tc>
          <w:tcPr>
            <w:tcW w:w="35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31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1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1" w:hRule="exact"/>
        </w:trPr>
        <w:tc>
          <w:tcPr>
            <w:tcW w:w="3506" w:type="dxa"/>
            <w:tcBorders>
              <w:top w:val="single" w:sz="4" w:space="0" w:color="000000"/>
              <w:left w:val="nil" w:sz="6" w:space="0" w:color="auto"/>
              <w:bottom w:val="nil" w:sz="6" w:space="0" w:color="auto"/>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．增值税</w:t>
            </w:r>
          </w:p>
        </w:tc>
        <w:tc>
          <w:tcPr>
            <w:tcW w:w="31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3,632,030.66</w:t>
            </w:r>
          </w:p>
        </w:tc>
        <w:tc>
          <w:tcPr>
            <w:tcW w:w="3174" w:type="dxa"/>
            <w:tcBorders>
              <w:top w:val="single" w:sz="4" w:space="0" w:color="000000"/>
              <w:left w:val="single" w:sz="4" w:space="0" w:color="000000"/>
              <w:bottom w:val="nil" w:sz="6" w:space="0" w:color="auto"/>
              <w:right w:val="nil" w:sz="6" w:space="0" w:color="auto"/>
            </w:tcBorders>
          </w:tcPr>
          <w:p>
            <w:pPr>
              <w:pStyle w:val="TableParagraph"/>
              <w:spacing w:line="240" w:lineRule="auto" w:before="177"/>
              <w:ind w:right="105"/>
              <w:jc w:val="right"/>
              <w:rPr>
                <w:rFonts w:ascii="Times New Roman" w:hAnsi="Times New Roman" w:cs="Times New Roman" w:eastAsia="Times New Roman" w:hint="default"/>
                <w:sz w:val="21"/>
                <w:szCs w:val="21"/>
              </w:rPr>
            </w:pPr>
            <w:r>
              <w:rPr>
                <w:rFonts w:ascii="Times New Roman"/>
                <w:spacing w:val="-1"/>
                <w:sz w:val="21"/>
              </w:rPr>
              <w:t>-1,832,898.21</w:t>
            </w:r>
          </w:p>
        </w:tc>
      </w:tr>
      <w:tr>
        <w:trPr>
          <w:trHeight w:val="42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．营业税</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455,338.55</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-135,628.65</w:t>
            </w:r>
          </w:p>
        </w:tc>
      </w:tr>
      <w:tr>
        <w:trPr>
          <w:trHeight w:val="42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．企业所得税</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21"/>
                <w:szCs w:val="21"/>
              </w:rPr>
            </w:pPr>
            <w:r>
              <w:rPr>
                <w:rFonts w:ascii="Times New Roman"/>
                <w:spacing w:val="-1"/>
                <w:sz w:val="21"/>
              </w:rPr>
              <w:t>9,226,518.84</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13,015,266.95</w:t>
            </w:r>
          </w:p>
        </w:tc>
      </w:tr>
      <w:tr>
        <w:trPr>
          <w:trHeight w:val="349" w:hRule="exact"/>
        </w:trPr>
        <w:tc>
          <w:tcPr>
            <w:tcW w:w="3506" w:type="dxa"/>
            <w:tcBorders>
              <w:top w:val="nil" w:sz="6" w:space="0" w:color="auto"/>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．代扣代缴个人所得税</w:t>
            </w:r>
          </w:p>
        </w:tc>
        <w:tc>
          <w:tcPr>
            <w:tcW w:w="31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21"/>
                <w:szCs w:val="21"/>
              </w:rPr>
            </w:pPr>
            <w:r>
              <w:rPr>
                <w:rFonts w:ascii="Times New Roman"/>
                <w:spacing w:val="-1"/>
                <w:sz w:val="21"/>
              </w:rPr>
              <w:t>194,664.13</w:t>
            </w:r>
            <w:r>
              <w:rPr>
                <w:rFonts w:ascii="Times New Roman"/>
                <w:sz w:val="21"/>
              </w:rPr>
            </w:r>
          </w:p>
        </w:tc>
        <w:tc>
          <w:tcPr>
            <w:tcW w:w="3174" w:type="dxa"/>
            <w:tcBorders>
              <w:top w:val="nil" w:sz="6" w:space="0" w:color="auto"/>
              <w:left w:val="single"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21"/>
                <w:szCs w:val="21"/>
              </w:rPr>
            </w:pPr>
            <w:r>
              <w:rPr>
                <w:rFonts w:ascii="Times New Roman"/>
                <w:spacing w:val="-1"/>
                <w:sz w:val="21"/>
              </w:rPr>
              <w:t>342,994.33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506"/>
        <w:gridCol w:w="3174"/>
        <w:gridCol w:w="3174"/>
      </w:tblGrid>
      <w:tr>
        <w:trPr>
          <w:trHeight w:val="529" w:hRule="exact"/>
        </w:trPr>
        <w:tc>
          <w:tcPr>
            <w:tcW w:w="3506" w:type="dxa"/>
            <w:tcBorders>
              <w:top w:val="single" w:sz="18" w:space="0" w:color="000000"/>
              <w:left w:val="nil" w:sz="6" w:space="0" w:color="auto"/>
              <w:bottom w:val="nil" w:sz="6" w:space="0" w:color="auto"/>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．城市维护建设税</w:t>
            </w:r>
          </w:p>
        </w:tc>
        <w:tc>
          <w:tcPr>
            <w:tcW w:w="3174" w:type="dxa"/>
            <w:tcBorders>
              <w:top w:val="single" w:sz="18" w:space="0" w:color="000000"/>
              <w:left w:val="single" w:sz="4" w:space="0" w:color="000000"/>
              <w:bottom w:val="nil" w:sz="6" w:space="0" w:color="auto"/>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750,908.05</w:t>
            </w:r>
          </w:p>
        </w:tc>
        <w:tc>
          <w:tcPr>
            <w:tcW w:w="3174" w:type="dxa"/>
            <w:tcBorders>
              <w:top w:val="single" w:sz="18" w:space="0" w:color="000000"/>
              <w:left w:val="single" w:sz="4" w:space="0" w:color="000000"/>
              <w:bottom w:val="nil" w:sz="6" w:space="0" w:color="auto"/>
              <w:right w:val="nil" w:sz="6" w:space="0" w:color="auto"/>
            </w:tcBorders>
          </w:tcPr>
          <w:p>
            <w:pPr>
              <w:pStyle w:val="TableParagraph"/>
              <w:spacing w:line="240" w:lineRule="auto" w:before="177"/>
              <w:ind w:right="106"/>
              <w:jc w:val="right"/>
              <w:rPr>
                <w:rFonts w:ascii="Times New Roman" w:hAnsi="Times New Roman" w:cs="Times New Roman" w:eastAsia="Times New Roman" w:hint="default"/>
                <w:sz w:val="21"/>
                <w:szCs w:val="21"/>
              </w:rPr>
            </w:pPr>
            <w:r>
              <w:rPr>
                <w:rFonts w:ascii="Times New Roman"/>
                <w:spacing w:val="-2"/>
                <w:sz w:val="21"/>
              </w:rPr>
              <w:t>264,311.39</w:t>
            </w:r>
          </w:p>
        </w:tc>
      </w:tr>
      <w:tr>
        <w:trPr>
          <w:trHeight w:val="42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．教育费附加</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320,515.57</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95,700.88</w:t>
            </w:r>
          </w:p>
        </w:tc>
      </w:tr>
      <w:tr>
        <w:trPr>
          <w:trHeight w:val="42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．河道工程修建维护管理费</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21"/>
                <w:szCs w:val="21"/>
              </w:rPr>
            </w:pPr>
            <w:r>
              <w:rPr>
                <w:rFonts w:ascii="Times New Roman"/>
                <w:spacing w:val="-1"/>
                <w:sz w:val="21"/>
              </w:rPr>
              <w:t>43,068.77</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-847.49</w:t>
            </w:r>
          </w:p>
        </w:tc>
      </w:tr>
      <w:tr>
        <w:trPr>
          <w:trHeight w:val="420" w:hRule="exact"/>
        </w:trPr>
        <w:tc>
          <w:tcPr>
            <w:tcW w:w="3506"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．地方教育发展费</w:t>
            </w:r>
          </w:p>
        </w:tc>
        <w:tc>
          <w:tcPr>
            <w:tcW w:w="317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21"/>
                <w:szCs w:val="21"/>
              </w:rPr>
            </w:pPr>
            <w:r>
              <w:rPr>
                <w:rFonts w:ascii="Times New Roman"/>
                <w:spacing w:val="-1"/>
                <w:sz w:val="21"/>
              </w:rPr>
              <w:t>70,564.77</w:t>
            </w:r>
          </w:p>
        </w:tc>
        <w:tc>
          <w:tcPr>
            <w:tcW w:w="317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26,200.31</w:t>
            </w:r>
          </w:p>
        </w:tc>
      </w:tr>
      <w:tr>
        <w:trPr>
          <w:trHeight w:val="338" w:hRule="exact"/>
        </w:trPr>
        <w:tc>
          <w:tcPr>
            <w:tcW w:w="3506" w:type="dxa"/>
            <w:tcBorders>
              <w:top w:val="nil" w:sz="6" w:space="0" w:color="auto"/>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．水利建设基金</w:t>
            </w:r>
          </w:p>
        </w:tc>
        <w:tc>
          <w:tcPr>
            <w:tcW w:w="3174" w:type="dxa"/>
            <w:tcBorders>
              <w:top w:val="nil" w:sz="6" w:space="0" w:color="auto"/>
              <w:left w:val="single" w:sz="4" w:space="0" w:color="000000"/>
              <w:bottom w:val="single" w:sz="4" w:space="0" w:color="000000"/>
              <w:right w:val="single" w:sz="4" w:space="0" w:color="000000"/>
            </w:tcBorders>
          </w:tcPr>
          <w:p>
            <w:pPr/>
          </w:p>
        </w:tc>
        <w:tc>
          <w:tcPr>
            <w:tcW w:w="3174" w:type="dxa"/>
            <w:tcBorders>
              <w:top w:val="nil" w:sz="6" w:space="0" w:color="auto"/>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14,891.41</w:t>
            </w:r>
          </w:p>
        </w:tc>
      </w:tr>
      <w:tr>
        <w:trPr>
          <w:trHeight w:val="440" w:hRule="exact"/>
        </w:trPr>
        <w:tc>
          <w:tcPr>
            <w:tcW w:w="3506"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11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14,693,609.34</w:t>
            </w:r>
          </w:p>
        </w:tc>
        <w:tc>
          <w:tcPr>
            <w:tcW w:w="31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right="105"/>
              <w:jc w:val="right"/>
              <w:rPr>
                <w:rFonts w:ascii="Times New Roman" w:hAnsi="Times New Roman" w:cs="Times New Roman" w:eastAsia="Times New Roman" w:hint="default"/>
                <w:sz w:val="21"/>
                <w:szCs w:val="21"/>
              </w:rPr>
            </w:pPr>
            <w:r>
              <w:rPr>
                <w:rFonts w:ascii="Times New Roman"/>
                <w:spacing w:val="-1"/>
                <w:sz w:val="21"/>
              </w:rPr>
              <w:t>11,789,990.92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left="674" w:right="210"/>
        <w:jc w:val="left"/>
      </w:pPr>
      <w:r>
        <w:rPr>
          <w:rFonts w:ascii="Times New Roman" w:hAnsi="Times New Roman" w:cs="Times New Roman" w:eastAsia="Times New Roman" w:hint="default"/>
        </w:rPr>
        <w:t>25</w:t>
      </w:r>
      <w:r>
        <w:rPr/>
        <w:t>．其他应付款</w:t>
      </w:r>
    </w:p>
    <w:tbl>
      <w:tblPr>
        <w:tblW w:w="0" w:type="auto"/>
        <w:jc w:val="left"/>
        <w:tblInd w:w="116" w:type="dxa"/>
        <w:tblLayout w:type="fixed"/>
        <w:tblCellMar>
          <w:top w:w="0" w:type="dxa"/>
          <w:left w:w="0" w:type="dxa"/>
          <w:bottom w:w="0" w:type="dxa"/>
          <w:right w:w="0" w:type="dxa"/>
        </w:tblCellMar>
        <w:tblLook w:val="01E0"/>
      </w:tblPr>
      <w:tblGrid>
        <w:gridCol w:w="4697"/>
        <w:gridCol w:w="2580"/>
        <w:gridCol w:w="2592"/>
      </w:tblGrid>
      <w:tr>
        <w:trPr>
          <w:trHeight w:val="440"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tabs>
                <w:tab w:pos="651" w:val="left" w:leader="none"/>
              </w:tabs>
              <w:spacing w:line="240" w:lineRule="auto" w:before="113"/>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1"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114"/>
              <w:ind w:left="20"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8"/>
              <w:ind w:left="1259" w:right="0"/>
              <w:jc w:val="left"/>
              <w:rPr>
                <w:rFonts w:ascii="Times New Roman" w:hAnsi="Times New Roman" w:cs="Times New Roman" w:eastAsia="Times New Roman" w:hint="default"/>
                <w:sz w:val="21"/>
                <w:szCs w:val="21"/>
              </w:rPr>
            </w:pPr>
            <w:r>
              <w:rPr>
                <w:rFonts w:ascii="Times New Roman"/>
                <w:sz w:val="21"/>
              </w:rPr>
              <w:t>31,048,965.15</w:t>
            </w:r>
          </w:p>
        </w:tc>
        <w:tc>
          <w:tcPr>
            <w:tcW w:w="2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8"/>
              <w:ind w:left="1376" w:right="0"/>
              <w:jc w:val="left"/>
              <w:rPr>
                <w:rFonts w:ascii="Times New Roman" w:hAnsi="Times New Roman" w:cs="Times New Roman" w:eastAsia="Times New Roman" w:hint="default"/>
                <w:sz w:val="21"/>
                <w:szCs w:val="21"/>
              </w:rPr>
            </w:pPr>
            <w:r>
              <w:rPr>
                <w:rFonts w:ascii="Times New Roman"/>
                <w:sz w:val="21"/>
              </w:rPr>
              <w:t>7,474,275.36</w:t>
            </w:r>
          </w:p>
        </w:tc>
      </w:tr>
    </w:tbl>
    <w:p>
      <w:pPr>
        <w:spacing w:line="240" w:lineRule="auto" w:before="3"/>
        <w:rPr>
          <w:rFonts w:ascii="宋体" w:hAnsi="宋体" w:cs="宋体" w:eastAsia="宋体" w:hint="default"/>
          <w:sz w:val="7"/>
          <w:szCs w:val="7"/>
        </w:rPr>
      </w:pPr>
    </w:p>
    <w:p>
      <w:pPr>
        <w:pStyle w:val="BodyText"/>
        <w:spacing w:line="240" w:lineRule="auto" w:before="35"/>
        <w:ind w:left="674" w:right="210"/>
        <w:jc w:val="left"/>
      </w:pPr>
      <w:r>
        <w:rPr/>
        <w:t>注</w:t>
      </w:r>
      <w:r>
        <w:rPr>
          <w:spacing w:val="-105"/>
        </w:rPr>
        <w:t>：</w:t>
      </w:r>
      <w:r>
        <w:rPr/>
        <w:t>（</w:t>
      </w:r>
      <w:r>
        <w:rPr>
          <w:rFonts w:ascii="Times New Roman" w:hAnsi="Times New Roman" w:cs="Times New Roman" w:eastAsia="Times New Roman" w:hint="default"/>
        </w:rPr>
        <w:t>1</w:t>
      </w:r>
      <w:r>
        <w:rPr/>
        <w:t>）</w:t>
      </w:r>
      <w:r>
        <w:rPr>
          <w:spacing w:val="-2"/>
        </w:rPr>
        <w:t>其</w:t>
      </w:r>
      <w:r>
        <w:rPr/>
        <w:t>他应付款按币种列示如下：</w:t>
      </w:r>
    </w:p>
    <w:tbl>
      <w:tblPr>
        <w:tblW w:w="0" w:type="auto"/>
        <w:jc w:val="left"/>
        <w:tblInd w:w="131" w:type="dxa"/>
        <w:tblLayout w:type="fixed"/>
        <w:tblCellMar>
          <w:top w:w="0" w:type="dxa"/>
          <w:left w:w="0" w:type="dxa"/>
          <w:bottom w:w="0" w:type="dxa"/>
          <w:right w:w="0" w:type="dxa"/>
        </w:tblCellMar>
        <w:tblLook w:val="01E0"/>
      </w:tblPr>
      <w:tblGrid>
        <w:gridCol w:w="1979"/>
        <w:gridCol w:w="1667"/>
        <w:gridCol w:w="2008"/>
        <w:gridCol w:w="1807"/>
        <w:gridCol w:w="2408"/>
      </w:tblGrid>
      <w:tr>
        <w:trPr>
          <w:trHeight w:val="445" w:hRule="exact"/>
        </w:trPr>
        <w:tc>
          <w:tcPr>
            <w:tcW w:w="1979" w:type="dxa"/>
            <w:vMerge w:val="restart"/>
            <w:tcBorders>
              <w:top w:val="single" w:sz="12" w:space="0" w:color="000000"/>
              <w:left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1207" w:val="left" w:leader="none"/>
              </w:tabs>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13"/>
              <w:ind w:right="8"/>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50" w:hRule="exact"/>
        </w:trPr>
        <w:tc>
          <w:tcPr>
            <w:tcW w:w="1979" w:type="dxa"/>
            <w:vMerge/>
            <w:tcBorders>
              <w:left w:val="nil" w:sz="6" w:space="0" w:color="auto"/>
              <w:bottom w:val="single" w:sz="8" w:space="0" w:color="000000"/>
              <w:right w:val="single" w:sz="8" w:space="0" w:color="000000"/>
            </w:tcBorders>
          </w:tcPr>
          <w:p>
            <w:pP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16" w:hRule="exact"/>
        </w:trPr>
        <w:tc>
          <w:tcPr>
            <w:tcW w:w="1979" w:type="dxa"/>
            <w:tcBorders>
              <w:top w:val="single" w:sz="8" w:space="0" w:color="000000"/>
              <w:left w:val="nil" w:sz="6" w:space="0" w:color="auto"/>
              <w:bottom w:val="nil" w:sz="6" w:space="0" w:color="auto"/>
              <w:right w:val="single" w:sz="8"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7"/>
              <w:ind w:left="1" w:right="0"/>
              <w:jc w:val="center"/>
              <w:rPr>
                <w:rFonts w:ascii="Times New Roman" w:hAnsi="Times New Roman" w:cs="Times New Roman" w:eastAsia="Times New Roman" w:hint="default"/>
                <w:sz w:val="21"/>
                <w:szCs w:val="21"/>
              </w:rPr>
            </w:pPr>
            <w:r>
              <w:rPr>
                <w:rFonts w:ascii="Times New Roman"/>
                <w:sz w:val="21"/>
              </w:rPr>
              <w:t>RMB</w:t>
            </w:r>
          </w:p>
        </w:tc>
        <w:tc>
          <w:tcPr>
            <w:tcW w:w="20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7"/>
              <w:ind w:right="95"/>
              <w:jc w:val="right"/>
              <w:rPr>
                <w:rFonts w:ascii="Times New Roman" w:hAnsi="Times New Roman" w:cs="Times New Roman" w:eastAsia="Times New Roman" w:hint="default"/>
                <w:sz w:val="21"/>
                <w:szCs w:val="21"/>
              </w:rPr>
            </w:pPr>
            <w:r>
              <w:rPr>
                <w:rFonts w:ascii="Times New Roman"/>
                <w:spacing w:val="-1"/>
                <w:sz w:val="21"/>
              </w:rPr>
              <w:t>29,583,855.49</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7"/>
              <w:ind w:right="0"/>
              <w:jc w:val="center"/>
              <w:rPr>
                <w:rFonts w:ascii="Times New Roman" w:hAnsi="Times New Roman" w:cs="Times New Roman" w:eastAsia="Times New Roman" w:hint="default"/>
                <w:sz w:val="21"/>
                <w:szCs w:val="21"/>
              </w:rPr>
            </w:pPr>
            <w:r>
              <w:rPr>
                <w:rFonts w:ascii="Times New Roman"/>
                <w:sz w:val="21"/>
              </w:rPr>
              <w:t>1.0000</w:t>
            </w:r>
          </w:p>
        </w:tc>
        <w:tc>
          <w:tcPr>
            <w:tcW w:w="2408" w:type="dxa"/>
            <w:tcBorders>
              <w:top w:val="single" w:sz="8" w:space="0" w:color="000000"/>
              <w:left w:val="single" w:sz="8" w:space="0" w:color="000000"/>
              <w:bottom w:val="nil" w:sz="6" w:space="0" w:color="auto"/>
              <w:right w:val="nil" w:sz="6" w:space="0" w:color="auto"/>
            </w:tcBorders>
          </w:tcPr>
          <w:p>
            <w:pPr>
              <w:pStyle w:val="TableParagraph"/>
              <w:spacing w:line="240" w:lineRule="auto" w:before="177"/>
              <w:ind w:right="105"/>
              <w:jc w:val="right"/>
              <w:rPr>
                <w:rFonts w:ascii="Times New Roman" w:hAnsi="Times New Roman" w:cs="Times New Roman" w:eastAsia="Times New Roman" w:hint="default"/>
                <w:sz w:val="21"/>
                <w:szCs w:val="21"/>
              </w:rPr>
            </w:pPr>
            <w:r>
              <w:rPr>
                <w:rFonts w:ascii="Times New Roman"/>
                <w:spacing w:val="-1"/>
                <w:sz w:val="21"/>
              </w:rPr>
              <w:t>29,583,855.49</w:t>
            </w:r>
          </w:p>
        </w:tc>
      </w:tr>
      <w:tr>
        <w:trPr>
          <w:trHeight w:val="420" w:hRule="exact"/>
        </w:trPr>
        <w:tc>
          <w:tcPr>
            <w:tcW w:w="1979" w:type="dxa"/>
            <w:tcBorders>
              <w:top w:val="nil" w:sz="6" w:space="0" w:color="auto"/>
              <w:left w:val="nil" w:sz="6" w:space="0" w:color="auto"/>
              <w:bottom w:val="nil" w:sz="6" w:space="0" w:color="auto"/>
              <w:right w:val="single" w:sz="8"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HKD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21"/>
                <w:szCs w:val="21"/>
              </w:rPr>
            </w:pPr>
            <w:r>
              <w:rPr>
                <w:rFonts w:ascii="Times New Roman"/>
                <w:spacing w:val="-1"/>
                <w:sz w:val="21"/>
              </w:rPr>
              <w:t>1,227,048.03</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1"/>
                <w:szCs w:val="21"/>
              </w:rPr>
            </w:pPr>
            <w:r>
              <w:rPr>
                <w:rFonts w:ascii="Times New Roman"/>
                <w:sz w:val="21"/>
              </w:rPr>
              <w:t>0.8509</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1,044,095.17</w:t>
            </w:r>
          </w:p>
        </w:tc>
      </w:tr>
      <w:tr>
        <w:trPr>
          <w:trHeight w:val="420" w:hRule="exact"/>
        </w:trPr>
        <w:tc>
          <w:tcPr>
            <w:tcW w:w="1979" w:type="dxa"/>
            <w:tcBorders>
              <w:top w:val="nil" w:sz="6" w:space="0" w:color="auto"/>
              <w:left w:val="nil" w:sz="6" w:space="0" w:color="auto"/>
              <w:bottom w:val="nil" w:sz="6" w:space="0" w:color="auto"/>
              <w:right w:val="single" w:sz="8"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1"/>
                <w:szCs w:val="21"/>
              </w:rPr>
            </w:pPr>
            <w:r>
              <w:rPr>
                <w:rFonts w:ascii="Times New Roman"/>
                <w:sz w:val="21"/>
              </w:rPr>
              <w:t>SGD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21"/>
                <w:szCs w:val="21"/>
              </w:rPr>
            </w:pPr>
            <w:r>
              <w:rPr>
                <w:rFonts w:ascii="Times New Roman"/>
                <w:spacing w:val="-1"/>
                <w:sz w:val="21"/>
              </w:rPr>
              <w:t>61,471.34</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5.1279</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315,215.81</w:t>
            </w:r>
          </w:p>
        </w:tc>
      </w:tr>
      <w:tr>
        <w:trPr>
          <w:trHeight w:val="343" w:hRule="exact"/>
        </w:trPr>
        <w:tc>
          <w:tcPr>
            <w:tcW w:w="1979" w:type="dxa"/>
            <w:tcBorders>
              <w:top w:val="nil" w:sz="6" w:space="0" w:color="auto"/>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MYC</w:t>
            </w:r>
          </w:p>
        </w:tc>
        <w:tc>
          <w:tcPr>
            <w:tcW w:w="20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21"/>
                <w:szCs w:val="21"/>
              </w:rPr>
            </w:pPr>
            <w:r>
              <w:rPr>
                <w:rFonts w:ascii="Times New Roman"/>
                <w:spacing w:val="-1"/>
                <w:sz w:val="21"/>
              </w:rPr>
              <w:t>49,208.69</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2.1500</w:t>
            </w:r>
          </w:p>
        </w:tc>
        <w:tc>
          <w:tcPr>
            <w:tcW w:w="2408" w:type="dxa"/>
            <w:tcBorders>
              <w:top w:val="nil" w:sz="6" w:space="0" w:color="auto"/>
              <w:left w:val="single" w:sz="8" w:space="0" w:color="000000"/>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105,798.68</w:t>
            </w:r>
          </w:p>
        </w:tc>
      </w:tr>
      <w:tr>
        <w:trPr>
          <w:trHeight w:val="446" w:hRule="exact"/>
        </w:trPr>
        <w:tc>
          <w:tcPr>
            <w:tcW w:w="1979" w:type="dxa"/>
            <w:tcBorders>
              <w:top w:val="single" w:sz="8"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14"/>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8"/>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78"/>
              <w:ind w:right="104"/>
              <w:jc w:val="right"/>
              <w:rPr>
                <w:rFonts w:ascii="Times New Roman" w:hAnsi="Times New Roman" w:cs="Times New Roman" w:eastAsia="Times New Roman" w:hint="default"/>
                <w:sz w:val="21"/>
                <w:szCs w:val="21"/>
              </w:rPr>
            </w:pPr>
            <w:r>
              <w:rPr>
                <w:rFonts w:ascii="Times New Roman"/>
                <w:spacing w:val="-1"/>
                <w:sz w:val="21"/>
              </w:rPr>
              <w:t>31,048,965.15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1979"/>
        <w:gridCol w:w="1667"/>
        <w:gridCol w:w="2008"/>
        <w:gridCol w:w="1807"/>
        <w:gridCol w:w="2408"/>
      </w:tblGrid>
      <w:tr>
        <w:trPr>
          <w:trHeight w:val="445" w:hRule="exact"/>
        </w:trPr>
        <w:tc>
          <w:tcPr>
            <w:tcW w:w="1979" w:type="dxa"/>
            <w:vMerge w:val="restart"/>
            <w:tcBorders>
              <w:top w:val="single" w:sz="12" w:space="0" w:color="000000"/>
              <w:left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1207" w:val="left" w:leader="none"/>
              </w:tabs>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9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13"/>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0" w:hRule="exact"/>
        </w:trPr>
        <w:tc>
          <w:tcPr>
            <w:tcW w:w="1979" w:type="dxa"/>
            <w:vMerge/>
            <w:tcBorders>
              <w:left w:val="nil" w:sz="6" w:space="0" w:color="auto"/>
              <w:bottom w:val="single" w:sz="8" w:space="0" w:color="000000"/>
              <w:right w:val="single" w:sz="8" w:space="0" w:color="000000"/>
            </w:tcBorders>
          </w:tcPr>
          <w:p>
            <w:pP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783"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17" w:hRule="exact"/>
        </w:trPr>
        <w:tc>
          <w:tcPr>
            <w:tcW w:w="1979" w:type="dxa"/>
            <w:tcBorders>
              <w:top w:val="single" w:sz="8" w:space="0" w:color="000000"/>
              <w:left w:val="nil" w:sz="6" w:space="0" w:color="auto"/>
              <w:bottom w:val="nil" w:sz="6" w:space="0" w:color="auto"/>
              <w:right w:val="single" w:sz="8"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8"/>
              <w:ind w:left="1" w:right="0"/>
              <w:jc w:val="center"/>
              <w:rPr>
                <w:rFonts w:ascii="Times New Roman" w:hAnsi="Times New Roman" w:cs="Times New Roman" w:eastAsia="Times New Roman" w:hint="default"/>
                <w:sz w:val="21"/>
                <w:szCs w:val="21"/>
              </w:rPr>
            </w:pPr>
            <w:r>
              <w:rPr>
                <w:rFonts w:ascii="Times New Roman"/>
                <w:sz w:val="21"/>
              </w:rPr>
              <w:t>RMB</w:t>
            </w:r>
          </w:p>
        </w:tc>
        <w:tc>
          <w:tcPr>
            <w:tcW w:w="20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8"/>
              <w:ind w:right="95"/>
              <w:jc w:val="right"/>
              <w:rPr>
                <w:rFonts w:ascii="Times New Roman" w:hAnsi="Times New Roman" w:cs="Times New Roman" w:eastAsia="Times New Roman" w:hint="default"/>
                <w:sz w:val="21"/>
                <w:szCs w:val="21"/>
              </w:rPr>
            </w:pPr>
            <w:r>
              <w:rPr>
                <w:rFonts w:ascii="Times New Roman"/>
                <w:spacing w:val="-1"/>
                <w:sz w:val="21"/>
              </w:rPr>
              <w:t>5,706,602.84</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1.0000</w:t>
            </w:r>
          </w:p>
        </w:tc>
        <w:tc>
          <w:tcPr>
            <w:tcW w:w="2408" w:type="dxa"/>
            <w:tcBorders>
              <w:top w:val="single" w:sz="8" w:space="0" w:color="000000"/>
              <w:left w:val="single" w:sz="8" w:space="0" w:color="000000"/>
              <w:bottom w:val="nil" w:sz="6" w:space="0" w:color="auto"/>
              <w:right w:val="nil" w:sz="6" w:space="0" w:color="auto"/>
            </w:tcBorders>
          </w:tcPr>
          <w:p>
            <w:pPr>
              <w:pStyle w:val="TableParagraph"/>
              <w:spacing w:line="240" w:lineRule="auto" w:before="178"/>
              <w:ind w:right="104"/>
              <w:jc w:val="right"/>
              <w:rPr>
                <w:rFonts w:ascii="Times New Roman" w:hAnsi="Times New Roman" w:cs="Times New Roman" w:eastAsia="Times New Roman" w:hint="default"/>
                <w:sz w:val="21"/>
                <w:szCs w:val="21"/>
              </w:rPr>
            </w:pPr>
            <w:r>
              <w:rPr>
                <w:rFonts w:ascii="Times New Roman"/>
                <w:spacing w:val="-1"/>
                <w:sz w:val="21"/>
              </w:rPr>
              <w:t>5,706,602.84</w:t>
            </w:r>
          </w:p>
        </w:tc>
      </w:tr>
      <w:tr>
        <w:trPr>
          <w:trHeight w:val="420" w:hRule="exact"/>
        </w:trPr>
        <w:tc>
          <w:tcPr>
            <w:tcW w:w="1979" w:type="dxa"/>
            <w:tcBorders>
              <w:top w:val="nil" w:sz="6" w:space="0" w:color="auto"/>
              <w:left w:val="nil" w:sz="6" w:space="0" w:color="auto"/>
              <w:bottom w:val="nil" w:sz="6" w:space="0" w:color="auto"/>
              <w:right w:val="single" w:sz="8"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HKD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21"/>
                <w:szCs w:val="21"/>
              </w:rPr>
            </w:pPr>
            <w:r>
              <w:rPr>
                <w:rFonts w:ascii="Times New Roman"/>
                <w:spacing w:val="-1"/>
                <w:sz w:val="21"/>
              </w:rPr>
              <w:t>1,303,458.85</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1"/>
                <w:szCs w:val="21"/>
              </w:rPr>
            </w:pPr>
            <w:r>
              <w:rPr>
                <w:rFonts w:ascii="Times New Roman"/>
                <w:sz w:val="21"/>
              </w:rPr>
              <w:t>0.8805</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1,147,669.45</w:t>
            </w:r>
          </w:p>
        </w:tc>
      </w:tr>
      <w:tr>
        <w:trPr>
          <w:trHeight w:val="420" w:hRule="exact"/>
        </w:trPr>
        <w:tc>
          <w:tcPr>
            <w:tcW w:w="1979" w:type="dxa"/>
            <w:tcBorders>
              <w:top w:val="nil" w:sz="6" w:space="0" w:color="auto"/>
              <w:left w:val="nil" w:sz="6" w:space="0" w:color="auto"/>
              <w:bottom w:val="nil" w:sz="6" w:space="0" w:color="auto"/>
              <w:right w:val="single" w:sz="8"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SGD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21"/>
                <w:szCs w:val="21"/>
              </w:rPr>
            </w:pPr>
            <w:r>
              <w:rPr>
                <w:rFonts w:ascii="Times New Roman"/>
                <w:spacing w:val="-1"/>
                <w:sz w:val="21"/>
              </w:rPr>
              <w:t>109,335.47</w:t>
            </w:r>
            <w:r>
              <w:rPr>
                <w:rFonts w:ascii="Times New Roman"/>
                <w:sz w:val="21"/>
              </w:rPr>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4.8656</w:t>
            </w:r>
          </w:p>
        </w:tc>
        <w:tc>
          <w:tcPr>
            <w:tcW w:w="2408" w:type="dxa"/>
            <w:tcBorders>
              <w:top w:val="nil" w:sz="6" w:space="0" w:color="auto"/>
              <w:left w:val="single" w:sz="8" w:space="0" w:color="000000"/>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21"/>
                <w:szCs w:val="21"/>
              </w:rPr>
            </w:pPr>
            <w:r>
              <w:rPr>
                <w:rFonts w:ascii="Times New Roman"/>
                <w:spacing w:val="-1"/>
                <w:sz w:val="21"/>
              </w:rPr>
              <w:t>531,555.55</w:t>
            </w:r>
            <w:r>
              <w:rPr>
                <w:rFonts w:ascii="Times New Roman"/>
                <w:sz w:val="21"/>
              </w:rPr>
            </w:r>
          </w:p>
        </w:tc>
      </w:tr>
      <w:tr>
        <w:trPr>
          <w:trHeight w:val="343" w:hRule="exact"/>
        </w:trPr>
        <w:tc>
          <w:tcPr>
            <w:tcW w:w="1979" w:type="dxa"/>
            <w:tcBorders>
              <w:top w:val="nil" w:sz="6" w:space="0" w:color="auto"/>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MYC</w:t>
            </w:r>
          </w:p>
        </w:tc>
        <w:tc>
          <w:tcPr>
            <w:tcW w:w="20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21"/>
                <w:szCs w:val="21"/>
              </w:rPr>
            </w:pPr>
            <w:r>
              <w:rPr>
                <w:rFonts w:ascii="Times New Roman"/>
                <w:spacing w:val="-1"/>
                <w:sz w:val="21"/>
              </w:rPr>
              <w:t>44,325.00</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1.9954</w:t>
            </w:r>
          </w:p>
        </w:tc>
        <w:tc>
          <w:tcPr>
            <w:tcW w:w="2408" w:type="dxa"/>
            <w:tcBorders>
              <w:top w:val="nil" w:sz="6" w:space="0" w:color="auto"/>
              <w:left w:val="single" w:sz="8" w:space="0" w:color="000000"/>
              <w:bottom w:val="single" w:sz="8"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88,447.52</w:t>
            </w:r>
          </w:p>
        </w:tc>
      </w:tr>
      <w:tr>
        <w:trPr>
          <w:trHeight w:val="445" w:hRule="exact"/>
        </w:trPr>
        <w:tc>
          <w:tcPr>
            <w:tcW w:w="1979" w:type="dxa"/>
            <w:tcBorders>
              <w:top w:val="single" w:sz="8" w:space="0" w:color="000000"/>
              <w:left w:val="nil" w:sz="6" w:space="0" w:color="auto"/>
              <w:bottom w:val="single" w:sz="12" w:space="0" w:color="000000"/>
              <w:right w:val="single" w:sz="8" w:space="0" w:color="000000"/>
            </w:tcBorders>
          </w:tcPr>
          <w:p>
            <w:pPr>
              <w:pStyle w:val="TableParagraph"/>
              <w:tabs>
                <w:tab w:pos="1207" w:val="left" w:leader="none"/>
              </w:tabs>
              <w:spacing w:line="240" w:lineRule="auto" w:before="113"/>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7"/>
              <w:ind w:left="78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77"/>
              <w:ind w:right="105"/>
              <w:jc w:val="right"/>
              <w:rPr>
                <w:rFonts w:ascii="Times New Roman" w:hAnsi="Times New Roman" w:cs="Times New Roman" w:eastAsia="Times New Roman" w:hint="default"/>
                <w:sz w:val="21"/>
                <w:szCs w:val="21"/>
              </w:rPr>
            </w:pPr>
            <w:r>
              <w:rPr>
                <w:rFonts w:ascii="Times New Roman"/>
                <w:sz w:val="21"/>
              </w:rPr>
              <w:t>7,474,275.36</w:t>
            </w:r>
          </w:p>
        </w:tc>
      </w:tr>
    </w:tbl>
    <w:p>
      <w:pPr>
        <w:spacing w:line="240" w:lineRule="auto" w:before="0"/>
        <w:rPr>
          <w:rFonts w:ascii="宋体" w:hAnsi="宋体" w:cs="宋体" w:eastAsia="宋体" w:hint="default"/>
          <w:sz w:val="9"/>
          <w:szCs w:val="9"/>
        </w:rPr>
      </w:pPr>
    </w:p>
    <w:p>
      <w:pPr>
        <w:pStyle w:val="BodyText"/>
        <w:spacing w:line="240" w:lineRule="auto" w:before="35"/>
        <w:ind w:left="734" w:right="210"/>
        <w:jc w:val="left"/>
      </w:pPr>
      <w:r>
        <w:rPr/>
        <w:t>（</w:t>
      </w:r>
      <w:r>
        <w:rPr>
          <w:rFonts w:ascii="Times New Roman" w:hAnsi="Times New Roman" w:cs="Times New Roman" w:eastAsia="Times New Roman" w:hint="default"/>
        </w:rPr>
        <w:t>2</w:t>
      </w:r>
      <w:r>
        <w:rPr/>
        <w:t>）其他应付款年末余额中无欠持本公司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）以上表决权股份的股东单位的款项。</w:t>
      </w:r>
    </w:p>
    <w:p>
      <w:pPr>
        <w:pStyle w:val="BodyText"/>
        <w:spacing w:line="240" w:lineRule="auto" w:before="170"/>
        <w:ind w:left="734" w:right="210"/>
        <w:jc w:val="left"/>
      </w:pPr>
      <w:r>
        <w:rPr/>
        <w:t>（</w:t>
      </w:r>
      <w:r>
        <w:rPr>
          <w:rFonts w:ascii="Times New Roman" w:hAnsi="Times New Roman" w:cs="Times New Roman" w:eastAsia="Times New Roman" w:hint="default"/>
        </w:rPr>
        <w:t>3</w:t>
      </w:r>
      <w:r>
        <w:rPr/>
        <w:t>）金额较大的其他应付款详细情况：</w:t>
      </w:r>
    </w:p>
    <w:tbl>
      <w:tblPr>
        <w:tblW w:w="0" w:type="auto"/>
        <w:jc w:val="left"/>
        <w:tblInd w:w="146" w:type="dxa"/>
        <w:tblLayout w:type="fixed"/>
        <w:tblCellMar>
          <w:top w:w="0" w:type="dxa"/>
          <w:left w:w="0" w:type="dxa"/>
          <w:bottom w:w="0" w:type="dxa"/>
          <w:right w:w="0" w:type="dxa"/>
        </w:tblCellMar>
        <w:tblLook w:val="01E0"/>
      </w:tblPr>
      <w:tblGrid>
        <w:gridCol w:w="4682"/>
        <w:gridCol w:w="2580"/>
        <w:gridCol w:w="2592"/>
      </w:tblGrid>
      <w:tr>
        <w:trPr>
          <w:trHeight w:val="479" w:hRule="exact"/>
        </w:trPr>
        <w:tc>
          <w:tcPr>
            <w:tcW w:w="4682" w:type="dxa"/>
            <w:tcBorders>
              <w:top w:val="single" w:sz="12" w:space="0" w:color="000000"/>
              <w:left w:val="nil" w:sz="6" w:space="0" w:color="auto"/>
              <w:bottom w:val="single" w:sz="4" w:space="0" w:color="000000"/>
              <w:right w:val="single" w:sz="4" w:space="0" w:color="000000"/>
            </w:tcBorders>
          </w:tcPr>
          <w:p>
            <w:pPr>
              <w:pStyle w:val="TableParagraph"/>
              <w:tabs>
                <w:tab w:pos="637" w:val="left" w:leader="none"/>
              </w:tabs>
              <w:spacing w:line="240" w:lineRule="auto" w:before="153"/>
              <w:ind w:left="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65"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72" w:hRule="exact"/>
        </w:trPr>
        <w:tc>
          <w:tcPr>
            <w:tcW w:w="4682"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08" w:right="0"/>
              <w:jc w:val="left"/>
              <w:rPr>
                <w:rFonts w:ascii="宋体" w:hAnsi="宋体" w:cs="宋体" w:eastAsia="宋体" w:hint="default"/>
                <w:sz w:val="21"/>
                <w:szCs w:val="21"/>
              </w:rPr>
            </w:pPr>
            <w:r>
              <w:rPr>
                <w:rFonts w:ascii="宋体" w:hAnsi="宋体" w:cs="宋体" w:eastAsia="宋体" w:hint="default"/>
                <w:sz w:val="21"/>
                <w:szCs w:val="21"/>
              </w:rPr>
              <w:t>赵乃珂</w:t>
            </w: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12,900,000.00</w:t>
            </w:r>
          </w:p>
        </w:tc>
        <w:tc>
          <w:tcPr>
            <w:tcW w:w="2592" w:type="dxa"/>
            <w:tcBorders>
              <w:top w:val="single" w:sz="4" w:space="0" w:color="000000"/>
              <w:left w:val="single" w:sz="4" w:space="0" w:color="000000"/>
              <w:bottom w:val="nil" w:sz="6" w:space="0" w:color="auto"/>
              <w:right w:val="nil" w:sz="6" w:space="0" w:color="auto"/>
            </w:tcBorders>
          </w:tcPr>
          <w:p>
            <w:pPr>
              <w:pStyle w:val="TableParagraph"/>
              <w:spacing w:line="240" w:lineRule="auto" w:before="154"/>
              <w:ind w:left="765" w:right="0"/>
              <w:jc w:val="left"/>
              <w:rPr>
                <w:rFonts w:ascii="宋体" w:hAnsi="宋体" w:cs="宋体" w:eastAsia="宋体" w:hint="default"/>
                <w:sz w:val="21"/>
                <w:szCs w:val="21"/>
              </w:rPr>
            </w:pPr>
            <w:r>
              <w:rPr>
                <w:rFonts w:ascii="宋体" w:hAnsi="宋体" w:cs="宋体" w:eastAsia="宋体" w:hint="default"/>
                <w:sz w:val="21"/>
                <w:szCs w:val="21"/>
              </w:rPr>
              <w:t>股权收购款</w:t>
            </w:r>
          </w:p>
        </w:tc>
      </w:tr>
      <w:tr>
        <w:trPr>
          <w:trHeight w:val="460" w:hRule="exact"/>
        </w:trPr>
        <w:tc>
          <w:tcPr>
            <w:tcW w:w="46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孙勇坚</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8,700,000.00</w:t>
            </w:r>
          </w:p>
        </w:tc>
        <w:tc>
          <w:tcPr>
            <w:tcW w:w="259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765" w:right="0"/>
              <w:jc w:val="left"/>
              <w:rPr>
                <w:rFonts w:ascii="宋体" w:hAnsi="宋体" w:cs="宋体" w:eastAsia="宋体" w:hint="default"/>
                <w:sz w:val="21"/>
                <w:szCs w:val="21"/>
              </w:rPr>
            </w:pPr>
            <w:r>
              <w:rPr>
                <w:rFonts w:ascii="宋体" w:hAnsi="宋体" w:cs="宋体" w:eastAsia="宋体" w:hint="default"/>
                <w:sz w:val="21"/>
                <w:szCs w:val="21"/>
              </w:rPr>
              <w:t>股权收购款</w:t>
            </w:r>
          </w:p>
        </w:tc>
      </w:tr>
      <w:tr>
        <w:trPr>
          <w:trHeight w:val="355" w:hRule="exact"/>
        </w:trPr>
        <w:tc>
          <w:tcPr>
            <w:tcW w:w="468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张诗中</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pacing w:val="-1"/>
                <w:sz w:val="21"/>
              </w:rPr>
              <w:t>7,200,000.00</w:t>
            </w:r>
          </w:p>
        </w:tc>
        <w:tc>
          <w:tcPr>
            <w:tcW w:w="259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765" w:right="0"/>
              <w:jc w:val="left"/>
              <w:rPr>
                <w:rFonts w:ascii="宋体" w:hAnsi="宋体" w:cs="宋体" w:eastAsia="宋体" w:hint="default"/>
                <w:sz w:val="21"/>
                <w:szCs w:val="21"/>
              </w:rPr>
            </w:pPr>
            <w:r>
              <w:rPr>
                <w:rFonts w:ascii="宋体" w:hAnsi="宋体" w:cs="宋体" w:eastAsia="宋体" w:hint="default"/>
                <w:sz w:val="21"/>
                <w:szCs w:val="21"/>
              </w:rPr>
              <w:t>股权收购款</w:t>
            </w:r>
          </w:p>
        </w:tc>
      </w:tr>
    </w:tbl>
    <w:p>
      <w:pPr>
        <w:spacing w:after="0" w:line="240" w:lineRule="auto"/>
        <w:jc w:val="left"/>
        <w:rPr>
          <w:rFonts w:ascii="宋体" w:hAnsi="宋体" w:cs="宋体" w:eastAsia="宋体" w:hint="default"/>
          <w:sz w:val="21"/>
          <w:szCs w:val="21"/>
        </w:rPr>
        <w:sectPr>
          <w:footerReference w:type="default" r:id="rId46"/>
          <w:pgSz w:w="11910" w:h="16840"/>
          <w:pgMar w:footer="982" w:header="851" w:top="1200" w:bottom="1180" w:left="880" w:right="880"/>
          <w:pgNumType w:start="11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697"/>
        <w:gridCol w:w="2580"/>
        <w:gridCol w:w="2592"/>
      </w:tblGrid>
      <w:tr>
        <w:trPr>
          <w:trHeight w:val="573" w:hRule="exact"/>
        </w:trPr>
        <w:tc>
          <w:tcPr>
            <w:tcW w:w="4697" w:type="dxa"/>
            <w:tcBorders>
              <w:top w:val="single" w:sz="6"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黄勇</w:t>
            </w:r>
          </w:p>
        </w:tc>
        <w:tc>
          <w:tcPr>
            <w:tcW w:w="258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1,200,000.00</w:t>
            </w:r>
          </w:p>
        </w:tc>
        <w:tc>
          <w:tcPr>
            <w:tcW w:w="2592" w:type="dxa"/>
            <w:tcBorders>
              <w:top w:val="single" w:sz="6" w:space="0" w:color="000000"/>
              <w:left w:val="single" w:sz="4" w:space="0" w:color="000000"/>
              <w:bottom w:val="nil" w:sz="6" w:space="0" w:color="auto"/>
              <w:right w:val="nil" w:sz="6" w:space="0" w:color="auto"/>
            </w:tcBorders>
          </w:tcPr>
          <w:p>
            <w:pPr>
              <w:pStyle w:val="TableParagraph"/>
              <w:spacing w:line="240" w:lineRule="auto" w:before="153"/>
              <w:ind w:left="765" w:right="0"/>
              <w:jc w:val="left"/>
              <w:rPr>
                <w:rFonts w:ascii="宋体" w:hAnsi="宋体" w:cs="宋体" w:eastAsia="宋体" w:hint="default"/>
                <w:sz w:val="21"/>
                <w:szCs w:val="21"/>
              </w:rPr>
            </w:pPr>
            <w:r>
              <w:rPr>
                <w:rFonts w:ascii="宋体" w:hAnsi="宋体" w:cs="宋体" w:eastAsia="宋体" w:hint="default"/>
                <w:sz w:val="21"/>
                <w:szCs w:val="21"/>
              </w:rPr>
              <w:t>股权收购款</w:t>
            </w:r>
          </w:p>
        </w:tc>
      </w:tr>
      <w:tr>
        <w:trPr>
          <w:trHeight w:val="370" w:hRule="exact"/>
        </w:trPr>
        <w:tc>
          <w:tcPr>
            <w:tcW w:w="4697"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富达自动化管理系统（上海）有限公司</w:t>
            </w:r>
          </w:p>
        </w:tc>
        <w:tc>
          <w:tcPr>
            <w:tcW w:w="25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515,687.00</w:t>
            </w:r>
            <w:r>
              <w:rPr>
                <w:rFonts w:ascii="Times New Roman"/>
                <w:sz w:val="21"/>
              </w:rPr>
            </w:r>
          </w:p>
        </w:tc>
        <w:tc>
          <w:tcPr>
            <w:tcW w:w="2592" w:type="dxa"/>
            <w:tcBorders>
              <w:top w:val="nil" w:sz="6" w:space="0" w:color="auto"/>
              <w:left w:val="single" w:sz="4" w:space="0" w:color="000000"/>
              <w:bottom w:val="single" w:sz="12" w:space="0" w:color="000000"/>
              <w:right w:val="nil" w:sz="6" w:space="0" w:color="auto"/>
            </w:tcBorders>
          </w:tcPr>
          <w:p>
            <w:pPr>
              <w:pStyle w:val="TableParagraph"/>
              <w:spacing w:line="240" w:lineRule="auto" w:before="47"/>
              <w:ind w:left="765" w:right="0"/>
              <w:jc w:val="left"/>
              <w:rPr>
                <w:rFonts w:ascii="宋体" w:hAnsi="宋体" w:cs="宋体" w:eastAsia="宋体" w:hint="default"/>
                <w:sz w:val="21"/>
                <w:szCs w:val="21"/>
              </w:rPr>
            </w:pPr>
            <w:r>
              <w:rPr>
                <w:rFonts w:ascii="宋体" w:hAnsi="宋体" w:cs="宋体" w:eastAsia="宋体" w:hint="default"/>
                <w:sz w:val="21"/>
                <w:szCs w:val="21"/>
              </w:rPr>
              <w:t>区域管理费</w:t>
            </w:r>
          </w:p>
        </w:tc>
      </w:tr>
    </w:tbl>
    <w:p>
      <w:pPr>
        <w:spacing w:line="240" w:lineRule="auto" w:before="0"/>
        <w:rPr>
          <w:rFonts w:ascii="宋体" w:hAnsi="宋体" w:cs="宋体" w:eastAsia="宋体" w:hint="default"/>
          <w:sz w:val="9"/>
          <w:szCs w:val="9"/>
        </w:rPr>
      </w:pPr>
    </w:p>
    <w:p>
      <w:pPr>
        <w:pStyle w:val="BodyText"/>
        <w:spacing w:line="379" w:lineRule="auto" w:before="35"/>
        <w:ind w:left="233" w:right="210" w:firstLine="480"/>
        <w:jc w:val="left"/>
      </w:pPr>
      <w:r>
        <w:rPr/>
        <w:t>（</w:t>
      </w:r>
      <w:r>
        <w:rPr>
          <w:rFonts w:ascii="Times New Roman" w:hAnsi="Times New Roman" w:cs="Times New Roman" w:eastAsia="Times New Roman" w:hint="default"/>
        </w:rPr>
        <w:t>4</w:t>
      </w:r>
      <w:r>
        <w:rPr/>
        <w:t>）其他应付款</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日比</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日增长了</w:t>
      </w:r>
      <w:r>
        <w:rPr>
          <w:spacing w:val="-53"/>
        </w:rPr>
        <w:t> </w:t>
      </w:r>
      <w:r>
        <w:rPr>
          <w:rFonts w:ascii="Times New Roman" w:hAnsi="Times New Roman" w:cs="Times New Roman" w:eastAsia="Times New Roman" w:hint="default"/>
        </w:rPr>
        <w:t>315.41</w:t>
      </w:r>
      <w:r>
        <w:rPr/>
        <w:t>％，主要是由于报告期内收 购南京银石股东所持有的全部股权，股权转让款尚未完全支付所致。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53" w:right="210"/>
        <w:jc w:val="left"/>
      </w:pPr>
      <w:r>
        <w:rPr>
          <w:rFonts w:ascii="Times New Roman" w:hAnsi="Times New Roman" w:cs="Times New Roman" w:eastAsia="Times New Roman" w:hint="default"/>
        </w:rPr>
        <w:t>26</w:t>
      </w:r>
      <w:r>
        <w:rPr/>
        <w:t>．其他非流动负债</w:t>
      </w:r>
    </w:p>
    <w:tbl>
      <w:tblPr>
        <w:tblW w:w="0" w:type="auto"/>
        <w:jc w:val="left"/>
        <w:tblInd w:w="192" w:type="dxa"/>
        <w:tblLayout w:type="fixed"/>
        <w:tblCellMar>
          <w:top w:w="0" w:type="dxa"/>
          <w:left w:w="0" w:type="dxa"/>
          <w:bottom w:w="0" w:type="dxa"/>
          <w:right w:w="0" w:type="dxa"/>
        </w:tblCellMar>
        <w:tblLook w:val="01E0"/>
      </w:tblPr>
      <w:tblGrid>
        <w:gridCol w:w="4618"/>
        <w:gridCol w:w="2581"/>
        <w:gridCol w:w="2509"/>
      </w:tblGrid>
      <w:tr>
        <w:trPr>
          <w:trHeight w:val="479" w:hRule="exact"/>
        </w:trPr>
        <w:tc>
          <w:tcPr>
            <w:tcW w:w="4618"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5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82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72" w:hRule="exact"/>
        </w:trPr>
        <w:tc>
          <w:tcPr>
            <w:tcW w:w="4618"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42" w:right="0"/>
              <w:jc w:val="left"/>
              <w:rPr>
                <w:rFonts w:ascii="宋体" w:hAnsi="宋体" w:cs="宋体" w:eastAsia="宋体" w:hint="default"/>
                <w:sz w:val="21"/>
                <w:szCs w:val="21"/>
              </w:rPr>
            </w:pPr>
            <w:r>
              <w:rPr>
                <w:rFonts w:ascii="宋体" w:hAnsi="宋体" w:cs="宋体" w:eastAsia="宋体" w:hint="default"/>
                <w:sz w:val="21"/>
                <w:szCs w:val="21"/>
              </w:rPr>
              <w:t>中关村高科技产业促进中心项目</w:t>
            </w:r>
          </w:p>
        </w:tc>
        <w:tc>
          <w:tcPr>
            <w:tcW w:w="25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c>
          <w:tcPr>
            <w:tcW w:w="2509" w:type="dxa"/>
            <w:tcBorders>
              <w:top w:val="single" w:sz="4" w:space="0" w:color="000000"/>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280,000.00</w:t>
            </w:r>
            <w:r>
              <w:rPr>
                <w:rFonts w:ascii="Times New Roman"/>
                <w:sz w:val="21"/>
              </w:rPr>
            </w:r>
          </w:p>
        </w:tc>
      </w:tr>
      <w:tr>
        <w:trPr>
          <w:trHeight w:val="460"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广西信息产业局</w:t>
            </w:r>
          </w:p>
        </w:tc>
        <w:tc>
          <w:tcPr>
            <w:tcW w:w="25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509"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27"/>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r>
      <w:tr>
        <w:trPr>
          <w:trHeight w:val="460"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西软酒店集团网络数据中心</w:t>
            </w:r>
          </w:p>
        </w:tc>
        <w:tc>
          <w:tcPr>
            <w:tcW w:w="25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21"/>
                <w:szCs w:val="21"/>
              </w:rPr>
            </w:pPr>
            <w:r>
              <w:rPr>
                <w:rFonts w:ascii="Times New Roman"/>
                <w:spacing w:val="-1"/>
                <w:sz w:val="21"/>
              </w:rPr>
              <w:t>252,000.00</w:t>
            </w:r>
            <w:r>
              <w:rPr>
                <w:rFonts w:ascii="Times New Roman"/>
                <w:sz w:val="21"/>
              </w:rPr>
            </w:r>
          </w:p>
        </w:tc>
        <w:tc>
          <w:tcPr>
            <w:tcW w:w="2509" w:type="dxa"/>
            <w:tcBorders>
              <w:top w:val="nil" w:sz="6" w:space="0" w:color="auto"/>
              <w:left w:val="single" w:sz="4" w:space="0" w:color="000000"/>
              <w:bottom w:val="nil" w:sz="6" w:space="0" w:color="auto"/>
              <w:right w:val="nil" w:sz="6" w:space="0" w:color="auto"/>
            </w:tcBorders>
          </w:tcPr>
          <w:p>
            <w:pPr/>
          </w:p>
        </w:tc>
      </w:tr>
      <w:tr>
        <w:trPr>
          <w:trHeight w:val="447"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2509" w:type="dxa"/>
            <w:tcBorders>
              <w:top w:val="nil" w:sz="6" w:space="0" w:color="auto"/>
              <w:left w:val="single" w:sz="4" w:space="0" w:color="000000"/>
              <w:bottom w:val="nil" w:sz="6" w:space="0" w:color="auto"/>
              <w:right w:val="nil" w:sz="6" w:space="0" w:color="auto"/>
            </w:tcBorders>
          </w:tcPr>
          <w:p>
            <w:pPr/>
          </w:p>
        </w:tc>
      </w:tr>
      <w:tr>
        <w:trPr>
          <w:trHeight w:val="473" w:hRule="exact"/>
        </w:trPr>
        <w:tc>
          <w:tcPr>
            <w:tcW w:w="4618"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42" w:right="0"/>
              <w:jc w:val="left"/>
              <w:rPr>
                <w:rFonts w:ascii="宋体" w:hAnsi="宋体" w:cs="宋体" w:eastAsia="宋体" w:hint="default"/>
                <w:sz w:val="21"/>
                <w:szCs w:val="21"/>
              </w:rPr>
            </w:pPr>
            <w:r>
              <w:rPr>
                <w:rFonts w:ascii="宋体" w:hAnsi="宋体" w:cs="宋体" w:eastAsia="宋体" w:hint="default"/>
                <w:sz w:val="21"/>
                <w:szCs w:val="21"/>
              </w:rPr>
              <w:t>西软酒店集团物流管理系统项目</w:t>
            </w:r>
          </w:p>
        </w:tc>
        <w:tc>
          <w:tcPr>
            <w:tcW w:w="2581" w:type="dxa"/>
            <w:tcBorders>
              <w:top w:val="nil" w:sz="6" w:space="0" w:color="auto"/>
              <w:left w:val="single" w:sz="4" w:space="0" w:color="000000"/>
              <w:bottom w:val="nil" w:sz="6" w:space="0" w:color="auto"/>
              <w:right w:val="single" w:sz="4" w:space="0" w:color="000000"/>
            </w:tcBorders>
          </w:tcPr>
          <w:p>
            <w:pPr/>
          </w:p>
        </w:tc>
        <w:tc>
          <w:tcPr>
            <w:tcW w:w="2509"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27"/>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r>
      <w:tr>
        <w:trPr>
          <w:trHeight w:val="359" w:hRule="exact"/>
        </w:trPr>
        <w:tc>
          <w:tcPr>
            <w:tcW w:w="4618"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西软旅业集团化网络信息平台项目</w:t>
            </w:r>
          </w:p>
        </w:tc>
        <w:tc>
          <w:tcPr>
            <w:tcW w:w="2581" w:type="dxa"/>
            <w:tcBorders>
              <w:top w:val="nil" w:sz="6" w:space="0" w:color="auto"/>
              <w:left w:val="single" w:sz="4" w:space="0" w:color="000000"/>
              <w:bottom w:val="single" w:sz="4" w:space="0" w:color="000000"/>
              <w:right w:val="single" w:sz="4" w:space="0" w:color="000000"/>
            </w:tcBorders>
          </w:tcPr>
          <w:p>
            <w:pPr/>
          </w:p>
        </w:tc>
        <w:tc>
          <w:tcPr>
            <w:tcW w:w="2509"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25"/>
              <w:jc w:val="right"/>
              <w:rPr>
                <w:rFonts w:ascii="Times New Roman" w:hAnsi="Times New Roman" w:cs="Times New Roman" w:eastAsia="Times New Roman" w:hint="default"/>
                <w:sz w:val="21"/>
                <w:szCs w:val="21"/>
              </w:rPr>
            </w:pPr>
            <w:r>
              <w:rPr>
                <w:rFonts w:ascii="Times New Roman"/>
                <w:spacing w:val="-1"/>
                <w:sz w:val="21"/>
              </w:rPr>
              <w:t>65,000.00</w:t>
            </w:r>
          </w:p>
        </w:tc>
      </w:tr>
      <w:tr>
        <w:trPr>
          <w:trHeight w:val="479" w:hRule="exact"/>
        </w:trPr>
        <w:tc>
          <w:tcPr>
            <w:tcW w:w="4618"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1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737,000.00</w:t>
            </w:r>
            <w:r>
              <w:rPr>
                <w:rFonts w:ascii="Times New Roman"/>
                <w:sz w:val="21"/>
              </w:rPr>
            </w:r>
          </w:p>
        </w:tc>
        <w:tc>
          <w:tcPr>
            <w:tcW w:w="25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845,000.00</w:t>
            </w:r>
            <w:r>
              <w:rPr>
                <w:rFonts w:ascii="Times New Roman"/>
                <w:sz w:val="21"/>
              </w:rPr>
            </w:r>
          </w:p>
        </w:tc>
      </w:tr>
    </w:tbl>
    <w:p>
      <w:pPr>
        <w:spacing w:line="240" w:lineRule="auto" w:before="3"/>
        <w:rPr>
          <w:rFonts w:ascii="宋体" w:hAnsi="宋体" w:cs="宋体" w:eastAsia="宋体" w:hint="default"/>
          <w:sz w:val="10"/>
          <w:szCs w:val="10"/>
        </w:rPr>
      </w:pPr>
    </w:p>
    <w:p>
      <w:pPr>
        <w:pStyle w:val="BodyText"/>
        <w:spacing w:line="379" w:lineRule="auto" w:before="35"/>
        <w:ind w:left="234" w:right="210" w:firstLine="419"/>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月，北京石基昆仑软件有限公司与中关村科技园管理委员会签订了</w:t>
      </w:r>
      <w:r>
        <w:rPr>
          <w:rFonts w:ascii="Times New Roman" w:hAnsi="Times New Roman" w:cs="Times New Roman" w:eastAsia="Times New Roman" w:hint="default"/>
        </w:rPr>
        <w:t>“</w:t>
      </w:r>
      <w:r>
        <w:rPr/>
        <w:t>中关村科技园 区小企业创新支持资金无偿资助项目合同</w:t>
      </w:r>
      <w:r>
        <w:rPr>
          <w:rFonts w:ascii="Times New Roman" w:hAnsi="Times New Roman" w:cs="Times New Roman" w:eastAsia="Times New Roman" w:hint="default"/>
        </w:rPr>
        <w:t>”</w:t>
      </w:r>
      <w:r>
        <w:rPr/>
        <w:t>，中关村科技园管理委员会决定对北京石基昆仑软件有限公司 资助创新基金</w:t>
      </w:r>
      <w:r>
        <w:rPr>
          <w:rFonts w:ascii="Times New Roman" w:hAnsi="Times New Roman" w:cs="Times New Roman" w:eastAsia="Times New Roman" w:hint="default"/>
        </w:rPr>
        <w:t>35</w:t>
      </w:r>
      <w:r>
        <w:rPr/>
        <w:t>万元。合同生效后首次拨付</w:t>
      </w:r>
      <w:r>
        <w:rPr>
          <w:rFonts w:ascii="Times New Roman" w:hAnsi="Times New Roman" w:cs="Times New Roman" w:eastAsia="Times New Roman" w:hint="default"/>
        </w:rPr>
        <w:t>80</w:t>
      </w:r>
      <w:r>
        <w:rPr/>
        <w:t>％资金；验收合格后，全额拨付资金余额；验收不合格的， 停拨资金余额，截止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w:t>
      </w:r>
    </w:p>
    <w:p>
      <w:pPr>
        <w:pStyle w:val="BodyText"/>
        <w:spacing w:line="379" w:lineRule="auto" w:before="35"/>
        <w:ind w:left="233" w:right="0" w:firstLine="42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月，北海石基信息技术有限公司与广西信息产业局签订的</w:t>
      </w:r>
      <w:r>
        <w:rPr>
          <w:rFonts w:ascii="Times New Roman" w:hAnsi="Times New Roman" w:cs="Times New Roman" w:eastAsia="Times New Roman" w:hint="default"/>
          <w:spacing w:val="-3"/>
        </w:rPr>
        <w:t>“</w:t>
      </w:r>
      <w:r>
        <w:rPr>
          <w:spacing w:val="-3"/>
        </w:rPr>
        <w:t>广西电子信息应用项目合同</w:t>
      </w:r>
      <w:r>
        <w:rPr>
          <w:rFonts w:ascii="Times New Roman" w:hAnsi="Times New Roman" w:cs="Times New Roman" w:eastAsia="Times New Roman" w:hint="default"/>
          <w:spacing w:val="-3"/>
        </w:rPr>
        <w:t>”</w:t>
      </w:r>
      <w:r>
        <w:rPr>
          <w:spacing w:val="-3"/>
        </w:rPr>
        <w:t>，</w:t>
      </w:r>
      <w:r>
        <w:rPr/>
        <w:t> 广西信息产业局向北海石基信息技术有限公司提供补助经费</w:t>
      </w:r>
      <w:r>
        <w:rPr>
          <w:rFonts w:ascii="Times New Roman" w:hAnsi="Times New Roman" w:cs="Times New Roman" w:eastAsia="Times New Roman" w:hint="default"/>
        </w:rPr>
        <w:t>20</w:t>
      </w:r>
      <w:r>
        <w:rPr/>
        <w:t>万元，用于石基客户技术支持服务中心软件 的研究开发，截止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日该项目尚未完工。</w:t>
      </w:r>
    </w:p>
    <w:p>
      <w:pPr>
        <w:pStyle w:val="BodyText"/>
        <w:spacing w:line="379" w:lineRule="auto" w:before="35"/>
        <w:ind w:left="234" w:right="210" w:firstLine="42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月，杭州西软科技有限公司与杭州市信息化办公室签订的</w:t>
      </w:r>
      <w:r>
        <w:rPr>
          <w:rFonts w:ascii="Times New Roman" w:hAnsi="Times New Roman" w:cs="Times New Roman" w:eastAsia="Times New Roman" w:hint="default"/>
          <w:spacing w:val="-1"/>
        </w:rPr>
        <w:t>“</w:t>
      </w:r>
      <w:r>
        <w:rPr>
          <w:spacing w:val="-1"/>
        </w:rPr>
        <w:t>杭州市信息服务业发展资助</w:t>
      </w:r>
      <w:r>
        <w:rPr/>
        <w:t> 项目合同书</w:t>
      </w:r>
      <w:r>
        <w:rPr>
          <w:rFonts w:ascii="Times New Roman" w:hAnsi="Times New Roman" w:cs="Times New Roman" w:eastAsia="Times New Roman" w:hint="default"/>
        </w:rPr>
        <w:t>”</w:t>
      </w:r>
      <w:r>
        <w:rPr/>
        <w:t>，项目合同书约定杭州市信息化办公室向杭州西软科技有限公司资助经费总额</w:t>
      </w:r>
      <w:r>
        <w:rPr>
          <w:rFonts w:ascii="Times New Roman" w:hAnsi="Times New Roman" w:cs="Times New Roman" w:eastAsia="Times New Roman" w:hint="default"/>
        </w:rPr>
        <w:t>42</w:t>
      </w:r>
      <w:r>
        <w:rPr/>
        <w:t>万元，用于 西软酒店集团网络数据中心的研究开发，</w:t>
      </w:r>
      <w:r>
        <w:rPr>
          <w:rFonts w:ascii="Times New Roman" w:hAnsi="Times New Roman" w:cs="Times New Roman" w:eastAsia="Times New Roman" w:hint="default"/>
        </w:rPr>
        <w:t>2010</w:t>
      </w:r>
      <w:r>
        <w:rPr/>
        <w:t>年实际已资助</w:t>
      </w:r>
      <w:r>
        <w:rPr>
          <w:rFonts w:ascii="Times New Roman" w:hAnsi="Times New Roman" w:cs="Times New Roman" w:eastAsia="Times New Roman" w:hint="default"/>
        </w:rPr>
        <w:t>25.2</w:t>
      </w:r>
      <w:r>
        <w:rPr/>
        <w:t>万元。</w:t>
      </w:r>
    </w:p>
    <w:p>
      <w:pPr>
        <w:pStyle w:val="BodyText"/>
        <w:spacing w:line="240" w:lineRule="auto" w:before="35"/>
        <w:ind w:left="654" w:right="210"/>
        <w:jc w:val="left"/>
      </w:pPr>
      <w:r>
        <w:rPr>
          <w:rFonts w:ascii="Times New Roman" w:hAnsi="Times New Roman" w:cs="Times New Roman" w:eastAsia="Times New Roman" w:hint="default"/>
        </w:rPr>
        <w:t>27</w:t>
      </w:r>
      <w:r>
        <w:rPr/>
        <w:t>．股本</w:t>
      </w:r>
    </w:p>
    <w:p>
      <w:pPr>
        <w:pStyle w:val="BodyText"/>
        <w:spacing w:line="240" w:lineRule="auto" w:before="169"/>
        <w:ind w:left="654" w:right="210"/>
        <w:jc w:val="left"/>
      </w:pPr>
      <w:r>
        <w:rPr/>
        <w:t>（</w:t>
      </w:r>
      <w:r>
        <w:rPr>
          <w:rFonts w:ascii="Times New Roman" w:hAnsi="Times New Roman" w:cs="Times New Roman" w:eastAsia="Times New Roman" w:hint="default"/>
        </w:rPr>
        <w:t>1</w:t>
      </w:r>
      <w:r>
        <w:rPr/>
        <w:t>）股份变动情况表</w:t>
      </w:r>
    </w:p>
    <w:p>
      <w:pPr>
        <w:pStyle w:val="BodyText"/>
        <w:spacing w:line="240" w:lineRule="auto" w:before="169"/>
        <w:ind w:left="0" w:right="250"/>
        <w:jc w:val="right"/>
      </w:pPr>
      <w:r>
        <w:rPr/>
        <w:t>单位：万股</w:t>
      </w:r>
    </w:p>
    <w:p>
      <w:pPr>
        <w:spacing w:line="240" w:lineRule="auto" w:before="6"/>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84"/>
        <w:gridCol w:w="1032"/>
        <w:gridCol w:w="784"/>
        <w:gridCol w:w="680"/>
        <w:gridCol w:w="436"/>
        <w:gridCol w:w="986"/>
        <w:gridCol w:w="1032"/>
        <w:gridCol w:w="1104"/>
        <w:gridCol w:w="1031"/>
        <w:gridCol w:w="786"/>
      </w:tblGrid>
      <w:tr>
        <w:trPr>
          <w:trHeight w:val="479" w:hRule="exact"/>
        </w:trPr>
        <w:tc>
          <w:tcPr>
            <w:tcW w:w="198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tabs>
                <w:tab w:pos="1171" w:val="left" w:leader="none"/>
              </w:tabs>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1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38"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1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30" w:hRule="exact"/>
        </w:trPr>
        <w:tc>
          <w:tcPr>
            <w:tcW w:w="1984" w:type="dxa"/>
            <w:vMerge/>
            <w:tcBorders>
              <w:left w:val="nil" w:sz="6" w:space="0" w:color="auto"/>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8"/>
              <w:ind w:left="154" w:right="15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8"/>
              <w:ind w:left="121" w:right="122"/>
              <w:jc w:val="left"/>
              <w:rPr>
                <w:rFonts w:ascii="宋体" w:hAnsi="宋体" w:cs="宋体" w:eastAsia="宋体" w:hint="default"/>
                <w:sz w:val="18"/>
                <w:szCs w:val="18"/>
              </w:rPr>
            </w:pPr>
            <w:r>
              <w:rPr>
                <w:rFonts w:ascii="宋体" w:hAnsi="宋体" w:cs="宋体" w:eastAsia="宋体" w:hint="default"/>
                <w:sz w:val="18"/>
                <w:szCs w:val="18"/>
              </w:rPr>
              <w:t>送 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38"/>
              <w:ind w:left="398" w:right="126"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40"/>
          <w:pgMar w:header="851" w:footer="982" w:top="1200" w:bottom="1180" w:left="900" w:right="880"/>
        </w:sectPr>
      </w:pPr>
    </w:p>
    <w:tbl>
      <w:tblPr>
        <w:tblW w:w="0" w:type="auto"/>
        <w:jc w:val="left"/>
        <w:tblInd w:w="111" w:type="dxa"/>
        <w:tblLayout w:type="fixed"/>
        <w:tblCellMar>
          <w:top w:w="0" w:type="dxa"/>
          <w:left w:w="0" w:type="dxa"/>
          <w:bottom w:w="0" w:type="dxa"/>
          <w:right w:w="0" w:type="dxa"/>
        </w:tblCellMar>
        <w:tblLook w:val="01E0"/>
      </w:tblPr>
      <w:tblGrid>
        <w:gridCol w:w="1998"/>
        <w:gridCol w:w="1032"/>
        <w:gridCol w:w="784"/>
        <w:gridCol w:w="680"/>
        <w:gridCol w:w="436"/>
        <w:gridCol w:w="986"/>
        <w:gridCol w:w="1032"/>
        <w:gridCol w:w="1104"/>
        <w:gridCol w:w="1031"/>
        <w:gridCol w:w="786"/>
      </w:tblGrid>
      <w:tr>
        <w:trPr>
          <w:trHeight w:val="487" w:hRule="exact"/>
        </w:trPr>
        <w:tc>
          <w:tcPr>
            <w:tcW w:w="1998" w:type="dxa"/>
            <w:vMerge w:val="restart"/>
            <w:tcBorders>
              <w:top w:val="single" w:sz="1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tabs>
                <w:tab w:pos="1185" w:val="left" w:leader="none"/>
              </w:tabs>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16" w:type="dxa"/>
            <w:gridSpan w:val="2"/>
            <w:tcBorders>
              <w:top w:val="single" w:sz="18"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38" w:type="dxa"/>
            <w:gridSpan w:val="5"/>
            <w:tcBorders>
              <w:top w:val="single" w:sz="18"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17" w:type="dxa"/>
            <w:gridSpan w:val="2"/>
            <w:tcBorders>
              <w:top w:val="single" w:sz="18"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30" w:hRule="exact"/>
        </w:trPr>
        <w:tc>
          <w:tcPr>
            <w:tcW w:w="1998" w:type="dxa"/>
            <w:vMerge/>
            <w:tcBorders>
              <w:left w:val="nil" w:sz="6" w:space="0" w:color="auto"/>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40"/>
              <w:ind w:left="154" w:right="15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40"/>
              <w:ind w:left="121" w:right="122"/>
              <w:jc w:val="left"/>
              <w:rPr>
                <w:rFonts w:ascii="宋体" w:hAnsi="宋体" w:cs="宋体" w:eastAsia="宋体" w:hint="default"/>
                <w:sz w:val="18"/>
                <w:szCs w:val="18"/>
              </w:rPr>
            </w:pPr>
            <w:r>
              <w:rPr>
                <w:rFonts w:ascii="宋体" w:hAnsi="宋体" w:cs="宋体" w:eastAsia="宋体" w:hint="default"/>
                <w:sz w:val="18"/>
                <w:szCs w:val="18"/>
              </w:rPr>
              <w:t>送 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40"/>
              <w:ind w:left="398" w:right="126"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88" w:hRule="exact"/>
        </w:trPr>
        <w:tc>
          <w:tcPr>
            <w:tcW w:w="1998"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15,236.57</w:t>
            </w:r>
          </w:p>
        </w:tc>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68.02</w:t>
            </w:r>
          </w:p>
        </w:tc>
        <w:tc>
          <w:tcPr>
            <w:tcW w:w="680" w:type="dxa"/>
            <w:vMerge w:val="restart"/>
            <w:tcBorders>
              <w:top w:val="single" w:sz="4" w:space="0" w:color="000000"/>
              <w:left w:val="single" w:sz="4" w:space="0" w:color="000000"/>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986" w:type="dxa"/>
            <w:vMerge w:val="restart"/>
            <w:tcBorders>
              <w:top w:val="single" w:sz="4" w:space="0" w:color="000000"/>
              <w:left w:val="single" w:sz="4" w:space="0" w:color="000000"/>
              <w:right w:val="single" w:sz="4" w:space="0" w:color="000000"/>
            </w:tcBorders>
          </w:tcPr>
          <w:p>
            <w:pPr/>
          </w:p>
        </w:tc>
        <w:tc>
          <w:tcPr>
            <w:tcW w:w="1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-4,423.74</w:t>
            </w:r>
            <w:r>
              <w:rPr>
                <w:rFonts w:ascii="Times New Roman"/>
                <w:sz w:val="18"/>
              </w:rPr>
            </w:r>
          </w:p>
        </w:tc>
        <w:tc>
          <w:tcPr>
            <w:tcW w:w="1104" w:type="dxa"/>
            <w:vMerge w:val="restart"/>
            <w:tcBorders>
              <w:top w:val="single" w:sz="4" w:space="0" w:color="000000"/>
              <w:left w:val="single" w:sz="4" w:space="0" w:color="000000"/>
              <w:right w:val="single" w:sz="4" w:space="0" w:color="000000"/>
            </w:tcBorders>
          </w:tcPr>
          <w:p>
            <w:pPr/>
          </w:p>
        </w:tc>
        <w:tc>
          <w:tcPr>
            <w:tcW w:w="10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10,812.83</w:t>
            </w:r>
          </w:p>
        </w:tc>
        <w:tc>
          <w:tcPr>
            <w:tcW w:w="786"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48.27</w:t>
            </w:r>
          </w:p>
        </w:tc>
      </w:tr>
      <w:tr>
        <w:trPr>
          <w:trHeight w:val="455"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65"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15,236.57</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68.02</w:t>
            </w: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Times New Roman" w:hAnsi="Times New Roman" w:cs="Times New Roman" w:eastAsia="Times New Roman" w:hint="default"/>
                <w:sz w:val="18"/>
                <w:szCs w:val="18"/>
              </w:rPr>
            </w:pPr>
            <w:r>
              <w:rPr>
                <w:rFonts w:ascii="Times New Roman"/>
                <w:w w:val="95"/>
                <w:sz w:val="18"/>
              </w:rPr>
              <w:t>-4,423.74</w:t>
            </w:r>
            <w:r>
              <w:rPr>
                <w:rFonts w:ascii="Times New Roman"/>
                <w:sz w:val="18"/>
              </w:rPr>
            </w: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93" w:right="0"/>
              <w:jc w:val="center"/>
              <w:rPr>
                <w:rFonts w:ascii="Times New Roman" w:hAnsi="Times New Roman" w:cs="Times New Roman" w:eastAsia="Times New Roman" w:hint="default"/>
                <w:sz w:val="18"/>
                <w:szCs w:val="18"/>
              </w:rPr>
            </w:pPr>
            <w:r>
              <w:rPr>
                <w:rFonts w:ascii="Times New Roman"/>
                <w:sz w:val="18"/>
              </w:rPr>
              <w:t>10,812.83</w:t>
            </w:r>
          </w:p>
        </w:tc>
        <w:tc>
          <w:tcPr>
            <w:tcW w:w="78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48.27</w:t>
            </w:r>
          </w:p>
        </w:tc>
      </w:tr>
      <w:tr>
        <w:trPr>
          <w:trHeight w:val="45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7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4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15,236.57</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68.02</w:t>
            </w: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w w:val="95"/>
                <w:sz w:val="18"/>
              </w:rPr>
              <w:t>-4,423.74</w:t>
            </w:r>
            <w:r>
              <w:rPr>
                <w:rFonts w:ascii="Times New Roman"/>
                <w:sz w:val="18"/>
              </w:rPr>
            </w: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93" w:right="0"/>
              <w:jc w:val="center"/>
              <w:rPr>
                <w:rFonts w:ascii="Times New Roman" w:hAnsi="Times New Roman" w:cs="Times New Roman" w:eastAsia="Times New Roman" w:hint="default"/>
                <w:sz w:val="18"/>
                <w:szCs w:val="18"/>
              </w:rPr>
            </w:pPr>
            <w:r>
              <w:rPr>
                <w:rFonts w:ascii="Times New Roman"/>
                <w:sz w:val="18"/>
              </w:rPr>
              <w:t>10,812.83</w:t>
            </w:r>
          </w:p>
        </w:tc>
        <w:tc>
          <w:tcPr>
            <w:tcW w:w="786"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48.27</w:t>
            </w:r>
          </w:p>
        </w:tc>
      </w:tr>
      <w:tr>
        <w:trPr>
          <w:trHeight w:val="455"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55"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4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7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、高管持股</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183.77</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0.82</w:t>
            </w: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10,629.06</w:t>
            </w: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92" w:right="0"/>
              <w:jc w:val="center"/>
              <w:rPr>
                <w:rFonts w:ascii="Times New Roman" w:hAnsi="Times New Roman" w:cs="Times New Roman" w:eastAsia="Times New Roman" w:hint="default"/>
                <w:sz w:val="18"/>
                <w:szCs w:val="18"/>
              </w:rPr>
            </w:pPr>
            <w:r>
              <w:rPr>
                <w:rFonts w:ascii="Times New Roman"/>
                <w:sz w:val="18"/>
              </w:rPr>
              <w:t>10,812.83</w:t>
            </w:r>
          </w:p>
        </w:tc>
        <w:tc>
          <w:tcPr>
            <w:tcW w:w="786"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Times New Roman"/>
                <w:sz w:val="18"/>
              </w:rPr>
              <w:t>48.27</w:t>
            </w:r>
          </w:p>
        </w:tc>
      </w:tr>
      <w:tr>
        <w:trPr>
          <w:trHeight w:val="46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7,163.43</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31.98</w:t>
            </w: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4,423.74</w:t>
            </w: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99" w:right="0"/>
              <w:jc w:val="center"/>
              <w:rPr>
                <w:rFonts w:ascii="Times New Roman" w:hAnsi="Times New Roman" w:cs="Times New Roman" w:eastAsia="Times New Roman" w:hint="default"/>
                <w:sz w:val="18"/>
                <w:szCs w:val="18"/>
              </w:rPr>
            </w:pPr>
            <w:r>
              <w:rPr>
                <w:rFonts w:ascii="Times New Roman"/>
                <w:sz w:val="18"/>
              </w:rPr>
              <w:t>11,587.17</w:t>
            </w:r>
          </w:p>
        </w:tc>
        <w:tc>
          <w:tcPr>
            <w:tcW w:w="78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51.73</w:t>
            </w:r>
          </w:p>
        </w:tc>
      </w:tr>
      <w:tr>
        <w:trPr>
          <w:trHeight w:val="46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7,163.43</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31.98</w:t>
            </w: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4,423.74</w:t>
            </w: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left="99" w:right="0"/>
              <w:jc w:val="center"/>
              <w:rPr>
                <w:rFonts w:ascii="Times New Roman" w:hAnsi="Times New Roman" w:cs="Times New Roman" w:eastAsia="Times New Roman" w:hint="default"/>
                <w:sz w:val="18"/>
                <w:szCs w:val="18"/>
              </w:rPr>
            </w:pPr>
            <w:r>
              <w:rPr>
                <w:rFonts w:ascii="Times New Roman"/>
                <w:sz w:val="18"/>
              </w:rPr>
              <w:t>11,587.17</w:t>
            </w:r>
          </w:p>
        </w:tc>
        <w:tc>
          <w:tcPr>
            <w:tcW w:w="78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2"/>
              <w:jc w:val="center"/>
              <w:rPr>
                <w:rFonts w:ascii="Times New Roman" w:hAnsi="Times New Roman" w:cs="Times New Roman" w:eastAsia="Times New Roman" w:hint="default"/>
                <w:sz w:val="18"/>
                <w:szCs w:val="18"/>
              </w:rPr>
            </w:pPr>
            <w:r>
              <w:rPr>
                <w:rFonts w:ascii="Times New Roman"/>
                <w:sz w:val="18"/>
              </w:rPr>
              <w:t>51.73</w:t>
            </w:r>
          </w:p>
        </w:tc>
      </w:tr>
      <w:tr>
        <w:trPr>
          <w:trHeight w:val="455"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199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680"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032" w:type="dxa"/>
            <w:tcBorders>
              <w:top w:val="nil" w:sz="6" w:space="0" w:color="auto"/>
              <w:left w:val="single" w:sz="4" w:space="0" w:color="000000"/>
              <w:bottom w:val="nil" w:sz="6" w:space="0" w:color="auto"/>
              <w:right w:val="single" w:sz="4" w:space="0" w:color="000000"/>
            </w:tcBorders>
          </w:tcPr>
          <w:p>
            <w:pPr/>
          </w:p>
        </w:tc>
        <w:tc>
          <w:tcPr>
            <w:tcW w:w="1104" w:type="dxa"/>
            <w:vMerge/>
            <w:tcBorders>
              <w:left w:val="single" w:sz="4" w:space="0" w:color="000000"/>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nil" w:sz="6" w:space="0" w:color="auto"/>
            </w:tcBorders>
          </w:tcPr>
          <w:p>
            <w:pPr/>
          </w:p>
        </w:tc>
      </w:tr>
      <w:tr>
        <w:trPr>
          <w:trHeight w:val="358" w:hRule="exact"/>
        </w:trPr>
        <w:tc>
          <w:tcPr>
            <w:tcW w:w="1998" w:type="dxa"/>
            <w:tcBorders>
              <w:top w:val="nil" w:sz="6" w:space="0" w:color="auto"/>
              <w:left w:val="nil" w:sz="6" w:space="0" w:color="auto"/>
              <w:bottom w:val="single" w:sz="12"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22,400.00</w:t>
            </w:r>
          </w:p>
        </w:tc>
        <w:tc>
          <w:tcPr>
            <w:tcW w:w="7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c>
          <w:tcPr>
            <w:tcW w:w="680" w:type="dxa"/>
            <w:vMerge/>
            <w:tcBorders>
              <w:left w:val="single" w:sz="4" w:space="0" w:color="000000"/>
              <w:bottom w:val="single" w:sz="12" w:space="0" w:color="000000"/>
              <w:right w:val="single" w:sz="4" w:space="0" w:color="000000"/>
            </w:tcBorders>
          </w:tcPr>
          <w:p>
            <w:pPr/>
          </w:p>
        </w:tc>
        <w:tc>
          <w:tcPr>
            <w:tcW w:w="436" w:type="dxa"/>
            <w:vMerge/>
            <w:tcBorders>
              <w:left w:val="single" w:sz="4" w:space="0" w:color="000000"/>
              <w:bottom w:val="single" w:sz="12" w:space="0" w:color="000000"/>
              <w:right w:val="single" w:sz="4" w:space="0" w:color="000000"/>
            </w:tcBorders>
          </w:tcPr>
          <w:p>
            <w:pPr/>
          </w:p>
        </w:tc>
        <w:tc>
          <w:tcPr>
            <w:tcW w:w="986" w:type="dxa"/>
            <w:vMerge/>
            <w:tcBorders>
              <w:left w:val="single" w:sz="4" w:space="0" w:color="000000"/>
              <w:bottom w:val="single" w:sz="12" w:space="0" w:color="000000"/>
              <w:right w:val="single" w:sz="4" w:space="0" w:color="000000"/>
            </w:tcBorders>
          </w:tcPr>
          <w:p>
            <w:pPr/>
          </w:p>
        </w:tc>
        <w:tc>
          <w:tcPr>
            <w:tcW w:w="1032" w:type="dxa"/>
            <w:tcBorders>
              <w:top w:val="nil" w:sz="6" w:space="0" w:color="auto"/>
              <w:left w:val="single" w:sz="4" w:space="0" w:color="000000"/>
              <w:bottom w:val="single" w:sz="12" w:space="0" w:color="000000"/>
              <w:right w:val="single" w:sz="4" w:space="0" w:color="000000"/>
            </w:tcBorders>
          </w:tcPr>
          <w:p>
            <w:pPr/>
          </w:p>
        </w:tc>
        <w:tc>
          <w:tcPr>
            <w:tcW w:w="1104" w:type="dxa"/>
            <w:vMerge/>
            <w:tcBorders>
              <w:left w:val="single" w:sz="4" w:space="0" w:color="000000"/>
              <w:bottom w:val="single" w:sz="12" w:space="0" w:color="000000"/>
              <w:right w:val="single" w:sz="4" w:space="0" w:color="000000"/>
            </w:tcBorders>
          </w:tcPr>
          <w:p>
            <w:pPr/>
          </w:p>
        </w:tc>
        <w:tc>
          <w:tcPr>
            <w:tcW w:w="103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left="93" w:right="0"/>
              <w:jc w:val="center"/>
              <w:rPr>
                <w:rFonts w:ascii="Times New Roman" w:hAnsi="Times New Roman" w:cs="Times New Roman" w:eastAsia="Times New Roman" w:hint="default"/>
                <w:sz w:val="18"/>
                <w:szCs w:val="18"/>
              </w:rPr>
            </w:pPr>
            <w:r>
              <w:rPr>
                <w:rFonts w:ascii="Times New Roman"/>
                <w:sz w:val="18"/>
              </w:rPr>
              <w:t>22,400.00</w:t>
            </w:r>
          </w:p>
        </w:tc>
        <w:tc>
          <w:tcPr>
            <w:tcW w:w="7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1"/>
              <w:ind w:right="3"/>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9"/>
          <w:szCs w:val="9"/>
        </w:rPr>
      </w:pPr>
    </w:p>
    <w:p>
      <w:pPr>
        <w:pStyle w:val="BodyText"/>
        <w:spacing w:line="386" w:lineRule="auto" w:before="35"/>
        <w:ind w:left="233" w:right="229" w:firstLine="420"/>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月，公司办理了限售股份解除限售，详见公司于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日披露的《限售股份上 市流通提示性公告》（</w:t>
      </w:r>
      <w:r>
        <w:rPr>
          <w:rFonts w:ascii="Times New Roman" w:hAnsi="Times New Roman" w:cs="Times New Roman" w:eastAsia="Times New Roman" w:hint="default"/>
        </w:rPr>
        <w:t>2010-37</w:t>
      </w:r>
      <w:r>
        <w:rPr/>
        <w:t>）。本次可上市流通股份的总数</w:t>
      </w:r>
      <w:r>
        <w:rPr>
          <w:rFonts w:ascii="Times New Roman" w:hAnsi="Times New Roman" w:cs="Times New Roman" w:eastAsia="Times New Roman" w:hint="default"/>
        </w:rPr>
        <w:t>15,052.8</w:t>
      </w:r>
      <w:r>
        <w:rPr/>
        <w:t>万股，因限售股份持有人之一李仲 </w:t>
      </w:r>
      <w:r>
        <w:rPr>
          <w:spacing w:val="-1"/>
        </w:rPr>
        <w:t>初先生作为公司董事长，任职期间每年可转让的股份不超过其所持本公司股份总数的百分之二十五，故本</w:t>
      </w:r>
      <w:r>
        <w:rPr>
          <w:spacing w:val="-81"/>
        </w:rPr>
        <w:t> </w:t>
      </w:r>
      <w:r>
        <w:rPr>
          <w:spacing w:val="-81"/>
        </w:rPr>
      </w:r>
      <w:r>
        <w:rPr/>
        <w:t>次实际可上市流通数量为</w:t>
      </w:r>
      <w:r>
        <w:rPr>
          <w:rFonts w:ascii="Times New Roman" w:hAnsi="Times New Roman" w:cs="Times New Roman" w:eastAsia="Times New Roman" w:hint="default"/>
        </w:rPr>
        <w:t>4,468.8</w:t>
      </w:r>
      <w:r>
        <w:rPr/>
        <w:t>万股。</w:t>
      </w:r>
    </w:p>
    <w:p>
      <w:pPr>
        <w:pStyle w:val="BodyText"/>
        <w:spacing w:line="248" w:lineRule="exact"/>
        <w:ind w:left="233" w:right="229"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李殿坤先生于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日不再担任公司董事，根据《深圳证券交易所中小板上市公司规范运</w:t>
      </w:r>
    </w:p>
    <w:p>
      <w:pPr>
        <w:pStyle w:val="BodyText"/>
        <w:spacing w:line="321" w:lineRule="auto" w:before="99"/>
        <w:ind w:left="233" w:right="229"/>
        <w:jc w:val="left"/>
      </w:pPr>
      <w:r>
        <w:rPr/>
        <w:t>作指引》</w:t>
      </w:r>
      <w:r>
        <w:rPr>
          <w:rFonts w:ascii="Times New Roman" w:hAnsi="Times New Roman" w:cs="Times New Roman" w:eastAsia="Times New Roman" w:hint="default"/>
        </w:rPr>
        <w:t>3.8.13</w:t>
      </w:r>
      <w:r>
        <w:rPr/>
        <w:t>，上市公司董事、监事和高级管理人员离任并委托公司申报个人信息后，中国结算深圳分 </w:t>
      </w:r>
      <w:r>
        <w:rPr>
          <w:spacing w:val="-1"/>
        </w:rPr>
        <w:t>公司自其申报离任日起六个月内将其持有及新增的本公司股份全部锁定，因此李殿坤先生</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81"/>
        </w:rPr>
        <w:t> </w:t>
      </w:r>
      <w:r>
        <w:rPr/>
        <w:t>持有的</w:t>
      </w:r>
      <w:r>
        <w:rPr>
          <w:rFonts w:ascii="Times New Roman" w:hAnsi="Times New Roman" w:cs="Times New Roman" w:eastAsia="Times New Roman" w:hint="default"/>
        </w:rPr>
        <w:t>2,288,284</w:t>
      </w:r>
      <w:r>
        <w:rPr/>
        <w:t>股全部锁定。综合以上</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，本年度增加的无限售条件股份数为：</w:t>
      </w:r>
    </w:p>
    <w:p>
      <w:pPr>
        <w:pStyle w:val="BodyText"/>
        <w:spacing w:line="240" w:lineRule="auto" w:before="20"/>
        <w:ind w:left="233" w:right="229"/>
        <w:jc w:val="left"/>
      </w:pPr>
      <w:r>
        <w:rPr>
          <w:rFonts w:ascii="Times New Roman" w:hAnsi="Times New Roman" w:cs="Times New Roman" w:eastAsia="Times New Roman" w:hint="default"/>
        </w:rPr>
        <w:t>44,688,000-2,288,284+1,837,712=44,237,428</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653" w:right="229"/>
        <w:jc w:val="left"/>
      </w:pPr>
      <w:r>
        <w:rPr>
          <w:rFonts w:ascii="Times New Roman" w:hAnsi="Times New Roman" w:cs="Times New Roman" w:eastAsia="Times New Roman" w:hint="default"/>
        </w:rPr>
        <w:t>28</w:t>
      </w:r>
      <w:r>
        <w:rPr/>
        <w:t>．资本公积</w:t>
      </w:r>
    </w:p>
    <w:tbl>
      <w:tblPr>
        <w:tblW w:w="0" w:type="auto"/>
        <w:jc w:val="left"/>
        <w:tblInd w:w="111" w:type="dxa"/>
        <w:tblLayout w:type="fixed"/>
        <w:tblCellMar>
          <w:top w:w="0" w:type="dxa"/>
          <w:left w:w="0" w:type="dxa"/>
          <w:bottom w:w="0" w:type="dxa"/>
          <w:right w:w="0" w:type="dxa"/>
        </w:tblCellMar>
        <w:tblLook w:val="01E0"/>
      </w:tblPr>
      <w:tblGrid>
        <w:gridCol w:w="2302"/>
        <w:gridCol w:w="2184"/>
        <w:gridCol w:w="1884"/>
        <w:gridCol w:w="1686"/>
        <w:gridCol w:w="1784"/>
      </w:tblGrid>
      <w:tr>
        <w:trPr>
          <w:trHeight w:val="41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tabs>
                <w:tab w:pos="1361" w:val="left" w:leader="none"/>
              </w:tabs>
              <w:spacing w:line="240" w:lineRule="auto" w:before="83"/>
              <w:ind w:left="73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66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8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41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312"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2"/>
              <w:ind w:left="46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96" w:hRule="exact"/>
        </w:trPr>
        <w:tc>
          <w:tcPr>
            <w:tcW w:w="2302" w:type="dxa"/>
            <w:tcBorders>
              <w:top w:val="single" w:sz="4" w:space="0" w:color="000000"/>
              <w:left w:val="nil" w:sz="6" w:space="0" w:color="auto"/>
              <w:bottom w:val="nil" w:sz="6" w:space="0" w:color="auto"/>
              <w:right w:val="single" w:sz="4" w:space="0" w:color="000000"/>
            </w:tcBorders>
          </w:tcPr>
          <w:p>
            <w:pPr>
              <w:pStyle w:val="TableParagraph"/>
              <w:spacing w:line="240" w:lineRule="auto" w:before="84"/>
              <w:ind w:left="108"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left="862" w:right="0"/>
              <w:jc w:val="left"/>
              <w:rPr>
                <w:rFonts w:ascii="Times New Roman" w:hAnsi="Times New Roman" w:cs="Times New Roman" w:eastAsia="Times New Roman" w:hint="default"/>
                <w:sz w:val="21"/>
                <w:szCs w:val="21"/>
              </w:rPr>
            </w:pPr>
            <w:r>
              <w:rPr>
                <w:rFonts w:ascii="Times New Roman"/>
                <w:sz w:val="21"/>
              </w:rPr>
              <w:t>86,262,108.98</w:t>
            </w:r>
          </w:p>
        </w:tc>
        <w:tc>
          <w:tcPr>
            <w:tcW w:w="1884" w:type="dxa"/>
            <w:tcBorders>
              <w:top w:val="single" w:sz="4" w:space="0" w:color="000000"/>
              <w:left w:val="single" w:sz="4" w:space="0" w:color="000000"/>
              <w:bottom w:val="nil" w:sz="6" w:space="0" w:color="auto"/>
              <w:right w:val="single" w:sz="4" w:space="0" w:color="000000"/>
            </w:tcBorders>
          </w:tcPr>
          <w:p>
            <w:pPr/>
          </w:p>
        </w:tc>
        <w:tc>
          <w:tcPr>
            <w:tcW w:w="1686" w:type="dxa"/>
            <w:tcBorders>
              <w:top w:val="single" w:sz="4" w:space="0" w:color="000000"/>
              <w:left w:val="single" w:sz="4" w:space="0" w:color="000000"/>
              <w:bottom w:val="nil" w:sz="6" w:space="0" w:color="auto"/>
              <w:right w:val="single" w:sz="4" w:space="0" w:color="000000"/>
            </w:tcBorders>
          </w:tcPr>
          <w:p>
            <w:pPr/>
          </w:p>
        </w:tc>
        <w:tc>
          <w:tcPr>
            <w:tcW w:w="1784" w:type="dxa"/>
            <w:tcBorders>
              <w:top w:val="single" w:sz="4" w:space="0" w:color="000000"/>
              <w:left w:val="single" w:sz="4" w:space="0" w:color="000000"/>
              <w:bottom w:val="nil" w:sz="6" w:space="0" w:color="auto"/>
              <w:right w:val="nil" w:sz="6" w:space="0" w:color="auto"/>
            </w:tcBorders>
          </w:tcPr>
          <w:p>
            <w:pPr>
              <w:pStyle w:val="TableParagraph"/>
              <w:spacing w:line="240" w:lineRule="auto" w:before="148"/>
              <w:ind w:left="463" w:right="0"/>
              <w:jc w:val="left"/>
              <w:rPr>
                <w:rFonts w:ascii="Times New Roman" w:hAnsi="Times New Roman" w:cs="Times New Roman" w:eastAsia="Times New Roman" w:hint="default"/>
                <w:sz w:val="21"/>
                <w:szCs w:val="21"/>
              </w:rPr>
            </w:pPr>
            <w:r>
              <w:rPr>
                <w:rFonts w:ascii="Times New Roman"/>
                <w:sz w:val="21"/>
              </w:rPr>
              <w:t>86,262,108.98</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260" w:bottom="1180" w:left="900" w:right="90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316"/>
        <w:gridCol w:w="2184"/>
        <w:gridCol w:w="1884"/>
        <w:gridCol w:w="1686"/>
        <w:gridCol w:w="1784"/>
      </w:tblGrid>
      <w:tr>
        <w:trPr>
          <w:trHeight w:val="402" w:hRule="exact"/>
        </w:trPr>
        <w:tc>
          <w:tcPr>
            <w:tcW w:w="2316"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184" w:type="dxa"/>
            <w:tcBorders>
              <w:top w:val="single" w:sz="6" w:space="0" w:color="000000"/>
              <w:left w:val="single" w:sz="4" w:space="0" w:color="000000"/>
              <w:bottom w:val="single" w:sz="4" w:space="0" w:color="000000"/>
              <w:right w:val="single" w:sz="4" w:space="0" w:color="000000"/>
            </w:tcBorders>
          </w:tcPr>
          <w:p>
            <w:pPr/>
          </w:p>
        </w:tc>
        <w:tc>
          <w:tcPr>
            <w:tcW w:w="188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7,602,355.17</w:t>
            </w:r>
          </w:p>
        </w:tc>
        <w:tc>
          <w:tcPr>
            <w:tcW w:w="1686" w:type="dxa"/>
            <w:tcBorders>
              <w:top w:val="single" w:sz="6" w:space="0" w:color="000000"/>
              <w:left w:val="single" w:sz="4" w:space="0" w:color="000000"/>
              <w:bottom w:val="single" w:sz="4" w:space="0" w:color="000000"/>
              <w:right w:val="single" w:sz="4" w:space="0" w:color="000000"/>
            </w:tcBorders>
          </w:tcPr>
          <w:p>
            <w:pPr/>
          </w:p>
        </w:tc>
        <w:tc>
          <w:tcPr>
            <w:tcW w:w="1784"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7,602,355.17</w:t>
            </w:r>
          </w:p>
        </w:tc>
      </w:tr>
      <w:tr>
        <w:trPr>
          <w:trHeight w:val="410"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1376" w:val="left" w:leader="none"/>
              </w:tabs>
              <w:spacing w:line="240" w:lineRule="auto" w:before="83"/>
              <w:ind w:left="7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7"/>
              <w:ind w:left="862" w:right="0"/>
              <w:jc w:val="left"/>
              <w:rPr>
                <w:rFonts w:ascii="Times New Roman" w:hAnsi="Times New Roman" w:cs="Times New Roman" w:eastAsia="Times New Roman" w:hint="default"/>
                <w:sz w:val="21"/>
                <w:szCs w:val="21"/>
              </w:rPr>
            </w:pPr>
            <w:r>
              <w:rPr>
                <w:rFonts w:ascii="Times New Roman"/>
                <w:sz w:val="21"/>
              </w:rPr>
              <w:t>86,262,108.98</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7,602,355.17</w:t>
            </w:r>
          </w:p>
        </w:tc>
        <w:tc>
          <w:tcPr>
            <w:tcW w:w="1686" w:type="dxa"/>
            <w:tcBorders>
              <w:top w:val="single" w:sz="4" w:space="0" w:color="000000"/>
              <w:left w:val="single" w:sz="4" w:space="0" w:color="000000"/>
              <w:bottom w:val="single" w:sz="12" w:space="0" w:color="000000"/>
              <w:right w:val="single" w:sz="4" w:space="0" w:color="000000"/>
            </w:tcBorders>
          </w:tcPr>
          <w:p>
            <w:pPr/>
          </w:p>
        </w:tc>
        <w:tc>
          <w:tcPr>
            <w:tcW w:w="1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93,864,464.15</w:t>
            </w:r>
          </w:p>
        </w:tc>
      </w:tr>
    </w:tbl>
    <w:p>
      <w:pPr>
        <w:pStyle w:val="BodyText"/>
        <w:spacing w:line="240" w:lineRule="auto" w:before="83"/>
        <w:ind w:left="674" w:right="210"/>
        <w:jc w:val="left"/>
      </w:pPr>
      <w:r>
        <w:rPr/>
        <w:t>注：经公司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年度第一次临时股东会审议通过《北京中长石基信息技术股份有限公司股票期权激</w:t>
      </w:r>
    </w:p>
    <w:p>
      <w:pPr>
        <w:pStyle w:val="BodyText"/>
        <w:spacing w:line="240" w:lineRule="auto" w:before="99"/>
        <w:ind w:left="254" w:right="0"/>
        <w:jc w:val="both"/>
        <w:rPr>
          <w:rFonts w:ascii="Times New Roman" w:hAnsi="Times New Roman" w:cs="Times New Roman" w:eastAsia="Times New Roman" w:hint="default"/>
        </w:rPr>
      </w:pPr>
      <w:r>
        <w:rPr/>
        <w:t>励计</w:t>
      </w:r>
      <w:r>
        <w:rPr>
          <w:spacing w:val="-89"/>
        </w:rPr>
        <w:t>划</w:t>
      </w:r>
      <w:r>
        <w:rPr/>
        <w:t>（草案</w:t>
      </w:r>
      <w:r>
        <w:rPr>
          <w:spacing w:val="-89"/>
        </w:rPr>
        <w:t>）</w:t>
      </w:r>
      <w:r>
        <w:rPr/>
        <w:t>修订案</w:t>
      </w:r>
      <w:r>
        <w:rPr>
          <w:spacing w:val="-89"/>
        </w:rPr>
        <w:t>》，</w:t>
      </w:r>
      <w:r>
        <w:rPr>
          <w:spacing w:val="1"/>
        </w:rPr>
        <w:t>公</w:t>
      </w:r>
      <w:r>
        <w:rPr/>
        <w:t>司对部份管理人员实施股票期权</w:t>
      </w:r>
      <w:r>
        <w:rPr>
          <w:spacing w:val="-89"/>
        </w:rPr>
        <w:t>，</w:t>
      </w:r>
      <w:r>
        <w:rPr/>
        <w:t>公司在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22 </w:t>
      </w:r>
      <w:r>
        <w:rPr/>
        <w:t>日</w:t>
      </w:r>
      <w:r>
        <w:rPr>
          <w:spacing w:val="-2"/>
        </w:rPr>
        <w:t>授</w:t>
      </w:r>
      <w:r>
        <w:rPr/>
        <w:t>予激励对象</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88</w:t>
      </w:r>
      <w:r>
        <w:rPr>
          <w:rFonts w:ascii="Times New Roman" w:hAnsi="Times New Roman" w:cs="Times New Roman" w:eastAsia="Times New Roman" w:hint="default"/>
          <w:spacing w:val="-1"/>
        </w:rPr>
        <w:t>.</w:t>
      </w:r>
      <w:r>
        <w:rPr>
          <w:rFonts w:ascii="Times New Roman" w:hAnsi="Times New Roman" w:cs="Times New Roman" w:eastAsia="Times New Roman" w:hint="default"/>
        </w:rPr>
        <w:t>40</w:t>
      </w:r>
    </w:p>
    <w:p>
      <w:pPr>
        <w:pStyle w:val="BodyText"/>
        <w:spacing w:line="240" w:lineRule="auto" w:before="99"/>
        <w:ind w:left="253" w:right="0"/>
        <w:jc w:val="both"/>
      </w:pPr>
      <w:r>
        <w:rPr/>
        <w:t>万份股票期</w:t>
      </w:r>
      <w:r>
        <w:rPr>
          <w:spacing w:val="-5"/>
        </w:rPr>
        <w:t>权</w:t>
      </w:r>
      <w:r>
        <w:rPr/>
        <w:t>（后调整为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60 </w:t>
      </w:r>
      <w:r>
        <w:rPr>
          <w:spacing w:val="-2"/>
        </w:rPr>
        <w:t>万</w:t>
      </w:r>
      <w:r>
        <w:rPr/>
        <w:t>份</w:t>
      </w:r>
      <w:r>
        <w:rPr>
          <w:spacing w:val="-105"/>
        </w:rPr>
        <w:t>）</w:t>
      </w:r>
      <w:r>
        <w:rPr>
          <w:spacing w:val="-5"/>
        </w:rPr>
        <w:t>，</w:t>
      </w:r>
      <w:r>
        <w:rPr/>
        <w:t>期权的行权价为</w:t>
      </w:r>
      <w:r>
        <w:rPr>
          <w:spacing w:val="-53"/>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5"/>
        </w:rPr>
        <w:t>元</w:t>
      </w:r>
      <w:r>
        <w:rPr/>
        <w:t>（后修改为</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4</w:t>
      </w:r>
      <w:r>
        <w:rPr>
          <w:rFonts w:ascii="Times New Roman" w:hAnsi="Times New Roman" w:cs="Times New Roman" w:eastAsia="Times New Roman" w:hint="default"/>
        </w:rPr>
        <w:t>.7 </w:t>
      </w:r>
      <w:r>
        <w:rPr>
          <w:spacing w:val="-2"/>
        </w:rPr>
        <w:t>元</w:t>
      </w:r>
      <w:r>
        <w:rPr>
          <w:spacing w:val="-105"/>
        </w:rPr>
        <w:t>）</w:t>
      </w:r>
      <w:r>
        <w:rPr>
          <w:spacing w:val="-5"/>
        </w:rPr>
        <w:t>，</w:t>
      </w:r>
      <w:r>
        <w:rPr/>
        <w:t>分三期行权</w:t>
      </w:r>
      <w:r>
        <w:rPr>
          <w:spacing w:val="-5"/>
        </w:rPr>
        <w:t>。</w:t>
      </w:r>
      <w:r>
        <w:rPr/>
        <w:t>根据布</w:t>
      </w:r>
    </w:p>
    <w:p>
      <w:pPr>
        <w:pStyle w:val="BodyText"/>
        <w:spacing w:line="240" w:lineRule="auto" w:before="99"/>
        <w:ind w:left="254" w:right="0"/>
        <w:jc w:val="both"/>
      </w:pPr>
      <w:r>
        <w:rPr/>
        <w:t>莱克－斯科尔期权定价模型计算，本次授予的</w:t>
      </w:r>
      <w:r>
        <w:rPr>
          <w:spacing w:val="-47"/>
        </w:rPr>
        <w:t> </w:t>
      </w:r>
      <w:r>
        <w:rPr>
          <w:rFonts w:ascii="Times New Roman" w:hAnsi="Times New Roman" w:cs="Times New Roman" w:eastAsia="Times New Roman" w:hint="default"/>
        </w:rPr>
        <w:t>288.4</w:t>
      </w:r>
      <w:r>
        <w:rPr>
          <w:rFonts w:ascii="Times New Roman" w:hAnsi="Times New Roman" w:cs="Times New Roman" w:eastAsia="Times New Roman" w:hint="default"/>
          <w:spacing w:val="6"/>
        </w:rPr>
        <w:t> </w:t>
      </w:r>
      <w:r>
        <w:rPr/>
        <w:t>万份股票期权的理论价值为</w:t>
      </w:r>
      <w:r>
        <w:rPr>
          <w:spacing w:val="-47"/>
        </w:rPr>
        <w:t> </w:t>
      </w:r>
      <w:r>
        <w:rPr>
          <w:rFonts w:ascii="Times New Roman" w:hAnsi="Times New Roman" w:cs="Times New Roman" w:eastAsia="Times New Roman" w:hint="default"/>
        </w:rPr>
        <w:t>2,895.81</w:t>
      </w:r>
      <w:r>
        <w:rPr>
          <w:rFonts w:ascii="Times New Roman" w:hAnsi="Times New Roman" w:cs="Times New Roman" w:eastAsia="Times New Roman" w:hint="default"/>
          <w:spacing w:val="6"/>
        </w:rPr>
        <w:t> </w:t>
      </w:r>
      <w:r>
        <w:rPr/>
        <w:t>万元。公司根据</w:t>
      </w:r>
    </w:p>
    <w:p>
      <w:pPr>
        <w:pStyle w:val="BodyText"/>
        <w:spacing w:line="331" w:lineRule="auto" w:before="99"/>
        <w:ind w:left="254" w:right="249"/>
        <w:jc w:val="both"/>
      </w:pPr>
      <w:r>
        <w:rPr>
          <w:spacing w:val="-1"/>
        </w:rPr>
        <w:t>《企业会计准则－股份支付》的规定，在每个等待期的每个资产负债表日对公司股权激励成本进行会计处</w:t>
      </w:r>
      <w:r>
        <w:rPr>
          <w:spacing w:val="-81"/>
        </w:rPr>
        <w:t> </w:t>
      </w:r>
      <w:r>
        <w:rPr>
          <w:spacing w:val="-81"/>
        </w:rPr>
      </w:r>
      <w:r>
        <w:rPr/>
        <w:t>理，按截止至</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日预计行权人数及数量计算</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年度股权激励成本为</w:t>
      </w:r>
      <w:r>
        <w:rPr>
          <w:spacing w:val="-51"/>
        </w:rPr>
        <w:t> </w:t>
      </w:r>
      <w:r>
        <w:rPr>
          <w:rFonts w:ascii="Times New Roman" w:hAnsi="Times New Roman" w:cs="Times New Roman" w:eastAsia="Times New Roman" w:hint="default"/>
        </w:rPr>
        <w:t>7,602,355.17 </w:t>
      </w:r>
      <w:r>
        <w:rPr/>
        <w:t>元，计 入资本公积中。</w:t>
      </w:r>
    </w:p>
    <w:p>
      <w:pPr>
        <w:spacing w:line="240" w:lineRule="auto" w:before="0"/>
        <w:rPr>
          <w:rFonts w:ascii="宋体" w:hAnsi="宋体" w:cs="宋体" w:eastAsia="宋体" w:hint="default"/>
          <w:sz w:val="20"/>
          <w:szCs w:val="20"/>
        </w:rPr>
      </w:pPr>
    </w:p>
    <w:p>
      <w:pPr>
        <w:pStyle w:val="BodyText"/>
        <w:spacing w:line="240" w:lineRule="auto" w:before="164"/>
        <w:ind w:left="674" w:right="210"/>
        <w:jc w:val="left"/>
      </w:pPr>
      <w:r>
        <w:rPr>
          <w:rFonts w:ascii="Times New Roman" w:hAnsi="Times New Roman" w:cs="Times New Roman" w:eastAsia="Times New Roman" w:hint="default"/>
        </w:rPr>
        <w:t>29</w:t>
      </w:r>
      <w:r>
        <w:rPr/>
        <w:t>．盈余公积</w:t>
      </w:r>
    </w:p>
    <w:tbl>
      <w:tblPr>
        <w:tblW w:w="0" w:type="auto"/>
        <w:jc w:val="left"/>
        <w:tblInd w:w="116" w:type="dxa"/>
        <w:tblLayout w:type="fixed"/>
        <w:tblCellMar>
          <w:top w:w="0" w:type="dxa"/>
          <w:left w:w="0" w:type="dxa"/>
          <w:bottom w:w="0" w:type="dxa"/>
          <w:right w:w="0" w:type="dxa"/>
        </w:tblCellMar>
        <w:tblLook w:val="01E0"/>
      </w:tblPr>
      <w:tblGrid>
        <w:gridCol w:w="2316"/>
        <w:gridCol w:w="2246"/>
        <w:gridCol w:w="1768"/>
        <w:gridCol w:w="1769"/>
        <w:gridCol w:w="1770"/>
      </w:tblGrid>
      <w:tr>
        <w:trPr>
          <w:trHeight w:val="410" w:hRule="exact"/>
        </w:trPr>
        <w:tc>
          <w:tcPr>
            <w:tcW w:w="2316"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83"/>
              <w:ind w:right="7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69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35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3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2"/>
              <w:ind w:left="460"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01"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21"/>
                <w:szCs w:val="21"/>
              </w:rPr>
            </w:pPr>
            <w:r>
              <w:rPr>
                <w:rFonts w:ascii="Times New Roman"/>
                <w:spacing w:val="-1"/>
                <w:sz w:val="21"/>
              </w:rPr>
              <w:t>32,255,696.32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21"/>
                <w:szCs w:val="21"/>
              </w:rPr>
            </w:pPr>
            <w:r>
              <w:rPr>
                <w:rFonts w:ascii="Times New Roman"/>
                <w:spacing w:val="-1"/>
                <w:sz w:val="21"/>
              </w:rPr>
              <w:t>13,932,122.05</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450" w:right="0"/>
              <w:jc w:val="left"/>
              <w:rPr>
                <w:rFonts w:ascii="Times New Roman" w:hAnsi="Times New Roman" w:cs="Times New Roman" w:eastAsia="Times New Roman" w:hint="default"/>
                <w:sz w:val="21"/>
                <w:szCs w:val="21"/>
              </w:rPr>
            </w:pPr>
            <w:r>
              <w:rPr>
                <w:rFonts w:ascii="Times New Roman"/>
                <w:sz w:val="21"/>
              </w:rPr>
              <w:t>46,187,818.37</w:t>
            </w:r>
          </w:p>
        </w:tc>
      </w:tr>
      <w:tr>
        <w:trPr>
          <w:trHeight w:val="410"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83"/>
              <w:ind w:right="7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32,255,696.32</w:t>
            </w:r>
          </w:p>
        </w:tc>
        <w:tc>
          <w:tcPr>
            <w:tcW w:w="17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spacing w:val="-1"/>
                <w:sz w:val="21"/>
              </w:rPr>
              <w:t>13,932,122.05</w:t>
            </w:r>
          </w:p>
        </w:tc>
        <w:tc>
          <w:tcPr>
            <w:tcW w:w="1769" w:type="dxa"/>
            <w:tcBorders>
              <w:top w:val="single" w:sz="4" w:space="0" w:color="000000"/>
              <w:left w:val="single" w:sz="4" w:space="0" w:color="000000"/>
              <w:bottom w:val="single" w:sz="12" w:space="0" w:color="000000"/>
              <w:right w:val="single" w:sz="4" w:space="0" w:color="000000"/>
            </w:tcBorders>
          </w:tcPr>
          <w:p>
            <w:pPr/>
          </w:p>
        </w:tc>
        <w:tc>
          <w:tcPr>
            <w:tcW w:w="17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7"/>
              <w:ind w:left="450" w:right="0"/>
              <w:jc w:val="left"/>
              <w:rPr>
                <w:rFonts w:ascii="Times New Roman" w:hAnsi="Times New Roman" w:cs="Times New Roman" w:eastAsia="Times New Roman" w:hint="default"/>
                <w:sz w:val="21"/>
                <w:szCs w:val="21"/>
              </w:rPr>
            </w:pPr>
            <w:r>
              <w:rPr>
                <w:rFonts w:ascii="Times New Roman"/>
                <w:sz w:val="21"/>
              </w:rPr>
              <w:t>46,187,818.37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5"/>
        <w:ind w:left="674" w:right="210"/>
        <w:jc w:val="left"/>
      </w:pPr>
      <w:r>
        <w:rPr>
          <w:rFonts w:ascii="Times New Roman" w:hAnsi="Times New Roman" w:cs="Times New Roman" w:eastAsia="Times New Roman" w:hint="default"/>
        </w:rPr>
        <w:t>30</w:t>
      </w:r>
      <w:r>
        <w:rPr/>
        <w:t>．未分配利润</w:t>
      </w:r>
    </w:p>
    <w:tbl>
      <w:tblPr>
        <w:tblW w:w="0" w:type="auto"/>
        <w:jc w:val="left"/>
        <w:tblInd w:w="131" w:type="dxa"/>
        <w:tblLayout w:type="fixed"/>
        <w:tblCellMar>
          <w:top w:w="0" w:type="dxa"/>
          <w:left w:w="0" w:type="dxa"/>
          <w:bottom w:w="0" w:type="dxa"/>
          <w:right w:w="0" w:type="dxa"/>
        </w:tblCellMar>
        <w:tblLook w:val="01E0"/>
      </w:tblPr>
      <w:tblGrid>
        <w:gridCol w:w="5063"/>
        <w:gridCol w:w="2404"/>
        <w:gridCol w:w="2402"/>
      </w:tblGrid>
      <w:tr>
        <w:trPr>
          <w:trHeight w:val="410" w:hRule="exact"/>
        </w:trPr>
        <w:tc>
          <w:tcPr>
            <w:tcW w:w="5063"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8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04"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83"/>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3"/>
              <w:ind w:left="460"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66" w:hRule="exact"/>
        </w:trPr>
        <w:tc>
          <w:tcPr>
            <w:tcW w:w="5063"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p>
        </w:tc>
        <w:tc>
          <w:tcPr>
            <w:tcW w:w="2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379,326,457.17</w:t>
            </w:r>
          </w:p>
        </w:tc>
        <w:tc>
          <w:tcPr>
            <w:tcW w:w="240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
              <w:jc w:val="center"/>
              <w:rPr>
                <w:rFonts w:ascii="Times New Roman" w:hAnsi="Times New Roman" w:cs="Times New Roman" w:eastAsia="Times New Roman" w:hint="default"/>
                <w:sz w:val="21"/>
                <w:szCs w:val="21"/>
              </w:rPr>
            </w:pPr>
            <w:r>
              <w:rPr>
                <w:rFonts w:ascii="Times New Roman"/>
                <w:sz w:val="21"/>
              </w:rPr>
              <w:t>10%</w:t>
            </w:r>
          </w:p>
        </w:tc>
      </w:tr>
      <w:tr>
        <w:trPr>
          <w:trHeight w:val="377"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404" w:type="dxa"/>
            <w:tcBorders>
              <w:top w:val="nil" w:sz="6" w:space="0" w:color="auto"/>
              <w:left w:val="single" w:sz="4" w:space="0" w:color="000000"/>
              <w:bottom w:val="nil" w:sz="6" w:space="0" w:color="auto"/>
              <w:right w:val="single" w:sz="4" w:space="0" w:color="000000"/>
            </w:tcBorders>
          </w:tcPr>
          <w:p>
            <w:pPr/>
          </w:p>
        </w:tc>
        <w:tc>
          <w:tcPr>
            <w:tcW w:w="2402" w:type="dxa"/>
            <w:vMerge/>
            <w:tcBorders>
              <w:left w:val="single" w:sz="4" w:space="0" w:color="000000"/>
              <w:right w:val="nil" w:sz="6" w:space="0" w:color="auto"/>
            </w:tcBorders>
          </w:tcPr>
          <w:p>
            <w:pPr/>
          </w:p>
        </w:tc>
      </w:tr>
      <w:tr>
        <w:trPr>
          <w:trHeight w:val="403"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21"/>
                <w:szCs w:val="21"/>
              </w:rPr>
            </w:pPr>
            <w:r>
              <w:rPr>
                <w:rFonts w:ascii="Times New Roman"/>
                <w:spacing w:val="-1"/>
                <w:sz w:val="21"/>
              </w:rPr>
              <w:t>379,326,457.17</w:t>
            </w:r>
          </w:p>
        </w:tc>
        <w:tc>
          <w:tcPr>
            <w:tcW w:w="2402" w:type="dxa"/>
            <w:vMerge/>
            <w:tcBorders>
              <w:left w:val="single" w:sz="4" w:space="0" w:color="000000"/>
              <w:right w:val="nil" w:sz="6" w:space="0" w:color="auto"/>
            </w:tcBorders>
          </w:tcPr>
          <w:p>
            <w:pPr/>
          </w:p>
        </w:tc>
      </w:tr>
      <w:tr>
        <w:trPr>
          <w:trHeight w:val="39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213,897,872.25</w:t>
            </w:r>
          </w:p>
        </w:tc>
        <w:tc>
          <w:tcPr>
            <w:tcW w:w="2402" w:type="dxa"/>
            <w:vMerge/>
            <w:tcBorders>
              <w:left w:val="single" w:sz="4" w:space="0" w:color="000000"/>
              <w:right w:val="nil" w:sz="6" w:space="0" w:color="auto"/>
            </w:tcBorders>
          </w:tcPr>
          <w:p>
            <w:pPr/>
          </w:p>
        </w:tc>
      </w:tr>
      <w:tr>
        <w:trPr>
          <w:trHeight w:val="39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13,932,122.05</w:t>
            </w:r>
          </w:p>
        </w:tc>
        <w:tc>
          <w:tcPr>
            <w:tcW w:w="2402" w:type="dxa"/>
            <w:vMerge/>
            <w:tcBorders>
              <w:left w:val="single" w:sz="4" w:space="0" w:color="000000"/>
              <w:right w:val="nil" w:sz="6" w:space="0" w:color="auto"/>
            </w:tcBorders>
          </w:tcPr>
          <w:p>
            <w:pPr/>
          </w:p>
        </w:tc>
      </w:tr>
      <w:tr>
        <w:trPr>
          <w:trHeight w:val="390" w:hRule="exact"/>
        </w:trPr>
        <w:tc>
          <w:tcPr>
            <w:tcW w:w="5063"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5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0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67,200,000.00</w:t>
            </w:r>
          </w:p>
        </w:tc>
        <w:tc>
          <w:tcPr>
            <w:tcW w:w="2402" w:type="dxa"/>
            <w:vMerge/>
            <w:tcBorders>
              <w:left w:val="single" w:sz="4" w:space="0" w:color="000000"/>
              <w:right w:val="nil" w:sz="6" w:space="0" w:color="auto"/>
            </w:tcBorders>
          </w:tcPr>
          <w:p>
            <w:pPr/>
          </w:p>
        </w:tc>
      </w:tr>
      <w:tr>
        <w:trPr>
          <w:trHeight w:val="334" w:hRule="exact"/>
        </w:trPr>
        <w:tc>
          <w:tcPr>
            <w:tcW w:w="5063"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512,092,207.37</w:t>
            </w:r>
          </w:p>
        </w:tc>
        <w:tc>
          <w:tcPr>
            <w:tcW w:w="2402" w:type="dxa"/>
            <w:vMerge/>
            <w:tcBorders>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4"/>
          <w:szCs w:val="4"/>
        </w:rPr>
      </w:pPr>
    </w:p>
    <w:p>
      <w:pPr>
        <w:pStyle w:val="BodyText"/>
        <w:spacing w:line="321" w:lineRule="auto" w:before="35"/>
        <w:ind w:left="253" w:right="210" w:firstLine="420"/>
        <w:jc w:val="left"/>
      </w:pPr>
      <w:r>
        <w:rPr/>
        <w:t>注：根据公司</w:t>
      </w:r>
      <w:r>
        <w:rPr>
          <w:rFonts w:ascii="Times New Roman" w:hAnsi="Times New Roman" w:cs="Times New Roman" w:eastAsia="Times New Roman" w:hint="default"/>
        </w:rPr>
        <w:t>2010</w:t>
      </w:r>
      <w:r>
        <w:rPr/>
        <w:t>年度股东大会决议，本年度以</w:t>
      </w:r>
      <w:r>
        <w:rPr>
          <w:rFonts w:ascii="Times New Roman" w:hAnsi="Times New Roman" w:cs="Times New Roman" w:eastAsia="Times New Roman" w:hint="default"/>
        </w:rPr>
        <w:t>2009</w:t>
      </w:r>
      <w:r>
        <w:rPr/>
        <w:t>年末总股本为基数，按每</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3</w:t>
      </w:r>
      <w:r>
        <w:rPr/>
        <w:t>元（含税）向全 体股东派发现金股利，该利润分配方案已在本年度实施完毕。</w:t>
      </w:r>
    </w:p>
    <w:p>
      <w:pPr>
        <w:pStyle w:val="BodyText"/>
        <w:spacing w:line="240" w:lineRule="auto" w:before="63"/>
        <w:ind w:left="673" w:right="210"/>
        <w:jc w:val="left"/>
      </w:pPr>
      <w:r>
        <w:rPr>
          <w:rFonts w:ascii="Times New Roman" w:hAnsi="Times New Roman" w:cs="Times New Roman" w:eastAsia="Times New Roman" w:hint="default"/>
        </w:rPr>
        <w:t>31</w:t>
      </w:r>
      <w:r>
        <w:rPr/>
        <w:t>．营业收入及营业成本</w:t>
      </w:r>
    </w:p>
    <w:p>
      <w:pPr>
        <w:pStyle w:val="BodyText"/>
        <w:spacing w:line="240" w:lineRule="auto" w:before="119"/>
        <w:ind w:left="673" w:right="210"/>
        <w:jc w:val="left"/>
      </w:pPr>
      <w:r>
        <w:rPr/>
        <w:t>（</w:t>
      </w:r>
      <w:r>
        <w:rPr>
          <w:rFonts w:ascii="Times New Roman" w:hAnsi="Times New Roman" w:cs="Times New Roman" w:eastAsia="Times New Roman" w:hint="default"/>
        </w:rPr>
        <w:t>1</w:t>
      </w:r>
      <w:r>
        <w:rPr/>
        <w:t>）营业收入及成本</w:t>
      </w:r>
    </w:p>
    <w:tbl>
      <w:tblPr>
        <w:tblW w:w="0" w:type="auto"/>
        <w:jc w:val="left"/>
        <w:tblInd w:w="131" w:type="dxa"/>
        <w:tblLayout w:type="fixed"/>
        <w:tblCellMar>
          <w:top w:w="0" w:type="dxa"/>
          <w:left w:w="0" w:type="dxa"/>
          <w:bottom w:w="0" w:type="dxa"/>
          <w:right w:w="0" w:type="dxa"/>
        </w:tblCellMar>
        <w:tblLook w:val="01E0"/>
      </w:tblPr>
      <w:tblGrid>
        <w:gridCol w:w="3299"/>
        <w:gridCol w:w="3284"/>
        <w:gridCol w:w="3286"/>
      </w:tblGrid>
      <w:tr>
        <w:trPr>
          <w:trHeight w:val="429"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6" w:hRule="exact"/>
        </w:trPr>
        <w:tc>
          <w:tcPr>
            <w:tcW w:w="3299" w:type="dxa"/>
            <w:tcBorders>
              <w:top w:val="single" w:sz="4" w:space="0" w:color="000000"/>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right="102"/>
              <w:jc w:val="right"/>
              <w:rPr>
                <w:rFonts w:ascii="Times New Roman" w:hAnsi="Times New Roman" w:cs="Times New Roman" w:eastAsia="Times New Roman" w:hint="default"/>
                <w:sz w:val="21"/>
                <w:szCs w:val="21"/>
              </w:rPr>
            </w:pPr>
            <w:r>
              <w:rPr>
                <w:rFonts w:ascii="Times New Roman"/>
                <w:spacing w:val="-1"/>
                <w:sz w:val="21"/>
              </w:rPr>
              <w:t>608,549,473.05</w:t>
            </w:r>
          </w:p>
        </w:tc>
        <w:tc>
          <w:tcPr>
            <w:tcW w:w="3286" w:type="dxa"/>
            <w:tcBorders>
              <w:top w:val="single" w:sz="4" w:space="0" w:color="000000"/>
              <w:left w:val="single" w:sz="4" w:space="0" w:color="000000"/>
              <w:bottom w:val="nil" w:sz="6" w:space="0" w:color="auto"/>
              <w:right w:val="nil" w:sz="6" w:space="0" w:color="auto"/>
            </w:tcBorders>
          </w:tcPr>
          <w:p>
            <w:pPr>
              <w:pStyle w:val="TableParagraph"/>
              <w:spacing w:line="240" w:lineRule="auto" w:before="167"/>
              <w:ind w:right="107"/>
              <w:jc w:val="right"/>
              <w:rPr>
                <w:rFonts w:ascii="Times New Roman" w:hAnsi="Times New Roman" w:cs="Times New Roman" w:eastAsia="Times New Roman" w:hint="default"/>
                <w:sz w:val="21"/>
                <w:szCs w:val="21"/>
              </w:rPr>
            </w:pPr>
            <w:r>
              <w:rPr>
                <w:rFonts w:ascii="Times New Roman"/>
                <w:spacing w:val="-1"/>
                <w:sz w:val="21"/>
              </w:rPr>
              <w:t>405,207,171.64</w:t>
            </w:r>
          </w:p>
        </w:tc>
      </w:tr>
      <w:tr>
        <w:trPr>
          <w:trHeight w:val="410"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21"/>
                <w:szCs w:val="21"/>
              </w:rPr>
            </w:pPr>
            <w:r>
              <w:rPr>
                <w:rFonts w:ascii="Times New Roman"/>
                <w:spacing w:val="-1"/>
                <w:sz w:val="21"/>
              </w:rPr>
              <w:t>1,697,892.94</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6"/>
              <w:jc w:val="right"/>
              <w:rPr>
                <w:rFonts w:ascii="Times New Roman" w:hAnsi="Times New Roman" w:cs="Times New Roman" w:eastAsia="Times New Roman" w:hint="default"/>
                <w:sz w:val="21"/>
                <w:szCs w:val="21"/>
              </w:rPr>
            </w:pPr>
            <w:r>
              <w:rPr>
                <w:rFonts w:ascii="Times New Roman"/>
                <w:spacing w:val="-1"/>
                <w:sz w:val="21"/>
              </w:rPr>
              <w:t>1,413,822.03</w:t>
            </w:r>
          </w:p>
        </w:tc>
      </w:tr>
      <w:tr>
        <w:trPr>
          <w:trHeight w:val="345"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21"/>
                <w:szCs w:val="21"/>
              </w:rPr>
            </w:pPr>
            <w:r>
              <w:rPr>
                <w:rFonts w:ascii="Times New Roman"/>
                <w:spacing w:val="-1"/>
                <w:sz w:val="21"/>
              </w:rPr>
              <w:t>188,026,887.02</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21"/>
                <w:szCs w:val="21"/>
              </w:rPr>
            </w:pPr>
            <w:r>
              <w:rPr>
                <w:rFonts w:ascii="Times New Roman"/>
                <w:spacing w:val="-1"/>
                <w:sz w:val="21"/>
              </w:rPr>
              <w:t>120,671,937.89</w:t>
            </w:r>
          </w:p>
        </w:tc>
      </w:tr>
    </w:tbl>
    <w:p>
      <w:pPr>
        <w:spacing w:line="240" w:lineRule="auto" w:before="6"/>
        <w:rPr>
          <w:rFonts w:ascii="宋体" w:hAnsi="宋体" w:cs="宋体" w:eastAsia="宋体" w:hint="default"/>
          <w:sz w:val="6"/>
          <w:szCs w:val="6"/>
        </w:rPr>
      </w:pPr>
    </w:p>
    <w:p>
      <w:pPr>
        <w:pStyle w:val="BodyText"/>
        <w:spacing w:line="240" w:lineRule="auto" w:before="35"/>
        <w:ind w:left="707" w:right="210"/>
        <w:jc w:val="left"/>
      </w:pPr>
      <w:r>
        <w:rPr/>
        <w:t>（</w:t>
      </w:r>
      <w:r>
        <w:rPr>
          <w:rFonts w:ascii="Times New Roman" w:hAnsi="Times New Roman" w:cs="Times New Roman" w:eastAsia="Times New Roman" w:hint="default"/>
        </w:rPr>
        <w:t>2</w:t>
      </w:r>
      <w:r>
        <w:rPr/>
        <w:t>）主营业务（分行业）：</w:t>
      </w:r>
    </w:p>
    <w:tbl>
      <w:tblPr>
        <w:tblW w:w="0" w:type="auto"/>
        <w:jc w:val="left"/>
        <w:tblInd w:w="141" w:type="dxa"/>
        <w:tblLayout w:type="fixed"/>
        <w:tblCellMar>
          <w:top w:w="0" w:type="dxa"/>
          <w:left w:w="0" w:type="dxa"/>
          <w:bottom w:w="0" w:type="dxa"/>
          <w:right w:w="0" w:type="dxa"/>
        </w:tblCellMar>
        <w:tblLook w:val="01E0"/>
      </w:tblPr>
      <w:tblGrid>
        <w:gridCol w:w="3113"/>
        <w:gridCol w:w="1686"/>
        <w:gridCol w:w="1685"/>
        <w:gridCol w:w="1686"/>
        <w:gridCol w:w="1685"/>
      </w:tblGrid>
      <w:tr>
        <w:trPr>
          <w:trHeight w:val="430" w:hRule="exact"/>
        </w:trPr>
        <w:tc>
          <w:tcPr>
            <w:tcW w:w="3113"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1"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20" w:hRule="exact"/>
        </w:trPr>
        <w:tc>
          <w:tcPr>
            <w:tcW w:w="3113" w:type="dxa"/>
            <w:vMerge/>
            <w:tcBorders>
              <w:left w:val="nil" w:sz="6" w:space="0" w:color="auto"/>
              <w:bottom w:val="single" w:sz="4" w:space="0" w:color="000000"/>
              <w:right w:val="single" w:sz="6" w:space="0" w:color="000000"/>
            </w:tcBorders>
          </w:tcPr>
          <w:p>
            <w:pP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0" w:lineRule="auto"/>
        <w:jc w:val="left"/>
        <w:rPr>
          <w:rFonts w:ascii="宋体" w:hAnsi="宋体" w:cs="宋体" w:eastAsia="宋体" w:hint="default"/>
          <w:sz w:val="21"/>
          <w:szCs w:val="21"/>
        </w:rPr>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27"/>
        <w:gridCol w:w="1686"/>
        <w:gridCol w:w="1685"/>
        <w:gridCol w:w="1686"/>
        <w:gridCol w:w="1685"/>
      </w:tblGrid>
      <w:tr>
        <w:trPr>
          <w:trHeight w:val="437" w:hRule="exact"/>
        </w:trPr>
        <w:tc>
          <w:tcPr>
            <w:tcW w:w="3127" w:type="dxa"/>
            <w:tcBorders>
              <w:top w:val="single" w:sz="18" w:space="0" w:color="000000"/>
              <w:left w:val="nil" w:sz="6" w:space="0" w:color="auto"/>
              <w:bottom w:val="single" w:sz="4" w:space="0" w:color="000000"/>
              <w:right w:val="single" w:sz="6" w:space="0" w:color="000000"/>
            </w:tcBorders>
          </w:tcPr>
          <w:p>
            <w:pPr>
              <w:pStyle w:val="TableParagraph"/>
              <w:spacing w:line="240" w:lineRule="auto" w:before="102"/>
              <w:ind w:right="1105"/>
              <w:jc w:val="right"/>
              <w:rPr>
                <w:rFonts w:ascii="宋体" w:hAnsi="宋体" w:cs="宋体" w:eastAsia="宋体" w:hint="default"/>
                <w:sz w:val="21"/>
                <w:szCs w:val="21"/>
              </w:rPr>
            </w:pPr>
            <w:r>
              <w:rPr>
                <w:rFonts w:ascii="宋体" w:hAnsi="宋体" w:cs="宋体" w:eastAsia="宋体" w:hint="default"/>
                <w:sz w:val="21"/>
                <w:szCs w:val="21"/>
              </w:rPr>
              <w:t>计算机服务和软件业</w:t>
            </w:r>
          </w:p>
        </w:tc>
        <w:tc>
          <w:tcPr>
            <w:tcW w:w="1686"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spacing w:val="-1"/>
                <w:sz w:val="21"/>
              </w:rPr>
              <w:t>608,549,473.05</w:t>
            </w:r>
            <w:r>
              <w:rPr>
                <w:rFonts w:ascii="Times New Roman"/>
                <w:sz w:val="21"/>
              </w:rPr>
            </w:r>
          </w:p>
        </w:tc>
        <w:tc>
          <w:tcPr>
            <w:tcW w:w="1685"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1"/>
                <w:sz w:val="21"/>
              </w:rPr>
              <w:t>187,018,002.82</w:t>
            </w:r>
            <w:r>
              <w:rPr>
                <w:rFonts w:ascii="Times New Roman"/>
                <w:sz w:val="21"/>
              </w:rPr>
            </w:r>
          </w:p>
        </w:tc>
        <w:tc>
          <w:tcPr>
            <w:tcW w:w="1686"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1"/>
                <w:sz w:val="21"/>
              </w:rPr>
              <w:t>405,207,171.64</w:t>
            </w:r>
            <w:r>
              <w:rPr>
                <w:rFonts w:ascii="Times New Roman"/>
                <w:sz w:val="21"/>
              </w:rPr>
            </w:r>
          </w:p>
        </w:tc>
        <w:tc>
          <w:tcPr>
            <w:tcW w:w="1685" w:type="dxa"/>
            <w:tcBorders>
              <w:top w:val="single" w:sz="18" w:space="0" w:color="000000"/>
              <w:left w:val="single" w:sz="6" w:space="0" w:color="000000"/>
              <w:bottom w:val="single" w:sz="4" w:space="0" w:color="000000"/>
              <w:right w:val="nil" w:sz="6" w:space="0" w:color="auto"/>
            </w:tcBorders>
          </w:tcPr>
          <w:p>
            <w:pPr>
              <w:pStyle w:val="TableParagraph"/>
              <w:spacing w:line="240" w:lineRule="auto" w:before="166"/>
              <w:ind w:right="107"/>
              <w:jc w:val="right"/>
              <w:rPr>
                <w:rFonts w:ascii="Times New Roman" w:hAnsi="Times New Roman" w:cs="Times New Roman" w:eastAsia="Times New Roman" w:hint="default"/>
                <w:sz w:val="21"/>
                <w:szCs w:val="21"/>
              </w:rPr>
            </w:pPr>
            <w:r>
              <w:rPr>
                <w:rFonts w:ascii="Times New Roman"/>
                <w:spacing w:val="-1"/>
                <w:sz w:val="21"/>
              </w:rPr>
              <w:t>120,623,842.61</w:t>
            </w:r>
            <w:r>
              <w:rPr>
                <w:rFonts w:ascii="Times New Roman"/>
                <w:sz w:val="21"/>
              </w:rPr>
            </w:r>
          </w:p>
        </w:tc>
      </w:tr>
      <w:tr>
        <w:trPr>
          <w:trHeight w:val="430"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102"/>
              <w:ind w:right="112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spacing w:val="-1"/>
                <w:sz w:val="21"/>
              </w:rPr>
              <w:t>608,549,473.05</w:t>
            </w:r>
            <w:r>
              <w:rPr>
                <w:rFonts w:ascii="Times New Roman"/>
                <w:sz w:val="21"/>
              </w:rPr>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1"/>
                <w:sz w:val="21"/>
              </w:rPr>
              <w:t>187,018,002.82</w:t>
            </w:r>
            <w:r>
              <w:rPr>
                <w:rFonts w:ascii="Times New Roman"/>
                <w:sz w:val="21"/>
              </w:rPr>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spacing w:val="-1"/>
                <w:sz w:val="21"/>
              </w:rPr>
              <w:t>405,207,171.64</w:t>
            </w:r>
            <w:r>
              <w:rPr>
                <w:rFonts w:ascii="Times New Roman"/>
                <w:sz w:val="21"/>
              </w:rPr>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6"/>
              <w:ind w:right="107"/>
              <w:jc w:val="right"/>
              <w:rPr>
                <w:rFonts w:ascii="Times New Roman" w:hAnsi="Times New Roman" w:cs="Times New Roman" w:eastAsia="Times New Roman" w:hint="default"/>
                <w:sz w:val="21"/>
                <w:szCs w:val="21"/>
              </w:rPr>
            </w:pPr>
            <w:r>
              <w:rPr>
                <w:rFonts w:ascii="Times New Roman"/>
                <w:spacing w:val="-1"/>
                <w:sz w:val="21"/>
              </w:rPr>
              <w:t>120,623,842.61</w:t>
            </w:r>
            <w:r>
              <w:rPr>
                <w:rFonts w:ascii="Times New Roman"/>
                <w:sz w:val="21"/>
              </w:rPr>
            </w:r>
          </w:p>
        </w:tc>
      </w:tr>
    </w:tbl>
    <w:p>
      <w:pPr>
        <w:spacing w:line="240" w:lineRule="auto" w:before="2"/>
        <w:rPr>
          <w:rFonts w:ascii="宋体" w:hAnsi="宋体" w:cs="宋体" w:eastAsia="宋体" w:hint="default"/>
          <w:sz w:val="5"/>
          <w:szCs w:val="5"/>
        </w:rPr>
      </w:pPr>
    </w:p>
    <w:p>
      <w:pPr>
        <w:pStyle w:val="BodyText"/>
        <w:spacing w:line="240" w:lineRule="auto" w:before="35"/>
        <w:ind w:left="707" w:right="0"/>
        <w:jc w:val="left"/>
      </w:pPr>
      <w:r>
        <w:rPr/>
        <w:t>（</w:t>
      </w:r>
      <w:r>
        <w:rPr>
          <w:rFonts w:ascii="Times New Roman" w:hAnsi="Times New Roman" w:cs="Times New Roman" w:eastAsia="Times New Roman" w:hint="default"/>
        </w:rPr>
        <w:t>3</w:t>
      </w:r>
      <w:r>
        <w:rPr/>
        <w:t>）主营业务（分产品）：</w:t>
      </w:r>
    </w:p>
    <w:tbl>
      <w:tblPr>
        <w:tblW w:w="0" w:type="auto"/>
        <w:jc w:val="left"/>
        <w:tblInd w:w="131" w:type="dxa"/>
        <w:tblLayout w:type="fixed"/>
        <w:tblCellMar>
          <w:top w:w="0" w:type="dxa"/>
          <w:left w:w="0" w:type="dxa"/>
          <w:bottom w:w="0" w:type="dxa"/>
          <w:right w:w="0" w:type="dxa"/>
        </w:tblCellMar>
        <w:tblLook w:val="01E0"/>
      </w:tblPr>
      <w:tblGrid>
        <w:gridCol w:w="3122"/>
        <w:gridCol w:w="1685"/>
        <w:gridCol w:w="1691"/>
        <w:gridCol w:w="1686"/>
        <w:gridCol w:w="1685"/>
      </w:tblGrid>
      <w:tr>
        <w:trPr>
          <w:trHeight w:val="430" w:hRule="exact"/>
        </w:trPr>
        <w:tc>
          <w:tcPr>
            <w:tcW w:w="3122" w:type="dxa"/>
            <w:vMerge w:val="restart"/>
            <w:tcBorders>
              <w:top w:val="single" w:sz="12" w:space="0" w:color="000000"/>
              <w:left w:val="nil" w:sz="6" w:space="0" w:color="auto"/>
              <w:right w:val="single" w:sz="6" w:space="0" w:color="000000"/>
            </w:tcBorders>
          </w:tcPr>
          <w:p>
            <w:pPr>
              <w:pStyle w:val="TableParagraph"/>
              <w:spacing w:line="240" w:lineRule="auto" w:before="102"/>
              <w:ind w:left="518"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6"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20" w:hRule="exact"/>
        </w:trPr>
        <w:tc>
          <w:tcPr>
            <w:tcW w:w="3122" w:type="dxa"/>
            <w:vMerge/>
            <w:tcBorders>
              <w:left w:val="nil" w:sz="6" w:space="0" w:color="auto"/>
              <w:bottom w:val="single" w:sz="4" w:space="0" w:color="000000"/>
              <w:right w:val="single" w:sz="6" w:space="0" w:color="000000"/>
            </w:tcBorders>
          </w:tcPr>
          <w:p>
            <w:pP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6" w:hRule="exact"/>
        </w:trPr>
        <w:tc>
          <w:tcPr>
            <w:tcW w:w="3122" w:type="dxa"/>
            <w:tcBorders>
              <w:top w:val="single" w:sz="4" w:space="0" w:color="000000"/>
              <w:left w:val="nil" w:sz="6" w:space="0" w:color="auto"/>
              <w:bottom w:val="nil" w:sz="6" w:space="0" w:color="auto"/>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6"/>
              <w:ind w:left="178" w:right="0"/>
              <w:jc w:val="left"/>
              <w:rPr>
                <w:rFonts w:ascii="Times New Roman" w:hAnsi="Times New Roman" w:cs="Times New Roman" w:eastAsia="Times New Roman" w:hint="default"/>
                <w:sz w:val="21"/>
                <w:szCs w:val="21"/>
              </w:rPr>
            </w:pPr>
            <w:r>
              <w:rPr>
                <w:rFonts w:ascii="Times New Roman"/>
                <w:sz w:val="21"/>
              </w:rPr>
              <w:t>299,299,135.91</w:t>
            </w:r>
          </w:p>
        </w:tc>
        <w:tc>
          <w:tcPr>
            <w:tcW w:w="1691"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279,922,923.70</w:t>
            </w:r>
            <w:r>
              <w:rPr>
                <w:rFonts w:ascii="Times New Roman"/>
                <w:sz w:val="21"/>
              </w:rPr>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6"/>
              <w:ind w:left="178" w:right="0"/>
              <w:jc w:val="left"/>
              <w:rPr>
                <w:rFonts w:ascii="Times New Roman" w:hAnsi="Times New Roman" w:cs="Times New Roman" w:eastAsia="Times New Roman" w:hint="default"/>
                <w:sz w:val="21"/>
                <w:szCs w:val="21"/>
              </w:rPr>
            </w:pPr>
            <w:r>
              <w:rPr>
                <w:rFonts w:ascii="Times New Roman"/>
                <w:sz w:val="21"/>
              </w:rPr>
              <w:t>159,857,926.69</w:t>
            </w:r>
          </w:p>
        </w:tc>
        <w:tc>
          <w:tcPr>
            <w:tcW w:w="1685" w:type="dxa"/>
            <w:tcBorders>
              <w:top w:val="single" w:sz="4" w:space="0" w:color="000000"/>
              <w:left w:val="single" w:sz="6" w:space="0" w:color="000000"/>
              <w:bottom w:val="nil" w:sz="6" w:space="0" w:color="auto"/>
              <w:right w:val="nil" w:sz="6" w:space="0" w:color="auto"/>
            </w:tcBorders>
          </w:tcPr>
          <w:p>
            <w:pPr>
              <w:pStyle w:val="TableParagraph"/>
              <w:spacing w:line="240" w:lineRule="auto" w:before="166"/>
              <w:ind w:left="178" w:right="0"/>
              <w:jc w:val="left"/>
              <w:rPr>
                <w:rFonts w:ascii="Times New Roman" w:hAnsi="Times New Roman" w:cs="Times New Roman" w:eastAsia="Times New Roman" w:hint="default"/>
                <w:sz w:val="21"/>
                <w:szCs w:val="21"/>
              </w:rPr>
            </w:pPr>
            <w:r>
              <w:rPr>
                <w:rFonts w:ascii="Times New Roman"/>
                <w:sz w:val="21"/>
              </w:rPr>
              <w:t>148,747,462.38</w:t>
            </w:r>
          </w:p>
        </w:tc>
      </w:tr>
      <w:tr>
        <w:trPr>
          <w:trHeight w:val="410" w:hRule="exact"/>
        </w:trPr>
        <w:tc>
          <w:tcPr>
            <w:tcW w:w="3122"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．软件开发</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78" w:right="0"/>
              <w:jc w:val="left"/>
              <w:rPr>
                <w:rFonts w:ascii="Times New Roman" w:hAnsi="Times New Roman" w:cs="Times New Roman" w:eastAsia="Times New Roman" w:hint="default"/>
                <w:sz w:val="21"/>
                <w:szCs w:val="21"/>
              </w:rPr>
            </w:pPr>
            <w:r>
              <w:rPr>
                <w:rFonts w:ascii="Times New Roman"/>
                <w:sz w:val="21"/>
              </w:rPr>
              <w:t>287,386,291.91</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209,979.80</w:t>
            </w:r>
            <w:r>
              <w:rPr>
                <w:rFonts w:ascii="Times New Roman"/>
                <w:sz w:val="21"/>
              </w:rPr>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78" w:right="0"/>
              <w:jc w:val="left"/>
              <w:rPr>
                <w:rFonts w:ascii="Times New Roman" w:hAnsi="Times New Roman" w:cs="Times New Roman" w:eastAsia="Times New Roman" w:hint="default"/>
                <w:sz w:val="21"/>
                <w:szCs w:val="21"/>
              </w:rPr>
            </w:pPr>
            <w:r>
              <w:rPr>
                <w:rFonts w:ascii="Times New Roman"/>
                <w:sz w:val="21"/>
              </w:rPr>
              <w:t>165,335,645.03</w:t>
            </w:r>
          </w:p>
        </w:tc>
        <w:tc>
          <w:tcPr>
            <w:tcW w:w="1685" w:type="dxa"/>
            <w:tcBorders>
              <w:top w:val="nil" w:sz="6" w:space="0" w:color="auto"/>
              <w:left w:val="single" w:sz="6" w:space="0" w:color="000000"/>
              <w:bottom w:val="nil" w:sz="6" w:space="0" w:color="auto"/>
              <w:right w:val="nil" w:sz="6" w:space="0" w:color="auto"/>
            </w:tcBorders>
          </w:tcPr>
          <w:p>
            <w:pPr>
              <w:pStyle w:val="TableParagraph"/>
              <w:spacing w:line="240" w:lineRule="auto" w:before="86"/>
              <w:ind w:left="282" w:right="0"/>
              <w:jc w:val="left"/>
              <w:rPr>
                <w:rFonts w:ascii="Times New Roman" w:hAnsi="Times New Roman" w:cs="Times New Roman" w:eastAsia="Times New Roman" w:hint="default"/>
                <w:sz w:val="21"/>
                <w:szCs w:val="21"/>
              </w:rPr>
            </w:pPr>
            <w:r>
              <w:rPr>
                <w:rFonts w:ascii="Times New Roman"/>
                <w:sz w:val="21"/>
              </w:rPr>
              <w:t>4,947,732.76</w:t>
            </w:r>
          </w:p>
        </w:tc>
      </w:tr>
      <w:tr>
        <w:trPr>
          <w:trHeight w:val="410" w:hRule="exact"/>
        </w:trPr>
        <w:tc>
          <w:tcPr>
            <w:tcW w:w="3122"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．技术支持与维护</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78" w:right="0"/>
              <w:jc w:val="left"/>
              <w:rPr>
                <w:rFonts w:ascii="Times New Roman" w:hAnsi="Times New Roman" w:cs="Times New Roman" w:eastAsia="Times New Roman" w:hint="default"/>
                <w:sz w:val="21"/>
                <w:szCs w:val="21"/>
              </w:rPr>
            </w:pPr>
            <w:r>
              <w:rPr>
                <w:rFonts w:ascii="Times New Roman"/>
                <w:sz w:val="21"/>
              </w:rPr>
              <w:t>170,052,382.34</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241" w:right="0"/>
              <w:jc w:val="left"/>
              <w:rPr>
                <w:rFonts w:ascii="Times New Roman" w:hAnsi="Times New Roman" w:cs="Times New Roman" w:eastAsia="Times New Roman" w:hint="default"/>
                <w:sz w:val="21"/>
                <w:szCs w:val="21"/>
              </w:rPr>
            </w:pPr>
            <w:r>
              <w:rPr>
                <w:rFonts w:ascii="Times New Roman"/>
                <w:sz w:val="21"/>
              </w:rPr>
              <w:t>45,111,948.56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82" w:right="0"/>
              <w:jc w:val="left"/>
              <w:rPr>
                <w:rFonts w:ascii="Times New Roman" w:hAnsi="Times New Roman" w:cs="Times New Roman" w:eastAsia="Times New Roman" w:hint="default"/>
                <w:sz w:val="21"/>
                <w:szCs w:val="21"/>
              </w:rPr>
            </w:pPr>
            <w:r>
              <w:rPr>
                <w:rFonts w:ascii="Times New Roman"/>
                <w:sz w:val="21"/>
              </w:rPr>
              <w:t>139,576,117.28</w:t>
            </w:r>
          </w:p>
        </w:tc>
        <w:tc>
          <w:tcPr>
            <w:tcW w:w="1685" w:type="dxa"/>
            <w:tcBorders>
              <w:top w:val="nil" w:sz="6" w:space="0" w:color="auto"/>
              <w:left w:val="single" w:sz="6" w:space="0" w:color="000000"/>
              <w:bottom w:val="nil" w:sz="6" w:space="0" w:color="auto"/>
              <w:right w:val="nil" w:sz="6" w:space="0" w:color="auto"/>
            </w:tcBorders>
          </w:tcPr>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25,932,178.66</w:t>
            </w:r>
          </w:p>
        </w:tc>
      </w:tr>
      <w:tr>
        <w:trPr>
          <w:trHeight w:val="334" w:hRule="exact"/>
        </w:trPr>
        <w:tc>
          <w:tcPr>
            <w:tcW w:w="3122" w:type="dxa"/>
            <w:tcBorders>
              <w:top w:val="nil" w:sz="6" w:space="0" w:color="auto"/>
              <w:left w:val="nil" w:sz="6" w:space="0" w:color="auto"/>
              <w:bottom w:val="single" w:sz="4"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抵消数</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5"/>
              <w:ind w:left="147" w:right="0"/>
              <w:jc w:val="left"/>
              <w:rPr>
                <w:rFonts w:ascii="Times New Roman" w:hAnsi="Times New Roman" w:cs="Times New Roman" w:eastAsia="Times New Roman" w:hint="default"/>
                <w:sz w:val="21"/>
                <w:szCs w:val="21"/>
              </w:rPr>
            </w:pPr>
            <w:r>
              <w:rPr>
                <w:rFonts w:ascii="Times New Roman"/>
                <w:sz w:val="21"/>
              </w:rPr>
              <w:t>-148,188,337.11</w:t>
            </w:r>
          </w:p>
        </w:tc>
        <w:tc>
          <w:tcPr>
            <w:tcW w:w="1691"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5"/>
              <w:ind w:left="146" w:right="0"/>
              <w:jc w:val="left"/>
              <w:rPr>
                <w:rFonts w:ascii="Times New Roman" w:hAnsi="Times New Roman" w:cs="Times New Roman" w:eastAsia="Times New Roman" w:hint="default"/>
                <w:sz w:val="21"/>
                <w:szCs w:val="21"/>
              </w:rPr>
            </w:pPr>
            <w:r>
              <w:rPr>
                <w:rFonts w:ascii="Times New Roman"/>
                <w:sz w:val="21"/>
              </w:rPr>
              <w:t>-138,226,849.24</w:t>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5"/>
              <w:ind w:left="196" w:right="0"/>
              <w:jc w:val="left"/>
              <w:rPr>
                <w:rFonts w:ascii="Times New Roman" w:hAnsi="Times New Roman" w:cs="Times New Roman" w:eastAsia="Times New Roman" w:hint="default"/>
                <w:sz w:val="21"/>
                <w:szCs w:val="21"/>
              </w:rPr>
            </w:pPr>
            <w:r>
              <w:rPr>
                <w:rFonts w:ascii="Times New Roman"/>
                <w:sz w:val="21"/>
              </w:rPr>
              <w:t>-59,562,517.36</w:t>
            </w:r>
          </w:p>
        </w:tc>
        <w:tc>
          <w:tcPr>
            <w:tcW w:w="1685" w:type="dxa"/>
            <w:tcBorders>
              <w:top w:val="nil" w:sz="6" w:space="0" w:color="auto"/>
              <w:left w:val="single" w:sz="6" w:space="0" w:color="000000"/>
              <w:bottom w:val="single" w:sz="4" w:space="0" w:color="000000"/>
              <w:right w:val="nil" w:sz="6" w:space="0" w:color="auto"/>
            </w:tcBorders>
          </w:tcPr>
          <w:p>
            <w:pPr>
              <w:pStyle w:val="TableParagraph"/>
              <w:spacing w:line="240" w:lineRule="auto" w:before="85"/>
              <w:ind w:left="197" w:right="0"/>
              <w:jc w:val="left"/>
              <w:rPr>
                <w:rFonts w:ascii="Times New Roman" w:hAnsi="Times New Roman" w:cs="Times New Roman" w:eastAsia="Times New Roman" w:hint="default"/>
                <w:sz w:val="21"/>
                <w:szCs w:val="21"/>
              </w:rPr>
            </w:pPr>
            <w:r>
              <w:rPr>
                <w:rFonts w:ascii="Times New Roman"/>
                <w:sz w:val="21"/>
              </w:rPr>
              <w:t>-59,003,531.19</w:t>
            </w:r>
          </w:p>
        </w:tc>
      </w:tr>
      <w:tr>
        <w:trPr>
          <w:trHeight w:val="430" w:hRule="exact"/>
        </w:trPr>
        <w:tc>
          <w:tcPr>
            <w:tcW w:w="3122" w:type="dxa"/>
            <w:tcBorders>
              <w:top w:val="single" w:sz="4"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102"/>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left="258" w:right="0"/>
              <w:jc w:val="left"/>
              <w:rPr>
                <w:rFonts w:ascii="Times New Roman" w:hAnsi="Times New Roman" w:cs="Times New Roman" w:eastAsia="Times New Roman" w:hint="default"/>
                <w:sz w:val="21"/>
                <w:szCs w:val="21"/>
              </w:rPr>
            </w:pPr>
            <w:r>
              <w:rPr>
                <w:rFonts w:ascii="Times New Roman"/>
                <w:sz w:val="21"/>
              </w:rPr>
              <w:t>608,549,473.05</w:t>
            </w:r>
          </w:p>
        </w:tc>
        <w:tc>
          <w:tcPr>
            <w:tcW w:w="1691"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187,018,002.82</w:t>
            </w:r>
            <w:r>
              <w:rPr>
                <w:rFonts w:ascii="Times New Roman"/>
                <w:sz w:val="21"/>
              </w:rPr>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left="257" w:right="0"/>
              <w:jc w:val="left"/>
              <w:rPr>
                <w:rFonts w:ascii="Times New Roman" w:hAnsi="Times New Roman" w:cs="Times New Roman" w:eastAsia="Times New Roman" w:hint="default"/>
                <w:sz w:val="21"/>
                <w:szCs w:val="21"/>
              </w:rPr>
            </w:pPr>
            <w:r>
              <w:rPr>
                <w:rFonts w:ascii="Times New Roman"/>
                <w:sz w:val="21"/>
              </w:rPr>
              <w:t>405,207,171.64</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6"/>
              <w:ind w:left="256" w:right="0"/>
              <w:jc w:val="left"/>
              <w:rPr>
                <w:rFonts w:ascii="Times New Roman" w:hAnsi="Times New Roman" w:cs="Times New Roman" w:eastAsia="Times New Roman" w:hint="default"/>
                <w:sz w:val="21"/>
                <w:szCs w:val="21"/>
              </w:rPr>
            </w:pPr>
            <w:r>
              <w:rPr>
                <w:rFonts w:ascii="Times New Roman"/>
                <w:sz w:val="21"/>
              </w:rPr>
              <w:t>120,623,842.61</w:t>
            </w:r>
          </w:p>
        </w:tc>
      </w:tr>
    </w:tbl>
    <w:p>
      <w:pPr>
        <w:spacing w:line="240" w:lineRule="auto" w:before="5"/>
        <w:rPr>
          <w:rFonts w:ascii="宋体" w:hAnsi="宋体" w:cs="宋体" w:eastAsia="宋体" w:hint="default"/>
          <w:sz w:val="6"/>
          <w:szCs w:val="6"/>
        </w:rPr>
      </w:pPr>
    </w:p>
    <w:p>
      <w:pPr>
        <w:pStyle w:val="BodyText"/>
        <w:spacing w:line="240" w:lineRule="auto" w:before="35"/>
        <w:ind w:left="707" w:right="0"/>
        <w:jc w:val="left"/>
      </w:pPr>
      <w:r>
        <w:rPr/>
        <w:t>（</w:t>
      </w:r>
      <w:r>
        <w:rPr>
          <w:rFonts w:ascii="Times New Roman" w:hAnsi="Times New Roman" w:cs="Times New Roman" w:eastAsia="Times New Roman" w:hint="default"/>
        </w:rPr>
        <w:t>4</w:t>
      </w:r>
      <w:r>
        <w:rPr/>
        <w:t>）主营业务（分地区）：</w:t>
      </w:r>
    </w:p>
    <w:tbl>
      <w:tblPr>
        <w:tblW w:w="0" w:type="auto"/>
        <w:jc w:val="left"/>
        <w:tblInd w:w="131" w:type="dxa"/>
        <w:tblLayout w:type="fixed"/>
        <w:tblCellMar>
          <w:top w:w="0" w:type="dxa"/>
          <w:left w:w="0" w:type="dxa"/>
          <w:bottom w:w="0" w:type="dxa"/>
          <w:right w:w="0" w:type="dxa"/>
        </w:tblCellMar>
        <w:tblLook w:val="01E0"/>
      </w:tblPr>
      <w:tblGrid>
        <w:gridCol w:w="3127"/>
        <w:gridCol w:w="1686"/>
        <w:gridCol w:w="1685"/>
        <w:gridCol w:w="1686"/>
        <w:gridCol w:w="1685"/>
      </w:tblGrid>
      <w:tr>
        <w:trPr>
          <w:trHeight w:val="429" w:hRule="exact"/>
        </w:trPr>
        <w:tc>
          <w:tcPr>
            <w:tcW w:w="3127"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行业、产品或地区类别</w:t>
            </w:r>
          </w:p>
        </w:tc>
        <w:tc>
          <w:tcPr>
            <w:tcW w:w="3371"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20" w:hRule="exact"/>
        </w:trPr>
        <w:tc>
          <w:tcPr>
            <w:tcW w:w="3127" w:type="dxa"/>
            <w:vMerge/>
            <w:tcBorders>
              <w:left w:val="nil" w:sz="6" w:space="0" w:color="auto"/>
              <w:bottom w:val="single" w:sz="4" w:space="0" w:color="000000"/>
              <w:right w:val="single" w:sz="6" w:space="0" w:color="000000"/>
            </w:tcBorders>
          </w:tcPr>
          <w:p>
            <w:pP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4"/>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4"/>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4"/>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04"/>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6" w:hRule="exact"/>
        </w:trPr>
        <w:tc>
          <w:tcPr>
            <w:tcW w:w="3127" w:type="dxa"/>
            <w:tcBorders>
              <w:top w:val="single" w:sz="4" w:space="0" w:color="000000"/>
              <w:left w:val="nil" w:sz="6" w:space="0" w:color="auto"/>
              <w:bottom w:val="nil" w:sz="6" w:space="0" w:color="auto"/>
              <w:right w:val="single" w:sz="6"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7"/>
              <w:ind w:right="99"/>
              <w:jc w:val="right"/>
              <w:rPr>
                <w:rFonts w:ascii="Times New Roman" w:hAnsi="Times New Roman" w:cs="Times New Roman" w:eastAsia="Times New Roman" w:hint="default"/>
                <w:sz w:val="21"/>
                <w:szCs w:val="21"/>
              </w:rPr>
            </w:pPr>
            <w:r>
              <w:rPr>
                <w:rFonts w:ascii="Times New Roman"/>
                <w:spacing w:val="-1"/>
                <w:sz w:val="21"/>
              </w:rPr>
              <w:t>526,543,723.32</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7"/>
              <w:ind w:right="98"/>
              <w:jc w:val="right"/>
              <w:rPr>
                <w:rFonts w:ascii="Times New Roman" w:hAnsi="Times New Roman" w:cs="Times New Roman" w:eastAsia="Times New Roman" w:hint="default"/>
                <w:sz w:val="21"/>
                <w:szCs w:val="21"/>
              </w:rPr>
            </w:pPr>
            <w:r>
              <w:rPr>
                <w:rFonts w:ascii="Times New Roman"/>
                <w:spacing w:val="-1"/>
                <w:sz w:val="21"/>
              </w:rPr>
              <w:t>151,373,853.20</w:t>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67"/>
              <w:ind w:right="99"/>
              <w:jc w:val="right"/>
              <w:rPr>
                <w:rFonts w:ascii="Times New Roman" w:hAnsi="Times New Roman" w:cs="Times New Roman" w:eastAsia="Times New Roman" w:hint="default"/>
                <w:sz w:val="21"/>
                <w:szCs w:val="21"/>
              </w:rPr>
            </w:pPr>
            <w:r>
              <w:rPr>
                <w:rFonts w:ascii="Times New Roman"/>
                <w:spacing w:val="-1"/>
                <w:sz w:val="21"/>
              </w:rPr>
              <w:t>341,288,377.03</w:t>
            </w:r>
          </w:p>
        </w:tc>
        <w:tc>
          <w:tcPr>
            <w:tcW w:w="1685" w:type="dxa"/>
            <w:vMerge w:val="restart"/>
            <w:tcBorders>
              <w:top w:val="single" w:sz="4" w:space="0" w:color="000000"/>
              <w:left w:val="single" w:sz="6" w:space="0" w:color="000000"/>
              <w:right w:val="nil" w:sz="6" w:space="0" w:color="auto"/>
            </w:tcBorders>
          </w:tcPr>
          <w:p>
            <w:pPr>
              <w:pStyle w:val="TableParagraph"/>
              <w:spacing w:line="240" w:lineRule="auto" w:before="167"/>
              <w:ind w:left="362" w:right="0"/>
              <w:jc w:val="left"/>
              <w:rPr>
                <w:rFonts w:ascii="Times New Roman" w:hAnsi="Times New Roman" w:cs="Times New Roman" w:eastAsia="Times New Roman" w:hint="default"/>
                <w:sz w:val="21"/>
                <w:szCs w:val="21"/>
              </w:rPr>
            </w:pPr>
            <w:r>
              <w:rPr>
                <w:rFonts w:ascii="Times New Roman"/>
                <w:sz w:val="21"/>
              </w:rPr>
              <w:t>99,701,517.01</w:t>
            </w:r>
          </w:p>
          <w:p>
            <w:pPr>
              <w:pStyle w:val="TableParagraph"/>
              <w:spacing w:line="240" w:lineRule="auto" w:before="167"/>
              <w:ind w:left="362" w:right="0"/>
              <w:jc w:val="left"/>
              <w:rPr>
                <w:rFonts w:ascii="Times New Roman" w:hAnsi="Times New Roman" w:cs="Times New Roman" w:eastAsia="Times New Roman" w:hint="default"/>
                <w:sz w:val="21"/>
                <w:szCs w:val="21"/>
              </w:rPr>
            </w:pPr>
            <w:r>
              <w:rPr>
                <w:rFonts w:ascii="Times New Roman"/>
                <w:sz w:val="21"/>
              </w:rPr>
              <w:t>20,922,325.60</w:t>
            </w:r>
          </w:p>
        </w:tc>
      </w:tr>
      <w:tr>
        <w:trPr>
          <w:trHeight w:val="334" w:hRule="exact"/>
        </w:trPr>
        <w:tc>
          <w:tcPr>
            <w:tcW w:w="3127" w:type="dxa"/>
            <w:tcBorders>
              <w:top w:val="nil" w:sz="6" w:space="0" w:color="auto"/>
              <w:left w:val="nil" w:sz="6" w:space="0" w:color="auto"/>
              <w:bottom w:val="single" w:sz="4"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海外地区</w:t>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82,005,749.73</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5"/>
              <w:ind w:right="99"/>
              <w:jc w:val="right"/>
              <w:rPr>
                <w:rFonts w:ascii="Times New Roman" w:hAnsi="Times New Roman" w:cs="Times New Roman" w:eastAsia="Times New Roman" w:hint="default"/>
                <w:sz w:val="21"/>
                <w:szCs w:val="21"/>
              </w:rPr>
            </w:pPr>
            <w:r>
              <w:rPr>
                <w:rFonts w:ascii="Times New Roman"/>
                <w:spacing w:val="-1"/>
                <w:sz w:val="21"/>
              </w:rPr>
              <w:t>35,644,149.62</w:t>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63,918,794.61</w:t>
            </w:r>
          </w:p>
        </w:tc>
        <w:tc>
          <w:tcPr>
            <w:tcW w:w="1685" w:type="dxa"/>
            <w:vMerge/>
            <w:tcBorders>
              <w:left w:val="single" w:sz="6" w:space="0" w:color="000000"/>
              <w:bottom w:val="single" w:sz="4" w:space="0" w:color="000000"/>
              <w:right w:val="nil" w:sz="6" w:space="0" w:color="auto"/>
            </w:tcBorders>
          </w:tcPr>
          <w:p>
            <w:pPr/>
          </w:p>
        </w:tc>
      </w:tr>
      <w:tr>
        <w:trPr>
          <w:trHeight w:val="430" w:hRule="exact"/>
        </w:trPr>
        <w:tc>
          <w:tcPr>
            <w:tcW w:w="3127" w:type="dxa"/>
            <w:tcBorders>
              <w:top w:val="single" w:sz="4"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102"/>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608,549,473.05</w:t>
            </w:r>
            <w:r>
              <w:rPr>
                <w:rFonts w:ascii="Times New Roman"/>
                <w:sz w:val="21"/>
              </w:rPr>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187,018,002.82</w:t>
            </w:r>
            <w:r>
              <w:rPr>
                <w:rFonts w:ascii="Times New Roman"/>
                <w:sz w:val="21"/>
              </w:rPr>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spacing w:val="-1"/>
                <w:sz w:val="21"/>
              </w:rPr>
              <w:t>405,207,171.64</w:t>
            </w:r>
            <w:r>
              <w:rPr>
                <w:rFonts w:ascii="Times New Roman"/>
                <w:sz w:val="21"/>
              </w:rPr>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6"/>
              <w:ind w:left="256" w:right="0"/>
              <w:jc w:val="left"/>
              <w:rPr>
                <w:rFonts w:ascii="Times New Roman" w:hAnsi="Times New Roman" w:cs="Times New Roman" w:eastAsia="Times New Roman" w:hint="default"/>
                <w:sz w:val="21"/>
                <w:szCs w:val="21"/>
              </w:rPr>
            </w:pPr>
            <w:r>
              <w:rPr>
                <w:rFonts w:ascii="Times New Roman"/>
                <w:sz w:val="21"/>
              </w:rPr>
              <w:t>120,623,842.61</w:t>
            </w:r>
          </w:p>
        </w:tc>
      </w:tr>
    </w:tbl>
    <w:p>
      <w:pPr>
        <w:spacing w:line="240" w:lineRule="auto" w:before="6"/>
        <w:rPr>
          <w:rFonts w:ascii="宋体" w:hAnsi="宋体" w:cs="宋体" w:eastAsia="宋体" w:hint="default"/>
          <w:sz w:val="6"/>
          <w:szCs w:val="6"/>
        </w:rPr>
      </w:pPr>
    </w:p>
    <w:p>
      <w:pPr>
        <w:pStyle w:val="BodyText"/>
        <w:spacing w:line="240" w:lineRule="auto" w:before="35"/>
        <w:ind w:left="674" w:right="0"/>
        <w:jc w:val="left"/>
      </w:pPr>
      <w:r>
        <w:rPr/>
        <w:t>（</w:t>
      </w:r>
      <w:r>
        <w:rPr>
          <w:rFonts w:ascii="Times New Roman" w:hAnsi="Times New Roman" w:cs="Times New Roman" w:eastAsia="Times New Roman" w:hint="default"/>
        </w:rPr>
        <w:t>5</w:t>
      </w:r>
      <w:r>
        <w:rPr/>
        <w:t>）公司前五名客户的营业收入情况</w:t>
      </w:r>
    </w:p>
    <w:tbl>
      <w:tblPr>
        <w:tblW w:w="0" w:type="auto"/>
        <w:jc w:val="left"/>
        <w:tblInd w:w="131" w:type="dxa"/>
        <w:tblLayout w:type="fixed"/>
        <w:tblCellMar>
          <w:top w:w="0" w:type="dxa"/>
          <w:left w:w="0" w:type="dxa"/>
          <w:bottom w:w="0" w:type="dxa"/>
          <w:right w:w="0" w:type="dxa"/>
        </w:tblCellMar>
        <w:tblLook w:val="01E0"/>
      </w:tblPr>
      <w:tblGrid>
        <w:gridCol w:w="5292"/>
        <w:gridCol w:w="1390"/>
        <w:gridCol w:w="3187"/>
      </w:tblGrid>
      <w:tr>
        <w:trPr>
          <w:trHeight w:val="429"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6"/>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6"/>
              <w:ind w:left="3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6"/>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512" w:hRule="exact"/>
        </w:trPr>
        <w:tc>
          <w:tcPr>
            <w:tcW w:w="5292" w:type="dxa"/>
            <w:tcBorders>
              <w:top w:val="single" w:sz="4" w:space="0" w:color="000000"/>
              <w:left w:val="nil" w:sz="6" w:space="0" w:color="auto"/>
              <w:bottom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天津高银国际俱乐部有限公司</w:t>
            </w:r>
          </w:p>
        </w:tc>
        <w:tc>
          <w:tcPr>
            <w:tcW w:w="1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22,356,621.41</w:t>
            </w:r>
          </w:p>
        </w:tc>
        <w:tc>
          <w:tcPr>
            <w:tcW w:w="3187"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3.66%</w:t>
            </w:r>
          </w:p>
        </w:tc>
      </w:tr>
      <w:tr>
        <w:trPr>
          <w:trHeight w:val="410" w:hRule="exact"/>
        </w:trPr>
        <w:tc>
          <w:tcPr>
            <w:tcW w:w="5292"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杭州武林置业有限公司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pacing w:val="-1"/>
                <w:sz w:val="18"/>
              </w:rPr>
              <w:t>10,075,381.28</w:t>
            </w:r>
          </w:p>
        </w:tc>
        <w:tc>
          <w:tcPr>
            <w:tcW w:w="318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z w:val="18"/>
              </w:rPr>
              <w:t>1.65%</w:t>
            </w:r>
          </w:p>
        </w:tc>
      </w:tr>
      <w:tr>
        <w:trPr>
          <w:trHeight w:val="420" w:hRule="exact"/>
        </w:trPr>
        <w:tc>
          <w:tcPr>
            <w:tcW w:w="5292"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天津天宾房地产开发有限公司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pacing w:val="-1"/>
                <w:sz w:val="18"/>
              </w:rPr>
              <w:t>8,372,085.78</w:t>
            </w:r>
          </w:p>
        </w:tc>
        <w:tc>
          <w:tcPr>
            <w:tcW w:w="3187"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z w:val="18"/>
              </w:rPr>
              <w:t>1.37%</w:t>
            </w:r>
          </w:p>
        </w:tc>
      </w:tr>
      <w:tr>
        <w:trPr>
          <w:trHeight w:val="400" w:hRule="exact"/>
        </w:trPr>
        <w:tc>
          <w:tcPr>
            <w:tcW w:w="5292"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Maxim's Caterers</w:t>
            </w:r>
            <w:r>
              <w:rPr>
                <w:rFonts w:ascii="Times New Roman"/>
                <w:spacing w:val="-14"/>
                <w:sz w:val="18"/>
              </w:rPr>
              <w:t> </w:t>
            </w:r>
            <w:r>
              <w:rPr>
                <w:rFonts w:ascii="Times New Roman"/>
                <w:sz w:val="18"/>
              </w:rPr>
              <w:t>Limited</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5,732,873.85</w:t>
            </w:r>
          </w:p>
        </w:tc>
        <w:tc>
          <w:tcPr>
            <w:tcW w:w="3187"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0.94%</w:t>
            </w:r>
          </w:p>
        </w:tc>
      </w:tr>
      <w:tr>
        <w:trPr>
          <w:trHeight w:val="318" w:hRule="exact"/>
        </w:trPr>
        <w:tc>
          <w:tcPr>
            <w:tcW w:w="5292"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广东天河城（集团）股份有限公司粤海喜来登酒店分公司</w:t>
            </w: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pacing w:val="-1"/>
                <w:sz w:val="18"/>
              </w:rPr>
              <w:t>4,427,350.43</w:t>
            </w:r>
          </w:p>
        </w:tc>
        <w:tc>
          <w:tcPr>
            <w:tcW w:w="3187"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z w:val="18"/>
              </w:rPr>
              <w:t>0.73%</w:t>
            </w:r>
          </w:p>
        </w:tc>
      </w:tr>
      <w:tr>
        <w:trPr>
          <w:trHeight w:val="430"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46"/>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50,964,312.75</w:t>
            </w:r>
          </w:p>
        </w:tc>
        <w:tc>
          <w:tcPr>
            <w:tcW w:w="3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8.35%</w:t>
            </w:r>
          </w:p>
        </w:tc>
      </w:tr>
    </w:tbl>
    <w:p>
      <w:pPr>
        <w:spacing w:line="240" w:lineRule="auto" w:before="13"/>
        <w:rPr>
          <w:rFonts w:ascii="宋体" w:hAnsi="宋体" w:cs="宋体" w:eastAsia="宋体" w:hint="default"/>
          <w:sz w:val="4"/>
          <w:szCs w:val="4"/>
        </w:rPr>
      </w:pPr>
    </w:p>
    <w:p>
      <w:pPr>
        <w:pStyle w:val="BodyText"/>
        <w:spacing w:line="331" w:lineRule="auto" w:before="35"/>
        <w:ind w:left="253" w:right="0" w:firstLine="420"/>
        <w:jc w:val="left"/>
      </w:pPr>
      <w:r>
        <w:rPr>
          <w:spacing w:val="-7"/>
        </w:rPr>
        <w:t>（</w:t>
      </w:r>
      <w:r>
        <w:rPr>
          <w:rFonts w:ascii="Times New Roman" w:hAnsi="Times New Roman" w:cs="Times New Roman" w:eastAsia="Times New Roman" w:hint="default"/>
          <w:spacing w:val="-7"/>
        </w:rPr>
        <w:t>6</w:t>
      </w:r>
      <w:r>
        <w:rPr>
          <w:spacing w:val="-7"/>
        </w:rPr>
        <w:t>）</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
        </w:rPr>
        <w:t> </w:t>
      </w:r>
      <w:r>
        <w:rPr/>
        <w:t>年度营业收入比</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年度增加了</w:t>
      </w:r>
      <w:r>
        <w:rPr>
          <w:spacing w:val="-54"/>
        </w:rPr>
        <w:t> </w:t>
      </w:r>
      <w:r>
        <w:rPr>
          <w:rFonts w:ascii="Times New Roman" w:hAnsi="Times New Roman" w:cs="Times New Roman" w:eastAsia="Times New Roman" w:hint="default"/>
          <w:spacing w:val="-5"/>
        </w:rPr>
        <w:t>50.08%</w:t>
      </w:r>
      <w:r>
        <w:rPr>
          <w:spacing w:val="-5"/>
        </w:rPr>
        <w:t>，</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1"/>
        </w:rPr>
        <w:t> </w:t>
      </w:r>
      <w:r>
        <w:rPr/>
        <w:t>年度营业成本比</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年度增加了</w:t>
      </w:r>
      <w:r>
        <w:rPr>
          <w:spacing w:val="-54"/>
        </w:rPr>
        <w:t> </w:t>
      </w:r>
      <w:r>
        <w:rPr>
          <w:rFonts w:ascii="Times New Roman" w:hAnsi="Times New Roman" w:cs="Times New Roman" w:eastAsia="Times New Roman" w:hint="default"/>
        </w:rPr>
        <w:t>55.82</w:t>
      </w:r>
      <w:r>
        <w:rPr/>
        <w:t>％，</w:t>
      </w:r>
      <w:r>
        <w:rPr>
          <w:spacing w:val="1"/>
        </w:rPr>
        <w:t> </w:t>
      </w:r>
      <w:r>
        <w:rPr/>
        <w:t>主要系本公司一直注重市场开发及产品品牌的维护，所提供的系统集成及软件产品在酒店及餐饮行业有着</w:t>
      </w:r>
      <w:r>
        <w:rPr/>
        <w:t> 较高的知名度，使得客户量逐年增加，销售收入也较上年度有了大幅度的增长。</w:t>
      </w:r>
    </w:p>
    <w:p>
      <w:pPr>
        <w:spacing w:line="240" w:lineRule="auto" w:before="0"/>
        <w:rPr>
          <w:rFonts w:ascii="宋体" w:hAnsi="宋体" w:cs="宋体" w:eastAsia="宋体" w:hint="default"/>
          <w:sz w:val="20"/>
          <w:szCs w:val="20"/>
        </w:rPr>
      </w:pPr>
    </w:p>
    <w:p>
      <w:pPr>
        <w:pStyle w:val="BodyText"/>
        <w:spacing w:line="240" w:lineRule="auto" w:before="164"/>
        <w:ind w:left="673" w:right="0"/>
        <w:jc w:val="left"/>
      </w:pPr>
      <w:r>
        <w:rPr>
          <w:rFonts w:ascii="Times New Roman" w:hAnsi="Times New Roman" w:cs="Times New Roman" w:eastAsia="Times New Roman" w:hint="default"/>
        </w:rPr>
        <w:t>32</w:t>
      </w:r>
      <w:r>
        <w:rPr/>
        <w:t>．营业税金及附加</w:t>
      </w:r>
    </w:p>
    <w:tbl>
      <w:tblPr>
        <w:tblW w:w="0" w:type="auto"/>
        <w:jc w:val="left"/>
        <w:tblInd w:w="131" w:type="dxa"/>
        <w:tblLayout w:type="fixed"/>
        <w:tblCellMar>
          <w:top w:w="0" w:type="dxa"/>
          <w:left w:w="0" w:type="dxa"/>
          <w:bottom w:w="0" w:type="dxa"/>
          <w:right w:w="0" w:type="dxa"/>
        </w:tblCellMar>
        <w:tblLook w:val="01E0"/>
      </w:tblPr>
      <w:tblGrid>
        <w:gridCol w:w="3109"/>
        <w:gridCol w:w="2183"/>
        <w:gridCol w:w="2182"/>
        <w:gridCol w:w="2395"/>
      </w:tblGrid>
      <w:tr>
        <w:trPr>
          <w:trHeight w:val="410" w:hRule="exact"/>
        </w:trPr>
        <w:tc>
          <w:tcPr>
            <w:tcW w:w="3109"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83"/>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2"/>
              <w:ind w:left="55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3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2"/>
              <w:ind w:right="3"/>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66" w:hRule="exact"/>
        </w:trPr>
        <w:tc>
          <w:tcPr>
            <w:tcW w:w="3109"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7,829,222.35</w:t>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6,270,808.68</w:t>
            </w:r>
          </w:p>
        </w:tc>
        <w:tc>
          <w:tcPr>
            <w:tcW w:w="2395" w:type="dxa"/>
            <w:tcBorders>
              <w:top w:val="single" w:sz="4" w:space="0" w:color="000000"/>
              <w:left w:val="single" w:sz="4" w:space="0" w:color="000000"/>
              <w:bottom w:val="nil" w:sz="6" w:space="0" w:color="auto"/>
              <w:right w:val="nil" w:sz="6" w:space="0" w:color="auto"/>
            </w:tcBorders>
          </w:tcPr>
          <w:p>
            <w:pPr>
              <w:pStyle w:val="TableParagraph"/>
              <w:spacing w:line="240" w:lineRule="auto" w:before="83"/>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39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3,737,720.81</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2,394,873.76</w:t>
            </w:r>
          </w:p>
        </w:tc>
        <w:tc>
          <w:tcPr>
            <w:tcW w:w="239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390" w:hRule="exact"/>
        </w:trPr>
        <w:tc>
          <w:tcPr>
            <w:tcW w:w="310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教育附加费</w:t>
            </w:r>
          </w:p>
        </w:tc>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1,695,338.19</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1,045,433.43</w:t>
            </w:r>
          </w:p>
        </w:tc>
        <w:tc>
          <w:tcPr>
            <w:tcW w:w="2395"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21"/>
                <w:szCs w:val="21"/>
              </w:rPr>
            </w:pPr>
            <w:r>
              <w:rPr>
                <w:rFonts w:ascii="宋体" w:hAnsi="宋体" w:cs="宋体" w:eastAsia="宋体" w:hint="default"/>
                <w:sz w:val="21"/>
                <w:szCs w:val="21"/>
              </w:rPr>
              <w:t>见附注（三）</w:t>
            </w:r>
          </w:p>
        </w:tc>
      </w:tr>
      <w:tr>
        <w:trPr>
          <w:trHeight w:val="334" w:hRule="exact"/>
        </w:trPr>
        <w:tc>
          <w:tcPr>
            <w:tcW w:w="3109"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18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133,701.52</w:t>
            </w:r>
          </w:p>
        </w:tc>
        <w:tc>
          <w:tcPr>
            <w:tcW w:w="21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2"/>
                <w:sz w:val="21"/>
              </w:rPr>
              <w:t>7,411.81</w:t>
            </w:r>
          </w:p>
        </w:tc>
        <w:tc>
          <w:tcPr>
            <w:tcW w:w="2395"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1" w:footer="982" w:top="1200" w:bottom="1180" w:left="880" w:right="86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09"/>
        <w:gridCol w:w="2183"/>
        <w:gridCol w:w="2182"/>
        <w:gridCol w:w="2395"/>
      </w:tblGrid>
      <w:tr>
        <w:trPr>
          <w:trHeight w:val="417" w:hRule="exact"/>
        </w:trPr>
        <w:tc>
          <w:tcPr>
            <w:tcW w:w="3109" w:type="dxa"/>
            <w:tcBorders>
              <w:top w:val="single" w:sz="18"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83"/>
              <w:ind w:right="112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8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82"/>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82"/>
              <w:ind w:left="55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395"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82"/>
              <w:ind w:left="772"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66" w:hRule="exact"/>
        </w:trPr>
        <w:tc>
          <w:tcPr>
            <w:tcW w:w="3109"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272,717.37</w:t>
            </w:r>
            <w:r>
              <w:rPr>
                <w:rFonts w:ascii="Times New Roman"/>
                <w:sz w:val="21"/>
              </w:rPr>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pacing w:val="-1"/>
                <w:sz w:val="21"/>
              </w:rPr>
              <w:t>185,526.26</w:t>
            </w:r>
            <w:r>
              <w:rPr>
                <w:rFonts w:ascii="Times New Roman"/>
                <w:sz w:val="21"/>
              </w:rPr>
            </w:r>
          </w:p>
        </w:tc>
        <w:tc>
          <w:tcPr>
            <w:tcW w:w="2395" w:type="dxa"/>
            <w:vMerge w:val="restart"/>
            <w:tcBorders>
              <w:top w:val="single" w:sz="4" w:space="0" w:color="000000"/>
              <w:left w:val="single" w:sz="4" w:space="0" w:color="000000"/>
              <w:right w:val="nil" w:sz="6" w:space="0" w:color="auto"/>
            </w:tcBorders>
          </w:tcPr>
          <w:p>
            <w:pPr/>
          </w:p>
        </w:tc>
      </w:tr>
      <w:tr>
        <w:trPr>
          <w:trHeight w:val="323" w:hRule="exact"/>
        </w:trPr>
        <w:tc>
          <w:tcPr>
            <w:tcW w:w="3109"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70,887.92</w:t>
            </w:r>
          </w:p>
        </w:tc>
        <w:tc>
          <w:tcPr>
            <w:tcW w:w="2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148,308.58</w:t>
            </w:r>
          </w:p>
        </w:tc>
        <w:tc>
          <w:tcPr>
            <w:tcW w:w="2395" w:type="dxa"/>
            <w:vMerge/>
            <w:tcBorders>
              <w:left w:val="single" w:sz="4" w:space="0" w:color="000000"/>
              <w:bottom w:val="single" w:sz="4" w:space="0" w:color="000000"/>
              <w:right w:val="nil" w:sz="6" w:space="0" w:color="auto"/>
            </w:tcBorders>
          </w:tcPr>
          <w:p>
            <w:pPr/>
          </w:p>
        </w:tc>
      </w:tr>
      <w:tr>
        <w:trPr>
          <w:trHeight w:val="411" w:hRule="exact"/>
        </w:trPr>
        <w:tc>
          <w:tcPr>
            <w:tcW w:w="3109"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84"/>
              <w:ind w:right="112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21"/>
                <w:szCs w:val="21"/>
              </w:rPr>
            </w:pPr>
            <w:r>
              <w:rPr>
                <w:rFonts w:ascii="Times New Roman"/>
                <w:spacing w:val="-1"/>
                <w:sz w:val="21"/>
              </w:rPr>
              <w:t>13,739,588.16</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21"/>
                <w:szCs w:val="21"/>
              </w:rPr>
            </w:pPr>
            <w:r>
              <w:rPr>
                <w:rFonts w:ascii="Times New Roman"/>
                <w:spacing w:val="-1"/>
                <w:sz w:val="21"/>
              </w:rPr>
              <w:t>10,052,362.52</w:t>
            </w:r>
          </w:p>
        </w:tc>
        <w:tc>
          <w:tcPr>
            <w:tcW w:w="2395" w:type="dxa"/>
            <w:tcBorders>
              <w:top w:val="single" w:sz="4" w:space="0" w:color="000000"/>
              <w:left w:val="single" w:sz="4" w:space="0" w:color="000000"/>
              <w:bottom w:val="single" w:sz="12" w:space="0" w:color="000000"/>
              <w:right w:val="nil" w:sz="6" w:space="0" w:color="auto"/>
            </w:tcBorders>
          </w:tcPr>
          <w:p>
            <w:pPr/>
          </w:p>
        </w:tc>
      </w:tr>
    </w:tbl>
    <w:p>
      <w:pPr>
        <w:pStyle w:val="BodyText"/>
        <w:spacing w:line="321" w:lineRule="auto" w:before="83"/>
        <w:ind w:left="254" w:right="263" w:firstLine="420"/>
        <w:jc w:val="left"/>
      </w:pPr>
      <w:r>
        <w:rPr>
          <w:spacing w:val="-1"/>
        </w:rPr>
        <w:t>注：</w:t>
      </w:r>
      <w:r>
        <w:rPr>
          <w:rFonts w:ascii="Times New Roman" w:hAnsi="Times New Roman" w:cs="Times New Roman" w:eastAsia="Times New Roman" w:hint="default"/>
          <w:spacing w:val="-1"/>
        </w:rPr>
        <w:t>2010</w:t>
      </w:r>
      <w:r>
        <w:rPr>
          <w:spacing w:val="-1"/>
        </w:rPr>
        <w:t>年度营业税金及附加比</w:t>
      </w:r>
      <w:r>
        <w:rPr>
          <w:rFonts w:ascii="Times New Roman" w:hAnsi="Times New Roman" w:cs="Times New Roman" w:eastAsia="Times New Roman" w:hint="default"/>
          <w:spacing w:val="-1"/>
        </w:rPr>
        <w:t>2009</w:t>
      </w:r>
      <w:r>
        <w:rPr>
          <w:spacing w:val="-1"/>
        </w:rPr>
        <w:t>年度增加了</w:t>
      </w:r>
      <w:r>
        <w:rPr>
          <w:rFonts w:ascii="Times New Roman" w:hAnsi="Times New Roman" w:cs="Times New Roman" w:eastAsia="Times New Roman" w:hint="default"/>
          <w:spacing w:val="-1"/>
        </w:rPr>
        <w:t>36.68%</w:t>
      </w:r>
      <w:r>
        <w:rPr>
          <w:spacing w:val="-1"/>
        </w:rPr>
        <w:t>，主要系报告期内营业收入增长使得营业税金</w:t>
      </w:r>
      <w:r>
        <w:rPr/>
        <w:t> 及附加相应增长所致。</w:t>
      </w:r>
    </w:p>
    <w:p>
      <w:pPr>
        <w:spacing w:line="240" w:lineRule="auto" w:before="0"/>
        <w:rPr>
          <w:rFonts w:ascii="宋体" w:hAnsi="宋体" w:cs="宋体" w:eastAsia="宋体" w:hint="default"/>
          <w:sz w:val="20"/>
          <w:szCs w:val="20"/>
        </w:rPr>
      </w:pPr>
    </w:p>
    <w:p>
      <w:pPr>
        <w:pStyle w:val="BodyText"/>
        <w:spacing w:line="240" w:lineRule="auto" w:before="172"/>
        <w:ind w:left="674" w:right="0"/>
        <w:jc w:val="left"/>
      </w:pPr>
      <w:r>
        <w:rPr>
          <w:rFonts w:ascii="Times New Roman" w:hAnsi="Times New Roman" w:cs="Times New Roman" w:eastAsia="Times New Roman" w:hint="default"/>
        </w:rPr>
        <w:t>33</w:t>
      </w:r>
      <w:r>
        <w:rPr/>
        <w:t>．销售费用</w:t>
      </w:r>
    </w:p>
    <w:tbl>
      <w:tblPr>
        <w:tblW w:w="0" w:type="auto"/>
        <w:jc w:val="left"/>
        <w:tblInd w:w="131" w:type="dxa"/>
        <w:tblLayout w:type="fixed"/>
        <w:tblCellMar>
          <w:top w:w="0" w:type="dxa"/>
          <w:left w:w="0" w:type="dxa"/>
          <w:bottom w:w="0" w:type="dxa"/>
          <w:right w:w="0" w:type="dxa"/>
        </w:tblCellMar>
        <w:tblLook w:val="01E0"/>
      </w:tblPr>
      <w:tblGrid>
        <w:gridCol w:w="4666"/>
        <w:gridCol w:w="2498"/>
        <w:gridCol w:w="2705"/>
      </w:tblGrid>
      <w:tr>
        <w:trPr>
          <w:trHeight w:val="410" w:hRule="exact"/>
        </w:trPr>
        <w:tc>
          <w:tcPr>
            <w:tcW w:w="4666"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83"/>
              <w:ind w:right="189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3"/>
              <w:ind w:left="7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05"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83"/>
              <w:ind w:left="81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6" w:hRule="exact"/>
        </w:trPr>
        <w:tc>
          <w:tcPr>
            <w:tcW w:w="4666" w:type="dxa"/>
            <w:tcBorders>
              <w:top w:val="single" w:sz="4" w:space="0" w:color="000000"/>
              <w:left w:val="nil" w:sz="6" w:space="0" w:color="auto"/>
              <w:bottom w:val="nil" w:sz="6" w:space="0" w:color="auto"/>
              <w:right w:val="single" w:sz="6" w:space="0" w:color="000000"/>
            </w:tcBorders>
          </w:tcPr>
          <w:p>
            <w:pPr>
              <w:pStyle w:val="TableParagraph"/>
              <w:spacing w:line="240" w:lineRule="auto" w:before="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、职工薪酬</w:t>
            </w:r>
          </w:p>
        </w:tc>
        <w:tc>
          <w:tcPr>
            <w:tcW w:w="24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20,791,041.58</w:t>
            </w:r>
          </w:p>
        </w:tc>
        <w:tc>
          <w:tcPr>
            <w:tcW w:w="2705" w:type="dxa"/>
            <w:tcBorders>
              <w:top w:val="single" w:sz="4" w:space="0" w:color="000000"/>
              <w:left w:val="single" w:sz="6" w:space="0" w:color="000000"/>
              <w:bottom w:val="nil" w:sz="6" w:space="0" w:color="auto"/>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13,407,204.44</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、差旅费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spacing w:val="-1"/>
                <w:sz w:val="21"/>
              </w:rPr>
              <w:t>10,113,945.35</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7,162,155.22</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、运费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1"/>
                <w:szCs w:val="21"/>
              </w:rPr>
            </w:pPr>
            <w:r>
              <w:rPr>
                <w:rFonts w:ascii="Times New Roman"/>
                <w:spacing w:val="-1"/>
                <w:sz w:val="21"/>
              </w:rPr>
              <w:t>1,551,246.56</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892,684.47</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、交通费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474,841.50</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458,610.11</w:t>
            </w:r>
            <w:r>
              <w:rPr>
                <w:rFonts w:ascii="Times New Roman"/>
                <w:sz w:val="21"/>
              </w:rPr>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、办公费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848,356.83</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700,617.31</w:t>
            </w:r>
            <w:r>
              <w:rPr>
                <w:rFonts w:ascii="Times New Roman"/>
                <w:sz w:val="21"/>
              </w:rPr>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、通讯费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635,296.41</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462,353.47</w:t>
            </w:r>
            <w:r>
              <w:rPr>
                <w:rFonts w:ascii="Times New Roman"/>
                <w:sz w:val="21"/>
              </w:rPr>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、业务招待费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1"/>
                <w:szCs w:val="21"/>
              </w:rPr>
            </w:pPr>
            <w:r>
              <w:rPr>
                <w:rFonts w:ascii="Times New Roman"/>
                <w:spacing w:val="-1"/>
                <w:sz w:val="21"/>
              </w:rPr>
              <w:t>1,499,369.95</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972,061.51</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、业务宣传费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1"/>
                <w:szCs w:val="21"/>
              </w:rPr>
            </w:pPr>
            <w:r>
              <w:rPr>
                <w:rFonts w:ascii="Times New Roman"/>
                <w:spacing w:val="-1"/>
                <w:sz w:val="21"/>
              </w:rPr>
              <w:t>3,023,057.22</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21"/>
                <w:szCs w:val="21"/>
              </w:rPr>
            </w:pPr>
            <w:r>
              <w:rPr>
                <w:rFonts w:ascii="Times New Roman"/>
                <w:spacing w:val="-1"/>
                <w:sz w:val="21"/>
              </w:rPr>
              <w:t>2,375,319.20</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、租赁费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1"/>
                <w:szCs w:val="21"/>
              </w:rPr>
            </w:pPr>
            <w:r>
              <w:rPr>
                <w:rFonts w:ascii="Times New Roman"/>
                <w:spacing w:val="-1"/>
                <w:sz w:val="21"/>
              </w:rPr>
              <w:t>1,480,211.81</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507,384.40</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、水电费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1"/>
                <w:szCs w:val="21"/>
              </w:rPr>
            </w:pPr>
            <w:r>
              <w:rPr>
                <w:rFonts w:ascii="Times New Roman"/>
                <w:spacing w:val="-1"/>
                <w:sz w:val="21"/>
              </w:rPr>
              <w:t>39,720.01</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6,808.10</w:t>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、折旧费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spacing w:val="-1"/>
                <w:sz w:val="21"/>
              </w:rPr>
              <w:t>3,442.96</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1,625.26</w:t>
            </w:r>
            <w:r>
              <w:rPr>
                <w:rFonts w:ascii="Times New Roman"/>
                <w:sz w:val="21"/>
              </w:rPr>
            </w:r>
          </w:p>
        </w:tc>
      </w:tr>
      <w:tr>
        <w:trPr>
          <w:trHeight w:val="3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、修理费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485,197.02</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726,235.70</w:t>
            </w:r>
            <w:r>
              <w:rPr>
                <w:rFonts w:ascii="Times New Roman"/>
                <w:sz w:val="21"/>
              </w:rPr>
            </w:r>
          </w:p>
        </w:tc>
      </w:tr>
      <w:tr>
        <w:trPr>
          <w:trHeight w:val="323" w:hRule="exact"/>
        </w:trPr>
        <w:tc>
          <w:tcPr>
            <w:tcW w:w="4666" w:type="dxa"/>
            <w:tcBorders>
              <w:top w:val="nil" w:sz="6" w:space="0" w:color="auto"/>
              <w:left w:val="nil" w:sz="6" w:space="0" w:color="auto"/>
              <w:bottom w:val="single" w:sz="4" w:space="0" w:color="000000"/>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、其他</w:t>
            </w:r>
          </w:p>
        </w:tc>
        <w:tc>
          <w:tcPr>
            <w:tcW w:w="249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21"/>
                <w:szCs w:val="21"/>
              </w:rPr>
            </w:pPr>
            <w:r>
              <w:rPr>
                <w:rFonts w:ascii="Times New Roman"/>
                <w:spacing w:val="-1"/>
                <w:sz w:val="21"/>
              </w:rPr>
              <w:t>3,757,436.74</w:t>
            </w:r>
          </w:p>
        </w:tc>
        <w:tc>
          <w:tcPr>
            <w:tcW w:w="2705" w:type="dxa"/>
            <w:tcBorders>
              <w:top w:val="nil" w:sz="6" w:space="0" w:color="auto"/>
              <w:left w:val="single" w:sz="6" w:space="0" w:color="000000"/>
              <w:bottom w:val="single"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21"/>
                <w:szCs w:val="21"/>
              </w:rPr>
            </w:pPr>
            <w:r>
              <w:rPr>
                <w:rFonts w:ascii="Times New Roman"/>
                <w:spacing w:val="-1"/>
                <w:sz w:val="21"/>
              </w:rPr>
              <w:t>6,139,327.24</w:t>
            </w:r>
          </w:p>
        </w:tc>
      </w:tr>
      <w:tr>
        <w:trPr>
          <w:trHeight w:val="410" w:hRule="exact"/>
        </w:trPr>
        <w:tc>
          <w:tcPr>
            <w:tcW w:w="4666"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40" w:lineRule="auto" w:before="83"/>
              <w:ind w:right="189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9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44,703,163.94</w:t>
            </w:r>
          </w:p>
        </w:tc>
        <w:tc>
          <w:tcPr>
            <w:tcW w:w="270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33,812,386.43</w:t>
            </w:r>
          </w:p>
        </w:tc>
      </w:tr>
    </w:tbl>
    <w:p>
      <w:pPr>
        <w:spacing w:line="240" w:lineRule="auto" w:before="12"/>
        <w:rPr>
          <w:rFonts w:ascii="宋体" w:hAnsi="宋体" w:cs="宋体" w:eastAsia="宋体" w:hint="default"/>
          <w:sz w:val="4"/>
          <w:szCs w:val="4"/>
        </w:rPr>
      </w:pPr>
    </w:p>
    <w:p>
      <w:pPr>
        <w:pStyle w:val="BodyText"/>
        <w:spacing w:line="321" w:lineRule="auto" w:before="35"/>
        <w:ind w:left="254" w:right="264" w:firstLine="419"/>
        <w:jc w:val="left"/>
      </w:pPr>
      <w:r>
        <w:rPr>
          <w:spacing w:val="-1"/>
        </w:rPr>
        <w:t>注：</w:t>
      </w:r>
      <w:r>
        <w:rPr>
          <w:rFonts w:ascii="Times New Roman" w:hAnsi="Times New Roman" w:cs="Times New Roman" w:eastAsia="Times New Roman" w:hint="default"/>
          <w:spacing w:val="-1"/>
        </w:rPr>
        <w:t>2010</w:t>
      </w:r>
      <w:r>
        <w:rPr>
          <w:spacing w:val="-1"/>
        </w:rPr>
        <w:t>年度销售费用比</w:t>
      </w:r>
      <w:r>
        <w:rPr>
          <w:rFonts w:ascii="Times New Roman" w:hAnsi="Times New Roman" w:cs="Times New Roman" w:eastAsia="Times New Roman" w:hint="default"/>
          <w:spacing w:val="-1"/>
        </w:rPr>
        <w:t>2009</w:t>
      </w:r>
      <w:r>
        <w:rPr>
          <w:spacing w:val="-1"/>
        </w:rPr>
        <w:t>年度增加了</w:t>
      </w:r>
      <w:r>
        <w:rPr>
          <w:rFonts w:ascii="Times New Roman" w:hAnsi="Times New Roman" w:cs="Times New Roman" w:eastAsia="Times New Roman" w:hint="default"/>
          <w:spacing w:val="-1"/>
        </w:rPr>
        <w:t>32.21%</w:t>
      </w:r>
      <w:r>
        <w:rPr>
          <w:spacing w:val="-1"/>
        </w:rPr>
        <w:t>，主要系报告期内营业收入增长使得销售费用相应增</w:t>
      </w:r>
      <w:r>
        <w:rPr/>
        <w:t> 长所致。</w:t>
      </w:r>
    </w:p>
    <w:p>
      <w:pPr>
        <w:pStyle w:val="BodyText"/>
        <w:spacing w:line="240" w:lineRule="auto" w:before="143"/>
        <w:ind w:left="674" w:right="0"/>
        <w:jc w:val="left"/>
      </w:pPr>
      <w:r>
        <w:rPr>
          <w:rFonts w:ascii="Times New Roman" w:hAnsi="Times New Roman" w:cs="Times New Roman" w:eastAsia="Times New Roman" w:hint="default"/>
        </w:rPr>
        <w:t>34</w:t>
      </w:r>
      <w:r>
        <w:rPr/>
        <w:t>．管理费用</w:t>
      </w:r>
    </w:p>
    <w:tbl>
      <w:tblPr>
        <w:tblW w:w="0" w:type="auto"/>
        <w:jc w:val="left"/>
        <w:tblInd w:w="131" w:type="dxa"/>
        <w:tblLayout w:type="fixed"/>
        <w:tblCellMar>
          <w:top w:w="0" w:type="dxa"/>
          <w:left w:w="0" w:type="dxa"/>
          <w:bottom w:w="0" w:type="dxa"/>
          <w:right w:w="0" w:type="dxa"/>
        </w:tblCellMar>
        <w:tblLook w:val="01E0"/>
      </w:tblPr>
      <w:tblGrid>
        <w:gridCol w:w="4666"/>
        <w:gridCol w:w="2498"/>
        <w:gridCol w:w="2705"/>
      </w:tblGrid>
      <w:tr>
        <w:trPr>
          <w:trHeight w:val="509" w:hRule="exact"/>
        </w:trPr>
        <w:tc>
          <w:tcPr>
            <w:tcW w:w="4666"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54"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05"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1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616" w:hRule="exact"/>
        </w:trPr>
        <w:tc>
          <w:tcPr>
            <w:tcW w:w="4666" w:type="dxa"/>
            <w:tcBorders>
              <w:top w:val="single" w:sz="4" w:space="0" w:color="000000"/>
              <w:left w:val="nil" w:sz="6" w:space="0" w:color="auto"/>
              <w:bottom w:val="nil" w:sz="6" w:space="0" w:color="auto"/>
              <w:right w:val="single" w:sz="6" w:space="0" w:color="000000"/>
            </w:tcBorders>
          </w:tcPr>
          <w:p>
            <w:pPr>
              <w:pStyle w:val="TableParagraph"/>
              <w:spacing w:line="240" w:lineRule="auto" w:before="18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、职工薪酬</w:t>
            </w:r>
          </w:p>
        </w:tc>
        <w:tc>
          <w:tcPr>
            <w:tcW w:w="24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68,224,795.94</w:t>
            </w:r>
          </w:p>
        </w:tc>
        <w:tc>
          <w:tcPr>
            <w:tcW w:w="2705" w:type="dxa"/>
            <w:tcBorders>
              <w:top w:val="single" w:sz="4" w:space="0" w:color="000000"/>
              <w:left w:val="single" w:sz="6"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59278797.25</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、研发支出</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21"/>
                <w:szCs w:val="21"/>
              </w:rPr>
            </w:pPr>
            <w:r>
              <w:rPr>
                <w:rFonts w:ascii="Times New Roman"/>
                <w:spacing w:val="-1"/>
                <w:sz w:val="21"/>
              </w:rPr>
              <w:t>32,317,850.11</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21"/>
                <w:szCs w:val="21"/>
              </w:rPr>
            </w:pPr>
            <w:r>
              <w:rPr>
                <w:rFonts w:ascii="Times New Roman"/>
                <w:spacing w:val="-1"/>
                <w:sz w:val="21"/>
              </w:rPr>
              <w:t>22,347,064.50</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、无形资产摊销</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15,187,123.14</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1"/>
                <w:szCs w:val="21"/>
              </w:rPr>
            </w:pPr>
            <w:r>
              <w:rPr>
                <w:rFonts w:ascii="Times New Roman"/>
                <w:spacing w:val="-1"/>
                <w:sz w:val="21"/>
              </w:rPr>
              <w:t>10,983,029.67</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、交通费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684,865.81</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1"/>
                <w:szCs w:val="21"/>
              </w:rPr>
            </w:pPr>
            <w:r>
              <w:rPr>
                <w:rFonts w:ascii="Times New Roman"/>
                <w:spacing w:val="-1"/>
                <w:sz w:val="21"/>
              </w:rPr>
              <w:t>581,451.59</w:t>
            </w:r>
            <w:r>
              <w:rPr>
                <w:rFonts w:ascii="Times New Roman"/>
                <w:sz w:val="21"/>
              </w:rPr>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、办公费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2,664,306.44</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21"/>
                <w:szCs w:val="21"/>
              </w:rPr>
            </w:pPr>
            <w:r>
              <w:rPr>
                <w:rFonts w:ascii="Times New Roman"/>
                <w:spacing w:val="-1"/>
                <w:sz w:val="21"/>
              </w:rPr>
              <w:t>3,460,082.83</w:t>
            </w:r>
          </w:p>
        </w:tc>
      </w:tr>
      <w:tr>
        <w:trPr>
          <w:trHeight w:val="383" w:hRule="exact"/>
        </w:trPr>
        <w:tc>
          <w:tcPr>
            <w:tcW w:w="4666" w:type="dxa"/>
            <w:tcBorders>
              <w:top w:val="nil" w:sz="6" w:space="0" w:color="auto"/>
              <w:left w:val="nil" w:sz="6" w:space="0" w:color="auto"/>
              <w:bottom w:val="single" w:sz="12" w:space="0" w:color="000000"/>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、通讯费</w:t>
            </w:r>
          </w:p>
        </w:tc>
        <w:tc>
          <w:tcPr>
            <w:tcW w:w="249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1,203,860.71</w:t>
            </w:r>
          </w:p>
        </w:tc>
        <w:tc>
          <w:tcPr>
            <w:tcW w:w="2705" w:type="dxa"/>
            <w:tcBorders>
              <w:top w:val="nil" w:sz="6" w:space="0" w:color="auto"/>
              <w:left w:val="single" w:sz="6" w:space="0" w:color="000000"/>
              <w:bottom w:val="single" w:sz="12" w:space="0" w:color="000000"/>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21"/>
                <w:szCs w:val="21"/>
              </w:rPr>
            </w:pPr>
            <w:r>
              <w:rPr>
                <w:rFonts w:ascii="Times New Roman"/>
                <w:spacing w:val="-1"/>
                <w:sz w:val="21"/>
              </w:rPr>
              <w:t>1,803,146.39</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200" w:bottom="1180" w:left="880" w:right="86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666"/>
        <w:gridCol w:w="2498"/>
        <w:gridCol w:w="2705"/>
      </w:tblGrid>
      <w:tr>
        <w:trPr>
          <w:trHeight w:val="517" w:hRule="exact"/>
        </w:trPr>
        <w:tc>
          <w:tcPr>
            <w:tcW w:w="4666" w:type="dxa"/>
            <w:tcBorders>
              <w:top w:val="single" w:sz="18" w:space="0" w:color="000000"/>
              <w:left w:val="nil" w:sz="6" w:space="0" w:color="auto"/>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31" w:val="left" w:leader="none"/>
              </w:tabs>
              <w:spacing w:line="240" w:lineRule="auto"/>
              <w:ind w:right="189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98" w:type="dxa"/>
            <w:tcBorders>
              <w:top w:val="single" w:sz="18"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05" w:type="dxa"/>
            <w:tcBorders>
              <w:top w:val="single" w:sz="18" w:space="0" w:color="000000"/>
              <w:left w:val="single" w:sz="6"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1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617" w:hRule="exact"/>
        </w:trPr>
        <w:tc>
          <w:tcPr>
            <w:tcW w:w="4666" w:type="dxa"/>
            <w:tcBorders>
              <w:top w:val="single" w:sz="4" w:space="0" w:color="000000"/>
              <w:left w:val="nil" w:sz="6" w:space="0" w:color="auto"/>
              <w:bottom w:val="nil" w:sz="6" w:space="0" w:color="auto"/>
              <w:right w:val="single" w:sz="6"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、业务招待费</w:t>
            </w:r>
          </w:p>
        </w:tc>
        <w:tc>
          <w:tcPr>
            <w:tcW w:w="249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885,683.66</w:t>
            </w:r>
            <w:r>
              <w:rPr>
                <w:rFonts w:ascii="Times New Roman"/>
                <w:sz w:val="21"/>
              </w:rPr>
            </w:r>
          </w:p>
        </w:tc>
        <w:tc>
          <w:tcPr>
            <w:tcW w:w="2705" w:type="dxa"/>
            <w:tcBorders>
              <w:top w:val="single" w:sz="4" w:space="0" w:color="000000"/>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475,914.09</w:t>
            </w:r>
            <w:r>
              <w:rPr>
                <w:rFonts w:ascii="Times New Roman"/>
                <w:sz w:val="21"/>
              </w:rPr>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、业务宣传费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158,128.72</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1"/>
                <w:szCs w:val="21"/>
              </w:rPr>
            </w:pPr>
            <w:r>
              <w:rPr>
                <w:rFonts w:ascii="Times New Roman"/>
                <w:spacing w:val="-1"/>
                <w:sz w:val="21"/>
              </w:rPr>
              <w:t>179,014.80</w:t>
            </w:r>
            <w:r>
              <w:rPr>
                <w:rFonts w:ascii="Times New Roman"/>
                <w:sz w:val="21"/>
              </w:rPr>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、差旅费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4,820,545.68</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21"/>
                <w:szCs w:val="21"/>
              </w:rPr>
            </w:pPr>
            <w:r>
              <w:rPr>
                <w:rFonts w:ascii="Times New Roman"/>
                <w:spacing w:val="-1"/>
                <w:sz w:val="21"/>
              </w:rPr>
              <w:t>4,007,022.36</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、水电费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1"/>
                <w:sz w:val="21"/>
              </w:rPr>
              <w:t>765,610.63</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6"/>
              <w:ind w:right="107"/>
              <w:jc w:val="right"/>
              <w:rPr>
                <w:rFonts w:ascii="Times New Roman" w:hAnsi="Times New Roman" w:cs="Times New Roman" w:eastAsia="Times New Roman" w:hint="default"/>
                <w:sz w:val="21"/>
                <w:szCs w:val="21"/>
              </w:rPr>
            </w:pPr>
            <w:r>
              <w:rPr>
                <w:rFonts w:ascii="Times New Roman"/>
                <w:spacing w:val="-1"/>
                <w:sz w:val="21"/>
              </w:rPr>
              <w:t>796,203.34</w:t>
            </w:r>
            <w:r>
              <w:rPr>
                <w:rFonts w:ascii="Times New Roman"/>
                <w:sz w:val="21"/>
              </w:rPr>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、税费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pacing w:val="-1"/>
                <w:sz w:val="21"/>
              </w:rPr>
              <w:t>976,815.83</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1"/>
                <w:szCs w:val="21"/>
              </w:rPr>
            </w:pPr>
            <w:r>
              <w:rPr>
                <w:rFonts w:ascii="Times New Roman"/>
                <w:spacing w:val="-1"/>
                <w:sz w:val="21"/>
              </w:rPr>
              <w:t>1,125,729.17</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、租赁费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6,166,353.96</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21"/>
                <w:szCs w:val="21"/>
              </w:rPr>
            </w:pPr>
            <w:r>
              <w:rPr>
                <w:rFonts w:ascii="Times New Roman"/>
                <w:spacing w:val="-1"/>
                <w:sz w:val="21"/>
              </w:rPr>
              <w:t>4,895,011.57</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、修理费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pacing w:val="-1"/>
                <w:sz w:val="21"/>
              </w:rPr>
              <w:t>308,823.40</w:t>
            </w:r>
            <w:r>
              <w:rPr>
                <w:rFonts w:ascii="Times New Roman"/>
                <w:sz w:val="21"/>
              </w:rPr>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6"/>
              <w:ind w:right="107"/>
              <w:jc w:val="right"/>
              <w:rPr>
                <w:rFonts w:ascii="Times New Roman" w:hAnsi="Times New Roman" w:cs="Times New Roman" w:eastAsia="Times New Roman" w:hint="default"/>
                <w:sz w:val="21"/>
                <w:szCs w:val="21"/>
              </w:rPr>
            </w:pPr>
            <w:r>
              <w:rPr>
                <w:rFonts w:ascii="Times New Roman"/>
                <w:spacing w:val="-1"/>
                <w:sz w:val="21"/>
              </w:rPr>
              <w:t>708,380.31</w:t>
            </w:r>
            <w:r>
              <w:rPr>
                <w:rFonts w:ascii="Times New Roman"/>
                <w:sz w:val="21"/>
              </w:rPr>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、折旧费</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9,443,131.64</w:t>
            </w:r>
          </w:p>
        </w:tc>
        <w:tc>
          <w:tcPr>
            <w:tcW w:w="2705" w:type="dxa"/>
            <w:tcBorders>
              <w:top w:val="nil" w:sz="6" w:space="0" w:color="auto"/>
              <w:left w:val="single" w:sz="6" w:space="0" w:color="000000"/>
              <w:bottom w:val="nil" w:sz="6" w:space="0" w:color="auto"/>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21"/>
                <w:szCs w:val="21"/>
              </w:rPr>
            </w:pPr>
            <w:r>
              <w:rPr>
                <w:rFonts w:ascii="Times New Roman"/>
                <w:spacing w:val="-1"/>
                <w:sz w:val="21"/>
              </w:rPr>
              <w:t>7,329,357.22</w:t>
            </w:r>
          </w:p>
        </w:tc>
      </w:tr>
      <w:tr>
        <w:trPr>
          <w:trHeight w:val="490" w:hRule="exact"/>
        </w:trPr>
        <w:tc>
          <w:tcPr>
            <w:tcW w:w="4666"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、股权激励成本</w:t>
            </w:r>
          </w:p>
        </w:tc>
        <w:tc>
          <w:tcPr>
            <w:tcW w:w="2498" w:type="dxa"/>
            <w:tcBorders>
              <w:top w:val="nil" w:sz="6" w:space="0" w:color="auto"/>
              <w:left w:val="single" w:sz="6" w:space="0" w:color="000000"/>
              <w:bottom w:val="nil" w:sz="6" w:space="0" w:color="auto"/>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21"/>
                <w:szCs w:val="21"/>
              </w:rPr>
            </w:pPr>
            <w:r>
              <w:rPr>
                <w:rFonts w:ascii="Times New Roman"/>
                <w:spacing w:val="-1"/>
                <w:sz w:val="21"/>
              </w:rPr>
              <w:t>7,602,355.17</w:t>
            </w:r>
          </w:p>
        </w:tc>
        <w:tc>
          <w:tcPr>
            <w:tcW w:w="2705" w:type="dxa"/>
            <w:tcBorders>
              <w:top w:val="nil" w:sz="6" w:space="0" w:color="auto"/>
              <w:left w:val="single" w:sz="6" w:space="0" w:color="000000"/>
              <w:bottom w:val="nil" w:sz="6" w:space="0" w:color="auto"/>
              <w:right w:val="nil" w:sz="6" w:space="0" w:color="auto"/>
            </w:tcBorders>
          </w:tcPr>
          <w:p>
            <w:pPr/>
          </w:p>
        </w:tc>
      </w:tr>
      <w:tr>
        <w:trPr>
          <w:trHeight w:val="374" w:hRule="exact"/>
        </w:trPr>
        <w:tc>
          <w:tcPr>
            <w:tcW w:w="4666" w:type="dxa"/>
            <w:tcBorders>
              <w:top w:val="nil" w:sz="6" w:space="0" w:color="auto"/>
              <w:left w:val="nil" w:sz="6" w:space="0" w:color="auto"/>
              <w:bottom w:val="single" w:sz="4" w:space="0" w:color="000000"/>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、其他</w:t>
            </w:r>
          </w:p>
        </w:tc>
        <w:tc>
          <w:tcPr>
            <w:tcW w:w="249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21"/>
                <w:szCs w:val="21"/>
              </w:rPr>
            </w:pPr>
            <w:r>
              <w:rPr>
                <w:rFonts w:ascii="Times New Roman"/>
                <w:spacing w:val="-1"/>
                <w:sz w:val="21"/>
              </w:rPr>
              <w:t>5,325,158.24</w:t>
            </w:r>
          </w:p>
        </w:tc>
        <w:tc>
          <w:tcPr>
            <w:tcW w:w="2705" w:type="dxa"/>
            <w:tcBorders>
              <w:top w:val="nil" w:sz="6" w:space="0" w:color="auto"/>
              <w:left w:val="single" w:sz="6" w:space="0" w:color="000000"/>
              <w:bottom w:val="single" w:sz="4" w:space="0" w:color="000000"/>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21"/>
                <w:szCs w:val="21"/>
              </w:rPr>
            </w:pPr>
            <w:r>
              <w:rPr>
                <w:rFonts w:ascii="Times New Roman"/>
                <w:spacing w:val="-1"/>
                <w:sz w:val="21"/>
              </w:rPr>
              <w:t>2,530,468.63</w:t>
            </w:r>
          </w:p>
        </w:tc>
      </w:tr>
      <w:tr>
        <w:trPr>
          <w:trHeight w:val="511" w:hRule="exact"/>
        </w:trPr>
        <w:tc>
          <w:tcPr>
            <w:tcW w:w="4666"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31" w:val="left" w:leader="none"/>
              </w:tabs>
              <w:spacing w:line="240" w:lineRule="auto"/>
              <w:ind w:right="189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9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156,735,409.08</w:t>
            </w:r>
          </w:p>
        </w:tc>
        <w:tc>
          <w:tcPr>
            <w:tcW w:w="2705"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120,500,673.72</w:t>
            </w:r>
          </w:p>
        </w:tc>
      </w:tr>
    </w:tbl>
    <w:p>
      <w:pPr>
        <w:spacing w:line="240" w:lineRule="auto" w:before="4"/>
        <w:rPr>
          <w:rFonts w:ascii="宋体" w:hAnsi="宋体" w:cs="宋体" w:eastAsia="宋体" w:hint="default"/>
          <w:sz w:val="11"/>
          <w:szCs w:val="11"/>
        </w:rPr>
      </w:pPr>
    </w:p>
    <w:p>
      <w:pPr>
        <w:pStyle w:val="BodyText"/>
        <w:spacing w:line="403" w:lineRule="auto" w:before="35"/>
        <w:ind w:left="234" w:right="205" w:firstLine="420"/>
        <w:jc w:val="left"/>
      </w:pPr>
      <w:r>
        <w:rPr>
          <w:spacing w:val="-4"/>
        </w:rPr>
        <w:t>注：</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7"/>
        </w:rPr>
        <w:t> </w:t>
      </w:r>
      <w:r>
        <w:rPr/>
        <w:t>年度管理费用比</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年度增长了</w:t>
      </w:r>
      <w:r>
        <w:rPr>
          <w:spacing w:val="-60"/>
        </w:rPr>
        <w:t> </w:t>
      </w:r>
      <w:r>
        <w:rPr>
          <w:rFonts w:ascii="Times New Roman" w:hAnsi="Times New Roman" w:cs="Times New Roman" w:eastAsia="Times New Roman" w:hint="default"/>
        </w:rPr>
        <w:t>30.07%</w:t>
      </w:r>
      <w:r>
        <w:rPr/>
        <w:t>，主要系报告期内公司业务增长以及合并范围增加 使得管理费用相应增长所致。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654" w:right="101"/>
        <w:jc w:val="left"/>
      </w:pPr>
      <w:r>
        <w:rPr>
          <w:rFonts w:ascii="Times New Roman" w:hAnsi="Times New Roman" w:cs="Times New Roman" w:eastAsia="Times New Roman" w:hint="default"/>
        </w:rPr>
        <w:t>35</w:t>
      </w:r>
      <w:r>
        <w:rPr/>
        <w:t>．财务费用</w:t>
      </w:r>
    </w:p>
    <w:tbl>
      <w:tblPr>
        <w:tblW w:w="0" w:type="auto"/>
        <w:jc w:val="left"/>
        <w:tblInd w:w="111" w:type="dxa"/>
        <w:tblLayout w:type="fixed"/>
        <w:tblCellMar>
          <w:top w:w="0" w:type="dxa"/>
          <w:left w:w="0" w:type="dxa"/>
          <w:bottom w:w="0" w:type="dxa"/>
          <w:right w:w="0" w:type="dxa"/>
        </w:tblCellMar>
        <w:tblLook w:val="01E0"/>
      </w:tblPr>
      <w:tblGrid>
        <w:gridCol w:w="5292"/>
        <w:gridCol w:w="2184"/>
        <w:gridCol w:w="2393"/>
      </w:tblGrid>
      <w:tr>
        <w:trPr>
          <w:trHeight w:val="509"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31" w:val="left" w:leader="none"/>
              </w:tabs>
              <w:spacing w:line="240" w:lineRule="auto"/>
              <w:ind w:right="221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617" w:hRule="exact"/>
        </w:trPr>
        <w:tc>
          <w:tcPr>
            <w:tcW w:w="5292"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-3,674,612.89</w:t>
            </w:r>
          </w:p>
        </w:tc>
        <w:tc>
          <w:tcPr>
            <w:tcW w:w="2393"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-5,250,001.23</w:t>
            </w:r>
          </w:p>
        </w:tc>
      </w:tr>
      <w:tr>
        <w:trPr>
          <w:trHeight w:val="490" w:hRule="exact"/>
        </w:trPr>
        <w:tc>
          <w:tcPr>
            <w:tcW w:w="5292"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1"/>
                <w:szCs w:val="21"/>
              </w:rPr>
            </w:pPr>
            <w:r>
              <w:rPr>
                <w:rFonts w:ascii="Times New Roman"/>
                <w:spacing w:val="-1"/>
                <w:sz w:val="21"/>
              </w:rPr>
              <w:t>-654,086.10</w:t>
            </w:r>
          </w:p>
        </w:tc>
        <w:tc>
          <w:tcPr>
            <w:tcW w:w="2393"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21"/>
                <w:szCs w:val="21"/>
              </w:rPr>
            </w:pPr>
            <w:r>
              <w:rPr>
                <w:rFonts w:ascii="Times New Roman"/>
                <w:spacing w:val="-1"/>
                <w:sz w:val="21"/>
              </w:rPr>
              <w:t>1,414,477.71</w:t>
            </w:r>
          </w:p>
        </w:tc>
      </w:tr>
      <w:tr>
        <w:trPr>
          <w:trHeight w:val="374" w:hRule="exact"/>
        </w:trPr>
        <w:tc>
          <w:tcPr>
            <w:tcW w:w="5292" w:type="dxa"/>
            <w:tcBorders>
              <w:top w:val="nil" w:sz="6" w:space="0" w:color="auto"/>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21"/>
                <w:szCs w:val="21"/>
              </w:rPr>
            </w:pPr>
            <w:r>
              <w:rPr>
                <w:rFonts w:ascii="Times New Roman"/>
                <w:spacing w:val="-1"/>
                <w:sz w:val="21"/>
              </w:rPr>
              <w:t>146,697.75</w:t>
            </w:r>
            <w:r>
              <w:rPr>
                <w:rFonts w:ascii="Times New Roman"/>
                <w:sz w:val="21"/>
              </w:rPr>
            </w:r>
          </w:p>
        </w:tc>
        <w:tc>
          <w:tcPr>
            <w:tcW w:w="2393" w:type="dxa"/>
            <w:tcBorders>
              <w:top w:val="nil" w:sz="6" w:space="0" w:color="auto"/>
              <w:left w:val="single" w:sz="4" w:space="0" w:color="000000"/>
              <w:bottom w:val="single" w:sz="4" w:space="0" w:color="000000"/>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21"/>
                <w:szCs w:val="21"/>
              </w:rPr>
            </w:pPr>
            <w:r>
              <w:rPr>
                <w:rFonts w:ascii="Times New Roman"/>
                <w:spacing w:val="-1"/>
                <w:sz w:val="21"/>
              </w:rPr>
              <w:t>151,454.26</w:t>
            </w:r>
            <w:r>
              <w:rPr>
                <w:rFonts w:ascii="Times New Roman"/>
                <w:sz w:val="21"/>
              </w:rPr>
            </w:r>
          </w:p>
        </w:tc>
      </w:tr>
      <w:tr>
        <w:trPr>
          <w:trHeight w:val="509"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631" w:val="left" w:leader="none"/>
              </w:tabs>
              <w:spacing w:line="240" w:lineRule="auto"/>
              <w:ind w:right="221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-4,182,001.24</w:t>
            </w:r>
          </w:p>
        </w:tc>
        <w:tc>
          <w:tcPr>
            <w:tcW w:w="23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-3,684,069.26</w:t>
            </w:r>
          </w:p>
        </w:tc>
      </w:tr>
    </w:tbl>
    <w:p>
      <w:pPr>
        <w:spacing w:line="240" w:lineRule="auto" w:before="8"/>
        <w:rPr>
          <w:rFonts w:ascii="宋体" w:hAnsi="宋体" w:cs="宋体" w:eastAsia="宋体" w:hint="default"/>
          <w:sz w:val="5"/>
          <w:szCs w:val="5"/>
        </w:rPr>
      </w:pPr>
    </w:p>
    <w:p>
      <w:pPr>
        <w:pStyle w:val="BodyText"/>
        <w:spacing w:line="240" w:lineRule="auto" w:before="35"/>
        <w:ind w:left="654" w:right="101"/>
        <w:jc w:val="left"/>
      </w:pPr>
      <w:r>
        <w:rPr>
          <w:rFonts w:ascii="Times New Roman" w:hAnsi="Times New Roman" w:cs="Times New Roman" w:eastAsia="Times New Roman" w:hint="default"/>
        </w:rPr>
        <w:t>36</w:t>
      </w:r>
      <w:r>
        <w:rPr/>
        <w:t>．资产减值损失</w:t>
      </w:r>
    </w:p>
    <w:tbl>
      <w:tblPr>
        <w:tblW w:w="0" w:type="auto"/>
        <w:jc w:val="left"/>
        <w:tblInd w:w="111" w:type="dxa"/>
        <w:tblLayout w:type="fixed"/>
        <w:tblCellMar>
          <w:top w:w="0" w:type="dxa"/>
          <w:left w:w="0" w:type="dxa"/>
          <w:bottom w:w="0" w:type="dxa"/>
          <w:right w:w="0" w:type="dxa"/>
        </w:tblCellMar>
        <w:tblLook w:val="01E0"/>
      </w:tblPr>
      <w:tblGrid>
        <w:gridCol w:w="4697"/>
        <w:gridCol w:w="2586"/>
        <w:gridCol w:w="2586"/>
      </w:tblGrid>
      <w:tr>
        <w:trPr>
          <w:trHeight w:val="419" w:hRule="exact"/>
        </w:trPr>
        <w:tc>
          <w:tcPr>
            <w:tcW w:w="4697"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93"/>
              <w:ind w:right="191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left="76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81"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4,264,470.32</w:t>
            </w:r>
          </w:p>
        </w:tc>
        <w:tc>
          <w:tcPr>
            <w:tcW w:w="2586" w:type="dxa"/>
            <w:vMerge w:val="restart"/>
            <w:tcBorders>
              <w:top w:val="single" w:sz="4" w:space="0" w:color="000000"/>
              <w:left w:val="single" w:sz="4" w:space="0" w:color="000000"/>
              <w:right w:val="nil" w:sz="6" w:space="0" w:color="auto"/>
            </w:tcBorders>
          </w:tcPr>
          <w:p>
            <w:pPr>
              <w:pStyle w:val="TableParagraph"/>
              <w:spacing w:line="240" w:lineRule="auto" w:before="157"/>
              <w:ind w:left="1370" w:right="0"/>
              <w:jc w:val="left"/>
              <w:rPr>
                <w:rFonts w:ascii="Times New Roman" w:hAnsi="Times New Roman" w:cs="Times New Roman" w:eastAsia="Times New Roman" w:hint="default"/>
                <w:sz w:val="21"/>
                <w:szCs w:val="21"/>
              </w:rPr>
            </w:pPr>
            <w:r>
              <w:rPr>
                <w:rFonts w:ascii="Times New Roman"/>
                <w:sz w:val="21"/>
              </w:rPr>
              <w:t>3,324,341.58</w:t>
            </w:r>
          </w:p>
        </w:tc>
      </w:tr>
      <w:tr>
        <w:trPr>
          <w:trHeight w:val="329"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1"/>
                <w:szCs w:val="21"/>
              </w:rPr>
            </w:pPr>
            <w:r>
              <w:rPr>
                <w:rFonts w:ascii="Times New Roman"/>
                <w:spacing w:val="-1"/>
                <w:sz w:val="21"/>
              </w:rPr>
              <w:t>94,605.84</w:t>
            </w:r>
          </w:p>
        </w:tc>
        <w:tc>
          <w:tcPr>
            <w:tcW w:w="2586" w:type="dxa"/>
            <w:vMerge/>
            <w:tcBorders>
              <w:left w:val="single" w:sz="4" w:space="0" w:color="000000"/>
              <w:bottom w:val="single" w:sz="4" w:space="0" w:color="000000"/>
              <w:right w:val="nil" w:sz="6" w:space="0" w:color="auto"/>
            </w:tcBorders>
          </w:tcPr>
          <w:p>
            <w:pPr/>
          </w:p>
        </w:tc>
      </w:tr>
      <w:tr>
        <w:trPr>
          <w:trHeight w:val="421"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93"/>
              <w:ind w:right="19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4,359,076.16</w:t>
            </w:r>
          </w:p>
        </w:tc>
        <w:tc>
          <w:tcPr>
            <w:tcW w:w="2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left="1370" w:right="0"/>
              <w:jc w:val="left"/>
              <w:rPr>
                <w:rFonts w:ascii="Times New Roman" w:hAnsi="Times New Roman" w:cs="Times New Roman" w:eastAsia="Times New Roman" w:hint="default"/>
                <w:sz w:val="21"/>
                <w:szCs w:val="21"/>
              </w:rPr>
            </w:pPr>
            <w:r>
              <w:rPr>
                <w:rFonts w:ascii="Times New Roman"/>
                <w:sz w:val="21"/>
              </w:rPr>
              <w:t>3,324,341.58</w:t>
            </w:r>
          </w:p>
        </w:tc>
      </w:tr>
    </w:tbl>
    <w:p>
      <w:pPr>
        <w:spacing w:line="240" w:lineRule="auto" w:before="9"/>
        <w:rPr>
          <w:rFonts w:ascii="宋体" w:hAnsi="宋体" w:cs="宋体" w:eastAsia="宋体" w:hint="default"/>
          <w:sz w:val="5"/>
          <w:szCs w:val="5"/>
        </w:rPr>
      </w:pPr>
    </w:p>
    <w:p>
      <w:pPr>
        <w:pStyle w:val="BodyText"/>
        <w:spacing w:line="328" w:lineRule="auto" w:before="35"/>
        <w:ind w:left="234" w:right="204" w:firstLine="419"/>
        <w:jc w:val="left"/>
      </w:pPr>
      <w:r>
        <w:rPr>
          <w:spacing w:val="-1"/>
        </w:rPr>
        <w:t>注：</w:t>
      </w:r>
      <w:r>
        <w:rPr>
          <w:rFonts w:ascii="Times New Roman" w:hAnsi="Times New Roman" w:cs="Times New Roman" w:eastAsia="Times New Roman" w:hint="default"/>
          <w:spacing w:val="-1"/>
        </w:rPr>
        <w:t>2010</w:t>
      </w:r>
      <w:r>
        <w:rPr>
          <w:spacing w:val="-1"/>
        </w:rPr>
        <w:t>年度资产减值损失比</w:t>
      </w:r>
      <w:r>
        <w:rPr>
          <w:rFonts w:ascii="Times New Roman" w:hAnsi="Times New Roman" w:cs="Times New Roman" w:eastAsia="Times New Roman" w:hint="default"/>
          <w:spacing w:val="-1"/>
        </w:rPr>
        <w:t>2009</w:t>
      </w:r>
      <w:r>
        <w:rPr>
          <w:spacing w:val="-1"/>
        </w:rPr>
        <w:t>年度增长了</w:t>
      </w:r>
      <w:r>
        <w:rPr>
          <w:rFonts w:ascii="Times New Roman" w:hAnsi="Times New Roman" w:cs="Times New Roman" w:eastAsia="Times New Roman" w:hint="default"/>
          <w:spacing w:val="-1"/>
        </w:rPr>
        <w:t>31.13%</w:t>
      </w:r>
      <w:r>
        <w:rPr>
          <w:spacing w:val="-1"/>
        </w:rPr>
        <w:t>，主要原因系应收款项期末余额较上期有所增加</w:t>
      </w:r>
      <w:r>
        <w:rPr/>
        <w:t> 使得计提的坏账准备相应增加。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54" w:right="101"/>
        <w:jc w:val="left"/>
      </w:pPr>
      <w:r>
        <w:rPr>
          <w:rFonts w:ascii="Times New Roman" w:hAnsi="Times New Roman" w:cs="Times New Roman" w:eastAsia="Times New Roman" w:hint="default"/>
        </w:rPr>
        <w:t>37</w:t>
      </w:r>
      <w:r>
        <w:rPr/>
        <w:t>．公允价值变动收益</w:t>
      </w:r>
    </w:p>
    <w:p>
      <w:pPr>
        <w:spacing w:after="0" w:line="240" w:lineRule="auto"/>
        <w:jc w:val="left"/>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040"/>
        <w:gridCol w:w="2382"/>
        <w:gridCol w:w="2520"/>
        <w:gridCol w:w="848"/>
      </w:tblGrid>
      <w:tr>
        <w:trPr>
          <w:trHeight w:val="427" w:hRule="exact"/>
        </w:trPr>
        <w:tc>
          <w:tcPr>
            <w:tcW w:w="4040"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93"/>
              <w:ind w:left="66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38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93"/>
              <w:ind w:left="66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20"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93"/>
              <w:ind w:left="72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848" w:type="dxa"/>
            <w:vMerge w:val="restart"/>
            <w:tcBorders>
              <w:top w:val="single" w:sz="6" w:space="0" w:color="000000"/>
              <w:left w:val="nil" w:sz="6" w:space="0" w:color="auto"/>
              <w:right w:val="nil" w:sz="6" w:space="0" w:color="auto"/>
            </w:tcBorders>
          </w:tcPr>
          <w:p>
            <w:pPr/>
          </w:p>
        </w:tc>
      </w:tr>
      <w:tr>
        <w:trPr>
          <w:trHeight w:val="410" w:hRule="exact"/>
        </w:trPr>
        <w:tc>
          <w:tcPr>
            <w:tcW w:w="4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8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4"/>
              <w:jc w:val="right"/>
              <w:rPr>
                <w:rFonts w:ascii="Times New Roman" w:hAnsi="Times New Roman" w:cs="Times New Roman" w:eastAsia="Times New Roman" w:hint="default"/>
                <w:sz w:val="21"/>
                <w:szCs w:val="21"/>
              </w:rPr>
            </w:pPr>
            <w:r>
              <w:rPr>
                <w:rFonts w:ascii="Times New Roman"/>
                <w:spacing w:val="-1"/>
                <w:sz w:val="21"/>
              </w:rPr>
              <w:t>43,354.30</w:t>
            </w:r>
          </w:p>
        </w:tc>
        <w:tc>
          <w:tcPr>
            <w:tcW w:w="848" w:type="dxa"/>
            <w:vMerge/>
            <w:tcBorders>
              <w:left w:val="nil" w:sz="6" w:space="0" w:color="auto"/>
              <w:right w:val="nil" w:sz="6" w:space="0" w:color="auto"/>
            </w:tcBorders>
          </w:tcPr>
          <w:p>
            <w:pPr/>
          </w:p>
        </w:tc>
      </w:tr>
      <w:tr>
        <w:trPr>
          <w:trHeight w:val="428" w:hRule="exact"/>
        </w:trPr>
        <w:tc>
          <w:tcPr>
            <w:tcW w:w="4040"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2" w:type="dxa"/>
            <w:tcBorders>
              <w:top w:val="single" w:sz="4" w:space="0" w:color="000000"/>
              <w:left w:val="single" w:sz="4" w:space="0" w:color="000000"/>
              <w:bottom w:val="single" w:sz="12" w:space="0" w:color="000000"/>
              <w:right w:val="single" w:sz="4" w:space="0" w:color="000000"/>
            </w:tcBorders>
          </w:tcPr>
          <w:p>
            <w:pP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right="104"/>
              <w:jc w:val="right"/>
              <w:rPr>
                <w:rFonts w:ascii="Times New Roman" w:hAnsi="Times New Roman" w:cs="Times New Roman" w:eastAsia="Times New Roman" w:hint="default"/>
                <w:sz w:val="21"/>
                <w:szCs w:val="21"/>
              </w:rPr>
            </w:pPr>
            <w:r>
              <w:rPr>
                <w:rFonts w:ascii="Times New Roman"/>
                <w:spacing w:val="-1"/>
                <w:sz w:val="21"/>
              </w:rPr>
              <w:t>43,354.30</w:t>
            </w:r>
          </w:p>
        </w:tc>
        <w:tc>
          <w:tcPr>
            <w:tcW w:w="848" w:type="dxa"/>
            <w:vMerge/>
            <w:tcBorders>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654" w:right="101"/>
        <w:jc w:val="left"/>
      </w:pPr>
      <w:r>
        <w:rPr>
          <w:rFonts w:ascii="Times New Roman" w:hAnsi="Times New Roman" w:cs="Times New Roman" w:eastAsia="Times New Roman" w:hint="default"/>
        </w:rPr>
        <w:t>38</w:t>
      </w:r>
      <w:r>
        <w:rPr/>
        <w:t>．营业外收入</w:t>
      </w:r>
    </w:p>
    <w:tbl>
      <w:tblPr>
        <w:tblW w:w="0" w:type="auto"/>
        <w:jc w:val="left"/>
        <w:tblInd w:w="111" w:type="dxa"/>
        <w:tblLayout w:type="fixed"/>
        <w:tblCellMar>
          <w:top w:w="0" w:type="dxa"/>
          <w:left w:w="0" w:type="dxa"/>
          <w:bottom w:w="0" w:type="dxa"/>
          <w:right w:w="0" w:type="dxa"/>
        </w:tblCellMar>
        <w:tblLook w:val="01E0"/>
      </w:tblPr>
      <w:tblGrid>
        <w:gridCol w:w="3102"/>
        <w:gridCol w:w="2344"/>
        <w:gridCol w:w="2365"/>
        <w:gridCol w:w="2058"/>
      </w:tblGrid>
      <w:tr>
        <w:trPr>
          <w:trHeight w:val="820" w:hRule="exact"/>
        </w:trPr>
        <w:tc>
          <w:tcPr>
            <w:tcW w:w="31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631" w:val="left" w:leader="none"/>
              </w:tabs>
              <w:spacing w:line="240" w:lineRule="auto"/>
              <w:ind w:right="111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058" w:type="dxa"/>
            <w:tcBorders>
              <w:top w:val="single" w:sz="12" w:space="0" w:color="000000"/>
              <w:left w:val="single" w:sz="4" w:space="0" w:color="000000"/>
              <w:bottom w:val="single" w:sz="4" w:space="0" w:color="000000"/>
              <w:right w:val="nil" w:sz="6" w:space="0" w:color="auto"/>
            </w:tcBorders>
          </w:tcPr>
          <w:p>
            <w:pPr>
              <w:pStyle w:val="TableParagraph"/>
              <w:spacing w:line="400" w:lineRule="exact" w:before="18"/>
              <w:ind w:left="499" w:right="187" w:hanging="316"/>
              <w:jc w:val="left"/>
              <w:rPr>
                <w:rFonts w:ascii="宋体" w:hAnsi="宋体" w:cs="宋体" w:eastAsia="宋体" w:hint="default"/>
                <w:sz w:val="21"/>
                <w:szCs w:val="21"/>
              </w:rPr>
            </w:pPr>
            <w:r>
              <w:rPr>
                <w:rFonts w:ascii="宋体" w:hAnsi="宋体" w:cs="宋体" w:eastAsia="宋体" w:hint="default"/>
                <w:sz w:val="21"/>
                <w:szCs w:val="21"/>
              </w:rPr>
              <w:t>计入当期非经常性 损益的金额</w:t>
            </w:r>
          </w:p>
        </w:tc>
      </w:tr>
      <w:tr>
        <w:trPr>
          <w:trHeight w:val="480" w:hRule="exact"/>
        </w:trPr>
        <w:tc>
          <w:tcPr>
            <w:tcW w:w="3102" w:type="dxa"/>
            <w:tcBorders>
              <w:top w:val="single" w:sz="4" w:space="0" w:color="000000"/>
              <w:left w:val="nil" w:sz="6" w:space="0" w:color="auto"/>
              <w:bottom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．补贴收入</w:t>
            </w:r>
          </w:p>
        </w:tc>
        <w:tc>
          <w:tcPr>
            <w:tcW w:w="23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40,485,818.45</w:t>
            </w:r>
          </w:p>
        </w:tc>
        <w:tc>
          <w:tcPr>
            <w:tcW w:w="23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22,207,145.60</w:t>
            </w:r>
          </w:p>
        </w:tc>
        <w:tc>
          <w:tcPr>
            <w:tcW w:w="2058" w:type="dxa"/>
            <w:tcBorders>
              <w:top w:val="single" w:sz="4" w:space="0" w:color="000000"/>
              <w:left w:val="single" w:sz="4" w:space="0" w:color="000000"/>
              <w:bottom w:val="nil" w:sz="6" w:space="0" w:color="auto"/>
              <w:right w:val="nil" w:sz="6" w:space="0" w:color="auto"/>
            </w:tcBorders>
          </w:tcPr>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
                <w:sz w:val="21"/>
              </w:rPr>
              <w:t>4,639,392.64</w:t>
            </w:r>
          </w:p>
        </w:tc>
      </w:tr>
      <w:tr>
        <w:trPr>
          <w:trHeight w:val="401" w:hRule="exact"/>
        </w:trPr>
        <w:tc>
          <w:tcPr>
            <w:tcW w:w="310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234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spacing w:val="-1"/>
                <w:sz w:val="21"/>
              </w:rPr>
              <w:t>35,846,425.81</w:t>
            </w:r>
          </w:p>
        </w:tc>
        <w:tc>
          <w:tcPr>
            <w:tcW w:w="236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spacing w:val="-1"/>
                <w:sz w:val="21"/>
              </w:rPr>
              <w:t>21,465,457.96</w:t>
            </w:r>
          </w:p>
        </w:tc>
        <w:tc>
          <w:tcPr>
            <w:tcW w:w="2058" w:type="dxa"/>
            <w:tcBorders>
              <w:top w:val="nil" w:sz="6" w:space="0" w:color="auto"/>
              <w:left w:val="single" w:sz="4" w:space="0" w:color="000000"/>
              <w:bottom w:val="nil" w:sz="6" w:space="0" w:color="auto"/>
              <w:right w:val="nil" w:sz="6" w:space="0" w:color="auto"/>
            </w:tcBorders>
          </w:tcPr>
          <w:p>
            <w:pPr/>
          </w:p>
        </w:tc>
      </w:tr>
      <w:tr>
        <w:trPr>
          <w:trHeight w:val="399" w:hRule="exact"/>
        </w:trPr>
        <w:tc>
          <w:tcPr>
            <w:tcW w:w="310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753"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2344"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2,453,474.54</w:t>
            </w:r>
          </w:p>
        </w:tc>
        <w:tc>
          <w:tcPr>
            <w:tcW w:w="2365"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39,783.97</w:t>
            </w:r>
          </w:p>
        </w:tc>
        <w:tc>
          <w:tcPr>
            <w:tcW w:w="2058"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spacing w:val="-1"/>
                <w:sz w:val="21"/>
              </w:rPr>
              <w:t>2,453,474.54</w:t>
            </w:r>
          </w:p>
        </w:tc>
      </w:tr>
      <w:tr>
        <w:trPr>
          <w:trHeight w:val="401" w:hRule="exact"/>
        </w:trPr>
        <w:tc>
          <w:tcPr>
            <w:tcW w:w="3102"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1082"/>
              <w:jc w:val="right"/>
              <w:rPr>
                <w:rFonts w:ascii="宋体" w:hAnsi="宋体" w:cs="宋体" w:eastAsia="宋体" w:hint="default"/>
                <w:sz w:val="21"/>
                <w:szCs w:val="21"/>
              </w:rPr>
            </w:pPr>
            <w:r>
              <w:rPr>
                <w:rFonts w:ascii="宋体" w:hAnsi="宋体" w:cs="宋体" w:eastAsia="宋体" w:hint="default"/>
                <w:spacing w:val="-1"/>
                <w:sz w:val="21"/>
                <w:szCs w:val="21"/>
              </w:rPr>
              <w:t>其他税收返还</w:t>
            </w:r>
          </w:p>
        </w:tc>
        <w:tc>
          <w:tcPr>
            <w:tcW w:w="2344"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1"/>
                <w:szCs w:val="21"/>
              </w:rPr>
            </w:pPr>
            <w:r>
              <w:rPr>
                <w:rFonts w:ascii="Times New Roman"/>
                <w:spacing w:val="-1"/>
                <w:sz w:val="21"/>
              </w:rPr>
              <w:t>2,185,918.10</w:t>
            </w:r>
          </w:p>
        </w:tc>
        <w:tc>
          <w:tcPr>
            <w:tcW w:w="2365"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1"/>
                <w:szCs w:val="21"/>
              </w:rPr>
            </w:pPr>
            <w:r>
              <w:rPr>
                <w:rFonts w:ascii="Times New Roman"/>
                <w:spacing w:val="-1"/>
                <w:sz w:val="21"/>
              </w:rPr>
              <w:t>701,903.67</w:t>
            </w:r>
          </w:p>
        </w:tc>
        <w:tc>
          <w:tcPr>
            <w:tcW w:w="2058"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21"/>
                <w:szCs w:val="21"/>
              </w:rPr>
            </w:pPr>
            <w:r>
              <w:rPr>
                <w:rFonts w:ascii="Times New Roman"/>
                <w:spacing w:val="-1"/>
                <w:sz w:val="21"/>
              </w:rPr>
              <w:t>2,185,918.10</w:t>
            </w:r>
          </w:p>
        </w:tc>
      </w:tr>
      <w:tr>
        <w:trPr>
          <w:trHeight w:val="329" w:hRule="exact"/>
        </w:trPr>
        <w:tc>
          <w:tcPr>
            <w:tcW w:w="3102" w:type="dxa"/>
            <w:tcBorders>
              <w:top w:val="nil" w:sz="6" w:space="0" w:color="auto"/>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2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575,028.26</w:t>
            </w:r>
            <w:r>
              <w:rPr>
                <w:rFonts w:ascii="Times New Roman"/>
                <w:sz w:val="21"/>
              </w:rPr>
            </w:r>
          </w:p>
        </w:tc>
        <w:tc>
          <w:tcPr>
            <w:tcW w:w="23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108,635.39</w:t>
            </w:r>
            <w:r>
              <w:rPr>
                <w:rFonts w:ascii="Times New Roman"/>
                <w:sz w:val="21"/>
              </w:rPr>
            </w:r>
          </w:p>
        </w:tc>
        <w:tc>
          <w:tcPr>
            <w:tcW w:w="2058" w:type="dxa"/>
            <w:tcBorders>
              <w:top w:val="nil" w:sz="6" w:space="0" w:color="auto"/>
              <w:left w:val="single" w:sz="4" w:space="0" w:color="000000"/>
              <w:bottom w:val="single"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21"/>
                <w:szCs w:val="21"/>
              </w:rPr>
            </w:pPr>
            <w:r>
              <w:rPr>
                <w:rFonts w:ascii="Times New Roman"/>
                <w:spacing w:val="-1"/>
                <w:sz w:val="21"/>
              </w:rPr>
              <w:t>575,028.26</w:t>
            </w:r>
            <w:r>
              <w:rPr>
                <w:rFonts w:ascii="Times New Roman"/>
                <w:sz w:val="21"/>
              </w:rPr>
            </w:r>
          </w:p>
        </w:tc>
      </w:tr>
      <w:tr>
        <w:trPr>
          <w:trHeight w:val="421" w:hRule="exact"/>
        </w:trPr>
        <w:tc>
          <w:tcPr>
            <w:tcW w:w="3102"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93"/>
              <w:ind w:right="111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41,060,846.71</w:t>
            </w:r>
          </w:p>
        </w:tc>
        <w:tc>
          <w:tcPr>
            <w:tcW w:w="2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22,315,780.99</w:t>
            </w:r>
          </w:p>
        </w:tc>
        <w:tc>
          <w:tcPr>
            <w:tcW w:w="20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right="105"/>
              <w:jc w:val="right"/>
              <w:rPr>
                <w:rFonts w:ascii="Times New Roman" w:hAnsi="Times New Roman" w:cs="Times New Roman" w:eastAsia="Times New Roman" w:hint="default"/>
                <w:sz w:val="21"/>
                <w:szCs w:val="21"/>
              </w:rPr>
            </w:pPr>
            <w:r>
              <w:rPr>
                <w:rFonts w:ascii="Times New Roman"/>
                <w:spacing w:val="-1"/>
                <w:sz w:val="21"/>
              </w:rPr>
              <w:t>5,214,420.90</w:t>
            </w:r>
          </w:p>
        </w:tc>
      </w:tr>
    </w:tbl>
    <w:p>
      <w:pPr>
        <w:spacing w:line="240" w:lineRule="auto" w:before="8"/>
        <w:rPr>
          <w:rFonts w:ascii="宋体" w:hAnsi="宋体" w:cs="宋体" w:eastAsia="宋体" w:hint="default"/>
          <w:sz w:val="5"/>
          <w:szCs w:val="5"/>
        </w:rPr>
      </w:pPr>
    </w:p>
    <w:p>
      <w:pPr>
        <w:pStyle w:val="BodyText"/>
        <w:spacing w:line="328" w:lineRule="auto" w:before="35"/>
        <w:ind w:left="233" w:right="204" w:firstLine="420"/>
        <w:jc w:val="left"/>
      </w:pPr>
      <w:r>
        <w:rPr>
          <w:spacing w:val="-4"/>
        </w:rPr>
        <w:t>注：（</w:t>
      </w:r>
      <w:r>
        <w:rPr>
          <w:rFonts w:ascii="Times New Roman" w:hAnsi="Times New Roman" w:cs="Times New Roman" w:eastAsia="Times New Roman" w:hint="default"/>
          <w:spacing w:val="-4"/>
        </w:rPr>
        <w:t>1</w:t>
      </w:r>
      <w:r>
        <w:rPr>
          <w:spacing w:val="-4"/>
        </w:rPr>
        <w:t>）增值税返还系公司根据国务院</w:t>
      </w:r>
      <w:r>
        <w:rPr>
          <w:rFonts w:ascii="Times New Roman" w:hAnsi="Times New Roman" w:cs="Times New Roman" w:eastAsia="Times New Roman" w:hint="default"/>
          <w:spacing w:val="-4"/>
        </w:rPr>
        <w:t>“</w:t>
      </w:r>
      <w:r>
        <w:rPr>
          <w:spacing w:val="-4"/>
        </w:rPr>
        <w:t>国发</w:t>
      </w:r>
      <w:r>
        <w:rPr>
          <w:rFonts w:ascii="Times New Roman" w:hAnsi="Times New Roman" w:cs="Times New Roman" w:eastAsia="Times New Roman" w:hint="default"/>
          <w:spacing w:val="-4"/>
        </w:rPr>
        <w:t>[2000]18</w:t>
      </w:r>
      <w:r>
        <w:rPr>
          <w:rFonts w:ascii="Times New Roman" w:hAnsi="Times New Roman" w:cs="Times New Roman" w:eastAsia="Times New Roman" w:hint="default"/>
          <w:spacing w:val="40"/>
        </w:rPr>
        <w:t> </w:t>
      </w:r>
      <w:r>
        <w:rPr>
          <w:spacing w:val="-1"/>
        </w:rPr>
        <w:t>号</w:t>
      </w:r>
      <w:r>
        <w:rPr>
          <w:rFonts w:ascii="Times New Roman" w:hAnsi="Times New Roman" w:cs="Times New Roman" w:eastAsia="Times New Roman" w:hint="default"/>
          <w:spacing w:val="-1"/>
        </w:rPr>
        <w:t>”</w:t>
      </w:r>
      <w:r>
        <w:rPr>
          <w:spacing w:val="-1"/>
        </w:rPr>
        <w:t>《鼓励软件产业和集成电路产业发展的若干</w:t>
      </w:r>
      <w:r>
        <w:rPr/>
        <w:t> 政策》的规定，报告期内应收到的自行开发软件销售增值税退税收入。</w:t>
      </w:r>
    </w:p>
    <w:p>
      <w:pPr>
        <w:pStyle w:val="BodyText"/>
        <w:spacing w:line="240" w:lineRule="auto" w:before="47"/>
        <w:ind w:left="653" w:right="101"/>
        <w:jc w:val="left"/>
      </w:pPr>
      <w:r>
        <w:rPr/>
        <w:t>（</w:t>
      </w:r>
      <w:r>
        <w:rPr>
          <w:rFonts w:ascii="Times New Roman" w:hAnsi="Times New Roman" w:cs="Times New Roman" w:eastAsia="Times New Roman" w:hint="default"/>
        </w:rPr>
        <w:t>2</w:t>
      </w:r>
      <w:r>
        <w:rPr/>
        <w:t>）财政补贴明细</w:t>
      </w:r>
    </w:p>
    <w:tbl>
      <w:tblPr>
        <w:tblW w:w="0" w:type="auto"/>
        <w:jc w:val="left"/>
        <w:tblInd w:w="111" w:type="dxa"/>
        <w:tblLayout w:type="fixed"/>
        <w:tblCellMar>
          <w:top w:w="0" w:type="dxa"/>
          <w:left w:w="0" w:type="dxa"/>
          <w:bottom w:w="0" w:type="dxa"/>
          <w:right w:w="0" w:type="dxa"/>
        </w:tblCellMar>
        <w:tblLook w:val="01E0"/>
      </w:tblPr>
      <w:tblGrid>
        <w:gridCol w:w="1542"/>
        <w:gridCol w:w="4529"/>
        <w:gridCol w:w="2032"/>
        <w:gridCol w:w="1766"/>
      </w:tblGrid>
      <w:tr>
        <w:trPr>
          <w:trHeight w:val="419" w:hRule="exact"/>
        </w:trPr>
        <w:tc>
          <w:tcPr>
            <w:tcW w:w="6071" w:type="dxa"/>
            <w:gridSpan w:val="2"/>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130"/>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0"/>
              <w:ind w:left="56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0"/>
              <w:ind w:left="428"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97" w:hRule="exact"/>
        </w:trPr>
        <w:tc>
          <w:tcPr>
            <w:tcW w:w="15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408" w:lineRule="auto"/>
              <w:ind w:left="327" w:right="307"/>
              <w:jc w:val="left"/>
              <w:rPr>
                <w:rFonts w:ascii="宋体" w:hAnsi="宋体" w:cs="宋体" w:eastAsia="宋体" w:hint="default"/>
                <w:sz w:val="18"/>
                <w:szCs w:val="18"/>
              </w:rPr>
            </w:pPr>
            <w:r>
              <w:rPr>
                <w:rFonts w:ascii="宋体" w:hAnsi="宋体" w:cs="宋体" w:eastAsia="宋体" w:hint="default"/>
                <w:sz w:val="18"/>
                <w:szCs w:val="18"/>
              </w:rPr>
              <w:t>与收益相关 的政府补助</w:t>
            </w:r>
          </w:p>
        </w:tc>
        <w:tc>
          <w:tcPr>
            <w:tcW w:w="4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．广西自治区承接产业转移专项资金补贴</w:t>
            </w:r>
          </w:p>
        </w:tc>
        <w:tc>
          <w:tcPr>
            <w:tcW w:w="20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76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39,783.97</w:t>
            </w:r>
          </w:p>
        </w:tc>
      </w:tr>
      <w:tr>
        <w:trPr>
          <w:trHeight w:val="400" w:hRule="exact"/>
        </w:trPr>
        <w:tc>
          <w:tcPr>
            <w:tcW w:w="1542"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．北海市投资补贴</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766" w:type="dxa"/>
            <w:vMerge/>
            <w:tcBorders>
              <w:left w:val="single" w:sz="4" w:space="0" w:color="000000"/>
              <w:right w:val="nil" w:sz="6" w:space="0" w:color="auto"/>
            </w:tcBorders>
          </w:tcPr>
          <w:p>
            <w:pPr/>
          </w:p>
        </w:tc>
      </w:tr>
      <w:tr>
        <w:trPr>
          <w:trHeight w:val="400" w:hRule="exact"/>
        </w:trPr>
        <w:tc>
          <w:tcPr>
            <w:tcW w:w="1542"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．北海市科学研究与技术开发计划项目经费补贴</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60,000.00</w:t>
            </w:r>
          </w:p>
        </w:tc>
        <w:tc>
          <w:tcPr>
            <w:tcW w:w="1766" w:type="dxa"/>
            <w:vMerge/>
            <w:tcBorders>
              <w:left w:val="single" w:sz="4" w:space="0" w:color="000000"/>
              <w:right w:val="nil" w:sz="6" w:space="0" w:color="auto"/>
            </w:tcBorders>
          </w:tcPr>
          <w:p>
            <w:pPr/>
          </w:p>
        </w:tc>
      </w:tr>
      <w:tr>
        <w:trPr>
          <w:trHeight w:val="400" w:hRule="exact"/>
        </w:trPr>
        <w:tc>
          <w:tcPr>
            <w:tcW w:w="1542"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．西软酒店集团物流管理系统专项补贴</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300,000.00</w:t>
            </w:r>
          </w:p>
        </w:tc>
        <w:tc>
          <w:tcPr>
            <w:tcW w:w="1766" w:type="dxa"/>
            <w:vMerge/>
            <w:tcBorders>
              <w:left w:val="single" w:sz="4" w:space="0" w:color="000000"/>
              <w:right w:val="nil" w:sz="6" w:space="0" w:color="auto"/>
            </w:tcBorders>
          </w:tcPr>
          <w:p>
            <w:pPr/>
          </w:p>
        </w:tc>
      </w:tr>
      <w:tr>
        <w:trPr>
          <w:trHeight w:val="400" w:hRule="exact"/>
        </w:trPr>
        <w:tc>
          <w:tcPr>
            <w:tcW w:w="1542"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．西软旅业集团化网络信息平台专项补贴</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z w:val="18"/>
              </w:rPr>
              <w:t>65,000.00</w:t>
            </w:r>
          </w:p>
        </w:tc>
        <w:tc>
          <w:tcPr>
            <w:tcW w:w="1766" w:type="dxa"/>
            <w:vMerge/>
            <w:tcBorders>
              <w:left w:val="single" w:sz="4" w:space="0" w:color="000000"/>
              <w:right w:val="nil" w:sz="6" w:space="0" w:color="auto"/>
            </w:tcBorders>
          </w:tcPr>
          <w:p>
            <w:pPr/>
          </w:p>
        </w:tc>
      </w:tr>
      <w:tr>
        <w:trPr>
          <w:trHeight w:val="395" w:hRule="exact"/>
        </w:trPr>
        <w:tc>
          <w:tcPr>
            <w:tcW w:w="1542" w:type="dxa"/>
            <w:vMerge/>
            <w:tcBorders>
              <w:left w:val="nil" w:sz="6" w:space="0" w:color="auto"/>
              <w:right w:val="single" w:sz="4" w:space="0" w:color="000000"/>
            </w:tcBorders>
          </w:tcPr>
          <w:p>
            <w:pPr/>
          </w:p>
        </w:tc>
        <w:tc>
          <w:tcPr>
            <w:tcW w:w="4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．西软社会保险补贴</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28,474.54</w:t>
            </w:r>
          </w:p>
        </w:tc>
        <w:tc>
          <w:tcPr>
            <w:tcW w:w="1766" w:type="dxa"/>
            <w:vMerge/>
            <w:tcBorders>
              <w:left w:val="single" w:sz="4" w:space="0" w:color="000000"/>
              <w:right w:val="nil" w:sz="6" w:space="0" w:color="auto"/>
            </w:tcBorders>
          </w:tcPr>
          <w:p>
            <w:pPr/>
          </w:p>
        </w:tc>
      </w:tr>
      <w:tr>
        <w:trPr>
          <w:trHeight w:val="318" w:hRule="exact"/>
        </w:trPr>
        <w:tc>
          <w:tcPr>
            <w:tcW w:w="1542" w:type="dxa"/>
            <w:vMerge/>
            <w:tcBorders>
              <w:left w:val="nil" w:sz="6" w:space="0" w:color="auto"/>
              <w:bottom w:val="single" w:sz="4" w:space="0" w:color="000000"/>
              <w:right w:val="single" w:sz="4" w:space="0" w:color="000000"/>
            </w:tcBorders>
          </w:tcPr>
          <w:p>
            <w:pPr/>
          </w:p>
        </w:tc>
        <w:tc>
          <w:tcPr>
            <w:tcW w:w="4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．就业补贴</w:t>
            </w:r>
          </w:p>
        </w:tc>
        <w:tc>
          <w:tcPr>
            <w:tcW w:w="2032" w:type="dxa"/>
            <w:tcBorders>
              <w:top w:val="nil" w:sz="6" w:space="0" w:color="auto"/>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nil" w:sz="6" w:space="0" w:color="auto"/>
            </w:tcBorders>
          </w:tcPr>
          <w:p>
            <w:pPr/>
          </w:p>
        </w:tc>
      </w:tr>
      <w:tr>
        <w:trPr>
          <w:trHeight w:val="419" w:hRule="exact"/>
        </w:trPr>
        <w:tc>
          <w:tcPr>
            <w:tcW w:w="6071" w:type="dxa"/>
            <w:gridSpan w:val="2"/>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136"/>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2,453,474.54</w:t>
            </w:r>
          </w:p>
        </w:tc>
        <w:tc>
          <w:tcPr>
            <w:tcW w:w="1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39,783.97</w:t>
            </w:r>
          </w:p>
        </w:tc>
      </w:tr>
    </w:tbl>
    <w:p>
      <w:pPr>
        <w:spacing w:line="240" w:lineRule="auto" w:before="4"/>
        <w:rPr>
          <w:rFonts w:ascii="宋体" w:hAnsi="宋体" w:cs="宋体" w:eastAsia="宋体" w:hint="default"/>
          <w:sz w:val="10"/>
          <w:szCs w:val="10"/>
        </w:rPr>
      </w:pPr>
    </w:p>
    <w:p>
      <w:pPr>
        <w:pStyle w:val="BodyText"/>
        <w:spacing w:line="379" w:lineRule="auto" w:before="35"/>
        <w:ind w:left="234" w:right="209" w:firstLine="420"/>
        <w:jc w:val="left"/>
      </w:pPr>
      <w:r>
        <w:rPr>
          <w:spacing w:val="-1"/>
        </w:rPr>
        <w:t>（</w:t>
      </w:r>
      <w:r>
        <w:rPr>
          <w:rFonts w:ascii="Times New Roman" w:hAnsi="Times New Roman" w:cs="Times New Roman" w:eastAsia="Times New Roman" w:hint="default"/>
          <w:spacing w:val="-1"/>
        </w:rPr>
        <w:t>3</w:t>
      </w:r>
      <w:r>
        <w:rPr>
          <w:spacing w:val="-1"/>
        </w:rPr>
        <w:t>）其他税收返还主要系根据</w:t>
      </w:r>
      <w:r>
        <w:rPr>
          <w:rFonts w:ascii="Times New Roman" w:hAnsi="Times New Roman" w:cs="Times New Roman" w:eastAsia="Times New Roman" w:hint="default"/>
          <w:spacing w:val="-1"/>
        </w:rPr>
        <w:t>“</w:t>
      </w:r>
      <w:r>
        <w:rPr>
          <w:spacing w:val="-1"/>
        </w:rPr>
        <w:t>桂发</w:t>
      </w:r>
      <w:r>
        <w:rPr>
          <w:rFonts w:ascii="Times New Roman" w:hAnsi="Times New Roman" w:cs="Times New Roman" w:eastAsia="Times New Roman" w:hint="default"/>
          <w:spacing w:val="-1"/>
        </w:rPr>
        <w:t>[2007]18</w:t>
      </w:r>
      <w:r>
        <w:rPr>
          <w:spacing w:val="-1"/>
        </w:rPr>
        <w:t>号</w:t>
      </w:r>
      <w:r>
        <w:rPr>
          <w:rFonts w:ascii="Times New Roman" w:hAnsi="Times New Roman" w:cs="Times New Roman" w:eastAsia="Times New Roman" w:hint="default"/>
          <w:spacing w:val="-1"/>
        </w:rPr>
        <w:t>”</w:t>
      </w:r>
      <w:r>
        <w:rPr>
          <w:spacing w:val="-1"/>
        </w:rPr>
        <w:t>广西壮族自治区党委自治区人民政府关于推进承接产</w:t>
      </w:r>
      <w:r>
        <w:rPr/>
        <w:t> 业转移工作的决定于本期收到北海市高新技术产业园区管理委员会转来地方性税金返还。</w:t>
      </w:r>
    </w:p>
    <w:p>
      <w:pPr>
        <w:pStyle w:val="BodyText"/>
        <w:spacing w:line="379" w:lineRule="auto" w:before="63"/>
        <w:ind w:left="234" w:right="101" w:firstLine="419"/>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年度营业外收入比</w:t>
      </w:r>
      <w:r>
        <w:rPr>
          <w:rFonts w:ascii="Times New Roman" w:hAnsi="Times New Roman" w:cs="Times New Roman" w:eastAsia="Times New Roman" w:hint="default"/>
        </w:rPr>
        <w:t>2009</w:t>
      </w:r>
      <w:r>
        <w:rPr/>
        <w:t>年度增长了</w:t>
      </w:r>
      <w:r>
        <w:rPr>
          <w:rFonts w:ascii="Times New Roman" w:hAnsi="Times New Roman" w:cs="Times New Roman" w:eastAsia="Times New Roman" w:hint="default"/>
        </w:rPr>
        <w:t>84.00%</w:t>
      </w:r>
      <w:r>
        <w:rPr/>
        <w:t>，主要系本期软件销售收入增加，相应软件增值</w:t>
      </w:r>
      <w:r>
        <w:rPr>
          <w:spacing w:val="1"/>
        </w:rPr>
        <w:t> </w:t>
      </w:r>
      <w:r>
        <w:rPr/>
        <w:t>税返还增加所致。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54" w:right="101"/>
        <w:jc w:val="left"/>
      </w:pPr>
      <w:r>
        <w:rPr>
          <w:rFonts w:ascii="Times New Roman" w:hAnsi="Times New Roman" w:cs="Times New Roman" w:eastAsia="Times New Roman" w:hint="default"/>
        </w:rPr>
        <w:t>39</w:t>
      </w:r>
      <w:r>
        <w:rPr/>
        <w:t>．营业外支出</w:t>
      </w:r>
    </w:p>
    <w:tbl>
      <w:tblPr>
        <w:tblW w:w="0" w:type="auto"/>
        <w:jc w:val="left"/>
        <w:tblInd w:w="106" w:type="dxa"/>
        <w:tblLayout w:type="fixed"/>
        <w:tblCellMar>
          <w:top w:w="0" w:type="dxa"/>
          <w:left w:w="0" w:type="dxa"/>
          <w:bottom w:w="0" w:type="dxa"/>
          <w:right w:w="0" w:type="dxa"/>
        </w:tblCellMar>
        <w:tblLook w:val="01E0"/>
      </w:tblPr>
      <w:tblGrid>
        <w:gridCol w:w="2958"/>
        <w:gridCol w:w="1700"/>
        <w:gridCol w:w="2070"/>
        <w:gridCol w:w="2226"/>
      </w:tblGrid>
      <w:tr>
        <w:trPr>
          <w:trHeight w:val="940" w:hRule="exact"/>
        </w:trPr>
        <w:tc>
          <w:tcPr>
            <w:tcW w:w="29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226" w:type="dxa"/>
            <w:tcBorders>
              <w:top w:val="single" w:sz="12" w:space="0" w:color="000000"/>
              <w:left w:val="single" w:sz="4" w:space="0" w:color="000000"/>
              <w:bottom w:val="single" w:sz="4" w:space="0" w:color="000000"/>
              <w:right w:val="nil" w:sz="6" w:space="0" w:color="auto"/>
            </w:tcBorders>
          </w:tcPr>
          <w:p>
            <w:pPr>
              <w:pStyle w:val="TableParagraph"/>
              <w:spacing w:line="460" w:lineRule="exact" w:before="30"/>
              <w:ind w:left="687" w:right="165" w:hanging="525"/>
              <w:jc w:val="left"/>
              <w:rPr>
                <w:rFonts w:ascii="宋体" w:hAnsi="宋体" w:cs="宋体" w:eastAsia="宋体" w:hint="default"/>
                <w:sz w:val="21"/>
                <w:szCs w:val="21"/>
              </w:rPr>
            </w:pPr>
            <w:r>
              <w:rPr>
                <w:rFonts w:ascii="宋体" w:hAnsi="宋体" w:cs="宋体" w:eastAsia="宋体" w:hint="default"/>
                <w:sz w:val="21"/>
                <w:szCs w:val="21"/>
              </w:rPr>
              <w:t>计入当期非经常性损 益的金额</w:t>
            </w:r>
          </w:p>
        </w:tc>
      </w:tr>
    </w:tbl>
    <w:p>
      <w:pPr>
        <w:spacing w:after="0" w:line="460" w:lineRule="exact"/>
        <w:jc w:val="left"/>
        <w:rPr>
          <w:rFonts w:ascii="宋体" w:hAnsi="宋体" w:cs="宋体" w:eastAsia="宋体" w:hint="default"/>
          <w:sz w:val="21"/>
          <w:szCs w:val="21"/>
        </w:rPr>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958"/>
        <w:gridCol w:w="1700"/>
        <w:gridCol w:w="2070"/>
        <w:gridCol w:w="2226"/>
        <w:gridCol w:w="836"/>
      </w:tblGrid>
      <w:tr>
        <w:trPr>
          <w:trHeight w:val="947" w:hRule="exact"/>
        </w:trPr>
        <w:tc>
          <w:tcPr>
            <w:tcW w:w="2958"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70"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226" w:type="dxa"/>
            <w:tcBorders>
              <w:top w:val="single" w:sz="18" w:space="0" w:color="000000"/>
              <w:left w:val="single" w:sz="4" w:space="0" w:color="000000"/>
              <w:bottom w:val="single" w:sz="4" w:space="0" w:color="000000"/>
              <w:right w:val="nil" w:sz="6" w:space="0" w:color="auto"/>
            </w:tcBorders>
          </w:tcPr>
          <w:p>
            <w:pPr>
              <w:pStyle w:val="TableParagraph"/>
              <w:spacing w:line="460" w:lineRule="exact" w:before="30"/>
              <w:ind w:left="687" w:right="165" w:hanging="525"/>
              <w:jc w:val="left"/>
              <w:rPr>
                <w:rFonts w:ascii="宋体" w:hAnsi="宋体" w:cs="宋体" w:eastAsia="宋体" w:hint="default"/>
                <w:sz w:val="21"/>
                <w:szCs w:val="21"/>
              </w:rPr>
            </w:pPr>
            <w:r>
              <w:rPr>
                <w:rFonts w:ascii="宋体" w:hAnsi="宋体" w:cs="宋体" w:eastAsia="宋体" w:hint="default"/>
                <w:sz w:val="21"/>
                <w:szCs w:val="21"/>
              </w:rPr>
              <w:t>计入当期非经常性损 益的金额</w:t>
            </w:r>
          </w:p>
        </w:tc>
        <w:tc>
          <w:tcPr>
            <w:tcW w:w="836" w:type="dxa"/>
            <w:vMerge w:val="restart"/>
            <w:tcBorders>
              <w:top w:val="single" w:sz="6" w:space="0" w:color="000000"/>
              <w:left w:val="nil" w:sz="6" w:space="0" w:color="auto"/>
              <w:right w:val="nil" w:sz="6" w:space="0" w:color="auto"/>
            </w:tcBorders>
          </w:tcPr>
          <w:p>
            <w:pPr/>
          </w:p>
        </w:tc>
      </w:tr>
      <w:tr>
        <w:trPr>
          <w:trHeight w:val="571" w:hRule="exact"/>
        </w:trPr>
        <w:tc>
          <w:tcPr>
            <w:tcW w:w="2958"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．非流动资产处置损失合计</w:t>
            </w: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66,122.46</w:t>
            </w:r>
          </w:p>
        </w:tc>
        <w:tc>
          <w:tcPr>
            <w:tcW w:w="2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18,015.33</w:t>
            </w:r>
          </w:p>
        </w:tc>
        <w:tc>
          <w:tcPr>
            <w:tcW w:w="2226"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66,122.46</w:t>
            </w:r>
          </w:p>
        </w:tc>
        <w:tc>
          <w:tcPr>
            <w:tcW w:w="836" w:type="dxa"/>
            <w:vMerge/>
            <w:tcBorders>
              <w:left w:val="nil" w:sz="6" w:space="0" w:color="auto"/>
              <w:right w:val="nil" w:sz="6" w:space="0" w:color="auto"/>
            </w:tcBorders>
          </w:tcPr>
          <w:p>
            <w:pPr/>
          </w:p>
        </w:tc>
      </w:tr>
      <w:tr>
        <w:trPr>
          <w:trHeight w:val="460"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66,122.46</w:t>
            </w:r>
          </w:p>
        </w:tc>
        <w:tc>
          <w:tcPr>
            <w:tcW w:w="2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pacing w:val="-1"/>
                <w:sz w:val="21"/>
              </w:rPr>
              <w:t>18,015.33</w:t>
            </w:r>
          </w:p>
        </w:tc>
        <w:tc>
          <w:tcPr>
            <w:tcW w:w="222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66,122.46</w:t>
            </w:r>
          </w:p>
        </w:tc>
        <w:tc>
          <w:tcPr>
            <w:tcW w:w="836" w:type="dxa"/>
            <w:vMerge/>
            <w:tcBorders>
              <w:left w:val="nil" w:sz="6" w:space="0" w:color="auto"/>
              <w:right w:val="nil" w:sz="6" w:space="0" w:color="auto"/>
            </w:tcBorders>
          </w:tcPr>
          <w:p>
            <w:pPr/>
          </w:p>
        </w:tc>
      </w:tr>
      <w:tr>
        <w:trPr>
          <w:trHeight w:val="460"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．罚款损失</w:t>
            </w:r>
          </w:p>
        </w:tc>
        <w:tc>
          <w:tcPr>
            <w:tcW w:w="1700" w:type="dxa"/>
            <w:tcBorders>
              <w:top w:val="nil" w:sz="6" w:space="0" w:color="auto"/>
              <w:left w:val="single" w:sz="4" w:space="0" w:color="000000"/>
              <w:bottom w:val="nil" w:sz="6" w:space="0" w:color="auto"/>
              <w:right w:val="single" w:sz="4" w:space="0" w:color="000000"/>
            </w:tcBorders>
          </w:tcPr>
          <w:p>
            <w:pPr/>
          </w:p>
        </w:tc>
        <w:tc>
          <w:tcPr>
            <w:tcW w:w="2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2226" w:type="dxa"/>
            <w:tcBorders>
              <w:top w:val="nil" w:sz="6" w:space="0" w:color="auto"/>
              <w:left w:val="single" w:sz="4" w:space="0" w:color="000000"/>
              <w:bottom w:val="nil" w:sz="6" w:space="0" w:color="auto"/>
              <w:right w:val="nil" w:sz="6" w:space="0" w:color="auto"/>
            </w:tcBorders>
          </w:tcPr>
          <w:p>
            <w:pPr/>
          </w:p>
        </w:tc>
        <w:tc>
          <w:tcPr>
            <w:tcW w:w="836" w:type="dxa"/>
            <w:vMerge/>
            <w:tcBorders>
              <w:left w:val="nil" w:sz="6" w:space="0" w:color="auto"/>
              <w:right w:val="nil" w:sz="6" w:space="0" w:color="auto"/>
            </w:tcBorders>
          </w:tcPr>
          <w:p>
            <w:pPr/>
          </w:p>
        </w:tc>
      </w:tr>
      <w:tr>
        <w:trPr>
          <w:trHeight w:val="460"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．税款滞纳金</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3,002,304.74</w:t>
            </w:r>
          </w:p>
        </w:tc>
        <w:tc>
          <w:tcPr>
            <w:tcW w:w="2070" w:type="dxa"/>
            <w:tcBorders>
              <w:top w:val="nil" w:sz="6" w:space="0" w:color="auto"/>
              <w:left w:val="single" w:sz="4" w:space="0" w:color="000000"/>
              <w:bottom w:val="nil" w:sz="6" w:space="0" w:color="auto"/>
              <w:right w:val="single" w:sz="4" w:space="0" w:color="000000"/>
            </w:tcBorders>
          </w:tcPr>
          <w:p>
            <w:pPr/>
          </w:p>
        </w:tc>
        <w:tc>
          <w:tcPr>
            <w:tcW w:w="2226"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21"/>
                <w:szCs w:val="21"/>
              </w:rPr>
            </w:pPr>
            <w:r>
              <w:rPr>
                <w:rFonts w:ascii="Times New Roman"/>
                <w:spacing w:val="-1"/>
                <w:sz w:val="21"/>
              </w:rPr>
              <w:t>3,002,304.74</w:t>
            </w:r>
          </w:p>
        </w:tc>
        <w:tc>
          <w:tcPr>
            <w:tcW w:w="836" w:type="dxa"/>
            <w:vMerge/>
            <w:tcBorders>
              <w:left w:val="nil" w:sz="6" w:space="0" w:color="auto"/>
              <w:right w:val="nil" w:sz="6" w:space="0" w:color="auto"/>
            </w:tcBorders>
          </w:tcPr>
          <w:p>
            <w:pPr/>
          </w:p>
        </w:tc>
      </w:tr>
      <w:tr>
        <w:trPr>
          <w:trHeight w:val="359" w:hRule="exact"/>
        </w:trPr>
        <w:tc>
          <w:tcPr>
            <w:tcW w:w="2958"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5,746.89</w:t>
            </w:r>
            <w:r>
              <w:rPr>
                <w:rFonts w:ascii="Times New Roman"/>
                <w:sz w:val="21"/>
              </w:rPr>
            </w:r>
          </w:p>
        </w:tc>
        <w:tc>
          <w:tcPr>
            <w:tcW w:w="20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pacing w:val="-1"/>
                <w:sz w:val="21"/>
              </w:rPr>
              <w:t>2,444.00</w:t>
            </w:r>
            <w:r>
              <w:rPr>
                <w:rFonts w:ascii="Times New Roman"/>
                <w:sz w:val="21"/>
              </w:rPr>
            </w:r>
          </w:p>
        </w:tc>
        <w:tc>
          <w:tcPr>
            <w:tcW w:w="2226"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21"/>
                <w:szCs w:val="21"/>
              </w:rPr>
            </w:pPr>
            <w:r>
              <w:rPr>
                <w:rFonts w:ascii="Times New Roman"/>
                <w:spacing w:val="-1"/>
                <w:sz w:val="21"/>
              </w:rPr>
              <w:t>5,746.89</w:t>
            </w:r>
            <w:r>
              <w:rPr>
                <w:rFonts w:ascii="Times New Roman"/>
                <w:sz w:val="21"/>
              </w:rPr>
            </w:r>
          </w:p>
        </w:tc>
        <w:tc>
          <w:tcPr>
            <w:tcW w:w="836" w:type="dxa"/>
            <w:vMerge/>
            <w:tcBorders>
              <w:left w:val="nil" w:sz="6" w:space="0" w:color="auto"/>
              <w:right w:val="nil" w:sz="6" w:space="0" w:color="auto"/>
            </w:tcBorders>
          </w:tcPr>
          <w:p>
            <w:pPr/>
          </w:p>
        </w:tc>
      </w:tr>
      <w:tr>
        <w:trPr>
          <w:trHeight w:val="487" w:hRule="exact"/>
        </w:trPr>
        <w:tc>
          <w:tcPr>
            <w:tcW w:w="2958"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3,074,174.09</w:t>
            </w:r>
          </w:p>
        </w:tc>
        <w:tc>
          <w:tcPr>
            <w:tcW w:w="2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21,459.33</w:t>
            </w:r>
          </w:p>
        </w:tc>
        <w:tc>
          <w:tcPr>
            <w:tcW w:w="22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3,074,174.09</w:t>
            </w:r>
          </w:p>
        </w:tc>
        <w:tc>
          <w:tcPr>
            <w:tcW w:w="836" w:type="dxa"/>
            <w:vMerge/>
            <w:tcBorders>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8"/>
          <w:szCs w:val="8"/>
        </w:rPr>
      </w:pPr>
    </w:p>
    <w:p>
      <w:pPr>
        <w:pStyle w:val="BodyText"/>
        <w:spacing w:line="379" w:lineRule="auto" w:before="35"/>
        <w:ind w:left="233" w:right="206" w:firstLine="420"/>
        <w:jc w:val="left"/>
      </w:pPr>
      <w:r>
        <w:rPr/>
        <w:t>注：</w:t>
      </w:r>
      <w:r>
        <w:rPr>
          <w:rFonts w:ascii="Times New Roman" w:hAnsi="Times New Roman" w:cs="Times New Roman" w:eastAsia="Times New Roman" w:hint="default"/>
        </w:rPr>
        <w:t>2010</w:t>
      </w:r>
      <w:r>
        <w:rPr/>
        <w:t>年度营业外支出比</w:t>
      </w:r>
      <w:r>
        <w:rPr>
          <w:rFonts w:ascii="Times New Roman" w:hAnsi="Times New Roman" w:cs="Times New Roman" w:eastAsia="Times New Roman" w:hint="default"/>
        </w:rPr>
        <w:t>2009</w:t>
      </w:r>
      <w:r>
        <w:rPr/>
        <w:t>年度增长了</w:t>
      </w:r>
      <w:r>
        <w:rPr>
          <w:rFonts w:ascii="Times New Roman" w:hAnsi="Times New Roman" w:cs="Times New Roman" w:eastAsia="Times New Roman" w:hint="default"/>
        </w:rPr>
        <w:t>14,225.58%</w:t>
      </w:r>
      <w:r>
        <w:rPr/>
        <w:t>，主要系软件分公司本期缴纳</w:t>
      </w:r>
      <w:r>
        <w:rPr>
          <w:rFonts w:ascii="Times New Roman" w:hAnsi="Times New Roman" w:cs="Times New Roman" w:eastAsia="Times New Roman" w:hint="default"/>
        </w:rPr>
        <w:t>2008</w:t>
      </w:r>
      <w:r>
        <w:rPr/>
        <w:t>年度税款滞 纳金所致。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653" w:right="101"/>
        <w:jc w:val="left"/>
      </w:pPr>
      <w:r>
        <w:rPr>
          <w:rFonts w:ascii="Times New Roman" w:hAnsi="Times New Roman" w:cs="Times New Roman" w:eastAsia="Times New Roman" w:hint="default"/>
        </w:rPr>
        <w:t>40</w:t>
      </w:r>
      <w:r>
        <w:rPr/>
        <w:t>．所得税费用</w:t>
      </w:r>
    </w:p>
    <w:tbl>
      <w:tblPr>
        <w:tblW w:w="0" w:type="auto"/>
        <w:jc w:val="left"/>
        <w:tblInd w:w="111" w:type="dxa"/>
        <w:tblLayout w:type="fixed"/>
        <w:tblCellMar>
          <w:top w:w="0" w:type="dxa"/>
          <w:left w:w="0" w:type="dxa"/>
          <w:bottom w:w="0" w:type="dxa"/>
          <w:right w:w="0" w:type="dxa"/>
        </w:tblCellMar>
        <w:tblLook w:val="01E0"/>
      </w:tblPr>
      <w:tblGrid>
        <w:gridCol w:w="4498"/>
        <w:gridCol w:w="2596"/>
        <w:gridCol w:w="2776"/>
      </w:tblGrid>
      <w:tr>
        <w:trPr>
          <w:trHeight w:val="477" w:hRule="exact"/>
        </w:trPr>
        <w:tc>
          <w:tcPr>
            <w:tcW w:w="4498" w:type="dxa"/>
            <w:tcBorders>
              <w:top w:val="single" w:sz="12" w:space="0" w:color="000000"/>
              <w:left w:val="nil" w:sz="6" w:space="0" w:color="auto"/>
              <w:bottom w:val="single" w:sz="2" w:space="0" w:color="000000"/>
              <w:right w:val="single" w:sz="2" w:space="0" w:color="000000"/>
            </w:tcBorders>
          </w:tcPr>
          <w:p>
            <w:pPr>
              <w:pStyle w:val="TableParagraph"/>
              <w:tabs>
                <w:tab w:pos="649" w:val="left" w:leader="none"/>
              </w:tabs>
              <w:spacing w:line="240" w:lineRule="auto" w:before="1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3"/>
              <w:ind w:left="77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3"/>
              <w:ind w:left="85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68" w:hRule="exact"/>
        </w:trPr>
        <w:tc>
          <w:tcPr>
            <w:tcW w:w="4498" w:type="dxa"/>
            <w:tcBorders>
              <w:top w:val="single" w:sz="2" w:space="0" w:color="000000"/>
              <w:left w:val="nil" w:sz="6" w:space="0" w:color="auto"/>
              <w:bottom w:val="nil" w:sz="6" w:space="0" w:color="auto"/>
              <w:right w:val="single" w:sz="2"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9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15,639,419.03</w:t>
            </w:r>
          </w:p>
        </w:tc>
        <w:tc>
          <w:tcPr>
            <w:tcW w:w="2776" w:type="dxa"/>
            <w:tcBorders>
              <w:top w:val="single" w:sz="2" w:space="0" w:color="000000"/>
              <w:left w:val="single" w:sz="2"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2,423,295.73</w:t>
            </w:r>
          </w:p>
        </w:tc>
      </w:tr>
      <w:tr>
        <w:trPr>
          <w:trHeight w:val="460" w:hRule="exact"/>
        </w:trPr>
        <w:tc>
          <w:tcPr>
            <w:tcW w:w="4498" w:type="dxa"/>
            <w:tcBorders>
              <w:top w:val="nil" w:sz="6" w:space="0" w:color="auto"/>
              <w:left w:val="nil" w:sz="6" w:space="0" w:color="auto"/>
              <w:bottom w:val="nil" w:sz="6" w:space="0" w:color="auto"/>
              <w:right w:val="single" w:sz="2"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加：递延所得税费用（收益以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p>
        </w:tc>
        <w:tc>
          <w:tcPr>
            <w:tcW w:w="2596" w:type="dxa"/>
            <w:tcBorders>
              <w:top w:val="nil" w:sz="6" w:space="0" w:color="auto"/>
              <w:left w:val="single" w:sz="2" w:space="0" w:color="000000"/>
              <w:bottom w:val="nil" w:sz="6" w:space="0" w:color="auto"/>
              <w:right w:val="single" w:sz="2"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pacing w:val="-1"/>
                <w:sz w:val="21"/>
              </w:rPr>
              <w:t>582,086.53</w:t>
            </w:r>
          </w:p>
        </w:tc>
        <w:tc>
          <w:tcPr>
            <w:tcW w:w="2776" w:type="dxa"/>
            <w:tcBorders>
              <w:top w:val="nil" w:sz="6" w:space="0" w:color="auto"/>
              <w:left w:val="single" w:sz="2" w:space="0" w:color="000000"/>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21"/>
                <w:szCs w:val="21"/>
              </w:rPr>
            </w:pPr>
            <w:r>
              <w:rPr>
                <w:rFonts w:ascii="Times New Roman"/>
                <w:spacing w:val="-1"/>
                <w:sz w:val="21"/>
              </w:rPr>
              <w:t>996,932.61</w:t>
            </w:r>
          </w:p>
        </w:tc>
      </w:tr>
      <w:tr>
        <w:trPr>
          <w:trHeight w:val="369" w:hRule="exact"/>
        </w:trPr>
        <w:tc>
          <w:tcPr>
            <w:tcW w:w="4498" w:type="dxa"/>
            <w:tcBorders>
              <w:top w:val="nil" w:sz="6" w:space="0" w:color="auto"/>
              <w:left w:val="nil" w:sz="6" w:space="0" w:color="auto"/>
              <w:bottom w:val="single" w:sz="12" w:space="0" w:color="000000"/>
              <w:right w:val="single" w:sz="2"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96"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16,221,505.56</w:t>
            </w:r>
          </w:p>
        </w:tc>
        <w:tc>
          <w:tcPr>
            <w:tcW w:w="2776" w:type="dxa"/>
            <w:tcBorders>
              <w:top w:val="nil" w:sz="6" w:space="0" w:color="auto"/>
              <w:left w:val="single" w:sz="2" w:space="0" w:color="000000"/>
              <w:bottom w:val="single" w:sz="12" w:space="0" w:color="000000"/>
              <w:right w:val="nil" w:sz="6" w:space="0" w:color="auto"/>
            </w:tcBorders>
          </w:tcPr>
          <w:p>
            <w:pPr>
              <w:pStyle w:val="TableParagraph"/>
              <w:spacing w:line="240" w:lineRule="auto" w:before="111"/>
              <w:ind w:right="106"/>
              <w:jc w:val="right"/>
              <w:rPr>
                <w:rFonts w:ascii="Times New Roman" w:hAnsi="Times New Roman" w:cs="Times New Roman" w:eastAsia="Times New Roman" w:hint="default"/>
                <w:sz w:val="21"/>
                <w:szCs w:val="21"/>
              </w:rPr>
            </w:pPr>
            <w:r>
              <w:rPr>
                <w:rFonts w:ascii="Times New Roman"/>
                <w:spacing w:val="-1"/>
                <w:sz w:val="21"/>
              </w:rPr>
              <w:t>3,420,228.34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left="654" w:right="101"/>
        <w:jc w:val="left"/>
      </w:pPr>
      <w:r>
        <w:rPr>
          <w:rFonts w:ascii="Times New Roman" w:hAnsi="Times New Roman" w:cs="Times New Roman" w:eastAsia="Times New Roman" w:hint="default"/>
        </w:rPr>
        <w:t>41</w:t>
      </w:r>
      <w:r>
        <w:rPr/>
        <w:t>．每股收益</w:t>
      </w:r>
    </w:p>
    <w:tbl>
      <w:tblPr>
        <w:tblW w:w="0" w:type="auto"/>
        <w:jc w:val="left"/>
        <w:tblInd w:w="111" w:type="dxa"/>
        <w:tblLayout w:type="fixed"/>
        <w:tblCellMar>
          <w:top w:w="0" w:type="dxa"/>
          <w:left w:w="0" w:type="dxa"/>
          <w:bottom w:w="0" w:type="dxa"/>
          <w:right w:w="0" w:type="dxa"/>
        </w:tblCellMar>
        <w:tblLook w:val="01E0"/>
      </w:tblPr>
      <w:tblGrid>
        <w:gridCol w:w="2994"/>
        <w:gridCol w:w="2981"/>
        <w:gridCol w:w="2980"/>
      </w:tblGrid>
      <w:tr>
        <w:trPr>
          <w:trHeight w:val="484" w:hRule="exact"/>
        </w:trPr>
        <w:tc>
          <w:tcPr>
            <w:tcW w:w="2994" w:type="dxa"/>
            <w:tcBorders>
              <w:top w:val="single" w:sz="12" w:space="0" w:color="000000"/>
              <w:left w:val="nil" w:sz="6" w:space="0" w:color="auto"/>
              <w:bottom w:val="single" w:sz="8" w:space="0" w:color="000000"/>
              <w:right w:val="single" w:sz="8" w:space="0" w:color="000000"/>
            </w:tcBorders>
          </w:tcPr>
          <w:p>
            <w:pPr>
              <w:pStyle w:val="TableParagraph"/>
              <w:tabs>
                <w:tab w:pos="655" w:val="left" w:leader="none"/>
              </w:tabs>
              <w:spacing w:line="240" w:lineRule="auto" w:before="153"/>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53"/>
              <w:ind w:left="849" w:right="0"/>
              <w:jc w:val="left"/>
              <w:rPr>
                <w:rFonts w:ascii="宋体" w:hAnsi="宋体" w:cs="宋体" w:eastAsia="宋体" w:hint="default"/>
                <w:sz w:val="21"/>
                <w:szCs w:val="21"/>
              </w:rPr>
            </w:pPr>
            <w:r>
              <w:rPr>
                <w:rFonts w:ascii="宋体" w:hAnsi="宋体" w:cs="宋体" w:eastAsia="宋体" w:hint="default"/>
                <w:sz w:val="21"/>
                <w:szCs w:val="21"/>
              </w:rPr>
              <w:t>本年每股收益</w:t>
            </w:r>
          </w:p>
        </w:tc>
        <w:tc>
          <w:tcPr>
            <w:tcW w:w="29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left="849" w:right="0"/>
              <w:jc w:val="left"/>
              <w:rPr>
                <w:rFonts w:ascii="宋体" w:hAnsi="宋体" w:cs="宋体" w:eastAsia="宋体" w:hint="default"/>
                <w:sz w:val="21"/>
                <w:szCs w:val="21"/>
              </w:rPr>
            </w:pPr>
            <w:r>
              <w:rPr>
                <w:rFonts w:ascii="宋体" w:hAnsi="宋体" w:cs="宋体" w:eastAsia="宋体" w:hint="default"/>
                <w:sz w:val="21"/>
                <w:szCs w:val="21"/>
              </w:rPr>
              <w:t>上年每股收益</w:t>
            </w:r>
          </w:p>
        </w:tc>
      </w:tr>
      <w:tr>
        <w:trPr>
          <w:trHeight w:val="577" w:hRule="exact"/>
        </w:trPr>
        <w:tc>
          <w:tcPr>
            <w:tcW w:w="2994" w:type="dxa"/>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98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0.95</w:t>
            </w:r>
          </w:p>
        </w:tc>
        <w:tc>
          <w:tcPr>
            <w:tcW w:w="2980"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0.59</w:t>
            </w:r>
          </w:p>
        </w:tc>
      </w:tr>
      <w:tr>
        <w:trPr>
          <w:trHeight w:val="368" w:hRule="exact"/>
        </w:trPr>
        <w:tc>
          <w:tcPr>
            <w:tcW w:w="2994" w:type="dxa"/>
            <w:tcBorders>
              <w:top w:val="nil" w:sz="6" w:space="0" w:color="auto"/>
              <w:left w:val="nil" w:sz="6" w:space="0" w:color="auto"/>
              <w:bottom w:val="single" w:sz="12" w:space="0" w:color="000000"/>
              <w:right w:val="single" w:sz="8"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981"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pacing w:val="-1"/>
                <w:sz w:val="21"/>
              </w:rPr>
              <w:t>0.95</w:t>
            </w:r>
          </w:p>
        </w:tc>
        <w:tc>
          <w:tcPr>
            <w:tcW w:w="2980" w:type="dxa"/>
            <w:tcBorders>
              <w:top w:val="nil" w:sz="6" w:space="0" w:color="auto"/>
              <w:left w:val="single" w:sz="8" w:space="0" w:color="000000"/>
              <w:bottom w:val="single" w:sz="12"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21"/>
                <w:szCs w:val="21"/>
              </w:rPr>
            </w:pPr>
            <w:r>
              <w:rPr>
                <w:rFonts w:ascii="Times New Roman"/>
                <w:spacing w:val="-1"/>
                <w:sz w:val="21"/>
              </w:rPr>
              <w:t>0.59</w:t>
            </w:r>
          </w:p>
        </w:tc>
      </w:tr>
    </w:tbl>
    <w:p>
      <w:pPr>
        <w:spacing w:line="240" w:lineRule="auto" w:before="4"/>
        <w:rPr>
          <w:rFonts w:ascii="宋体" w:hAnsi="宋体" w:cs="宋体" w:eastAsia="宋体" w:hint="default"/>
          <w:sz w:val="10"/>
          <w:szCs w:val="10"/>
        </w:rPr>
      </w:pPr>
    </w:p>
    <w:p>
      <w:pPr>
        <w:pStyle w:val="BodyText"/>
        <w:spacing w:line="240" w:lineRule="auto" w:before="35"/>
        <w:ind w:left="234" w:right="101"/>
        <w:jc w:val="left"/>
      </w:pPr>
      <w:r>
        <w:rPr/>
        <w:t>注：基本每股收益和稀释每股收益的计算方法</w:t>
      </w:r>
    </w:p>
    <w:p>
      <w:pPr>
        <w:pStyle w:val="BodyText"/>
        <w:spacing w:line="240" w:lineRule="auto" w:before="116"/>
        <w:ind w:left="654" w:right="101"/>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．基本每股收益</w:t>
      </w:r>
      <w:r>
        <w:rPr>
          <w:rFonts w:ascii="Times New Roman" w:hAnsi="Times New Roman" w:cs="Times New Roman" w:eastAsia="Times New Roman" w:hint="default"/>
        </w:rPr>
        <w:t>=P0÷S</w:t>
      </w:r>
    </w:p>
    <w:p>
      <w:pPr>
        <w:pStyle w:val="BodyText"/>
        <w:spacing w:line="240" w:lineRule="auto" w:before="99"/>
        <w:ind w:left="759" w:right="101"/>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9"/>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321" w:lineRule="auto" w:before="99"/>
        <w:ind w:left="233" w:right="210" w:firstLine="420"/>
        <w:jc w:val="both"/>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 </w:t>
      </w:r>
      <w:r>
        <w:rPr>
          <w:spacing w:val="-1"/>
        </w:rPr>
        <w:t>发行在外的普通股加权平均数；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为报告期因公积金转增股本或股票股利分配等增加</w:t>
      </w:r>
      <w:r>
        <w:rPr/>
        <w:t> 股份数；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 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t>为减少股份次月起至报告期 期末的累计月数。</w:t>
      </w:r>
    </w:p>
    <w:p>
      <w:pPr>
        <w:pStyle w:val="BodyText"/>
        <w:spacing w:line="321" w:lineRule="auto" w:before="43"/>
        <w:ind w:left="233" w:right="264" w:firstLine="420"/>
        <w:jc w:val="both"/>
        <w:rPr>
          <w:rFonts w:ascii="Times New Roman" w:hAnsi="Times New Roman" w:cs="Times New Roman" w:eastAsia="Times New Roman" w:hint="default"/>
        </w:rPr>
      </w:pPr>
      <w:r>
        <w:rPr>
          <w:rFonts w:ascii="Times New Roman" w:hAnsi="Times New Roman" w:cs="Times New Roman" w:eastAsia="Times New Roman" w:hint="default"/>
        </w:rPr>
        <w:t>B</w:t>
      </w:r>
      <w:r>
        <w:rPr/>
        <w:t>．稀释每股收益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r>
        <w:rPr/>
        <w:t>认股权证、股份期权、可转换债券等增加 的普通股加权平均数</w:t>
      </w:r>
      <w:r>
        <w:rPr>
          <w:rFonts w:ascii="Times New Roman" w:hAnsi="Times New Roman" w:cs="Times New Roman" w:eastAsia="Times New Roman" w:hint="default"/>
        </w:rPr>
        <w:t>)</w:t>
      </w:r>
    </w:p>
    <w:p>
      <w:pPr>
        <w:pStyle w:val="BodyText"/>
        <w:spacing w:line="240" w:lineRule="auto" w:before="20"/>
        <w:ind w:left="653" w:right="101"/>
        <w:jc w:val="left"/>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w:t>
      </w:r>
    </w:p>
    <w:p>
      <w:pPr>
        <w:spacing w:after="0" w:line="240" w:lineRule="auto"/>
        <w:jc w:val="left"/>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pStyle w:val="BodyText"/>
        <w:spacing w:line="340" w:lineRule="auto" w:before="78"/>
        <w:ind w:left="254" w:right="249"/>
        <w:jc w:val="both"/>
      </w:pPr>
      <w:r>
        <w:rPr>
          <w:spacing w:val="-1"/>
        </w:rPr>
        <w:t>并考虑稀释性潜在普通股对其影响，按《企业会计准则》及有关规定进行调整。公司在计算稀释每股收益</w:t>
      </w:r>
      <w:r>
        <w:rPr>
          <w:spacing w:val="-86"/>
        </w:rPr>
        <w:t> </w:t>
      </w:r>
      <w:r>
        <w:rPr>
          <w:spacing w:val="-86"/>
        </w:rPr>
      </w:r>
      <w:r>
        <w:rPr>
          <w:spacing w:val="-1"/>
        </w:rPr>
        <w:t>时，应考虑所有稀释性潜在普通股对归属于公司普通股股东的净利润或扣除非经常性损益后归属于公司普</w:t>
      </w:r>
      <w:r>
        <w:rPr>
          <w:spacing w:val="-81"/>
        </w:rPr>
        <w:t> </w:t>
      </w:r>
      <w:r>
        <w:rPr>
          <w:spacing w:val="-81"/>
        </w:rPr>
      </w:r>
      <w:r>
        <w:rPr>
          <w:spacing w:val="-1"/>
        </w:rPr>
        <w:t>通股股东的净利润和加权平均股数的影响，按照其稀释程度从大到小的顺序计入稀释每股收益，直至稀释</w:t>
      </w:r>
      <w:r>
        <w:rPr>
          <w:spacing w:val="-81"/>
        </w:rPr>
        <w:t> </w:t>
      </w:r>
      <w:r>
        <w:rPr>
          <w:spacing w:val="-81"/>
        </w:rPr>
      </w:r>
      <w:r>
        <w:rPr/>
        <w:t>每股收益达到最小值。</w:t>
      </w:r>
    </w:p>
    <w:p>
      <w:pPr>
        <w:spacing w:line="240" w:lineRule="auto" w:before="0"/>
        <w:rPr>
          <w:rFonts w:ascii="宋体" w:hAnsi="宋体" w:cs="宋体" w:eastAsia="宋体" w:hint="default"/>
          <w:sz w:val="20"/>
          <w:szCs w:val="20"/>
        </w:rPr>
      </w:pPr>
    </w:p>
    <w:p>
      <w:pPr>
        <w:pStyle w:val="BodyText"/>
        <w:spacing w:line="240" w:lineRule="auto" w:before="155"/>
        <w:ind w:left="674" w:right="210"/>
        <w:jc w:val="left"/>
      </w:pPr>
      <w:r>
        <w:rPr>
          <w:rFonts w:ascii="Times New Roman" w:hAnsi="Times New Roman" w:cs="Times New Roman" w:eastAsia="Times New Roman" w:hint="default"/>
        </w:rPr>
        <w:t>42</w:t>
      </w:r>
      <w:r>
        <w:rPr/>
        <w:t>．其他综合收益</w:t>
      </w:r>
    </w:p>
    <w:tbl>
      <w:tblPr>
        <w:tblW w:w="0" w:type="auto"/>
        <w:jc w:val="left"/>
        <w:tblInd w:w="116" w:type="dxa"/>
        <w:tblLayout w:type="fixed"/>
        <w:tblCellMar>
          <w:top w:w="0" w:type="dxa"/>
          <w:left w:w="0" w:type="dxa"/>
          <w:bottom w:w="0" w:type="dxa"/>
          <w:right w:w="0" w:type="dxa"/>
        </w:tblCellMar>
        <w:tblLook w:val="01E0"/>
      </w:tblPr>
      <w:tblGrid>
        <w:gridCol w:w="4896"/>
        <w:gridCol w:w="2578"/>
        <w:gridCol w:w="2395"/>
      </w:tblGrid>
      <w:tr>
        <w:trPr>
          <w:trHeight w:val="410" w:hRule="exact"/>
        </w:trPr>
        <w:tc>
          <w:tcPr>
            <w:tcW w:w="4896"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83"/>
              <w:ind w:right="201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3"/>
              <w:ind w:left="75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3"/>
              <w:ind w:left="66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24" w:hRule="exact"/>
        </w:trPr>
        <w:tc>
          <w:tcPr>
            <w:tcW w:w="4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2"/>
              <w:jc w:val="right"/>
              <w:rPr>
                <w:rFonts w:ascii="Times New Roman" w:hAnsi="Times New Roman" w:cs="Times New Roman" w:eastAsia="Times New Roman" w:hint="default"/>
                <w:sz w:val="21"/>
                <w:szCs w:val="21"/>
              </w:rPr>
            </w:pPr>
            <w:r>
              <w:rPr>
                <w:rFonts w:ascii="Times New Roman"/>
                <w:spacing w:val="-1"/>
                <w:sz w:val="21"/>
              </w:rPr>
              <w:t>-2,157,144.14</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5"/>
              <w:jc w:val="right"/>
              <w:rPr>
                <w:rFonts w:ascii="Times New Roman" w:hAnsi="Times New Roman" w:cs="Times New Roman" w:eastAsia="Times New Roman" w:hint="default"/>
                <w:sz w:val="21"/>
                <w:szCs w:val="21"/>
              </w:rPr>
            </w:pPr>
            <w:r>
              <w:rPr>
                <w:rFonts w:ascii="Times New Roman"/>
                <w:spacing w:val="-1"/>
                <w:sz w:val="21"/>
              </w:rPr>
              <w:t>-1,099,143.19</w:t>
            </w:r>
          </w:p>
        </w:tc>
      </w:tr>
      <w:tr>
        <w:trPr>
          <w:trHeight w:val="435" w:hRule="exact"/>
        </w:trPr>
        <w:tc>
          <w:tcPr>
            <w:tcW w:w="489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96"/>
              <w:ind w:right="201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21"/>
                <w:szCs w:val="21"/>
              </w:rPr>
            </w:pPr>
            <w:r>
              <w:rPr>
                <w:rFonts w:ascii="Times New Roman"/>
                <w:spacing w:val="-1"/>
                <w:sz w:val="21"/>
              </w:rPr>
              <w:t>-2,157,144.14</w:t>
            </w:r>
          </w:p>
        </w:tc>
        <w:tc>
          <w:tcPr>
            <w:tcW w:w="23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8"/>
              <w:ind w:right="104"/>
              <w:jc w:val="right"/>
              <w:rPr>
                <w:rFonts w:ascii="Times New Roman" w:hAnsi="Times New Roman" w:cs="Times New Roman" w:eastAsia="Times New Roman" w:hint="default"/>
                <w:sz w:val="21"/>
                <w:szCs w:val="21"/>
              </w:rPr>
            </w:pPr>
            <w:r>
              <w:rPr>
                <w:rFonts w:ascii="Times New Roman"/>
                <w:spacing w:val="-1"/>
                <w:sz w:val="21"/>
              </w:rPr>
              <w:t>-1,099,143.19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5"/>
        <w:ind w:left="674" w:right="210"/>
        <w:jc w:val="left"/>
      </w:pPr>
      <w:r>
        <w:rPr>
          <w:rFonts w:ascii="Times New Roman" w:hAnsi="Times New Roman" w:cs="Times New Roman" w:eastAsia="Times New Roman" w:hint="default"/>
        </w:rPr>
        <w:t>43</w:t>
      </w:r>
      <w:r>
        <w:rPr/>
        <w:t>．现金流量表相关信息</w:t>
      </w:r>
    </w:p>
    <w:p>
      <w:pPr>
        <w:pStyle w:val="BodyText"/>
        <w:spacing w:line="240" w:lineRule="auto" w:before="99"/>
        <w:ind w:left="674" w:right="210"/>
        <w:jc w:val="left"/>
      </w:pPr>
      <w:r>
        <w:rPr/>
        <w:t>（</w:t>
      </w:r>
      <w:r>
        <w:rPr>
          <w:rFonts w:ascii="Times New Roman" w:hAnsi="Times New Roman" w:cs="Times New Roman" w:eastAsia="Times New Roman" w:hint="default"/>
        </w:rPr>
        <w:t>1</w:t>
      </w:r>
      <w:r>
        <w:rPr/>
        <w:t>）收到的其他与经营活动有关的现金</w:t>
      </w:r>
    </w:p>
    <w:tbl>
      <w:tblPr>
        <w:tblW w:w="0" w:type="auto"/>
        <w:jc w:val="left"/>
        <w:tblInd w:w="212" w:type="dxa"/>
        <w:tblLayout w:type="fixed"/>
        <w:tblCellMar>
          <w:top w:w="0" w:type="dxa"/>
          <w:left w:w="0" w:type="dxa"/>
          <w:bottom w:w="0" w:type="dxa"/>
          <w:right w:w="0" w:type="dxa"/>
        </w:tblCellMar>
        <w:tblLook w:val="01E0"/>
      </w:tblPr>
      <w:tblGrid>
        <w:gridCol w:w="4816"/>
        <w:gridCol w:w="2584"/>
        <w:gridCol w:w="2309"/>
      </w:tblGrid>
      <w:tr>
        <w:trPr>
          <w:trHeight w:val="410" w:hRule="exact"/>
        </w:trPr>
        <w:tc>
          <w:tcPr>
            <w:tcW w:w="4816"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8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3"/>
              <w:ind w:left="76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3"/>
              <w:ind w:left="62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66" w:hRule="exact"/>
        </w:trPr>
        <w:tc>
          <w:tcPr>
            <w:tcW w:w="4816" w:type="dxa"/>
            <w:tcBorders>
              <w:top w:val="single" w:sz="4" w:space="0" w:color="000000"/>
              <w:left w:val="nil" w:sz="6" w:space="0" w:color="auto"/>
              <w:bottom w:val="nil" w:sz="6" w:space="0" w:color="auto"/>
              <w:right w:val="single" w:sz="4" w:space="0" w:color="000000"/>
            </w:tcBorders>
          </w:tcPr>
          <w:p>
            <w:pPr>
              <w:pStyle w:val="TableParagraph"/>
              <w:spacing w:line="240" w:lineRule="auto" w:before="83"/>
              <w:ind w:left="42"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2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7,018,396.21</w:t>
            </w:r>
          </w:p>
        </w:tc>
        <w:tc>
          <w:tcPr>
            <w:tcW w:w="2309" w:type="dxa"/>
            <w:tcBorders>
              <w:top w:val="single" w:sz="4" w:space="0" w:color="000000"/>
              <w:left w:val="single" w:sz="4" w:space="0" w:color="000000"/>
              <w:bottom w:val="nil" w:sz="6" w:space="0" w:color="auto"/>
              <w:right w:val="nil" w:sz="6" w:space="0" w:color="auto"/>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
                <w:sz w:val="21"/>
              </w:rPr>
              <w:t>5,450,001.23</w:t>
            </w:r>
          </w:p>
        </w:tc>
      </w:tr>
      <w:tr>
        <w:trPr>
          <w:trHeight w:val="390"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42" w:right="0"/>
              <w:jc w:val="left"/>
              <w:rPr>
                <w:rFonts w:ascii="宋体" w:hAnsi="宋体" w:cs="宋体" w:eastAsia="宋体" w:hint="default"/>
                <w:sz w:val="21"/>
                <w:szCs w:val="21"/>
              </w:rPr>
            </w:pPr>
            <w:r>
              <w:rPr>
                <w:rFonts w:ascii="宋体" w:hAnsi="宋体" w:cs="宋体" w:eastAsia="宋体" w:hint="default"/>
                <w:sz w:val="21"/>
                <w:szCs w:val="21"/>
              </w:rPr>
              <w:t>其中：财政补贴</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2,060,000.00</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334" w:hRule="exact"/>
        </w:trPr>
        <w:tc>
          <w:tcPr>
            <w:tcW w:w="4816" w:type="dxa"/>
            <w:tcBorders>
              <w:top w:val="nil" w:sz="6" w:space="0" w:color="auto"/>
              <w:left w:val="nil" w:sz="6" w:space="0" w:color="auto"/>
              <w:bottom w:val="single" w:sz="12" w:space="0" w:color="000000"/>
              <w:right w:val="single" w:sz="4" w:space="0" w:color="000000"/>
            </w:tcBorders>
          </w:tcPr>
          <w:p>
            <w:pPr>
              <w:pStyle w:val="TableParagraph"/>
              <w:spacing w:line="240" w:lineRule="auto" w:before="12"/>
              <w:ind w:left="67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3,674,612.89</w:t>
            </w:r>
          </w:p>
        </w:tc>
        <w:tc>
          <w:tcPr>
            <w:tcW w:w="2309"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21"/>
                <w:szCs w:val="21"/>
              </w:rPr>
            </w:pPr>
            <w:r>
              <w:rPr>
                <w:rFonts w:ascii="Times New Roman"/>
                <w:spacing w:val="-1"/>
                <w:sz w:val="21"/>
              </w:rPr>
              <w:t>5,250,001.23</w:t>
            </w:r>
          </w:p>
        </w:tc>
      </w:tr>
    </w:tbl>
    <w:p>
      <w:pPr>
        <w:spacing w:line="240" w:lineRule="auto" w:before="12"/>
        <w:rPr>
          <w:rFonts w:ascii="宋体" w:hAnsi="宋体" w:cs="宋体" w:eastAsia="宋体" w:hint="default"/>
          <w:sz w:val="4"/>
          <w:szCs w:val="4"/>
        </w:rPr>
      </w:pPr>
    </w:p>
    <w:p>
      <w:pPr>
        <w:pStyle w:val="BodyText"/>
        <w:spacing w:line="240" w:lineRule="auto" w:before="35"/>
        <w:ind w:left="674" w:right="210"/>
        <w:jc w:val="left"/>
      </w:pPr>
      <w:r>
        <w:rPr/>
        <w:t>（</w:t>
      </w:r>
      <w:r>
        <w:rPr>
          <w:rFonts w:ascii="Times New Roman" w:hAnsi="Times New Roman" w:cs="Times New Roman" w:eastAsia="Times New Roman" w:hint="default"/>
        </w:rPr>
        <w:t>2</w:t>
      </w:r>
      <w:r>
        <w:rPr/>
        <w:t>）支付的其他与经营活动有关的现金</w:t>
      </w:r>
    </w:p>
    <w:tbl>
      <w:tblPr>
        <w:tblW w:w="0" w:type="auto"/>
        <w:jc w:val="left"/>
        <w:tblInd w:w="212" w:type="dxa"/>
        <w:tblLayout w:type="fixed"/>
        <w:tblCellMar>
          <w:top w:w="0" w:type="dxa"/>
          <w:left w:w="0" w:type="dxa"/>
          <w:bottom w:w="0" w:type="dxa"/>
          <w:right w:w="0" w:type="dxa"/>
        </w:tblCellMar>
        <w:tblLook w:val="01E0"/>
      </w:tblPr>
      <w:tblGrid>
        <w:gridCol w:w="4816"/>
        <w:gridCol w:w="2584"/>
        <w:gridCol w:w="2309"/>
      </w:tblGrid>
      <w:tr>
        <w:trPr>
          <w:trHeight w:val="410" w:hRule="exact"/>
        </w:trPr>
        <w:tc>
          <w:tcPr>
            <w:tcW w:w="4816"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8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3"/>
              <w:ind w:left="76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3"/>
              <w:ind w:left="62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77" w:hRule="exact"/>
        </w:trPr>
        <w:tc>
          <w:tcPr>
            <w:tcW w:w="4816" w:type="dxa"/>
            <w:tcBorders>
              <w:top w:val="single" w:sz="4" w:space="0" w:color="000000"/>
              <w:left w:val="nil" w:sz="6" w:space="0" w:color="auto"/>
              <w:bottom w:val="nil" w:sz="6" w:space="0" w:color="auto"/>
              <w:right w:val="single" w:sz="4" w:space="0" w:color="000000"/>
            </w:tcBorders>
          </w:tcPr>
          <w:p>
            <w:pPr>
              <w:pStyle w:val="TableParagraph"/>
              <w:spacing w:line="240" w:lineRule="auto" w:before="90"/>
              <w:ind w:left="42"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2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21"/>
                <w:szCs w:val="21"/>
              </w:rPr>
            </w:pPr>
            <w:r>
              <w:rPr>
                <w:rFonts w:ascii="Times New Roman"/>
                <w:spacing w:val="-1"/>
                <w:sz w:val="21"/>
              </w:rPr>
              <w:t>88,463,929.72</w:t>
            </w:r>
          </w:p>
        </w:tc>
        <w:tc>
          <w:tcPr>
            <w:tcW w:w="2309" w:type="dxa"/>
            <w:tcBorders>
              <w:top w:val="single" w:sz="4" w:space="0" w:color="000000"/>
              <w:left w:val="single" w:sz="4" w:space="0" w:color="000000"/>
              <w:bottom w:val="nil" w:sz="6" w:space="0" w:color="auto"/>
              <w:right w:val="nil" w:sz="6" w:space="0" w:color="auto"/>
            </w:tcBorders>
          </w:tcPr>
          <w:p>
            <w:pPr>
              <w:pStyle w:val="TableParagraph"/>
              <w:spacing w:line="240" w:lineRule="auto" w:before="154"/>
              <w:ind w:right="25"/>
              <w:jc w:val="right"/>
              <w:rPr>
                <w:rFonts w:ascii="Times New Roman" w:hAnsi="Times New Roman" w:cs="Times New Roman" w:eastAsia="Times New Roman" w:hint="default"/>
                <w:sz w:val="21"/>
                <w:szCs w:val="21"/>
              </w:rPr>
            </w:pPr>
            <w:r>
              <w:rPr>
                <w:rFonts w:ascii="Times New Roman"/>
                <w:spacing w:val="-1"/>
                <w:sz w:val="21"/>
              </w:rPr>
              <w:t>60,324,776.71</w:t>
            </w:r>
          </w:p>
        </w:tc>
      </w:tr>
      <w:tr>
        <w:trPr>
          <w:trHeight w:val="397"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42" w:right="0"/>
              <w:jc w:val="left"/>
              <w:rPr>
                <w:rFonts w:ascii="宋体" w:hAnsi="宋体" w:cs="宋体" w:eastAsia="宋体" w:hint="default"/>
                <w:sz w:val="21"/>
                <w:szCs w:val="21"/>
              </w:rPr>
            </w:pPr>
            <w:r>
              <w:rPr>
                <w:rFonts w:ascii="宋体" w:hAnsi="宋体" w:cs="宋体" w:eastAsia="宋体" w:hint="default"/>
                <w:sz w:val="21"/>
                <w:szCs w:val="21"/>
              </w:rPr>
              <w:t>其中：专有技术转让及许可费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1"/>
                <w:szCs w:val="21"/>
              </w:rPr>
            </w:pPr>
            <w:r>
              <w:rPr>
                <w:rFonts w:ascii="Times New Roman"/>
                <w:spacing w:val="-1"/>
                <w:sz w:val="21"/>
              </w:rPr>
              <w:t>19,898,533.81</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19,319,886.50</w:t>
            </w:r>
          </w:p>
        </w:tc>
      </w:tr>
      <w:tr>
        <w:trPr>
          <w:trHeight w:val="397"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673" w:right="0"/>
              <w:jc w:val="left"/>
              <w:rPr>
                <w:rFonts w:ascii="宋体" w:hAnsi="宋体" w:cs="宋体" w:eastAsia="宋体" w:hint="default"/>
                <w:sz w:val="21"/>
                <w:szCs w:val="21"/>
              </w:rPr>
            </w:pPr>
            <w:r>
              <w:rPr>
                <w:rFonts w:ascii="宋体" w:hAnsi="宋体" w:cs="宋体" w:eastAsia="宋体" w:hint="default"/>
                <w:sz w:val="21"/>
                <w:szCs w:val="21"/>
              </w:rPr>
              <w:t>办公及差旅费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1"/>
                <w:szCs w:val="21"/>
              </w:rPr>
            </w:pPr>
            <w:r>
              <w:rPr>
                <w:rFonts w:ascii="Times New Roman"/>
                <w:spacing w:val="-1"/>
                <w:sz w:val="21"/>
              </w:rPr>
              <w:t>18,924,348.20</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15,329,877.72</w:t>
            </w:r>
          </w:p>
        </w:tc>
      </w:tr>
      <w:tr>
        <w:trPr>
          <w:trHeight w:val="397"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67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1"/>
                <w:szCs w:val="21"/>
              </w:rPr>
            </w:pPr>
            <w:r>
              <w:rPr>
                <w:rFonts w:ascii="Times New Roman"/>
                <w:spacing w:val="-1"/>
                <w:sz w:val="21"/>
              </w:rPr>
              <w:t>1,547,155.18</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2,265,499.86</w:t>
            </w:r>
          </w:p>
        </w:tc>
      </w:tr>
      <w:tr>
        <w:trPr>
          <w:trHeight w:val="397"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67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1"/>
                <w:szCs w:val="21"/>
              </w:rPr>
            </w:pPr>
            <w:r>
              <w:rPr>
                <w:rFonts w:ascii="Times New Roman"/>
                <w:spacing w:val="-1"/>
                <w:sz w:val="21"/>
              </w:rPr>
              <w:t>2,453,201.28</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1,932,746.17</w:t>
            </w:r>
          </w:p>
        </w:tc>
      </w:tr>
      <w:tr>
        <w:trPr>
          <w:trHeight w:val="397"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67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1"/>
                <w:szCs w:val="21"/>
              </w:rPr>
            </w:pPr>
            <w:r>
              <w:rPr>
                <w:rFonts w:ascii="Times New Roman"/>
                <w:spacing w:val="-1"/>
                <w:sz w:val="21"/>
              </w:rPr>
              <w:t>13,464,760.22</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5,743,850.29</w:t>
            </w:r>
          </w:p>
        </w:tc>
      </w:tr>
      <w:tr>
        <w:trPr>
          <w:trHeight w:val="397" w:hRule="exact"/>
        </w:trPr>
        <w:tc>
          <w:tcPr>
            <w:tcW w:w="4816"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left="67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58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1"/>
                <w:szCs w:val="21"/>
              </w:rPr>
            </w:pPr>
            <w:r>
              <w:rPr>
                <w:rFonts w:ascii="Times New Roman"/>
                <w:spacing w:val="-1"/>
                <w:sz w:val="21"/>
              </w:rPr>
              <w:t>7,018,635.48</w:t>
            </w:r>
          </w:p>
        </w:tc>
        <w:tc>
          <w:tcPr>
            <w:tcW w:w="230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5,402,395.97</w:t>
            </w:r>
          </w:p>
        </w:tc>
      </w:tr>
      <w:tr>
        <w:trPr>
          <w:trHeight w:val="337" w:hRule="exact"/>
        </w:trPr>
        <w:tc>
          <w:tcPr>
            <w:tcW w:w="4816" w:type="dxa"/>
            <w:tcBorders>
              <w:top w:val="nil" w:sz="6" w:space="0" w:color="auto"/>
              <w:left w:val="nil" w:sz="6" w:space="0" w:color="auto"/>
              <w:bottom w:val="single" w:sz="12" w:space="0" w:color="000000"/>
              <w:right w:val="single" w:sz="4" w:space="0" w:color="000000"/>
            </w:tcBorders>
          </w:tcPr>
          <w:p>
            <w:pPr>
              <w:pStyle w:val="TableParagraph"/>
              <w:spacing w:line="240" w:lineRule="auto" w:before="16"/>
              <w:ind w:left="67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1"/>
                <w:szCs w:val="21"/>
              </w:rPr>
            </w:pPr>
            <w:r>
              <w:rPr>
                <w:rFonts w:ascii="Times New Roman"/>
                <w:spacing w:val="-1"/>
                <w:sz w:val="21"/>
              </w:rPr>
              <w:t>2,385,053.61</w:t>
            </w:r>
          </w:p>
        </w:tc>
        <w:tc>
          <w:tcPr>
            <w:tcW w:w="2309" w:type="dxa"/>
            <w:tcBorders>
              <w:top w:val="nil" w:sz="6" w:space="0" w:color="auto"/>
              <w:left w:val="single" w:sz="4" w:space="0" w:color="000000"/>
              <w:bottom w:val="single" w:sz="12" w:space="0" w:color="000000"/>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21"/>
                <w:szCs w:val="21"/>
              </w:rPr>
            </w:pPr>
            <w:r>
              <w:rPr>
                <w:rFonts w:ascii="Times New Roman"/>
                <w:spacing w:val="-1"/>
                <w:sz w:val="21"/>
              </w:rPr>
              <w:t>1,447,975.60</w:t>
            </w:r>
          </w:p>
        </w:tc>
      </w:tr>
    </w:tbl>
    <w:p>
      <w:pPr>
        <w:spacing w:line="240" w:lineRule="auto" w:before="3"/>
        <w:rPr>
          <w:rFonts w:ascii="宋体" w:hAnsi="宋体" w:cs="宋体" w:eastAsia="宋体" w:hint="default"/>
          <w:sz w:val="10"/>
          <w:szCs w:val="10"/>
        </w:rPr>
      </w:pPr>
    </w:p>
    <w:p>
      <w:pPr>
        <w:pStyle w:val="BodyText"/>
        <w:spacing w:line="240" w:lineRule="auto" w:before="35"/>
        <w:ind w:left="674" w:right="210"/>
        <w:jc w:val="left"/>
      </w:pPr>
      <w:r>
        <w:rPr/>
        <w:t>（</w:t>
      </w:r>
      <w:r>
        <w:rPr>
          <w:rFonts w:ascii="Times New Roman" w:hAnsi="Times New Roman" w:cs="Times New Roman" w:eastAsia="Times New Roman" w:hint="default"/>
        </w:rPr>
        <w:t>3</w:t>
      </w:r>
      <w:r>
        <w:rPr/>
        <w:t>）现金流量表补充资料</w:t>
      </w:r>
    </w:p>
    <w:tbl>
      <w:tblPr>
        <w:tblW w:w="0" w:type="auto"/>
        <w:jc w:val="left"/>
        <w:tblInd w:w="131" w:type="dxa"/>
        <w:tblLayout w:type="fixed"/>
        <w:tblCellMar>
          <w:top w:w="0" w:type="dxa"/>
          <w:left w:w="0" w:type="dxa"/>
          <w:bottom w:w="0" w:type="dxa"/>
          <w:right w:w="0" w:type="dxa"/>
        </w:tblCellMar>
        <w:tblLook w:val="01E0"/>
      </w:tblPr>
      <w:tblGrid>
        <w:gridCol w:w="6878"/>
        <w:gridCol w:w="1512"/>
        <w:gridCol w:w="1478"/>
      </w:tblGrid>
      <w:tr>
        <w:trPr>
          <w:trHeight w:val="481" w:hRule="exact"/>
        </w:trPr>
        <w:tc>
          <w:tcPr>
            <w:tcW w:w="68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82" w:hRule="exact"/>
        </w:trPr>
        <w:tc>
          <w:tcPr>
            <w:tcW w:w="6878"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12"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nil" w:sz="6" w:space="0" w:color="auto"/>
            </w:tcBorders>
          </w:tcPr>
          <w:p>
            <w:pPr/>
          </w:p>
        </w:tc>
      </w:tr>
      <w:tr>
        <w:trPr>
          <w:trHeight w:val="46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228,649,386.30</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141,322,032.17</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4,359,076.16</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3,324,341.58</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固定资产折旧、油气资产折耗、生产性生物资产折旧、投资性房地产摊销等</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9,446,574.60</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7,744,182.35</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15,187,123.14</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10,983,029.67</w:t>
            </w:r>
          </w:p>
        </w:tc>
      </w:tr>
      <w:tr>
        <w:trPr>
          <w:trHeight w:val="353" w:hRule="exact"/>
        </w:trPr>
        <w:tc>
          <w:tcPr>
            <w:tcW w:w="6878"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12" w:type="dxa"/>
            <w:tcBorders>
              <w:top w:val="nil" w:sz="6" w:space="0" w:color="auto"/>
              <w:left w:val="single" w:sz="4" w:space="0" w:color="000000"/>
              <w:bottom w:val="single" w:sz="12" w:space="0" w:color="000000"/>
              <w:right w:val="single" w:sz="4" w:space="0" w:color="000000"/>
            </w:tcBorders>
          </w:tcPr>
          <w:p>
            <w:pPr/>
          </w:p>
        </w:tc>
        <w:tc>
          <w:tcPr>
            <w:tcW w:w="14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z w:val="18"/>
              </w:rPr>
              <w:t>42,922.33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00" w:bottom="1180" w:left="880" w:right="880"/>
        </w:sectPr>
      </w:pPr>
    </w:p>
    <w:tbl>
      <w:tblPr>
        <w:tblW w:w="0" w:type="auto"/>
        <w:jc w:val="left"/>
        <w:tblInd w:w="111" w:type="dxa"/>
        <w:tblLayout w:type="fixed"/>
        <w:tblCellMar>
          <w:top w:w="0" w:type="dxa"/>
          <w:left w:w="0" w:type="dxa"/>
          <w:bottom w:w="0" w:type="dxa"/>
          <w:right w:w="0" w:type="dxa"/>
        </w:tblCellMar>
        <w:tblLook w:val="01E0"/>
      </w:tblPr>
      <w:tblGrid>
        <w:gridCol w:w="6878"/>
        <w:gridCol w:w="1512"/>
        <w:gridCol w:w="1478"/>
      </w:tblGrid>
      <w:tr>
        <w:trPr>
          <w:trHeight w:val="487" w:hRule="exact"/>
        </w:trPr>
        <w:tc>
          <w:tcPr>
            <w:tcW w:w="6878"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1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47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88" w:hRule="exact"/>
        </w:trPr>
        <w:tc>
          <w:tcPr>
            <w:tcW w:w="6878"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66,122.46</w:t>
            </w:r>
          </w:p>
        </w:tc>
        <w:tc>
          <w:tcPr>
            <w:tcW w:w="1478"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18,015.33</w:t>
            </w:r>
          </w:p>
        </w:tc>
      </w:tr>
      <w:tr>
        <w:trPr>
          <w:trHeight w:val="45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4"/>
              <w:jc w:val="right"/>
              <w:rPr>
                <w:rFonts w:ascii="Times New Roman" w:hAnsi="Times New Roman" w:cs="Times New Roman" w:eastAsia="Times New Roman" w:hint="default"/>
                <w:sz w:val="18"/>
                <w:szCs w:val="18"/>
              </w:rPr>
            </w:pPr>
            <w:r>
              <w:rPr>
                <w:rFonts w:ascii="Times New Roman"/>
                <w:w w:val="95"/>
                <w:sz w:val="18"/>
              </w:rPr>
              <w:t>-43,354.30</w:t>
            </w:r>
            <w:r>
              <w:rPr>
                <w:rFonts w:ascii="Times New Roman"/>
                <w:sz w:val="18"/>
              </w:rPr>
            </w:r>
          </w:p>
        </w:tc>
      </w:tr>
      <w:tr>
        <w:trPr>
          <w:trHeight w:val="45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5"/>
                <w:sz w:val="18"/>
              </w:rPr>
              <w:t>-18,976.37</w:t>
            </w:r>
            <w:r>
              <w:rPr>
                <w:rFonts w:ascii="Times New Roman"/>
                <w:sz w:val="18"/>
              </w:rPr>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4"/>
              <w:jc w:val="right"/>
              <w:rPr>
                <w:rFonts w:ascii="Times New Roman" w:hAnsi="Times New Roman" w:cs="Times New Roman" w:eastAsia="Times New Roman" w:hint="default"/>
                <w:sz w:val="18"/>
                <w:szCs w:val="18"/>
              </w:rPr>
            </w:pPr>
            <w:r>
              <w:rPr>
                <w:rFonts w:ascii="Times New Roman"/>
                <w:w w:val="95"/>
                <w:sz w:val="18"/>
              </w:rPr>
              <w:t>-461,223.76</w:t>
            </w:r>
            <w:r>
              <w:rPr>
                <w:rFonts w:ascii="Times New Roman"/>
                <w:sz w:val="18"/>
              </w:rPr>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-151,823.89</w:t>
            </w:r>
            <w:r>
              <w:rPr>
                <w:rFonts w:ascii="Times New Roman"/>
                <w:sz w:val="18"/>
              </w:rPr>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z w:val="18"/>
              </w:rPr>
              <w:t>996,932.61</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516,867.29</w:t>
            </w:r>
          </w:p>
        </w:tc>
        <w:tc>
          <w:tcPr>
            <w:tcW w:w="147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4,454,194.55</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-13,431,372.12</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-67,300,625.40</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-8,056,386.80</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456,150.32</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3,414,663.80</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7,602,355.17</w:t>
            </w:r>
          </w:p>
        </w:tc>
        <w:tc>
          <w:tcPr>
            <w:tcW w:w="147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203,266,424.33</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145,853,782.86</w:t>
            </w:r>
          </w:p>
        </w:tc>
      </w:tr>
      <w:tr>
        <w:trPr>
          <w:trHeight w:val="45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5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491,511,005.02</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412,609,448.89</w:t>
            </w: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412,609,448.89</w:t>
            </w:r>
          </w:p>
        </w:tc>
        <w:tc>
          <w:tcPr>
            <w:tcW w:w="1478"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378,690,280.67</w:t>
            </w:r>
          </w:p>
        </w:tc>
      </w:tr>
      <w:tr>
        <w:trPr>
          <w:trHeight w:val="45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78"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512"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nil" w:sz="6" w:space="0" w:color="auto"/>
            </w:tcBorders>
          </w:tcPr>
          <w:p>
            <w:pPr/>
          </w:p>
        </w:tc>
      </w:tr>
      <w:tr>
        <w:trPr>
          <w:trHeight w:val="363" w:hRule="exact"/>
        </w:trPr>
        <w:tc>
          <w:tcPr>
            <w:tcW w:w="6878" w:type="dxa"/>
            <w:tcBorders>
              <w:top w:val="nil" w:sz="6" w:space="0" w:color="auto"/>
              <w:left w:val="nil" w:sz="6" w:space="0" w:color="auto"/>
              <w:bottom w:val="single" w:sz="12"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1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78,901,556.13</w:t>
            </w:r>
          </w:p>
        </w:tc>
        <w:tc>
          <w:tcPr>
            <w:tcW w:w="14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33,919,168.22</w:t>
            </w:r>
          </w:p>
        </w:tc>
      </w:tr>
    </w:tbl>
    <w:p>
      <w:pPr>
        <w:spacing w:line="240" w:lineRule="auto" w:before="13"/>
        <w:rPr>
          <w:rFonts w:ascii="宋体" w:hAnsi="宋体" w:cs="宋体" w:eastAsia="宋体" w:hint="default"/>
          <w:sz w:val="5"/>
          <w:szCs w:val="5"/>
        </w:rPr>
      </w:pPr>
    </w:p>
    <w:p>
      <w:pPr>
        <w:pStyle w:val="BodyText"/>
        <w:spacing w:line="240" w:lineRule="auto" w:before="35"/>
        <w:ind w:left="654" w:right="101"/>
        <w:jc w:val="left"/>
      </w:pPr>
      <w:r>
        <w:rPr/>
        <w:t>（</w:t>
      </w:r>
      <w:r>
        <w:rPr>
          <w:rFonts w:ascii="Times New Roman" w:hAnsi="Times New Roman" w:cs="Times New Roman" w:eastAsia="Times New Roman" w:hint="default"/>
        </w:rPr>
        <w:t>4</w:t>
      </w:r>
      <w:r>
        <w:rPr/>
        <w:t>）当期取得或处置子公司及其他营业单位的有关信息：</w:t>
      </w:r>
    </w:p>
    <w:tbl>
      <w:tblPr>
        <w:tblW w:w="0" w:type="auto"/>
        <w:jc w:val="left"/>
        <w:tblInd w:w="111" w:type="dxa"/>
        <w:tblLayout w:type="fixed"/>
        <w:tblCellMar>
          <w:top w:w="0" w:type="dxa"/>
          <w:left w:w="0" w:type="dxa"/>
          <w:bottom w:w="0" w:type="dxa"/>
          <w:right w:w="0" w:type="dxa"/>
        </w:tblCellMar>
        <w:tblLook w:val="01E0"/>
      </w:tblPr>
      <w:tblGrid>
        <w:gridCol w:w="6534"/>
        <w:gridCol w:w="1733"/>
        <w:gridCol w:w="1602"/>
      </w:tblGrid>
      <w:tr>
        <w:trPr>
          <w:trHeight w:val="440" w:hRule="exact"/>
        </w:trPr>
        <w:tc>
          <w:tcPr>
            <w:tcW w:w="6534"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1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3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3"/>
              <w:ind w:left="27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8" w:hRule="exact"/>
        </w:trPr>
        <w:tc>
          <w:tcPr>
            <w:tcW w:w="6534" w:type="dxa"/>
            <w:tcBorders>
              <w:top w:val="single" w:sz="4" w:space="0" w:color="000000"/>
              <w:left w:val="nil" w:sz="6" w:space="0" w:color="auto"/>
              <w:bottom w:val="nil" w:sz="6" w:space="0" w:color="auto"/>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733" w:type="dxa"/>
            <w:tcBorders>
              <w:top w:val="single" w:sz="4" w:space="0" w:color="000000"/>
              <w:left w:val="single" w:sz="4" w:space="0" w:color="000000"/>
              <w:bottom w:val="nil" w:sz="6" w:space="0" w:color="auto"/>
              <w:right w:val="single" w:sz="4" w:space="0" w:color="000000"/>
            </w:tcBorders>
          </w:tcPr>
          <w:p>
            <w:pPr/>
          </w:p>
        </w:tc>
        <w:tc>
          <w:tcPr>
            <w:tcW w:w="1602" w:type="dxa"/>
            <w:tcBorders>
              <w:top w:val="single" w:sz="4" w:space="0" w:color="000000"/>
              <w:left w:val="single" w:sz="4" w:space="0" w:color="000000"/>
              <w:bottom w:val="nil" w:sz="6" w:space="0" w:color="auto"/>
              <w:right w:val="nil" w:sz="6" w:space="0" w:color="auto"/>
            </w:tcBorders>
          </w:tcPr>
          <w:p>
            <w:pPr/>
          </w:p>
        </w:tc>
      </w:tr>
      <w:tr>
        <w:trPr>
          <w:trHeight w:val="433"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pacing w:val="-1"/>
                <w:sz w:val="21"/>
              </w:rPr>
              <w:t>60,000,000.00</w:t>
            </w: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left="281" w:right="0"/>
              <w:jc w:val="left"/>
              <w:rPr>
                <w:rFonts w:ascii="Times New Roman" w:hAnsi="Times New Roman" w:cs="Times New Roman" w:eastAsia="Times New Roman" w:hint="default"/>
                <w:sz w:val="21"/>
                <w:szCs w:val="21"/>
              </w:rPr>
            </w:pPr>
            <w:r>
              <w:rPr>
                <w:rFonts w:ascii="Times New Roman"/>
                <w:sz w:val="21"/>
              </w:rPr>
              <w:t>27,500,000.00</w:t>
            </w: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left="281" w:right="0"/>
              <w:jc w:val="left"/>
              <w:rPr>
                <w:rFonts w:ascii="Times New Roman" w:hAnsi="Times New Roman" w:cs="Times New Roman" w:eastAsia="Times New Roman" w:hint="default"/>
                <w:sz w:val="21"/>
                <w:szCs w:val="21"/>
              </w:rPr>
            </w:pPr>
            <w:r>
              <w:rPr>
                <w:rFonts w:ascii="Times New Roman"/>
                <w:sz w:val="21"/>
              </w:rPr>
              <w:t>23,375,000.00</w:t>
            </w: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5,509,581.03</w:t>
            </w:r>
          </w:p>
        </w:tc>
        <w:tc>
          <w:tcPr>
            <w:tcW w:w="1602" w:type="dxa"/>
            <w:tcBorders>
              <w:top w:val="nil" w:sz="6" w:space="0" w:color="auto"/>
              <w:left w:val="single" w:sz="4" w:space="0" w:color="000000"/>
              <w:bottom w:val="nil" w:sz="6" w:space="0" w:color="auto"/>
              <w:right w:val="nil" w:sz="6" w:space="0" w:color="auto"/>
            </w:tcBorders>
          </w:tcPr>
          <w:p>
            <w:pP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24,490,418.97</w:t>
            </w: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left="281" w:right="0"/>
              <w:jc w:val="left"/>
              <w:rPr>
                <w:rFonts w:ascii="Times New Roman" w:hAnsi="Times New Roman" w:cs="Times New Roman" w:eastAsia="Times New Roman" w:hint="default"/>
                <w:sz w:val="21"/>
                <w:szCs w:val="21"/>
              </w:rPr>
            </w:pPr>
            <w:r>
              <w:rPr>
                <w:rFonts w:ascii="Times New Roman"/>
                <w:sz w:val="21"/>
              </w:rPr>
              <w:t>23,375,000.00</w:t>
            </w:r>
          </w:p>
        </w:tc>
      </w:tr>
      <w:tr>
        <w:trPr>
          <w:trHeight w:val="349" w:hRule="exact"/>
        </w:trPr>
        <w:tc>
          <w:tcPr>
            <w:tcW w:w="6534" w:type="dxa"/>
            <w:tcBorders>
              <w:top w:val="nil" w:sz="6" w:space="0" w:color="auto"/>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7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21"/>
                <w:szCs w:val="21"/>
              </w:rPr>
            </w:pPr>
            <w:r>
              <w:rPr>
                <w:rFonts w:ascii="Times New Roman"/>
                <w:spacing w:val="-1"/>
                <w:sz w:val="21"/>
              </w:rPr>
              <w:t>12,257,812.70</w:t>
            </w:r>
          </w:p>
        </w:tc>
        <w:tc>
          <w:tcPr>
            <w:tcW w:w="1602" w:type="dxa"/>
            <w:tcBorders>
              <w:top w:val="nil" w:sz="6" w:space="0" w:color="auto"/>
              <w:left w:val="single" w:sz="4" w:space="0" w:color="000000"/>
              <w:bottom w:val="single" w:sz="12" w:space="0" w:color="000000"/>
              <w:right w:val="nil" w:sz="6" w:space="0" w:color="auto"/>
            </w:tcBorders>
          </w:tcPr>
          <w:p>
            <w:pPr>
              <w:pStyle w:val="TableParagraph"/>
              <w:spacing w:line="240" w:lineRule="auto" w:before="91"/>
              <w:ind w:left="288" w:right="0"/>
              <w:jc w:val="left"/>
              <w:rPr>
                <w:rFonts w:ascii="Times New Roman" w:hAnsi="Times New Roman" w:cs="Times New Roman" w:eastAsia="Times New Roman" w:hint="default"/>
                <w:sz w:val="21"/>
                <w:szCs w:val="21"/>
              </w:rPr>
            </w:pPr>
            <w:r>
              <w:rPr>
                <w:rFonts w:ascii="Times New Roman"/>
                <w:sz w:val="21"/>
              </w:rPr>
              <w:t>11,175,814.83</w:t>
            </w:r>
          </w:p>
        </w:tc>
      </w:tr>
    </w:tbl>
    <w:p>
      <w:pPr>
        <w:spacing w:after="0" w:line="240" w:lineRule="auto"/>
        <w:jc w:val="left"/>
        <w:rPr>
          <w:rFonts w:ascii="Times New Roman" w:hAnsi="Times New Roman" w:cs="Times New Roman" w:eastAsia="Times New Roman" w:hint="default"/>
          <w:sz w:val="21"/>
          <w:szCs w:val="21"/>
        </w:rPr>
        <w:sectPr>
          <w:footerReference w:type="default" r:id="rId47"/>
          <w:pgSz w:w="11910" w:h="16840"/>
          <w:pgMar w:footer="982" w:header="851" w:top="1260" w:bottom="1180" w:left="900" w:right="920"/>
          <w:pgNumType w:start="12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6534"/>
        <w:gridCol w:w="1733"/>
        <w:gridCol w:w="1602"/>
      </w:tblGrid>
      <w:tr>
        <w:trPr>
          <w:trHeight w:val="447" w:hRule="exact"/>
        </w:trPr>
        <w:tc>
          <w:tcPr>
            <w:tcW w:w="6534" w:type="dxa"/>
            <w:tcBorders>
              <w:top w:val="single" w:sz="18"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1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13"/>
              <w:ind w:left="3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02"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13"/>
              <w:ind w:left="27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1" w:hRule="exact"/>
        </w:trPr>
        <w:tc>
          <w:tcPr>
            <w:tcW w:w="6534" w:type="dxa"/>
            <w:tcBorders>
              <w:top w:val="single" w:sz="4" w:space="0" w:color="000000"/>
              <w:left w:val="nil" w:sz="6" w:space="0" w:color="auto"/>
              <w:bottom w:val="nil" w:sz="6" w:space="0" w:color="auto"/>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15,214,313.53</w:t>
            </w:r>
          </w:p>
        </w:tc>
        <w:tc>
          <w:tcPr>
            <w:tcW w:w="1602" w:type="dxa"/>
            <w:tcBorders>
              <w:top w:val="single" w:sz="4" w:space="0" w:color="000000"/>
              <w:left w:val="single" w:sz="4" w:space="0" w:color="000000"/>
              <w:bottom w:val="nil" w:sz="6" w:space="0" w:color="auto"/>
              <w:right w:val="nil" w:sz="6" w:space="0" w:color="auto"/>
            </w:tcBorders>
          </w:tcPr>
          <w:p>
            <w:pPr>
              <w:pStyle w:val="TableParagraph"/>
              <w:spacing w:line="240" w:lineRule="auto" w:before="177"/>
              <w:ind w:right="105"/>
              <w:jc w:val="right"/>
              <w:rPr>
                <w:rFonts w:ascii="Times New Roman" w:hAnsi="Times New Roman" w:cs="Times New Roman" w:eastAsia="Times New Roman" w:hint="default"/>
                <w:sz w:val="21"/>
                <w:szCs w:val="21"/>
              </w:rPr>
            </w:pPr>
            <w:r>
              <w:rPr>
                <w:rFonts w:ascii="Times New Roman"/>
                <w:spacing w:val="-1"/>
                <w:sz w:val="21"/>
              </w:rPr>
              <w:t>12,070,835.96</w:t>
            </w: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1,005,134.42</w:t>
            </w: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1,082,798.29</w:t>
            </w: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3,961,635.25</w:t>
            </w: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1,897,519.42</w:t>
            </w:r>
          </w:p>
        </w:tc>
      </w:tr>
      <w:tr>
        <w:trPr>
          <w:trHeight w:val="407"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80,300.00</w:t>
            </w: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处置子公司及其他营业单位的有关信息：</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26"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14"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26"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14"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420" w:hRule="exact"/>
        </w:trPr>
        <w:tc>
          <w:tcPr>
            <w:tcW w:w="653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3" w:type="dxa"/>
            <w:tcBorders>
              <w:top w:val="nil" w:sz="6" w:space="0" w:color="auto"/>
              <w:left w:val="single" w:sz="4" w:space="0" w:color="000000"/>
              <w:bottom w:val="nil" w:sz="6" w:space="0" w:color="auto"/>
              <w:right w:val="single" w:sz="4" w:space="0" w:color="000000"/>
            </w:tcBorders>
          </w:tcPr>
          <w:p>
            <w:pPr/>
          </w:p>
        </w:tc>
        <w:tc>
          <w:tcPr>
            <w:tcW w:w="1602" w:type="dxa"/>
            <w:tcBorders>
              <w:top w:val="nil" w:sz="6" w:space="0" w:color="auto"/>
              <w:left w:val="single" w:sz="4" w:space="0" w:color="000000"/>
              <w:bottom w:val="nil" w:sz="6" w:space="0" w:color="auto"/>
              <w:right w:val="nil" w:sz="6" w:space="0" w:color="auto"/>
            </w:tcBorders>
          </w:tcPr>
          <w:p>
            <w:pPr/>
          </w:p>
        </w:tc>
      </w:tr>
      <w:tr>
        <w:trPr>
          <w:trHeight w:val="362" w:hRule="exact"/>
        </w:trPr>
        <w:tc>
          <w:tcPr>
            <w:tcW w:w="6534" w:type="dxa"/>
            <w:tcBorders>
              <w:top w:val="nil" w:sz="6" w:space="0" w:color="auto"/>
              <w:left w:val="nil" w:sz="6" w:space="0" w:color="auto"/>
              <w:bottom w:val="single" w:sz="12"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3" w:type="dxa"/>
            <w:tcBorders>
              <w:top w:val="nil" w:sz="6" w:space="0" w:color="auto"/>
              <w:left w:val="single" w:sz="4" w:space="0" w:color="000000"/>
              <w:bottom w:val="single" w:sz="12" w:space="0" w:color="000000"/>
              <w:right w:val="single" w:sz="4" w:space="0" w:color="000000"/>
            </w:tcBorders>
          </w:tcPr>
          <w:p>
            <w:pPr/>
          </w:p>
        </w:tc>
        <w:tc>
          <w:tcPr>
            <w:tcW w:w="1602" w:type="dxa"/>
            <w:tcBorders>
              <w:top w:val="nil" w:sz="6" w:space="0" w:color="auto"/>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5"/>
          <w:szCs w:val="5"/>
        </w:rPr>
      </w:pPr>
    </w:p>
    <w:p>
      <w:pPr>
        <w:pStyle w:val="BodyText"/>
        <w:spacing w:line="240" w:lineRule="auto" w:before="35"/>
        <w:ind w:left="654" w:right="101"/>
        <w:jc w:val="left"/>
      </w:pPr>
      <w:r>
        <w:rPr/>
        <w:t>注：本期取得子公司系购买南京银石股东持有的</w:t>
      </w:r>
      <w:r>
        <w:rPr>
          <w:rFonts w:ascii="Times New Roman" w:hAnsi="Times New Roman" w:cs="Times New Roman" w:eastAsia="Times New Roman" w:hint="default"/>
        </w:rPr>
        <w:t>100</w:t>
      </w:r>
      <w:r>
        <w:rPr/>
        <w:t>％股权。</w:t>
      </w:r>
    </w:p>
    <w:p>
      <w:pPr>
        <w:pStyle w:val="BodyText"/>
        <w:spacing w:line="240" w:lineRule="auto" w:before="129"/>
        <w:ind w:left="654" w:right="101"/>
        <w:jc w:val="left"/>
      </w:pPr>
      <w:r>
        <w:rPr/>
        <w:t>（</w:t>
      </w:r>
      <w:r>
        <w:rPr>
          <w:rFonts w:ascii="Times New Roman" w:hAnsi="Times New Roman" w:cs="Times New Roman" w:eastAsia="Times New Roman" w:hint="default"/>
        </w:rPr>
        <w:t>5</w:t>
      </w:r>
      <w:r>
        <w:rPr/>
        <w:t>）现金和现金等价物：</w:t>
      </w:r>
    </w:p>
    <w:tbl>
      <w:tblPr>
        <w:tblW w:w="0" w:type="auto"/>
        <w:jc w:val="left"/>
        <w:tblInd w:w="111" w:type="dxa"/>
        <w:tblLayout w:type="fixed"/>
        <w:tblCellMar>
          <w:top w:w="0" w:type="dxa"/>
          <w:left w:w="0" w:type="dxa"/>
          <w:bottom w:w="0" w:type="dxa"/>
          <w:right w:w="0" w:type="dxa"/>
        </w:tblCellMar>
        <w:tblLook w:val="01E0"/>
      </w:tblPr>
      <w:tblGrid>
        <w:gridCol w:w="5844"/>
        <w:gridCol w:w="1582"/>
        <w:gridCol w:w="1529"/>
      </w:tblGrid>
      <w:tr>
        <w:trPr>
          <w:trHeight w:val="440" w:hRule="exact"/>
        </w:trPr>
        <w:tc>
          <w:tcPr>
            <w:tcW w:w="5844"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1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36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3"/>
              <w:ind w:left="33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12" w:hRule="exact"/>
        </w:trPr>
        <w:tc>
          <w:tcPr>
            <w:tcW w:w="5844" w:type="dxa"/>
            <w:tcBorders>
              <w:top w:val="single" w:sz="4" w:space="0" w:color="000000"/>
              <w:left w:val="nil" w:sz="6" w:space="0" w:color="auto"/>
              <w:bottom w:val="nil" w:sz="6" w:space="0" w:color="auto"/>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8"/>
              <w:ind w:right="102"/>
              <w:jc w:val="right"/>
              <w:rPr>
                <w:rFonts w:ascii="Times New Roman" w:hAnsi="Times New Roman" w:cs="Times New Roman" w:eastAsia="Times New Roman" w:hint="default"/>
                <w:sz w:val="21"/>
                <w:szCs w:val="21"/>
              </w:rPr>
            </w:pPr>
            <w:r>
              <w:rPr>
                <w:rFonts w:ascii="Times New Roman"/>
                <w:spacing w:val="-1"/>
                <w:sz w:val="21"/>
              </w:rPr>
              <w:t>491,511,005.02</w:t>
            </w: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spacing w:val="-1"/>
                <w:sz w:val="21"/>
              </w:rPr>
              <w:t>412,609,448.89</w:t>
            </w:r>
          </w:p>
        </w:tc>
      </w:tr>
      <w:tr>
        <w:trPr>
          <w:trHeight w:val="42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21"/>
                <w:szCs w:val="21"/>
              </w:rPr>
            </w:pPr>
            <w:r>
              <w:rPr>
                <w:rFonts w:ascii="Times New Roman"/>
                <w:spacing w:val="-1"/>
                <w:sz w:val="21"/>
              </w:rPr>
              <w:t>412,655.58</w:t>
            </w:r>
            <w:r>
              <w:rPr>
                <w:rFonts w:ascii="Times New Roman"/>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21"/>
                <w:szCs w:val="21"/>
              </w:rPr>
            </w:pPr>
            <w:r>
              <w:rPr>
                <w:rFonts w:ascii="Times New Roman"/>
                <w:spacing w:val="-1"/>
                <w:sz w:val="21"/>
              </w:rPr>
              <w:t>292,881.01</w:t>
            </w:r>
            <w:r>
              <w:rPr>
                <w:rFonts w:ascii="Times New Roman"/>
                <w:sz w:val="21"/>
              </w:rPr>
            </w:r>
          </w:p>
        </w:tc>
      </w:tr>
      <w:tr>
        <w:trPr>
          <w:trHeight w:val="42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21"/>
                <w:szCs w:val="21"/>
              </w:rPr>
            </w:pPr>
            <w:r>
              <w:rPr>
                <w:rFonts w:ascii="Times New Roman"/>
                <w:spacing w:val="-1"/>
                <w:sz w:val="21"/>
              </w:rPr>
              <w:t>482,712,522.46</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409,638,809.09</w:t>
            </w:r>
          </w:p>
        </w:tc>
      </w:tr>
      <w:tr>
        <w:trPr>
          <w:trHeight w:val="42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21"/>
                <w:szCs w:val="21"/>
              </w:rPr>
            </w:pPr>
            <w:r>
              <w:rPr>
                <w:rFonts w:ascii="Times New Roman"/>
                <w:spacing w:val="-1"/>
                <w:sz w:val="21"/>
              </w:rPr>
              <w:t>8,385,826.98</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2,677,758.79</w:t>
            </w:r>
          </w:p>
        </w:tc>
      </w:tr>
      <w:tr>
        <w:trPr>
          <w:trHeight w:val="407"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582"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42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582"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420" w:hRule="exact"/>
        </w:trPr>
        <w:tc>
          <w:tcPr>
            <w:tcW w:w="584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spacing w:val="-1"/>
                <w:sz w:val="21"/>
              </w:rPr>
              <w:t>491,511,005.02</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21"/>
                <w:szCs w:val="21"/>
              </w:rPr>
            </w:pPr>
            <w:r>
              <w:rPr>
                <w:rFonts w:ascii="Times New Roman"/>
                <w:spacing w:val="-1"/>
                <w:sz w:val="21"/>
              </w:rPr>
              <w:t>412,609,448.89</w:t>
            </w:r>
          </w:p>
        </w:tc>
      </w:tr>
      <w:tr>
        <w:trPr>
          <w:trHeight w:val="362" w:hRule="exact"/>
        </w:trPr>
        <w:tc>
          <w:tcPr>
            <w:tcW w:w="5844" w:type="dxa"/>
            <w:tcBorders>
              <w:top w:val="nil" w:sz="6" w:space="0" w:color="auto"/>
              <w:left w:val="nil" w:sz="6" w:space="0" w:color="auto"/>
              <w:bottom w:val="single" w:sz="12"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其中：母公司或集团内子公司使用受限制的现金和现金等价物</w:t>
            </w:r>
          </w:p>
        </w:tc>
        <w:tc>
          <w:tcPr>
            <w:tcW w:w="1582" w:type="dxa"/>
            <w:tcBorders>
              <w:top w:val="nil" w:sz="6" w:space="0" w:color="auto"/>
              <w:left w:val="single" w:sz="4" w:space="0" w:color="000000"/>
              <w:bottom w:val="single" w:sz="12" w:space="0" w:color="000000"/>
              <w:right w:val="single" w:sz="4" w:space="0" w:color="000000"/>
            </w:tcBorders>
          </w:tcPr>
          <w:p>
            <w:pPr/>
          </w:p>
        </w:tc>
        <w:tc>
          <w:tcPr>
            <w:tcW w:w="1529" w:type="dxa"/>
            <w:tcBorders>
              <w:top w:val="nil" w:sz="6" w:space="0" w:color="auto"/>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Heading3"/>
        <w:spacing w:line="240" w:lineRule="auto" w:before="35"/>
        <w:ind w:left="656" w:right="101"/>
        <w:jc w:val="left"/>
        <w:rPr>
          <w:b w:val="0"/>
          <w:bCs w:val="0"/>
        </w:rPr>
      </w:pPr>
      <w:r>
        <w:rPr/>
        <w:t>（六）关联方关系及其交易</w:t>
      </w:r>
      <w:r>
        <w:rPr>
          <w:b w:val="0"/>
          <w:bCs w:val="0"/>
        </w:rPr>
      </w:r>
    </w:p>
    <w:p>
      <w:pPr>
        <w:spacing w:line="240" w:lineRule="auto" w:before="2"/>
        <w:rPr>
          <w:rFonts w:ascii="宋体" w:hAnsi="宋体" w:cs="宋体" w:eastAsia="宋体" w:hint="default"/>
          <w:b/>
          <w:bCs/>
          <w:sz w:val="14"/>
          <w:szCs w:val="14"/>
        </w:rPr>
      </w:pPr>
    </w:p>
    <w:p>
      <w:pPr>
        <w:pStyle w:val="BodyText"/>
        <w:spacing w:line="379" w:lineRule="auto"/>
        <w:ind w:left="654" w:right="101"/>
        <w:jc w:val="left"/>
      </w:pPr>
      <w:r>
        <w:rPr>
          <w:rFonts w:ascii="Times New Roman" w:hAnsi="Times New Roman" w:cs="Times New Roman" w:eastAsia="Times New Roman" w:hint="default"/>
        </w:rPr>
        <w:t>1</w:t>
      </w:r>
      <w:r>
        <w:rPr/>
        <w:t>．本公司关联方的认定标准： </w:t>
      </w:r>
      <w:r>
        <w:rPr>
          <w:spacing w:val="-1"/>
        </w:rPr>
        <w:t>本公司按照《企业会计准则》和中国证监会的相关规定，确定关联方的认定标准为：一方控制、共同</w:t>
      </w:r>
    </w:p>
    <w:p>
      <w:pPr>
        <w:pStyle w:val="BodyText"/>
        <w:spacing w:line="400" w:lineRule="auto" w:before="64"/>
        <w:ind w:left="234" w:right="101"/>
        <w:jc w:val="left"/>
      </w:pPr>
      <w:r>
        <w:rPr>
          <w:spacing w:val="-1"/>
        </w:rPr>
        <w:t>控制另一方或对另一方施加重大影响，以及两方或两方以上同受一方控制、共同控制或重大影响的，构成</w:t>
      </w:r>
      <w:r>
        <w:rPr>
          <w:spacing w:val="-83"/>
        </w:rPr>
        <w:t> </w:t>
      </w:r>
      <w:r>
        <w:rPr>
          <w:spacing w:val="-83"/>
        </w:rPr>
      </w:r>
      <w:r>
        <w:rPr/>
        <w:t>关联方。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654" w:right="101"/>
        <w:jc w:val="left"/>
      </w:pPr>
      <w:r>
        <w:rPr>
          <w:rFonts w:ascii="Times New Roman" w:hAnsi="Times New Roman" w:cs="Times New Roman" w:eastAsia="Times New Roman" w:hint="default"/>
        </w:rPr>
        <w:t>2</w:t>
      </w:r>
      <w:r>
        <w:rPr/>
        <w:t>．本企业的母公司（控制人）有关信息：</w:t>
      </w:r>
    </w:p>
    <w:p>
      <w:pPr>
        <w:spacing w:after="0" w:line="240" w:lineRule="auto"/>
        <w:jc w:val="left"/>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32"/>
        <w:gridCol w:w="2293"/>
        <w:gridCol w:w="2332"/>
        <w:gridCol w:w="2412"/>
      </w:tblGrid>
      <w:tr>
        <w:trPr>
          <w:trHeight w:val="487" w:hRule="exact"/>
        </w:trPr>
        <w:tc>
          <w:tcPr>
            <w:tcW w:w="2832"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53"/>
              <w:ind w:left="583" w:right="0"/>
              <w:jc w:val="left"/>
              <w:rPr>
                <w:rFonts w:ascii="宋体" w:hAnsi="宋体" w:cs="宋体" w:eastAsia="宋体" w:hint="default"/>
                <w:sz w:val="21"/>
                <w:szCs w:val="21"/>
              </w:rPr>
            </w:pPr>
            <w:r>
              <w:rPr>
                <w:rFonts w:ascii="宋体" w:hAnsi="宋体" w:cs="宋体" w:eastAsia="宋体" w:hint="default"/>
                <w:sz w:val="21"/>
                <w:szCs w:val="21"/>
              </w:rPr>
              <w:t>控制人或企业名称</w:t>
            </w:r>
          </w:p>
        </w:tc>
        <w:tc>
          <w:tcPr>
            <w:tcW w:w="2293"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与本企业关系</w:t>
            </w:r>
          </w:p>
        </w:tc>
        <w:tc>
          <w:tcPr>
            <w:tcW w:w="233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2412"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享有的表决权比例</w:t>
            </w:r>
          </w:p>
        </w:tc>
      </w:tr>
      <w:tr>
        <w:trPr>
          <w:trHeight w:val="481" w:hRule="exact"/>
        </w:trPr>
        <w:tc>
          <w:tcPr>
            <w:tcW w:w="28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21"/>
                <w:szCs w:val="21"/>
              </w:rPr>
            </w:pPr>
            <w:r>
              <w:rPr>
                <w:rFonts w:ascii="宋体" w:hAnsi="宋体" w:cs="宋体" w:eastAsia="宋体" w:hint="default"/>
                <w:sz w:val="21"/>
                <w:szCs w:val="21"/>
              </w:rPr>
              <w:t>李仲初</w:t>
            </w:r>
          </w:p>
        </w:tc>
        <w:tc>
          <w:tcPr>
            <w:tcW w:w="22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第一大股东</w:t>
            </w:r>
          </w:p>
        </w:tc>
        <w:tc>
          <w:tcPr>
            <w:tcW w:w="2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63.00%</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74" w:right="0"/>
        <w:jc w:val="left"/>
      </w:pPr>
      <w:r>
        <w:rPr>
          <w:rFonts w:ascii="Times New Roman" w:hAnsi="Times New Roman" w:cs="Times New Roman" w:eastAsia="Times New Roman" w:hint="default"/>
        </w:rPr>
        <w:t>3</w:t>
      </w:r>
      <w:r>
        <w:rPr/>
        <w:t>．本企业的子公司有关信息披露：</w:t>
      </w:r>
    </w:p>
    <w:tbl>
      <w:tblPr>
        <w:tblW w:w="0" w:type="auto"/>
        <w:jc w:val="left"/>
        <w:tblInd w:w="131" w:type="dxa"/>
        <w:tblLayout w:type="fixed"/>
        <w:tblCellMar>
          <w:top w:w="0" w:type="dxa"/>
          <w:left w:w="0" w:type="dxa"/>
          <w:bottom w:w="0" w:type="dxa"/>
          <w:right w:w="0" w:type="dxa"/>
        </w:tblCellMar>
        <w:tblLook w:val="01E0"/>
      </w:tblPr>
      <w:tblGrid>
        <w:gridCol w:w="1704"/>
        <w:gridCol w:w="780"/>
        <w:gridCol w:w="778"/>
        <w:gridCol w:w="581"/>
        <w:gridCol w:w="778"/>
        <w:gridCol w:w="977"/>
        <w:gridCol w:w="978"/>
        <w:gridCol w:w="976"/>
        <w:gridCol w:w="1114"/>
        <w:gridCol w:w="1205"/>
      </w:tblGrid>
      <w:tr>
        <w:trPr>
          <w:trHeight w:val="1859" w:hRule="exact"/>
        </w:trPr>
        <w:tc>
          <w:tcPr>
            <w:tcW w:w="170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68" w:lineRule="auto"/>
              <w:ind w:left="203" w:right="114"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68"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68" w:lineRule="auto"/>
              <w:ind w:left="195" w:right="10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68" w:lineRule="auto"/>
              <w:ind w:left="293" w:right="112"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9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68" w:lineRule="auto"/>
              <w:ind w:left="302" w:right="302"/>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3"/>
              <w:ind w:right="0"/>
              <w:jc w:val="left"/>
              <w:rPr>
                <w:rFonts w:ascii="宋体" w:hAnsi="宋体" w:cs="宋体" w:eastAsia="宋体" w:hint="default"/>
                <w:sz w:val="17"/>
                <w:szCs w:val="17"/>
              </w:rPr>
            </w:pPr>
          </w:p>
          <w:p>
            <w:pPr>
              <w:pStyle w:val="TableParagraph"/>
              <w:spacing w:line="468"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（单位： 万元）</w:t>
            </w:r>
          </w:p>
        </w:tc>
        <w:tc>
          <w:tcPr>
            <w:tcW w:w="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468" w:lineRule="auto"/>
              <w:ind w:left="122" w:right="121"/>
              <w:jc w:val="center"/>
              <w:rPr>
                <w:rFonts w:ascii="宋体" w:hAnsi="宋体" w:cs="宋体" w:eastAsia="宋体" w:hint="default"/>
                <w:sz w:val="18"/>
                <w:szCs w:val="18"/>
              </w:rPr>
            </w:pPr>
            <w:r>
              <w:rPr>
                <w:rFonts w:ascii="宋体" w:hAnsi="宋体" w:cs="宋体" w:eastAsia="宋体" w:hint="default"/>
                <w:sz w:val="18"/>
                <w:szCs w:val="18"/>
              </w:rPr>
              <w:t>本企业合 计持股比 例</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468" w:lineRule="auto"/>
              <w:ind w:left="192" w:right="189"/>
              <w:jc w:val="center"/>
              <w:rPr>
                <w:rFonts w:ascii="宋体" w:hAnsi="宋体" w:cs="宋体" w:eastAsia="宋体" w:hint="default"/>
                <w:sz w:val="18"/>
                <w:szCs w:val="18"/>
              </w:rPr>
            </w:pPr>
            <w:r>
              <w:rPr>
                <w:rFonts w:ascii="宋体" w:hAnsi="宋体" w:cs="宋体" w:eastAsia="宋体" w:hint="default"/>
                <w:sz w:val="18"/>
                <w:szCs w:val="18"/>
              </w:rPr>
              <w:t>本企业合 计享有的 表决权</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05"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468" w:lineRule="auto"/>
              <w:ind w:left="416" w:right="24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38" w:hRule="exact"/>
        </w:trPr>
        <w:tc>
          <w:tcPr>
            <w:tcW w:w="1704" w:type="dxa"/>
            <w:tcBorders>
              <w:top w:val="single" w:sz="4" w:space="0" w:color="000000"/>
              <w:left w:val="nil" w:sz="6" w:space="0" w:color="auto"/>
              <w:bottom w:val="nil" w:sz="6" w:space="0" w:color="auto"/>
              <w:right w:val="single" w:sz="4" w:space="0" w:color="000000"/>
            </w:tcBorders>
          </w:tcPr>
          <w:p>
            <w:pPr>
              <w:pStyle w:val="TableParagraph"/>
              <w:spacing w:line="460" w:lineRule="exact" w:before="38"/>
              <w:ind w:left="122" w:right="96"/>
              <w:jc w:val="left"/>
              <w:rPr>
                <w:rFonts w:ascii="宋体" w:hAnsi="宋体" w:cs="宋体" w:eastAsia="宋体" w:hint="default"/>
                <w:sz w:val="18"/>
                <w:szCs w:val="18"/>
              </w:rPr>
            </w:pPr>
            <w:r>
              <w:rPr>
                <w:rFonts w:ascii="宋体" w:hAnsi="宋体" w:cs="宋体" w:eastAsia="宋体" w:hint="default"/>
                <w:spacing w:val="4"/>
                <w:sz w:val="18"/>
                <w:szCs w:val="18"/>
              </w:rPr>
              <w:t>上海石基信息技术 </w:t>
            </w:r>
            <w:r>
              <w:rPr>
                <w:rFonts w:ascii="宋体" w:hAnsi="宋体" w:cs="宋体" w:eastAsia="宋体" w:hint="default"/>
                <w:sz w:val="18"/>
                <w:szCs w:val="18"/>
              </w:rPr>
              <w:t>有限公司</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460" w:lineRule="exact" w:before="38"/>
              <w:ind w:left="204" w:right="114"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460" w:lineRule="exact" w:before="38"/>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70341945-7</w:t>
            </w:r>
          </w:p>
        </w:tc>
      </w:tr>
      <w:tr>
        <w:trPr>
          <w:trHeight w:val="920"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北京石基昆仑软件</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04" w:right="0" w:hanging="90"/>
              <w:jc w:val="left"/>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428.00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05" w:right="0"/>
              <w:jc w:val="left"/>
              <w:rPr>
                <w:rFonts w:ascii="Times New Roman" w:hAnsi="Times New Roman" w:cs="Times New Roman" w:eastAsia="Times New Roman" w:hint="default"/>
                <w:sz w:val="18"/>
                <w:szCs w:val="18"/>
              </w:rPr>
            </w:pPr>
            <w:r>
              <w:rPr>
                <w:rFonts w:ascii="Times New Roman"/>
                <w:sz w:val="18"/>
              </w:rPr>
              <w:t>82.40%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82.40%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4"/>
              <w:jc w:val="center"/>
              <w:rPr>
                <w:rFonts w:ascii="Times New Roman" w:hAnsi="Times New Roman" w:cs="Times New Roman" w:eastAsia="Times New Roman" w:hint="default"/>
                <w:sz w:val="18"/>
                <w:szCs w:val="18"/>
              </w:rPr>
            </w:pPr>
            <w:r>
              <w:rPr>
                <w:rFonts w:ascii="Times New Roman"/>
                <w:sz w:val="18"/>
              </w:rPr>
              <w:t>77708076-7</w:t>
            </w:r>
          </w:p>
        </w:tc>
      </w:tr>
      <w:tr>
        <w:trPr>
          <w:trHeight w:val="920"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pacing w:val="4"/>
                <w:sz w:val="18"/>
                <w:szCs w:val="18"/>
              </w:rPr>
              <w:t>杭州西软科技有限</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204" w:right="0" w:hanging="90"/>
              <w:jc w:val="left"/>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杨铭魁</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1,970.00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04" w:right="0"/>
              <w:jc w:val="left"/>
              <w:rPr>
                <w:rFonts w:ascii="Times New Roman" w:hAnsi="Times New Roman" w:cs="Times New Roman" w:eastAsia="Times New Roman" w:hint="default"/>
                <w:sz w:val="18"/>
                <w:szCs w:val="18"/>
              </w:rPr>
            </w:pPr>
            <w:r>
              <w:rPr>
                <w:rFonts w:ascii="Times New Roman"/>
                <w:sz w:val="18"/>
              </w:rPr>
              <w:t>82.00%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82.00%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4"/>
              <w:jc w:val="center"/>
              <w:rPr>
                <w:rFonts w:ascii="Times New Roman" w:hAnsi="Times New Roman" w:cs="Times New Roman" w:eastAsia="Times New Roman" w:hint="default"/>
                <w:sz w:val="18"/>
                <w:szCs w:val="18"/>
              </w:rPr>
            </w:pPr>
            <w:r>
              <w:rPr>
                <w:rFonts w:ascii="Times New Roman"/>
                <w:sz w:val="18"/>
              </w:rPr>
              <w:t>72718100-9</w:t>
            </w:r>
          </w:p>
        </w:tc>
      </w:tr>
      <w:tr>
        <w:trPr>
          <w:trHeight w:val="920"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北京中长石基软件</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04" w:right="0" w:hanging="90"/>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计算机应</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用服务业</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1,000.00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136"/>
              <w:ind w:right="5"/>
              <w:jc w:val="center"/>
              <w:rPr>
                <w:rFonts w:ascii="Times New Roman" w:hAnsi="Times New Roman" w:cs="Times New Roman" w:eastAsia="Times New Roman" w:hint="default"/>
                <w:sz w:val="18"/>
                <w:szCs w:val="18"/>
              </w:rPr>
            </w:pPr>
            <w:r>
              <w:rPr>
                <w:rFonts w:ascii="Times New Roman"/>
                <w:sz w:val="18"/>
              </w:rPr>
              <w:t>68046194-2</w:t>
            </w:r>
          </w:p>
        </w:tc>
      </w:tr>
      <w:tr>
        <w:trPr>
          <w:trHeight w:val="823" w:hRule="exact"/>
        </w:trPr>
        <w:tc>
          <w:tcPr>
            <w:tcW w:w="1704" w:type="dxa"/>
            <w:tcBorders>
              <w:top w:val="nil" w:sz="6" w:space="0" w:color="auto"/>
              <w:left w:val="nil" w:sz="6" w:space="0" w:color="auto"/>
              <w:bottom w:val="single" w:sz="12"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pacing w:val="4"/>
                <w:sz w:val="18"/>
                <w:szCs w:val="18"/>
              </w:rPr>
              <w:t>北海石基信息技术</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204" w:right="0" w:hanging="90"/>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北海</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计算机应</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用服务业</w:t>
            </w:r>
          </w:p>
        </w:tc>
        <w:tc>
          <w:tcPr>
            <w:tcW w:w="9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z w:val="18"/>
              </w:rPr>
              <w:t>666.00</w:t>
            </w:r>
          </w:p>
        </w:tc>
        <w:tc>
          <w:tcPr>
            <w:tcW w:w="9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right="4"/>
              <w:jc w:val="center"/>
              <w:rPr>
                <w:rFonts w:ascii="Times New Roman" w:hAnsi="Times New Roman" w:cs="Times New Roman" w:eastAsia="Times New Roman" w:hint="default"/>
                <w:sz w:val="18"/>
                <w:szCs w:val="18"/>
              </w:rPr>
            </w:pPr>
            <w:r>
              <w:rPr>
                <w:rFonts w:ascii="Times New Roman"/>
                <w:sz w:val="18"/>
              </w:rPr>
              <w:t>66972768-2</w:t>
            </w:r>
          </w:p>
        </w:tc>
      </w:tr>
      <w:tr>
        <w:trPr>
          <w:trHeight w:val="1011" w:hRule="exact"/>
        </w:trPr>
        <w:tc>
          <w:tcPr>
            <w:tcW w:w="1704" w:type="dxa"/>
            <w:tcBorders>
              <w:top w:val="single" w:sz="12" w:space="0" w:color="000000"/>
              <w:left w:val="nil" w:sz="6" w:space="0" w:color="auto"/>
              <w:bottom w:val="nil" w:sz="6" w:space="0" w:color="auto"/>
              <w:right w:val="single" w:sz="4" w:space="0" w:color="000000"/>
            </w:tcBorders>
          </w:tcPr>
          <w:p>
            <w:pPr>
              <w:pStyle w:val="TableParagraph"/>
              <w:spacing w:line="446" w:lineRule="exact" w:before="35"/>
              <w:ind w:left="122" w:right="96"/>
              <w:jc w:val="left"/>
              <w:rPr>
                <w:rFonts w:ascii="宋体" w:hAnsi="宋体" w:cs="宋体" w:eastAsia="宋体" w:hint="default"/>
                <w:sz w:val="18"/>
                <w:szCs w:val="18"/>
              </w:rPr>
            </w:pPr>
            <w:r>
              <w:rPr>
                <w:rFonts w:ascii="宋体" w:hAnsi="宋体" w:cs="宋体" w:eastAsia="宋体" w:hint="default"/>
                <w:spacing w:val="4"/>
                <w:sz w:val="18"/>
                <w:szCs w:val="18"/>
              </w:rPr>
              <w:t>南京银石计算机系 </w:t>
            </w:r>
            <w:r>
              <w:rPr>
                <w:rFonts w:ascii="宋体" w:hAnsi="宋体" w:cs="宋体" w:eastAsia="宋体" w:hint="default"/>
                <w:sz w:val="18"/>
                <w:szCs w:val="18"/>
              </w:rPr>
              <w:t>统有限公司</w:t>
            </w:r>
          </w:p>
        </w:tc>
        <w:tc>
          <w:tcPr>
            <w:tcW w:w="780" w:type="dxa"/>
            <w:tcBorders>
              <w:top w:val="single" w:sz="12" w:space="0" w:color="000000"/>
              <w:left w:val="single" w:sz="4" w:space="0" w:color="000000"/>
              <w:bottom w:val="nil" w:sz="6" w:space="0" w:color="auto"/>
              <w:right w:val="single" w:sz="4" w:space="0" w:color="000000"/>
            </w:tcBorders>
          </w:tcPr>
          <w:p>
            <w:pPr>
              <w:pStyle w:val="TableParagraph"/>
              <w:spacing w:line="446" w:lineRule="exact" w:before="35"/>
              <w:ind w:left="204" w:right="114"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8" w:type="dxa"/>
            <w:tcBorders>
              <w:top w:val="single" w:sz="12" w:space="0" w:color="000000"/>
              <w:left w:val="single" w:sz="4" w:space="0" w:color="000000"/>
              <w:bottom w:val="nil" w:sz="6" w:space="0" w:color="auto"/>
              <w:right w:val="single" w:sz="4" w:space="0" w:color="000000"/>
            </w:tcBorders>
          </w:tcPr>
          <w:p>
            <w:pPr>
              <w:pStyle w:val="TableParagraph"/>
              <w:spacing w:line="446" w:lineRule="exact" w:before="35"/>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8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7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77" w:type="dxa"/>
            <w:tcBorders>
              <w:top w:val="single" w:sz="12" w:space="0" w:color="000000"/>
              <w:left w:val="single" w:sz="4" w:space="0" w:color="000000"/>
              <w:bottom w:val="nil" w:sz="6" w:space="0" w:color="auto"/>
              <w:right w:val="single" w:sz="4" w:space="0" w:color="000000"/>
            </w:tcBorders>
          </w:tcPr>
          <w:p>
            <w:pPr>
              <w:pStyle w:val="TableParagraph"/>
              <w:spacing w:line="446" w:lineRule="exact" w:before="35"/>
              <w:ind w:left="122" w:right="12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w:t>
            </w:r>
          </w:p>
        </w:tc>
        <w:tc>
          <w:tcPr>
            <w:tcW w:w="9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single" w:sz="12"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71624474-8</w:t>
            </w:r>
          </w:p>
        </w:tc>
      </w:tr>
      <w:tr>
        <w:trPr>
          <w:trHeight w:val="892"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4"/>
                <w:sz w:val="18"/>
                <w:szCs w:val="18"/>
              </w:rPr>
              <w:t>南京银石支付系统</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04" w:right="0" w:hanging="90"/>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计算机应</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用服务业</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1,000.00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6"/>
              <w:jc w:val="center"/>
              <w:rPr>
                <w:rFonts w:ascii="Times New Roman" w:hAnsi="Times New Roman" w:cs="Times New Roman" w:eastAsia="Times New Roman" w:hint="default"/>
                <w:sz w:val="18"/>
                <w:szCs w:val="18"/>
              </w:rPr>
            </w:pPr>
            <w:r>
              <w:rPr>
                <w:rFonts w:ascii="Times New Roman"/>
                <w:sz w:val="18"/>
              </w:rPr>
              <w:t>56288918-X</w:t>
            </w:r>
          </w:p>
        </w:tc>
      </w:tr>
      <w:tr>
        <w:trPr>
          <w:trHeight w:val="892"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4"/>
                <w:sz w:val="18"/>
                <w:szCs w:val="18"/>
              </w:rPr>
              <w:t>南京银石电脑系统</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04" w:right="0" w:hanging="90"/>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计算机应</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用服务业</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50.00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4"/>
              <w:jc w:val="center"/>
              <w:rPr>
                <w:rFonts w:ascii="Times New Roman" w:hAnsi="Times New Roman" w:cs="Times New Roman" w:eastAsia="Times New Roman" w:hint="default"/>
                <w:sz w:val="18"/>
                <w:szCs w:val="18"/>
              </w:rPr>
            </w:pPr>
            <w:r>
              <w:rPr>
                <w:rFonts w:ascii="Times New Roman"/>
                <w:sz w:val="18"/>
              </w:rPr>
              <w:t>74820755-4</w:t>
            </w:r>
          </w:p>
        </w:tc>
      </w:tr>
      <w:tr>
        <w:trPr>
          <w:trHeight w:val="901"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453" w:lineRule="auto" w:before="77"/>
              <w:ind w:left="122" w:right="96"/>
              <w:jc w:val="left"/>
              <w:rPr>
                <w:rFonts w:ascii="宋体" w:hAnsi="宋体" w:cs="宋体" w:eastAsia="宋体" w:hint="default"/>
                <w:sz w:val="18"/>
                <w:szCs w:val="18"/>
              </w:rPr>
            </w:pPr>
            <w:r>
              <w:rPr>
                <w:rFonts w:ascii="宋体" w:hAnsi="宋体" w:cs="宋体" w:eastAsia="宋体" w:hint="default"/>
                <w:spacing w:val="4"/>
                <w:sz w:val="18"/>
                <w:szCs w:val="18"/>
              </w:rPr>
              <w:t>现化电脑系统（北 </w:t>
            </w:r>
            <w:r>
              <w:rPr>
                <w:rFonts w:ascii="宋体" w:hAnsi="宋体" w:cs="宋体" w:eastAsia="宋体" w:hint="default"/>
                <w:sz w:val="18"/>
                <w:szCs w:val="18"/>
              </w:rPr>
              <w:t>京）有限公司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453" w:lineRule="auto" w:before="77"/>
              <w:ind w:left="204" w:right="114"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453" w:lineRule="auto" w:before="77"/>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453" w:lineRule="auto" w:before="77"/>
              <w:ind w:left="122" w:right="122"/>
              <w:jc w:val="left"/>
              <w:rPr>
                <w:rFonts w:ascii="宋体" w:hAnsi="宋体" w:cs="宋体" w:eastAsia="宋体" w:hint="default"/>
                <w:sz w:val="18"/>
                <w:szCs w:val="18"/>
              </w:rPr>
            </w:pPr>
            <w:r>
              <w:rPr>
                <w:rFonts w:ascii="宋体" w:hAnsi="宋体" w:cs="宋体" w:eastAsia="宋体" w:hint="default"/>
                <w:sz w:val="18"/>
                <w:szCs w:val="18"/>
              </w:rPr>
              <w:t>计算机应 用服务业</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460" w:right="0" w:firstLine="44"/>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20.00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67055317-3</w:t>
            </w:r>
          </w:p>
        </w:tc>
      </w:tr>
      <w:tr>
        <w:trPr>
          <w:trHeight w:val="892"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456" w:lineRule="auto" w:before="68"/>
              <w:ind w:left="122" w:right="96"/>
              <w:jc w:val="left"/>
              <w:rPr>
                <w:rFonts w:ascii="宋体" w:hAnsi="宋体" w:cs="宋体" w:eastAsia="宋体" w:hint="default"/>
                <w:sz w:val="18"/>
                <w:szCs w:val="18"/>
              </w:rPr>
            </w:pPr>
            <w:r>
              <w:rPr>
                <w:rFonts w:ascii="宋体" w:hAnsi="宋体" w:cs="宋体" w:eastAsia="宋体" w:hint="default"/>
                <w:spacing w:val="4"/>
                <w:sz w:val="18"/>
                <w:szCs w:val="18"/>
              </w:rPr>
              <w:t>焦点信息技术（香 </w:t>
            </w:r>
            <w:r>
              <w:rPr>
                <w:rFonts w:ascii="宋体" w:hAnsi="宋体" w:cs="宋体" w:eastAsia="宋体" w:hint="default"/>
                <w:sz w:val="18"/>
                <w:szCs w:val="18"/>
              </w:rPr>
              <w:t>港）有限公司</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456" w:lineRule="auto" w:before="68"/>
              <w:ind w:left="204" w:right="114"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456" w:lineRule="auto" w:before="68"/>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5" w:right="0" w:firstLine="27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nil" w:sz="6" w:space="0" w:color="auto"/>
              <w:right w:val="nil" w:sz="6" w:space="0" w:color="auto"/>
            </w:tcBorders>
          </w:tcPr>
          <w:p>
            <w:pPr/>
          </w:p>
        </w:tc>
      </w:tr>
      <w:tr>
        <w:trPr>
          <w:trHeight w:val="892"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119"/>
              <w:ind w:left="122" w:right="0"/>
              <w:jc w:val="left"/>
              <w:rPr>
                <w:rFonts w:ascii="Times New Roman" w:hAnsi="Times New Roman" w:cs="Times New Roman" w:eastAsia="Times New Roman" w:hint="default"/>
                <w:sz w:val="18"/>
                <w:szCs w:val="18"/>
              </w:rPr>
            </w:pPr>
            <w:r>
              <w:rPr>
                <w:rFonts w:ascii="Times New Roman"/>
                <w:sz w:val="18"/>
              </w:rPr>
              <w:t>Infrasys</w:t>
            </w: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International</w:t>
            </w:r>
            <w:r>
              <w:rPr>
                <w:rFonts w:ascii="Times New Roman"/>
                <w:spacing w:val="-3"/>
                <w:sz w:val="18"/>
              </w:rPr>
              <w:t> </w:t>
            </w:r>
            <w:r>
              <w:rPr>
                <w:rFonts w:ascii="Times New Roman"/>
                <w:sz w:val="18"/>
              </w:rPr>
              <w:t>Ltd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456" w:lineRule="auto" w:before="67"/>
              <w:ind w:left="204" w:right="114"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456" w:lineRule="auto" w:before="67"/>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456" w:lineRule="auto" w:before="67"/>
              <w:ind w:left="302" w:right="122"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370" w:right="0" w:firstLine="134"/>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875.00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05" w:right="0"/>
              <w:jc w:val="left"/>
              <w:rPr>
                <w:rFonts w:ascii="Times New Roman" w:hAnsi="Times New Roman" w:cs="Times New Roman" w:eastAsia="Times New Roman" w:hint="default"/>
                <w:sz w:val="18"/>
                <w:szCs w:val="18"/>
              </w:rPr>
            </w:pPr>
            <w:r>
              <w:rPr>
                <w:rFonts w:ascii="Times New Roman"/>
                <w:sz w:val="18"/>
              </w:rPr>
              <w:t>70.00%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70.00%</w:t>
            </w:r>
          </w:p>
        </w:tc>
        <w:tc>
          <w:tcPr>
            <w:tcW w:w="1205" w:type="dxa"/>
            <w:tcBorders>
              <w:top w:val="nil" w:sz="6" w:space="0" w:color="auto"/>
              <w:left w:val="single" w:sz="4" w:space="0" w:color="000000"/>
              <w:bottom w:val="nil" w:sz="6" w:space="0" w:color="auto"/>
              <w:right w:val="nil" w:sz="6" w:space="0" w:color="auto"/>
            </w:tcBorders>
          </w:tcPr>
          <w:p>
            <w:pPr/>
          </w:p>
        </w:tc>
      </w:tr>
      <w:tr>
        <w:trPr>
          <w:trHeight w:val="346" w:hRule="exact"/>
        </w:trPr>
        <w:tc>
          <w:tcPr>
            <w:tcW w:w="1704" w:type="dxa"/>
            <w:tcBorders>
              <w:top w:val="nil" w:sz="6" w:space="0" w:color="auto"/>
              <w:left w:val="nil" w:sz="6" w:space="0" w:color="auto"/>
              <w:bottom w:val="single" w:sz="12" w:space="0" w:color="000000"/>
              <w:right w:val="single" w:sz="4" w:space="0" w:color="000000"/>
            </w:tcBorders>
          </w:tcPr>
          <w:p>
            <w:pPr>
              <w:pStyle w:val="TableParagraph"/>
              <w:spacing w:line="240" w:lineRule="auto" w:before="119"/>
              <w:ind w:left="18" w:right="0"/>
              <w:jc w:val="center"/>
              <w:rPr>
                <w:rFonts w:ascii="Times New Roman" w:hAnsi="Times New Roman" w:cs="Times New Roman" w:eastAsia="Times New Roman" w:hint="default"/>
                <w:sz w:val="18"/>
                <w:szCs w:val="18"/>
              </w:rPr>
            </w:pPr>
            <w:r>
              <w:rPr>
                <w:rFonts w:ascii="Times New Roman"/>
                <w:sz w:val="18"/>
              </w:rPr>
              <w:t>Infrasys  </w:t>
            </w:r>
            <w:r>
              <w:rPr>
                <w:rFonts w:ascii="Times New Roman"/>
                <w:spacing w:val="15"/>
                <w:sz w:val="18"/>
              </w:rPr>
              <w:t> </w:t>
            </w:r>
            <w:r>
              <w:rPr>
                <w:rFonts w:ascii="Times New Roman"/>
                <w:sz w:val="18"/>
              </w:rPr>
              <w:t>Singapore</w:t>
            </w:r>
          </w:p>
        </w:tc>
        <w:tc>
          <w:tcPr>
            <w:tcW w:w="7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114"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left="112"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5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新加</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9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hAnsi="宋体" w:cs="宋体" w:eastAsia="宋体" w:hint="default"/>
                <w:sz w:val="18"/>
                <w:szCs w:val="18"/>
              </w:rPr>
              <w:t>新币</w:t>
            </w:r>
          </w:p>
        </w:tc>
        <w:tc>
          <w:tcPr>
            <w:tcW w:w="9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851" w:footer="982" w:top="1200" w:bottom="1180" w:left="880" w:right="860"/>
        </w:sectPr>
      </w:pP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704"/>
        <w:gridCol w:w="780"/>
        <w:gridCol w:w="778"/>
        <w:gridCol w:w="581"/>
        <w:gridCol w:w="778"/>
        <w:gridCol w:w="977"/>
        <w:gridCol w:w="978"/>
        <w:gridCol w:w="976"/>
        <w:gridCol w:w="1114"/>
        <w:gridCol w:w="1205"/>
      </w:tblGrid>
      <w:tr>
        <w:trPr>
          <w:trHeight w:val="1459" w:hRule="exact"/>
        </w:trPr>
        <w:tc>
          <w:tcPr>
            <w:tcW w:w="1704" w:type="dxa"/>
            <w:tcBorders>
              <w:top w:val="single" w:sz="6"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Pte</w:t>
            </w:r>
            <w:r>
              <w:rPr>
                <w:rFonts w:ascii="Times New Roman"/>
                <w:spacing w:val="-4"/>
                <w:sz w:val="18"/>
              </w:rPr>
              <w:t> </w:t>
            </w:r>
            <w:r>
              <w:rPr>
                <w:rFonts w:ascii="Times New Roman"/>
                <w:sz w:val="18"/>
              </w:rPr>
              <w:t>Ltd</w:t>
            </w:r>
          </w:p>
          <w:p>
            <w:pPr>
              <w:pStyle w:val="TableParagraph"/>
              <w:tabs>
                <w:tab w:pos="935" w:val="left" w:leader="none"/>
              </w:tabs>
              <w:spacing w:line="440" w:lineRule="atLeast" w:before="6"/>
              <w:ind w:left="122" w:right="101"/>
              <w:jc w:val="left"/>
              <w:rPr>
                <w:rFonts w:ascii="Times New Roman" w:hAnsi="Times New Roman" w:cs="Times New Roman" w:eastAsia="Times New Roman" w:hint="default"/>
                <w:sz w:val="18"/>
                <w:szCs w:val="18"/>
              </w:rPr>
            </w:pPr>
            <w:r>
              <w:rPr>
                <w:rFonts w:ascii="Times New Roman"/>
                <w:spacing w:val="-1"/>
                <w:sz w:val="18"/>
              </w:rPr>
              <w:t>Infrasys</w:t>
              <w:tab/>
              <w:t>Malaysia </w:t>
            </w:r>
            <w:r>
              <w:rPr>
                <w:rFonts w:ascii="Times New Roman"/>
                <w:sz w:val="18"/>
              </w:rPr>
              <w:t>Sdn</w:t>
            </w:r>
            <w:r>
              <w:rPr>
                <w:rFonts w:ascii="Times New Roman"/>
                <w:spacing w:val="-5"/>
                <w:sz w:val="18"/>
              </w:rPr>
              <w:t> </w:t>
            </w:r>
            <w:r>
              <w:rPr>
                <w:rFonts w:ascii="Times New Roman"/>
                <w:sz w:val="18"/>
              </w:rPr>
              <w:t>Bhd</w:t>
            </w:r>
          </w:p>
        </w:tc>
        <w:tc>
          <w:tcPr>
            <w:tcW w:w="78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453" w:lineRule="auto"/>
              <w:ind w:left="114" w:right="114"/>
              <w:jc w:val="center"/>
              <w:rPr>
                <w:rFonts w:ascii="宋体" w:hAnsi="宋体" w:cs="宋体" w:eastAsia="宋体" w:hint="default"/>
                <w:sz w:val="18"/>
                <w:szCs w:val="18"/>
              </w:rPr>
            </w:pPr>
            <w:r>
              <w:rPr>
                <w:rFonts w:ascii="宋体" w:hAnsi="宋体" w:cs="宋体" w:eastAsia="宋体" w:hint="default"/>
                <w:sz w:val="18"/>
                <w:szCs w:val="18"/>
              </w:rPr>
              <w:t>公司 控股子 公司</w:t>
            </w:r>
          </w:p>
        </w:tc>
        <w:tc>
          <w:tcPr>
            <w:tcW w:w="77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453" w:lineRule="auto"/>
              <w:ind w:left="112" w:right="113"/>
              <w:jc w:val="both"/>
              <w:rPr>
                <w:rFonts w:ascii="宋体" w:hAnsi="宋体" w:cs="宋体" w:eastAsia="宋体" w:hint="default"/>
                <w:sz w:val="18"/>
                <w:szCs w:val="18"/>
              </w:rPr>
            </w:pPr>
            <w:r>
              <w:rPr>
                <w:rFonts w:ascii="宋体" w:hAnsi="宋体" w:cs="宋体" w:eastAsia="宋体" w:hint="default"/>
                <w:sz w:val="18"/>
                <w:szCs w:val="18"/>
              </w:rPr>
              <w:t>任公司 有限责 任公司</w:t>
            </w:r>
          </w:p>
        </w:tc>
        <w:tc>
          <w:tcPr>
            <w:tcW w:w="581"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453" w:lineRule="auto"/>
              <w:ind w:left="105" w:right="103" w:firstLine="90"/>
              <w:jc w:val="left"/>
              <w:rPr>
                <w:rFonts w:ascii="宋体" w:hAnsi="宋体" w:cs="宋体" w:eastAsia="宋体" w:hint="default"/>
                <w:sz w:val="18"/>
                <w:szCs w:val="18"/>
              </w:rPr>
            </w:pPr>
            <w:r>
              <w:rPr>
                <w:rFonts w:ascii="宋体" w:hAnsi="宋体" w:cs="宋体" w:eastAsia="宋体" w:hint="default"/>
                <w:sz w:val="18"/>
                <w:szCs w:val="18"/>
              </w:rPr>
              <w:t>坡 马来 西亚</w:t>
            </w:r>
          </w:p>
        </w:tc>
        <w:tc>
          <w:tcPr>
            <w:tcW w:w="778"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7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453" w:lineRule="auto"/>
              <w:ind w:left="122" w:right="122"/>
              <w:jc w:val="center"/>
              <w:rPr>
                <w:rFonts w:ascii="宋体" w:hAnsi="宋体" w:cs="宋体" w:eastAsia="宋体" w:hint="default"/>
                <w:sz w:val="18"/>
                <w:szCs w:val="18"/>
              </w:rPr>
            </w:pPr>
            <w:r>
              <w:rPr>
                <w:rFonts w:ascii="宋体" w:hAnsi="宋体" w:cs="宋体" w:eastAsia="宋体" w:hint="default"/>
                <w:sz w:val="18"/>
                <w:szCs w:val="18"/>
              </w:rPr>
              <w:t>系统 销售终端 系统</w:t>
            </w:r>
          </w:p>
        </w:tc>
        <w:tc>
          <w:tcPr>
            <w:tcW w:w="97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46.20</w:t>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02" w:right="0"/>
              <w:jc w:val="center"/>
              <w:rPr>
                <w:rFonts w:ascii="宋体" w:hAnsi="宋体" w:cs="宋体" w:eastAsia="宋体" w:hint="default"/>
                <w:sz w:val="18"/>
                <w:szCs w:val="18"/>
              </w:rPr>
            </w:pPr>
            <w:r>
              <w:rPr>
                <w:rFonts w:ascii="宋体" w:hAnsi="宋体" w:cs="宋体" w:eastAsia="宋体" w:hint="default"/>
                <w:sz w:val="18"/>
                <w:szCs w:val="18"/>
              </w:rPr>
              <w:t>马币</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68" w:right="0"/>
              <w:jc w:val="center"/>
              <w:rPr>
                <w:rFonts w:ascii="Times New Roman" w:hAnsi="Times New Roman" w:cs="Times New Roman" w:eastAsia="Times New Roman" w:hint="default"/>
                <w:sz w:val="18"/>
                <w:szCs w:val="18"/>
              </w:rPr>
            </w:pPr>
            <w:r>
              <w:rPr>
                <w:rFonts w:ascii="Times New Roman"/>
                <w:sz w:val="18"/>
              </w:rPr>
              <w:t>0.0002</w:t>
            </w:r>
          </w:p>
        </w:tc>
        <w:tc>
          <w:tcPr>
            <w:tcW w:w="976"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vMerge w:val="restart"/>
            <w:tcBorders>
              <w:top w:val="single" w:sz="6" w:space="0" w:color="000000"/>
              <w:left w:val="single" w:sz="4" w:space="0" w:color="000000"/>
              <w:right w:val="nil" w:sz="6" w:space="0" w:color="auto"/>
            </w:tcBorders>
          </w:tcPr>
          <w:p>
            <w:pPr/>
          </w:p>
        </w:tc>
      </w:tr>
      <w:tr>
        <w:trPr>
          <w:trHeight w:val="892" w:hRule="exact"/>
        </w:trPr>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119"/>
              <w:ind w:left="1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9"/>
                <w:sz w:val="18"/>
              </w:rPr>
              <w:t> </w:t>
            </w:r>
            <w:r>
              <w:rPr>
                <w:rFonts w:ascii="Times New Roman"/>
                <w:sz w:val="18"/>
              </w:rPr>
              <w:t>Ltd</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456" w:lineRule="auto" w:before="68"/>
              <w:ind w:left="204" w:right="114"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456" w:lineRule="auto" w:before="68"/>
              <w:ind w:left="112" w:right="11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58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77" w:type="dxa"/>
            <w:tcBorders>
              <w:top w:val="nil" w:sz="6" w:space="0" w:color="auto"/>
              <w:left w:val="single" w:sz="4" w:space="0" w:color="000000"/>
              <w:bottom w:val="nil" w:sz="6" w:space="0" w:color="auto"/>
              <w:right w:val="single" w:sz="4" w:space="0" w:color="000000"/>
            </w:tcBorders>
          </w:tcPr>
          <w:p>
            <w:pPr>
              <w:pStyle w:val="TableParagraph"/>
              <w:spacing w:line="456" w:lineRule="auto" w:before="68"/>
              <w:ind w:left="302" w:right="122" w:hanging="180"/>
              <w:jc w:val="left"/>
              <w:rPr>
                <w:rFonts w:ascii="宋体" w:hAnsi="宋体" w:cs="宋体" w:eastAsia="宋体" w:hint="default"/>
                <w:sz w:val="18"/>
                <w:szCs w:val="18"/>
              </w:rPr>
            </w:pPr>
            <w:r>
              <w:rPr>
                <w:rFonts w:ascii="宋体" w:hAnsi="宋体" w:cs="宋体" w:eastAsia="宋体" w:hint="default"/>
                <w:sz w:val="18"/>
                <w:szCs w:val="18"/>
              </w:rPr>
              <w:t>销售终端 系统</w:t>
            </w:r>
          </w:p>
        </w:tc>
        <w:tc>
          <w:tcPr>
            <w:tcW w:w="97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370" w:right="0" w:firstLine="134"/>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100.00</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05" w:right="0"/>
              <w:jc w:val="left"/>
              <w:rPr>
                <w:rFonts w:ascii="Times New Roman" w:hAnsi="Times New Roman" w:cs="Times New Roman" w:eastAsia="Times New Roman" w:hint="default"/>
                <w:sz w:val="18"/>
                <w:szCs w:val="18"/>
              </w:rPr>
            </w:pPr>
            <w:r>
              <w:rPr>
                <w:rFonts w:ascii="Times New Roman"/>
                <w:sz w:val="18"/>
              </w:rPr>
              <w:t>70.00%</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70.00%</w:t>
            </w:r>
          </w:p>
        </w:tc>
        <w:tc>
          <w:tcPr>
            <w:tcW w:w="1205" w:type="dxa"/>
            <w:vMerge/>
            <w:tcBorders>
              <w:left w:val="single" w:sz="4" w:space="0" w:color="000000"/>
              <w:right w:val="nil" w:sz="6" w:space="0" w:color="auto"/>
            </w:tcBorders>
          </w:tcPr>
          <w:p>
            <w:pPr/>
          </w:p>
        </w:tc>
      </w:tr>
      <w:tr>
        <w:trPr>
          <w:trHeight w:val="793" w:hRule="exact"/>
        </w:trPr>
        <w:tc>
          <w:tcPr>
            <w:tcW w:w="1704" w:type="dxa"/>
            <w:tcBorders>
              <w:top w:val="nil" w:sz="6" w:space="0" w:color="auto"/>
              <w:left w:val="nil" w:sz="6" w:space="0" w:color="auto"/>
              <w:bottom w:val="single" w:sz="12" w:space="0" w:color="000000"/>
              <w:right w:val="single" w:sz="4" w:space="0" w:color="000000"/>
            </w:tcBorders>
          </w:tcPr>
          <w:p>
            <w:pPr>
              <w:pStyle w:val="TableParagraph"/>
              <w:spacing w:line="240" w:lineRule="auto" w:before="119"/>
              <w:ind w:left="1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13"/>
                <w:sz w:val="18"/>
              </w:rPr>
              <w:t> </w:t>
            </w:r>
            <w:r>
              <w:rPr>
                <w:rFonts w:ascii="Times New Roman"/>
                <w:sz w:val="18"/>
              </w:rPr>
              <w:t>Ltd</w:t>
            </w:r>
          </w:p>
        </w:tc>
        <w:tc>
          <w:tcPr>
            <w:tcW w:w="7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left="204" w:right="0" w:hanging="90"/>
              <w:jc w:val="left"/>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left="112"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58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李德利</w:t>
            </w:r>
          </w:p>
        </w:tc>
        <w:tc>
          <w:tcPr>
            <w:tcW w:w="9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销售终端</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9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left="370" w:right="0" w:firstLine="134"/>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0.0002</w:t>
            </w:r>
          </w:p>
        </w:tc>
        <w:tc>
          <w:tcPr>
            <w:tcW w:w="9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left="160"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100.00%</w:t>
            </w:r>
          </w:p>
        </w:tc>
        <w:tc>
          <w:tcPr>
            <w:tcW w:w="1205"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pStyle w:val="BodyText"/>
        <w:spacing w:line="240" w:lineRule="auto" w:before="35"/>
        <w:ind w:left="674" w:right="210"/>
        <w:jc w:val="left"/>
      </w:pPr>
      <w:r>
        <w:rPr>
          <w:rFonts w:ascii="Times New Roman" w:hAnsi="Times New Roman" w:cs="Times New Roman" w:eastAsia="Times New Roman" w:hint="default"/>
        </w:rPr>
        <w:t>4</w:t>
      </w:r>
      <w:r>
        <w:rPr/>
        <w:t>．关联方交易</w:t>
      </w:r>
    </w:p>
    <w:p>
      <w:pPr>
        <w:pStyle w:val="BodyText"/>
        <w:spacing w:line="240" w:lineRule="auto" w:before="169"/>
        <w:ind w:left="674" w:right="210"/>
        <w:jc w:val="left"/>
      </w:pPr>
      <w:r>
        <w:rPr/>
        <w:t>（</w:t>
      </w:r>
      <w:r>
        <w:rPr>
          <w:rFonts w:ascii="Times New Roman" w:hAnsi="Times New Roman" w:cs="Times New Roman" w:eastAsia="Times New Roman" w:hint="default"/>
        </w:rPr>
        <w:t>1</w:t>
      </w:r>
      <w:r>
        <w:rPr/>
        <w:t>）公司报告期内与纳入合并报表范围的子公司交易均已抵销。</w:t>
      </w:r>
    </w:p>
    <w:p>
      <w:pPr>
        <w:pStyle w:val="BodyText"/>
        <w:spacing w:line="240" w:lineRule="auto" w:before="169"/>
        <w:ind w:left="674" w:right="210"/>
        <w:jc w:val="left"/>
      </w:pPr>
      <w:r>
        <w:rPr/>
        <w:t>（</w:t>
      </w:r>
      <w:r>
        <w:rPr>
          <w:rFonts w:ascii="Times New Roman" w:hAnsi="Times New Roman" w:cs="Times New Roman" w:eastAsia="Times New Roman" w:hint="default"/>
        </w:rPr>
        <w:t>2</w:t>
      </w:r>
      <w:r>
        <w:rPr/>
        <w:t>）关联方应收应付款项期末无余额。</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line="400" w:lineRule="auto" w:before="0"/>
        <w:ind w:left="674" w:right="6090" w:firstLine="2"/>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b/>
          <w:bCs/>
          <w:w w:val="99"/>
          <w:sz w:val="21"/>
          <w:szCs w:val="21"/>
        </w:rPr>
        <w:t> </w:t>
      </w:r>
      <w:r>
        <w:rPr>
          <w:rFonts w:ascii="宋体" w:hAnsi="宋体" w:cs="宋体" w:eastAsia="宋体" w:hint="default"/>
          <w:sz w:val="21"/>
          <w:szCs w:val="21"/>
        </w:rPr>
        <w:t>报告期内无需披露的重大或有事项。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400" w:lineRule="auto" w:before="0"/>
        <w:ind w:left="674" w:right="5670" w:firstLine="2"/>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b/>
          <w:bCs/>
          <w:w w:val="99"/>
          <w:sz w:val="21"/>
          <w:szCs w:val="21"/>
        </w:rPr>
        <w:t> </w:t>
      </w:r>
      <w:r>
        <w:rPr>
          <w:rFonts w:ascii="宋体" w:hAnsi="宋体" w:cs="宋体" w:eastAsia="宋体" w:hint="default"/>
          <w:sz w:val="21"/>
          <w:szCs w:val="21"/>
        </w:rPr>
        <w:t>公司报告期内无需披露的重大承诺事项。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left="676" w:right="210"/>
        <w:jc w:val="left"/>
        <w:rPr>
          <w:b w:val="0"/>
          <w:bCs w:val="0"/>
        </w:rPr>
      </w:pPr>
      <w:r>
        <w:rPr/>
        <w:t>（九）资产负债表日后事项</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674" w:right="210"/>
        <w:jc w:val="left"/>
      </w:pPr>
      <w:r>
        <w:rPr>
          <w:rFonts w:ascii="Times New Roman" w:hAnsi="Times New Roman" w:cs="Times New Roman" w:eastAsia="Times New Roman" w:hint="default"/>
        </w:rPr>
        <w:t>1</w:t>
      </w:r>
      <w:r>
        <w:rPr/>
        <w:t>、资产负债表日后利润分配情况说明</w:t>
      </w:r>
    </w:p>
    <w:tbl>
      <w:tblPr>
        <w:tblW w:w="0" w:type="auto"/>
        <w:jc w:val="left"/>
        <w:tblInd w:w="212" w:type="dxa"/>
        <w:tblLayout w:type="fixed"/>
        <w:tblCellMar>
          <w:top w:w="0" w:type="dxa"/>
          <w:left w:w="0" w:type="dxa"/>
          <w:bottom w:w="0" w:type="dxa"/>
          <w:right w:w="0" w:type="dxa"/>
        </w:tblCellMar>
        <w:tblLook w:val="01E0"/>
      </w:tblPr>
      <w:tblGrid>
        <w:gridCol w:w="5212"/>
        <w:gridCol w:w="4496"/>
      </w:tblGrid>
      <w:tr>
        <w:trPr>
          <w:trHeight w:val="479" w:hRule="exact"/>
        </w:trPr>
        <w:tc>
          <w:tcPr>
            <w:tcW w:w="5212"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4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71" w:hRule="exact"/>
        </w:trPr>
        <w:tc>
          <w:tcPr>
            <w:tcW w:w="5212"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4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496"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107,520,000.00</w:t>
            </w:r>
          </w:p>
        </w:tc>
      </w:tr>
      <w:tr>
        <w:trPr>
          <w:trHeight w:val="369" w:hRule="exact"/>
        </w:trPr>
        <w:tc>
          <w:tcPr>
            <w:tcW w:w="5212"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4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4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right="25"/>
              <w:jc w:val="right"/>
              <w:rPr>
                <w:rFonts w:ascii="Times New Roman" w:hAnsi="Times New Roman" w:cs="Times New Roman" w:eastAsia="Times New Roman" w:hint="default"/>
                <w:sz w:val="21"/>
                <w:szCs w:val="21"/>
              </w:rPr>
            </w:pPr>
            <w:r>
              <w:rPr>
                <w:rFonts w:ascii="Times New Roman"/>
                <w:spacing w:val="-1"/>
                <w:sz w:val="21"/>
              </w:rPr>
              <w:t>107,520,000.00</w:t>
            </w:r>
          </w:p>
        </w:tc>
      </w:tr>
    </w:tbl>
    <w:p>
      <w:pPr>
        <w:spacing w:line="240" w:lineRule="auto" w:before="4"/>
        <w:rPr>
          <w:rFonts w:ascii="宋体" w:hAnsi="宋体" w:cs="宋体" w:eastAsia="宋体" w:hint="default"/>
          <w:sz w:val="10"/>
          <w:szCs w:val="10"/>
        </w:rPr>
      </w:pPr>
    </w:p>
    <w:p>
      <w:pPr>
        <w:pStyle w:val="BodyText"/>
        <w:spacing w:line="379" w:lineRule="auto" w:before="35"/>
        <w:ind w:left="253" w:right="210" w:firstLine="420"/>
        <w:jc w:val="left"/>
      </w:pPr>
      <w:r>
        <w:rPr>
          <w:spacing w:val="-1"/>
        </w:rPr>
        <w:t>注：根据公司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7</w:t>
      </w:r>
      <w:r>
        <w:rPr>
          <w:spacing w:val="-1"/>
        </w:rPr>
        <w:t>日董事会决议</w:t>
      </w:r>
      <w:r>
        <w:rPr>
          <w:rFonts w:ascii="Times New Roman" w:hAnsi="Times New Roman" w:cs="Times New Roman" w:eastAsia="Times New Roman" w:hint="default"/>
          <w:spacing w:val="-1"/>
        </w:rPr>
        <w:t>2010</w:t>
      </w:r>
      <w:r>
        <w:rPr>
          <w:spacing w:val="-1"/>
        </w:rPr>
        <w:t>年度利润分配预案：公司拟以</w:t>
      </w:r>
      <w:r>
        <w:rPr>
          <w:rFonts w:ascii="Times New Roman" w:hAnsi="Times New Roman" w:cs="Times New Roman" w:eastAsia="Times New Roman" w:hint="default"/>
          <w:spacing w:val="-1"/>
        </w:rPr>
        <w:t>2010</w:t>
      </w:r>
      <w:r>
        <w:rPr>
          <w:spacing w:val="-1"/>
        </w:rPr>
        <w:t>年末总股本为基数，以</w:t>
      </w:r>
      <w:r>
        <w:rPr/>
        <w:t> 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3.8</w:t>
      </w:r>
      <w:r>
        <w:rPr/>
        <w:t>股股本，以未分配利润向全体股东按每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 股利，上述预案尚需经股东大会批准。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ind w:left="676" w:right="210"/>
        <w:jc w:val="left"/>
        <w:rPr>
          <w:b w:val="0"/>
          <w:bCs w:val="0"/>
        </w:rPr>
      </w:pPr>
      <w:r>
        <w:rPr/>
        <w:t>（十）其他重大事项</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673" w:right="210"/>
        <w:jc w:val="left"/>
      </w:pPr>
      <w:r>
        <w:rPr>
          <w:rFonts w:ascii="Times New Roman" w:hAnsi="Times New Roman" w:cs="Times New Roman" w:eastAsia="Times New Roman" w:hint="default"/>
        </w:rPr>
        <w:t>1</w:t>
      </w:r>
      <w:r>
        <w:rPr/>
        <w:t>．以公允价值计量的资产和负债</w:t>
      </w:r>
    </w:p>
    <w:tbl>
      <w:tblPr>
        <w:tblW w:w="0" w:type="auto"/>
        <w:jc w:val="left"/>
        <w:tblInd w:w="116" w:type="dxa"/>
        <w:tblLayout w:type="fixed"/>
        <w:tblCellMar>
          <w:top w:w="0" w:type="dxa"/>
          <w:left w:w="0" w:type="dxa"/>
          <w:bottom w:w="0" w:type="dxa"/>
          <w:right w:w="0" w:type="dxa"/>
        </w:tblCellMar>
        <w:tblLook w:val="01E0"/>
      </w:tblPr>
      <w:tblGrid>
        <w:gridCol w:w="2317"/>
        <w:gridCol w:w="1390"/>
        <w:gridCol w:w="1588"/>
        <w:gridCol w:w="1984"/>
        <w:gridCol w:w="1200"/>
        <w:gridCol w:w="1391"/>
      </w:tblGrid>
      <w:tr>
        <w:trPr>
          <w:trHeight w:val="940" w:hRule="exact"/>
        </w:trPr>
        <w:tc>
          <w:tcPr>
            <w:tcW w:w="2317"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tabs>
                <w:tab w:pos="56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9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88" w:type="dxa"/>
            <w:tcBorders>
              <w:top w:val="single" w:sz="12" w:space="0" w:color="000000"/>
              <w:left w:val="single" w:sz="6" w:space="0" w:color="000000"/>
              <w:bottom w:val="single" w:sz="4" w:space="0" w:color="000000"/>
              <w:right w:val="single" w:sz="6" w:space="0" w:color="000000"/>
            </w:tcBorders>
          </w:tcPr>
          <w:p>
            <w:pPr>
              <w:pStyle w:val="TableParagraph"/>
              <w:spacing w:line="460" w:lineRule="exact" w:before="38"/>
              <w:ind w:left="515" w:right="155"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984" w:type="dxa"/>
            <w:tcBorders>
              <w:top w:val="single" w:sz="12" w:space="0" w:color="000000"/>
              <w:left w:val="single" w:sz="6" w:space="0" w:color="000000"/>
              <w:bottom w:val="single" w:sz="4" w:space="0" w:color="000000"/>
              <w:right w:val="single" w:sz="6" w:space="0" w:color="000000"/>
            </w:tcBorders>
          </w:tcPr>
          <w:p>
            <w:pPr>
              <w:pStyle w:val="TableParagraph"/>
              <w:spacing w:line="460" w:lineRule="exact" w:before="38"/>
              <w:ind w:left="623" w:right="173" w:hanging="450"/>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200" w:type="dxa"/>
            <w:tcBorders>
              <w:top w:val="single" w:sz="12" w:space="0" w:color="000000"/>
              <w:left w:val="single" w:sz="6" w:space="0" w:color="000000"/>
              <w:bottom w:val="single" w:sz="4" w:space="0" w:color="000000"/>
              <w:right w:val="single" w:sz="6" w:space="0" w:color="000000"/>
            </w:tcBorders>
          </w:tcPr>
          <w:p>
            <w:pPr>
              <w:pStyle w:val="TableParagraph"/>
              <w:spacing w:line="460" w:lineRule="exact" w:before="38"/>
              <w:ind w:left="412" w:right="14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391" w:type="dxa"/>
            <w:tcBorders>
              <w:top w:val="single" w:sz="12" w:space="0" w:color="000000"/>
              <w:left w:val="single" w:sz="6"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79" w:hRule="exact"/>
        </w:trPr>
        <w:tc>
          <w:tcPr>
            <w:tcW w:w="2317"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390" w:type="dxa"/>
            <w:tcBorders>
              <w:top w:val="single" w:sz="4" w:space="0" w:color="000000"/>
              <w:left w:val="single" w:sz="6" w:space="0" w:color="000000"/>
              <w:bottom w:val="single" w:sz="12" w:space="0" w:color="000000"/>
              <w:right w:val="single" w:sz="6" w:space="0" w:color="000000"/>
            </w:tcBorders>
          </w:tcPr>
          <w:p>
            <w:pPr/>
          </w:p>
        </w:tc>
        <w:tc>
          <w:tcPr>
            <w:tcW w:w="1588" w:type="dxa"/>
            <w:tcBorders>
              <w:top w:val="single" w:sz="4" w:space="0" w:color="000000"/>
              <w:left w:val="single" w:sz="6" w:space="0" w:color="000000"/>
              <w:bottom w:val="single" w:sz="12" w:space="0" w:color="000000"/>
              <w:right w:val="single" w:sz="6" w:space="0" w:color="000000"/>
            </w:tcBorders>
          </w:tcPr>
          <w:p>
            <w:pPr/>
          </w:p>
        </w:tc>
        <w:tc>
          <w:tcPr>
            <w:tcW w:w="1984" w:type="dxa"/>
            <w:tcBorders>
              <w:top w:val="single" w:sz="4" w:space="0" w:color="000000"/>
              <w:left w:val="single" w:sz="6" w:space="0" w:color="000000"/>
              <w:bottom w:val="single" w:sz="12" w:space="0" w:color="000000"/>
              <w:right w:val="single" w:sz="6" w:space="0" w:color="000000"/>
            </w:tcBorders>
          </w:tcPr>
          <w:p>
            <w:pPr/>
          </w:p>
        </w:tc>
        <w:tc>
          <w:tcPr>
            <w:tcW w:w="1200" w:type="dxa"/>
            <w:tcBorders>
              <w:top w:val="single" w:sz="4" w:space="0" w:color="000000"/>
              <w:left w:val="single" w:sz="6" w:space="0" w:color="000000"/>
              <w:bottom w:val="single" w:sz="12" w:space="0" w:color="000000"/>
              <w:right w:val="single" w:sz="6" w:space="0" w:color="000000"/>
            </w:tcBorders>
          </w:tcPr>
          <w:p>
            <w:pPr/>
          </w:p>
        </w:tc>
        <w:tc>
          <w:tcPr>
            <w:tcW w:w="1391" w:type="dxa"/>
            <w:tcBorders>
              <w:top w:val="single" w:sz="4" w:space="0" w:color="000000"/>
              <w:left w:val="single" w:sz="6" w:space="0" w:color="000000"/>
              <w:bottom w:val="single" w:sz="12" w:space="0" w:color="000000"/>
              <w:right w:val="nil" w:sz="6" w:space="0" w:color="auto"/>
            </w:tcBorders>
          </w:tcPr>
          <w:p>
            <w:pPr/>
          </w:p>
        </w:tc>
      </w:tr>
    </w:tbl>
    <w:p>
      <w:pPr>
        <w:spacing w:after="0"/>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317"/>
        <w:gridCol w:w="1390"/>
        <w:gridCol w:w="1588"/>
        <w:gridCol w:w="1984"/>
        <w:gridCol w:w="1200"/>
        <w:gridCol w:w="1391"/>
      </w:tblGrid>
      <w:tr>
        <w:trPr>
          <w:trHeight w:val="1514" w:hRule="exact"/>
        </w:trPr>
        <w:tc>
          <w:tcPr>
            <w:tcW w:w="2317" w:type="dxa"/>
            <w:tcBorders>
              <w:top w:val="single" w:sz="18" w:space="0" w:color="000000"/>
              <w:left w:val="nil" w:sz="6" w:space="0" w:color="auto"/>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441" w:lineRule="auto"/>
              <w:ind w:left="1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14"/>
                <w:sz w:val="18"/>
                <w:szCs w:val="18"/>
              </w:rPr>
              <w:t>以公允价值计量且其变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动计入当期损益的金融资</w:t>
            </w:r>
            <w:r>
              <w:rPr>
                <w:rFonts w:ascii="宋体" w:hAnsi="宋体" w:cs="宋体" w:eastAsia="宋体" w:hint="default"/>
                <w:sz w:val="18"/>
                <w:szCs w:val="18"/>
              </w:rPr>
            </w:r>
          </w:p>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产（不含衍生金融资产）</w:t>
            </w:r>
          </w:p>
        </w:tc>
        <w:tc>
          <w:tcPr>
            <w:tcW w:w="1390" w:type="dxa"/>
            <w:tcBorders>
              <w:top w:val="single" w:sz="18" w:space="0" w:color="000000"/>
              <w:left w:val="single" w:sz="6" w:space="0" w:color="000000"/>
              <w:bottom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66,916.48</w:t>
            </w:r>
          </w:p>
        </w:tc>
        <w:tc>
          <w:tcPr>
            <w:tcW w:w="1588" w:type="dxa"/>
            <w:vMerge w:val="restart"/>
            <w:tcBorders>
              <w:top w:val="single" w:sz="18" w:space="0" w:color="000000"/>
              <w:left w:val="single" w:sz="6" w:space="0" w:color="000000"/>
              <w:right w:val="single" w:sz="6" w:space="0" w:color="000000"/>
            </w:tcBorders>
          </w:tcPr>
          <w:p>
            <w:pPr/>
          </w:p>
        </w:tc>
        <w:tc>
          <w:tcPr>
            <w:tcW w:w="1984" w:type="dxa"/>
            <w:tcBorders>
              <w:top w:val="single" w:sz="18" w:space="0" w:color="000000"/>
              <w:left w:val="single" w:sz="6" w:space="0" w:color="000000"/>
              <w:bottom w:val="nil" w:sz="6" w:space="0" w:color="auto"/>
              <w:right w:val="single" w:sz="6" w:space="0" w:color="000000"/>
            </w:tcBorders>
          </w:tcPr>
          <w:p>
            <w:pPr/>
          </w:p>
        </w:tc>
        <w:tc>
          <w:tcPr>
            <w:tcW w:w="1200" w:type="dxa"/>
            <w:vMerge w:val="restart"/>
            <w:tcBorders>
              <w:top w:val="single" w:sz="18" w:space="0" w:color="000000"/>
              <w:left w:val="single" w:sz="6" w:space="0" w:color="000000"/>
              <w:right w:val="single" w:sz="6" w:space="0" w:color="000000"/>
            </w:tcBorders>
          </w:tcPr>
          <w:p>
            <w:pPr/>
          </w:p>
        </w:tc>
        <w:tc>
          <w:tcPr>
            <w:tcW w:w="1391" w:type="dxa"/>
            <w:tcBorders>
              <w:top w:val="single" w:sz="18" w:space="0" w:color="000000"/>
              <w:left w:val="single" w:sz="6" w:space="0" w:color="000000"/>
              <w:bottom w:val="nil" w:sz="6" w:space="0" w:color="auto"/>
              <w:right w:val="nil" w:sz="6" w:space="0" w:color="auto"/>
            </w:tcBorders>
          </w:tcPr>
          <w:p>
            <w:pPr/>
          </w:p>
        </w:tc>
      </w:tr>
      <w:tr>
        <w:trPr>
          <w:trHeight w:val="469" w:hRule="exact"/>
        </w:trPr>
        <w:tc>
          <w:tcPr>
            <w:tcW w:w="2317" w:type="dxa"/>
            <w:tcBorders>
              <w:top w:val="nil" w:sz="6" w:space="0" w:color="auto"/>
              <w:left w:val="nil" w:sz="6" w:space="0" w:color="auto"/>
              <w:bottom w:val="nil" w:sz="6" w:space="0" w:color="auto"/>
              <w:right w:val="single" w:sz="6"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w:t>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z w:val="18"/>
              </w:rPr>
              <w:t>334,582.40</w:t>
            </w:r>
          </w:p>
        </w:tc>
        <w:tc>
          <w:tcPr>
            <w:tcW w:w="1588" w:type="dxa"/>
            <w:vMerge/>
            <w:tcBorders>
              <w:left w:val="single" w:sz="6" w:space="0" w:color="000000"/>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97"/>
              <w:jc w:val="right"/>
              <w:rPr>
                <w:rFonts w:ascii="Times New Roman" w:hAnsi="Times New Roman" w:cs="Times New Roman" w:eastAsia="Times New Roman" w:hint="default"/>
                <w:sz w:val="18"/>
                <w:szCs w:val="18"/>
              </w:rPr>
            </w:pPr>
            <w:r>
              <w:rPr>
                <w:rFonts w:ascii="Times New Roman"/>
                <w:spacing w:val="-1"/>
                <w:sz w:val="18"/>
              </w:rPr>
              <w:t>-11,240.40</w:t>
            </w:r>
          </w:p>
        </w:tc>
        <w:tc>
          <w:tcPr>
            <w:tcW w:w="1200" w:type="dxa"/>
            <w:vMerge/>
            <w:tcBorders>
              <w:left w:val="single" w:sz="6" w:space="0" w:color="000000"/>
              <w:right w:val="single" w:sz="6" w:space="0" w:color="000000"/>
            </w:tcBorders>
          </w:tcPr>
          <w:p>
            <w:pPr/>
          </w:p>
        </w:tc>
        <w:tc>
          <w:tcPr>
            <w:tcW w:w="1391" w:type="dxa"/>
            <w:tcBorders>
              <w:top w:val="nil" w:sz="6" w:space="0" w:color="auto"/>
              <w:left w:val="single" w:sz="6" w:space="0" w:color="000000"/>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323,342.00</w:t>
            </w:r>
          </w:p>
        </w:tc>
      </w:tr>
      <w:tr>
        <w:trPr>
          <w:trHeight w:val="354" w:hRule="exact"/>
        </w:trPr>
        <w:tc>
          <w:tcPr>
            <w:tcW w:w="2317" w:type="dxa"/>
            <w:tcBorders>
              <w:top w:val="nil" w:sz="6" w:space="0" w:color="auto"/>
              <w:left w:val="nil" w:sz="6" w:space="0" w:color="auto"/>
              <w:bottom w:val="single" w:sz="12"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9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401,498.88</w:t>
            </w:r>
          </w:p>
        </w:tc>
        <w:tc>
          <w:tcPr>
            <w:tcW w:w="1588" w:type="dxa"/>
            <w:vMerge/>
            <w:tcBorders>
              <w:left w:val="single" w:sz="6" w:space="0" w:color="000000"/>
              <w:bottom w:val="single" w:sz="12" w:space="0" w:color="000000"/>
              <w:right w:val="single" w:sz="6" w:space="0" w:color="000000"/>
            </w:tcBorders>
          </w:tcPr>
          <w:p>
            <w:pPr/>
          </w:p>
        </w:tc>
        <w:tc>
          <w:tcPr>
            <w:tcW w:w="198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-11,240.40</w:t>
            </w:r>
          </w:p>
        </w:tc>
        <w:tc>
          <w:tcPr>
            <w:tcW w:w="1200" w:type="dxa"/>
            <w:vMerge/>
            <w:tcBorders>
              <w:left w:val="single" w:sz="6" w:space="0" w:color="000000"/>
              <w:bottom w:val="single" w:sz="12" w:space="0" w:color="000000"/>
              <w:right w:val="single" w:sz="6" w:space="0" w:color="000000"/>
            </w:tcBorders>
          </w:tcPr>
          <w:p>
            <w:pPr/>
          </w:p>
        </w:tc>
        <w:tc>
          <w:tcPr>
            <w:tcW w:w="1391" w:type="dxa"/>
            <w:tcBorders>
              <w:top w:val="nil" w:sz="6" w:space="0" w:color="auto"/>
              <w:left w:val="single" w:sz="6" w:space="0" w:color="000000"/>
              <w:bottom w:val="single" w:sz="12" w:space="0" w:color="000000"/>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z w:val="18"/>
              </w:rPr>
              <w:t>323,342.00</w:t>
            </w:r>
          </w:p>
        </w:tc>
      </w:tr>
    </w:tbl>
    <w:p>
      <w:pPr>
        <w:spacing w:line="240" w:lineRule="auto" w:before="13"/>
        <w:rPr>
          <w:rFonts w:ascii="宋体" w:hAnsi="宋体" w:cs="宋体" w:eastAsia="宋体" w:hint="default"/>
          <w:sz w:val="5"/>
          <w:szCs w:val="5"/>
        </w:rPr>
      </w:pPr>
    </w:p>
    <w:p>
      <w:pPr>
        <w:pStyle w:val="BodyText"/>
        <w:spacing w:line="240" w:lineRule="auto" w:before="35"/>
        <w:ind w:left="654" w:right="101"/>
        <w:jc w:val="left"/>
      </w:pPr>
      <w:r>
        <w:rPr>
          <w:rFonts w:ascii="Times New Roman" w:hAnsi="Times New Roman" w:cs="Times New Roman" w:eastAsia="Times New Roman" w:hint="default"/>
        </w:rPr>
        <w:t>2</w:t>
      </w:r>
      <w:r>
        <w:rPr/>
        <w:t>．外币金融资产和外币金融负债</w:t>
      </w:r>
    </w:p>
    <w:tbl>
      <w:tblPr>
        <w:tblW w:w="0" w:type="auto"/>
        <w:jc w:val="left"/>
        <w:tblInd w:w="111" w:type="dxa"/>
        <w:tblLayout w:type="fixed"/>
        <w:tblCellMar>
          <w:top w:w="0" w:type="dxa"/>
          <w:left w:w="0" w:type="dxa"/>
          <w:bottom w:w="0" w:type="dxa"/>
          <w:right w:w="0" w:type="dxa"/>
        </w:tblCellMar>
        <w:tblLook w:val="01E0"/>
      </w:tblPr>
      <w:tblGrid>
        <w:gridCol w:w="2317"/>
        <w:gridCol w:w="1390"/>
        <w:gridCol w:w="1585"/>
        <w:gridCol w:w="1986"/>
        <w:gridCol w:w="1186"/>
        <w:gridCol w:w="1405"/>
      </w:tblGrid>
      <w:tr>
        <w:trPr>
          <w:trHeight w:val="860" w:hRule="exact"/>
        </w:trPr>
        <w:tc>
          <w:tcPr>
            <w:tcW w:w="231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57" w:val="left" w:leader="none"/>
              </w:tabs>
              <w:spacing w:line="240" w:lineRule="auto" w:before="131"/>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28"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85" w:type="dxa"/>
            <w:tcBorders>
              <w:top w:val="single" w:sz="12" w:space="0" w:color="000000"/>
              <w:left w:val="single" w:sz="4" w:space="0" w:color="000000"/>
              <w:bottom w:val="single" w:sz="4" w:space="0" w:color="000000"/>
              <w:right w:val="single" w:sz="4" w:space="0" w:color="000000"/>
            </w:tcBorders>
          </w:tcPr>
          <w:p>
            <w:pPr>
              <w:pStyle w:val="TableParagraph"/>
              <w:spacing w:line="420" w:lineRule="exact" w:before="31"/>
              <w:ind w:left="518" w:right="155"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420" w:lineRule="exact" w:before="31"/>
              <w:ind w:left="627" w:right="176" w:hanging="450"/>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420" w:lineRule="exact" w:before="31"/>
              <w:ind w:left="406" w:right="137"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405"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7"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517" w:hRule="exact"/>
        </w:trPr>
        <w:tc>
          <w:tcPr>
            <w:tcW w:w="2317" w:type="dxa"/>
            <w:tcBorders>
              <w:top w:val="single" w:sz="4" w:space="0" w:color="000000"/>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390" w:type="dxa"/>
            <w:tcBorders>
              <w:top w:val="single" w:sz="4" w:space="0" w:color="000000"/>
              <w:left w:val="single" w:sz="4" w:space="0" w:color="000000"/>
              <w:bottom w:val="nil" w:sz="6" w:space="0" w:color="auto"/>
              <w:right w:val="single" w:sz="4" w:space="0" w:color="000000"/>
            </w:tcBorders>
          </w:tcPr>
          <w:p>
            <w:pPr/>
          </w:p>
        </w:tc>
        <w:tc>
          <w:tcPr>
            <w:tcW w:w="1585" w:type="dxa"/>
            <w:vMerge w:val="restart"/>
            <w:tcBorders>
              <w:top w:val="single" w:sz="4" w:space="0" w:color="000000"/>
              <w:left w:val="single" w:sz="4" w:space="0" w:color="000000"/>
              <w:right w:val="single" w:sz="4" w:space="0" w:color="000000"/>
            </w:tcBorders>
          </w:tcPr>
          <w:p>
            <w:pPr/>
          </w:p>
        </w:tc>
        <w:tc>
          <w:tcPr>
            <w:tcW w:w="1986" w:type="dxa"/>
            <w:tcBorders>
              <w:top w:val="single" w:sz="4" w:space="0" w:color="000000"/>
              <w:left w:val="single" w:sz="4" w:space="0" w:color="000000"/>
              <w:bottom w:val="nil" w:sz="6" w:space="0" w:color="auto"/>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405" w:type="dxa"/>
            <w:tcBorders>
              <w:top w:val="single" w:sz="4" w:space="0" w:color="000000"/>
              <w:left w:val="single" w:sz="4" w:space="0" w:color="000000"/>
              <w:bottom w:val="nil" w:sz="6" w:space="0" w:color="auto"/>
              <w:right w:val="nil" w:sz="6" w:space="0" w:color="auto"/>
            </w:tcBorders>
          </w:tcPr>
          <w:p>
            <w:pPr/>
          </w:p>
        </w:tc>
      </w:tr>
      <w:tr>
        <w:trPr>
          <w:trHeight w:val="1260"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415" w:lineRule="auto" w:before="64"/>
              <w:ind w:left="1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14"/>
                <w:sz w:val="18"/>
                <w:szCs w:val="18"/>
              </w:rPr>
              <w:t>以公允价值计量且其变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动计入当期损益的金融资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产（不含衍生金融资产）</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66,916.48</w:t>
            </w:r>
          </w:p>
        </w:tc>
        <w:tc>
          <w:tcPr>
            <w:tcW w:w="1585" w:type="dxa"/>
            <w:vMerge/>
            <w:tcBorders>
              <w:left w:val="single" w:sz="4" w:space="0" w:color="000000"/>
              <w:right w:val="single" w:sz="4" w:space="0" w:color="000000"/>
            </w:tcBorders>
          </w:tcPr>
          <w:p>
            <w:pPr/>
          </w:p>
        </w:tc>
        <w:tc>
          <w:tcPr>
            <w:tcW w:w="1986" w:type="dxa"/>
            <w:tcBorders>
              <w:top w:val="nil" w:sz="6" w:space="0" w:color="auto"/>
              <w:left w:val="single" w:sz="4" w:space="0" w:color="000000"/>
              <w:bottom w:val="nil" w:sz="6" w:space="0" w:color="auto"/>
              <w:right w:val="single" w:sz="4" w:space="0" w:color="000000"/>
            </w:tcBorders>
          </w:tcPr>
          <w:p>
            <w:pP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
        </w:tc>
      </w:tr>
      <w:tr>
        <w:trPr>
          <w:trHeight w:val="430" w:hRule="exact"/>
        </w:trPr>
        <w:tc>
          <w:tcPr>
            <w:tcW w:w="2317"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334,582.40</w:t>
            </w:r>
          </w:p>
        </w:tc>
        <w:tc>
          <w:tcPr>
            <w:tcW w:w="1585" w:type="dxa"/>
            <w:vMerge/>
            <w:tcBorders>
              <w:left w:val="single" w:sz="4" w:space="0" w:color="000000"/>
              <w:right w:val="single" w:sz="4" w:space="0" w:color="000000"/>
            </w:tcBorders>
          </w:tcPr>
          <w:p>
            <w:pPr/>
          </w:p>
        </w:tc>
        <w:tc>
          <w:tcPr>
            <w:tcW w:w="1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-11,240.40</w:t>
            </w:r>
          </w:p>
        </w:tc>
        <w:tc>
          <w:tcPr>
            <w:tcW w:w="1186" w:type="dxa"/>
            <w:vMerge/>
            <w:tcBorders>
              <w:left w:val="single" w:sz="4" w:space="0" w:color="000000"/>
              <w:right w:val="single" w:sz="4" w:space="0" w:color="000000"/>
            </w:tcBorders>
          </w:tcPr>
          <w:p>
            <w:pPr/>
          </w:p>
        </w:tc>
        <w:tc>
          <w:tcPr>
            <w:tcW w:w="1405"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323,342.00</w:t>
            </w:r>
          </w:p>
        </w:tc>
      </w:tr>
      <w:tr>
        <w:trPr>
          <w:trHeight w:val="333" w:hRule="exact"/>
        </w:trPr>
        <w:tc>
          <w:tcPr>
            <w:tcW w:w="2317" w:type="dxa"/>
            <w:tcBorders>
              <w:top w:val="nil" w:sz="6" w:space="0" w:color="auto"/>
              <w:left w:val="nil" w:sz="6" w:space="0" w:color="auto"/>
              <w:bottom w:val="single" w:sz="12"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401,498.88</w:t>
            </w:r>
          </w:p>
        </w:tc>
        <w:tc>
          <w:tcPr>
            <w:tcW w:w="1585" w:type="dxa"/>
            <w:vMerge/>
            <w:tcBorders>
              <w:left w:val="single" w:sz="4" w:space="0" w:color="000000"/>
              <w:bottom w:val="single" w:sz="12" w:space="0" w:color="000000"/>
              <w:right w:val="single" w:sz="4" w:space="0" w:color="000000"/>
            </w:tcBorders>
          </w:tcPr>
          <w:p>
            <w:pPr/>
          </w:p>
        </w:tc>
        <w:tc>
          <w:tcPr>
            <w:tcW w:w="19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-11,240.40</w:t>
            </w:r>
          </w:p>
        </w:tc>
        <w:tc>
          <w:tcPr>
            <w:tcW w:w="1186" w:type="dxa"/>
            <w:vMerge/>
            <w:tcBorders>
              <w:left w:val="single" w:sz="4" w:space="0" w:color="000000"/>
              <w:bottom w:val="single" w:sz="12" w:space="0" w:color="000000"/>
              <w:right w:val="single" w:sz="4" w:space="0" w:color="000000"/>
            </w:tcBorders>
          </w:tcPr>
          <w:p>
            <w:pPr/>
          </w:p>
        </w:tc>
        <w:tc>
          <w:tcPr>
            <w:tcW w:w="140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323,342.00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57" w:lineRule="auto" w:before="35"/>
        <w:ind w:left="234" w:right="209" w:firstLine="420"/>
        <w:jc w:val="both"/>
      </w:pPr>
      <w:r>
        <w:rPr>
          <w:rFonts w:ascii="Times New Roman" w:hAnsi="Times New Roman" w:cs="Times New Roman" w:eastAsia="Times New Roman" w:hint="default"/>
        </w:rPr>
        <w:t>3</w:t>
      </w:r>
      <w:r>
        <w:rPr/>
        <w:t>、根据公司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日</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年第一次临时股东大会决议，公司审议通过了《北京中长石基信 </w:t>
      </w:r>
      <w:r>
        <w:rPr>
          <w:spacing w:val="-1"/>
        </w:rPr>
        <w:t>息技术股份有限公司股票期权激励计划（草案）修订案》、《北京中长石基信息技术股份有限公司股权激</w:t>
      </w:r>
      <w:r>
        <w:rPr>
          <w:spacing w:val="-82"/>
        </w:rPr>
        <w:t> </w:t>
      </w:r>
      <w:r>
        <w:rPr>
          <w:spacing w:val="-82"/>
        </w:rPr>
      </w:r>
      <w:r>
        <w:rPr>
          <w:spacing w:val="-8"/>
        </w:rPr>
        <w:t>励计划实施考核办法》、《关于提请股东大会授权董事会办理股票期权激励计划相关事宜的议案》。</w:t>
      </w:r>
    </w:p>
    <w:p>
      <w:pPr>
        <w:pStyle w:val="BodyText"/>
        <w:spacing w:line="240" w:lineRule="auto" w:before="42"/>
        <w:ind w:left="654" w:right="101"/>
        <w:jc w:val="left"/>
      </w:pPr>
      <w:r>
        <w:rPr/>
        <w:t>根据公司股东大会的授权，</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日公司第三届董事会第十一次会议审议通过了《关于确</w:t>
      </w:r>
    </w:p>
    <w:p>
      <w:pPr>
        <w:pStyle w:val="BodyText"/>
        <w:spacing w:line="240" w:lineRule="auto" w:before="129"/>
        <w:ind w:left="234" w:right="101"/>
        <w:jc w:val="left"/>
      </w:pPr>
      <w:r>
        <w:rPr/>
        <w:t>定股票期权激励计划授予相关事项的议案</w:t>
      </w:r>
      <w:r>
        <w:rPr>
          <w:spacing w:val="-105"/>
        </w:rPr>
        <w:t>》</w:t>
      </w:r>
      <w:r>
        <w:rPr/>
        <w:t>，</w:t>
      </w:r>
      <w:r>
        <w:rPr>
          <w:spacing w:val="-2"/>
        </w:rPr>
        <w:t>确</w:t>
      </w:r>
      <w:r>
        <w:rPr/>
        <w:t>定公司股票期权激励计划授权日为</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日，授</w:t>
      </w:r>
    </w:p>
    <w:p>
      <w:pPr>
        <w:pStyle w:val="BodyText"/>
        <w:spacing w:line="345" w:lineRule="auto" w:before="129"/>
        <w:ind w:left="654" w:right="6050" w:hanging="420"/>
        <w:jc w:val="left"/>
      </w:pPr>
      <w:r>
        <w:rPr/>
        <w:t>予股票期权的行权价格为</w:t>
      </w:r>
      <w:r>
        <w:rPr>
          <w:spacing w:val="-54"/>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元。 本次授予股票期权的基本情况如下：</w:t>
      </w:r>
    </w:p>
    <w:p>
      <w:pPr>
        <w:pStyle w:val="BodyText"/>
        <w:spacing w:line="240" w:lineRule="auto" w:before="52"/>
        <w:ind w:left="654" w:right="101"/>
        <w:jc w:val="left"/>
      </w:pPr>
      <w:r>
        <w:rPr/>
        <w:t>①本次授予股票期权的授予日：</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w:t>
      </w:r>
    </w:p>
    <w:p>
      <w:pPr>
        <w:pStyle w:val="BodyText"/>
        <w:spacing w:line="345" w:lineRule="auto" w:before="129"/>
        <w:ind w:left="653" w:right="101"/>
        <w:jc w:val="left"/>
      </w:pPr>
      <w:r>
        <w:rPr/>
        <w:t>②本次授予股票期权数量：</w:t>
      </w:r>
      <w:r>
        <w:rPr>
          <w:rFonts w:ascii="Times New Roman" w:hAnsi="Times New Roman" w:cs="Times New Roman" w:eastAsia="Times New Roman" w:hint="default"/>
        </w:rPr>
        <w:t>287.60 </w:t>
      </w:r>
      <w:r>
        <w:rPr/>
        <w:t>万份，约占现总股本的</w:t>
      </w:r>
      <w:r>
        <w:rPr>
          <w:spacing w:val="-55"/>
        </w:rPr>
        <w:t> </w:t>
      </w:r>
      <w:r>
        <w:rPr>
          <w:rFonts w:ascii="Times New Roman" w:hAnsi="Times New Roman" w:cs="Times New Roman" w:eastAsia="Times New Roman" w:hint="default"/>
        </w:rPr>
        <w:t>1.2839%</w:t>
      </w:r>
      <w:r>
        <w:rPr/>
        <w:t>。 </w:t>
      </w:r>
      <w:r>
        <w:rPr>
          <w:spacing w:val="-1"/>
        </w:rPr>
        <w:t>注：公司本次股权激励计划授予日后至本次股票期权登记完成前，一名激励对象董建波辞职，原获授</w:t>
      </w:r>
    </w:p>
    <w:p>
      <w:pPr>
        <w:pStyle w:val="BodyText"/>
        <w:spacing w:line="240" w:lineRule="auto" w:before="52"/>
        <w:ind w:left="233" w:right="101"/>
        <w:jc w:val="left"/>
      </w:pPr>
      <w:r>
        <w:rPr/>
        <w:t>的</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份股票期权取消，不予登记，本次完成股票期权登记的数量为</w:t>
      </w:r>
      <w:r>
        <w:rPr>
          <w:spacing w:val="-55"/>
        </w:rPr>
        <w:t> </w:t>
      </w:r>
      <w:r>
        <w:rPr>
          <w:rFonts w:ascii="Times New Roman" w:hAnsi="Times New Roman" w:cs="Times New Roman" w:eastAsia="Times New Roman" w:hint="default"/>
        </w:rPr>
        <w:t>287.60</w:t>
      </w:r>
      <w:r>
        <w:rPr>
          <w:rFonts w:ascii="Times New Roman" w:hAnsi="Times New Roman" w:cs="Times New Roman" w:eastAsia="Times New Roman" w:hint="default"/>
          <w:spacing w:val="-2"/>
        </w:rPr>
        <w:t> </w:t>
      </w:r>
      <w:r>
        <w:rPr/>
        <w:t>万份。</w:t>
      </w:r>
    </w:p>
    <w:p>
      <w:pPr>
        <w:pStyle w:val="BodyText"/>
        <w:spacing w:line="240" w:lineRule="auto" w:before="129"/>
        <w:ind w:left="653" w:right="101"/>
        <w:jc w:val="left"/>
      </w:pPr>
      <w:r>
        <w:rPr/>
        <w:t>③行权价格：本次股票期权行权价格为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元。</w:t>
      </w:r>
    </w:p>
    <w:p>
      <w:pPr>
        <w:pStyle w:val="BodyText"/>
        <w:spacing w:line="240" w:lineRule="auto" w:before="129"/>
        <w:ind w:left="653" w:right="101"/>
        <w:jc w:val="left"/>
      </w:pPr>
      <w:r>
        <w:rPr/>
        <w:t>④授予激励对象：共</w:t>
      </w:r>
      <w:r>
        <w:rPr>
          <w:spacing w:val="-54"/>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人，其中高级管理人员</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人，核心业务（技术）骨干人员</w:t>
      </w:r>
      <w:r>
        <w:rPr>
          <w:spacing w:val="-54"/>
        </w:rPr>
        <w:t> </w:t>
      </w:r>
      <w:r>
        <w:rPr>
          <w:rFonts w:ascii="Times New Roman" w:hAnsi="Times New Roman" w:cs="Times New Roman" w:eastAsia="Times New Roman" w:hint="default"/>
        </w:rPr>
        <w:t>86</w:t>
      </w:r>
      <w:r>
        <w:rPr>
          <w:rFonts w:ascii="Times New Roman" w:hAnsi="Times New Roman" w:cs="Times New Roman" w:eastAsia="Times New Roman" w:hint="default"/>
          <w:spacing w:val="-2"/>
        </w:rPr>
        <w:t> </w:t>
      </w:r>
      <w:r>
        <w:rPr/>
        <w:t>人；</w:t>
      </w:r>
    </w:p>
    <w:p>
      <w:pPr>
        <w:pStyle w:val="BodyText"/>
        <w:spacing w:line="367" w:lineRule="auto" w:before="129"/>
        <w:ind w:left="233" w:right="101" w:firstLine="420"/>
        <w:jc w:val="left"/>
      </w:pPr>
      <w:r>
        <w:rPr>
          <w:spacing w:val="-1"/>
        </w:rPr>
        <w:t>⑤股票来源：本次股权激励计划的股票来源为公司向股票期权激励对象定向发行股票，每份股票期权</w:t>
      </w:r>
      <w:r>
        <w:rPr/>
        <w:t> 拥有在股票期权激励计划有效期内的可行权日以行权价格和行权条件购买</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股公司股票的权利。</w:t>
      </w:r>
    </w:p>
    <w:p>
      <w:pPr>
        <w:pStyle w:val="BodyText"/>
        <w:spacing w:line="345" w:lineRule="auto" w:before="6"/>
        <w:ind w:left="233" w:right="96" w:firstLine="420"/>
        <w:jc w:val="left"/>
      </w:pPr>
      <w:r>
        <w:rPr>
          <w:spacing w:val="-3"/>
        </w:rPr>
        <w:t>⑥等待期及行权比例：从授予日之日起</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个月后起按照</w:t>
      </w:r>
      <w:r>
        <w:rPr>
          <w:spacing w:val="-67"/>
        </w:rPr>
        <w:t> </w:t>
      </w:r>
      <w:r>
        <w:rPr>
          <w:rFonts w:ascii="Times New Roman" w:hAnsi="Times New Roman" w:cs="Times New Roman" w:eastAsia="Times New Roman" w:hint="default"/>
        </w:rPr>
        <w:t>30%:30%:40%</w:t>
      </w:r>
      <w:r>
        <w:rPr/>
        <w:t>的比例分三次行权。报告期内， 因公司于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日实施完毕每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元（含税）的</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年度权益分派方案，根据 公司《股票期权激励计划（草案）修订案》的有关规定，经第三届董事会第十三次会议审议通过，公司将</w:t>
      </w:r>
    </w:p>
    <w:p>
      <w:pPr>
        <w:spacing w:after="0" w:line="345" w:lineRule="auto"/>
        <w:jc w:val="left"/>
        <w:sectPr>
          <w:pgSz w:w="11910" w:h="16840"/>
          <w:pgMar w:header="851" w:footer="982" w:top="1200" w:bottom="1180" w:left="900" w:right="920"/>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5"/>
          <w:szCs w:val="5"/>
        </w:rPr>
      </w:pPr>
    </w:p>
    <w:p>
      <w:pPr>
        <w:pStyle w:val="BodyText"/>
        <w:spacing w:line="240" w:lineRule="auto" w:before="35"/>
        <w:ind w:left="234" w:right="0"/>
        <w:jc w:val="left"/>
      </w:pPr>
      <w:r>
        <w:rPr/>
        <w:t>股票期权激励计划中已授予但未行权的</w:t>
      </w:r>
      <w:r>
        <w:rPr>
          <w:spacing w:val="-55"/>
        </w:rPr>
        <w:t> </w:t>
      </w:r>
      <w:r>
        <w:rPr>
          <w:rFonts w:ascii="Times New Roman" w:hAnsi="Times New Roman" w:cs="Times New Roman" w:eastAsia="Times New Roman" w:hint="default"/>
        </w:rPr>
        <w:t>287.6</w:t>
      </w:r>
      <w:r>
        <w:rPr>
          <w:rFonts w:ascii="Times New Roman" w:hAnsi="Times New Roman" w:cs="Times New Roman" w:eastAsia="Times New Roman" w:hint="default"/>
          <w:spacing w:val="-2"/>
        </w:rPr>
        <w:t> </w:t>
      </w:r>
      <w:r>
        <w:rPr/>
        <w:t>万股股票期权的行权价格由</w:t>
      </w:r>
      <w:r>
        <w:rPr>
          <w:spacing w:val="-55"/>
        </w:rPr>
        <w:t> </w:t>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t>元调整为</w:t>
      </w:r>
      <w:r>
        <w:rPr>
          <w:spacing w:val="-55"/>
        </w:rPr>
        <w:t> </w:t>
      </w:r>
      <w:r>
        <w:rPr>
          <w:rFonts w:ascii="Times New Roman" w:hAnsi="Times New Roman" w:cs="Times New Roman" w:eastAsia="Times New Roman" w:hint="default"/>
        </w:rPr>
        <w:t>44.7</w:t>
      </w:r>
      <w:r>
        <w:rPr>
          <w:rFonts w:ascii="Times New Roman" w:hAnsi="Times New Roman" w:cs="Times New Roman" w:eastAsia="Times New Roman" w:hint="default"/>
          <w:spacing w:val="-2"/>
        </w:rPr>
        <w:t> </w:t>
      </w:r>
      <w:r>
        <w:rPr/>
        <w:t>元。</w:t>
      </w:r>
    </w:p>
    <w:p>
      <w:pPr>
        <w:pStyle w:val="BodyText"/>
        <w:spacing w:line="240" w:lineRule="auto" w:before="129"/>
        <w:ind w:left="654" w:right="0"/>
        <w:jc w:val="left"/>
      </w:pPr>
      <w:r>
        <w:rPr>
          <w:rFonts w:ascii="Times New Roman" w:hAnsi="Times New Roman" w:cs="Times New Roman" w:eastAsia="Times New Roman" w:hint="default"/>
        </w:rPr>
        <w:t>4</w:t>
      </w:r>
      <w:r>
        <w:rPr/>
        <w:t>、根据公司</w:t>
      </w:r>
      <w:r>
        <w:rPr>
          <w:spacing w:val="-3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月</w:t>
      </w:r>
      <w:r>
        <w:rPr>
          <w:spacing w:val="-31"/>
        </w:rPr>
        <w:t> </w:t>
      </w:r>
      <w:r>
        <w:rPr>
          <w:rFonts w:ascii="Times New Roman" w:hAnsi="Times New Roman" w:cs="Times New Roman" w:eastAsia="Times New Roman" w:hint="default"/>
        </w:rPr>
        <w:t>25</w:t>
      </w:r>
      <w:r>
        <w:rPr>
          <w:rFonts w:ascii="Times New Roman" w:hAnsi="Times New Roman" w:cs="Times New Roman" w:eastAsia="Times New Roman" w:hint="default"/>
          <w:spacing w:val="22"/>
        </w:rPr>
        <w:t> </w:t>
      </w:r>
      <w:r>
        <w:rPr/>
        <w:t>日第三届董事会</w:t>
      </w:r>
      <w:r>
        <w:rPr>
          <w:spacing w:val="-3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年第二次临时会议决议，公司审议通过了公司与</w:t>
      </w:r>
    </w:p>
    <w:p>
      <w:pPr>
        <w:pStyle w:val="BodyText"/>
        <w:spacing w:line="240" w:lineRule="auto" w:before="129"/>
        <w:ind w:left="234" w:right="0"/>
        <w:jc w:val="left"/>
      </w:pPr>
      <w:r>
        <w:rPr>
          <w:rFonts w:ascii="Times New Roman" w:hAnsi="Times New Roman" w:cs="Times New Roman" w:eastAsia="Times New Roman" w:hint="default"/>
          <w:w w:val="99"/>
        </w:rPr>
        <w:t>MICROS</w:t>
      </w:r>
      <w:r>
        <w:rPr>
          <w:rFonts w:ascii="Times New Roman" w:hAnsi="Times New Roman" w:cs="Times New Roman" w:eastAsia="Times New Roman" w:hint="default"/>
        </w:rPr>
        <w:t> </w:t>
      </w:r>
      <w:r>
        <w:rPr/>
        <w:t>公司签订《技术许可与代理协议第四次补充协议</w:t>
      </w:r>
      <w:r>
        <w:rPr>
          <w:spacing w:val="-106"/>
        </w:rPr>
        <w:t>》</w:t>
      </w:r>
      <w:r>
        <w:rPr/>
        <w:t>。本次协议主要内容如下：</w:t>
      </w:r>
    </w:p>
    <w:p>
      <w:pPr>
        <w:pStyle w:val="BodyText"/>
        <w:spacing w:line="345" w:lineRule="auto" w:before="129"/>
        <w:ind w:left="654" w:right="5475"/>
        <w:jc w:val="left"/>
      </w:pPr>
      <w:r>
        <w:rPr/>
        <w:t>（</w:t>
      </w:r>
      <w:r>
        <w:rPr>
          <w:rFonts w:ascii="Times New Roman" w:hAnsi="Times New Roman" w:cs="Times New Roman" w:eastAsia="Times New Roman" w:hint="default"/>
        </w:rPr>
        <w:t>1</w:t>
      </w:r>
      <w:r>
        <w:rPr/>
        <w:t>）协议双方： </w:t>
      </w:r>
      <w:r>
        <w:rPr>
          <w:spacing w:val="-5"/>
          <w:w w:val="99"/>
        </w:rPr>
        <w:t>石基信息（被许可方）、</w:t>
      </w:r>
      <w:r>
        <w:rPr>
          <w:rFonts w:ascii="Times New Roman" w:hAnsi="Times New Roman" w:cs="Times New Roman" w:eastAsia="Times New Roman" w:hint="default"/>
          <w:spacing w:val="-5"/>
          <w:w w:val="99"/>
        </w:rPr>
        <w:t>MICROS</w:t>
      </w:r>
      <w:r>
        <w:rPr>
          <w:spacing w:val="-5"/>
          <w:w w:val="99"/>
        </w:rPr>
        <w:t>（许可方）</w:t>
      </w:r>
    </w:p>
    <w:p>
      <w:pPr>
        <w:pStyle w:val="BodyText"/>
        <w:spacing w:line="240" w:lineRule="auto" w:before="27"/>
        <w:ind w:left="654" w:right="0"/>
        <w:jc w:val="left"/>
      </w:pPr>
      <w:r>
        <w:rPr/>
        <w:t>（</w:t>
      </w:r>
      <w:r>
        <w:rPr>
          <w:rFonts w:ascii="Times New Roman" w:hAnsi="Times New Roman" w:cs="Times New Roman" w:eastAsia="Times New Roman" w:hint="default"/>
        </w:rPr>
        <w:t>2</w:t>
      </w:r>
      <w:r>
        <w:rPr/>
        <w:t>）协议标的：</w:t>
      </w:r>
    </w:p>
    <w:p>
      <w:pPr>
        <w:pStyle w:val="BodyText"/>
        <w:spacing w:line="345" w:lineRule="auto" w:before="129"/>
        <w:ind w:left="234" w:right="321" w:firstLine="420"/>
        <w:jc w:val="left"/>
      </w:pPr>
      <w:r>
        <w:rPr>
          <w:rFonts w:ascii="Times New Roman" w:hAnsi="Times New Roman" w:cs="Times New Roman" w:eastAsia="Times New Roman" w:hint="default"/>
        </w:rPr>
        <w:t>MICROS</w:t>
      </w:r>
      <w:r>
        <w:rPr>
          <w:rFonts w:ascii="Times New Roman" w:hAnsi="Times New Roman" w:cs="Times New Roman" w:eastAsia="Times New Roman" w:hint="default"/>
          <w:spacing w:val="31"/>
        </w:rPr>
        <w:t> </w:t>
      </w:r>
      <w:r>
        <w:rPr>
          <w:spacing w:val="-2"/>
        </w:rPr>
        <w:t>公司前台管理系统与餐厅收银系统在中国大陆境内（不包括香港、澳门、台湾）的独家技术</w:t>
      </w:r>
      <w:r>
        <w:rPr/>
        <w:t> 许可。</w:t>
      </w:r>
    </w:p>
    <w:p>
      <w:pPr>
        <w:pStyle w:val="BodyText"/>
        <w:spacing w:line="240" w:lineRule="auto" w:before="52"/>
        <w:ind w:left="654" w:right="0"/>
        <w:jc w:val="left"/>
      </w:pPr>
      <w:r>
        <w:rPr/>
        <w:t>（</w:t>
      </w:r>
      <w:r>
        <w:rPr>
          <w:rFonts w:ascii="Times New Roman" w:hAnsi="Times New Roman" w:cs="Times New Roman" w:eastAsia="Times New Roman" w:hint="default"/>
        </w:rPr>
        <w:t>3</w:t>
      </w:r>
      <w:r>
        <w:rPr/>
        <w:t>）许可期限：</w:t>
      </w:r>
    </w:p>
    <w:p>
      <w:pPr>
        <w:pStyle w:val="BodyText"/>
        <w:spacing w:line="240" w:lineRule="auto" w:before="129"/>
        <w:ind w:left="654"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240" w:lineRule="auto" w:before="129"/>
        <w:ind w:left="653" w:right="0"/>
        <w:jc w:val="left"/>
      </w:pPr>
      <w:r>
        <w:rPr/>
        <w:t>（</w:t>
      </w:r>
      <w:r>
        <w:rPr>
          <w:rFonts w:ascii="Times New Roman" w:hAnsi="Times New Roman" w:cs="Times New Roman" w:eastAsia="Times New Roman" w:hint="default"/>
        </w:rPr>
        <w:t>4</w:t>
      </w:r>
      <w:r>
        <w:rPr/>
        <w:t>）许可使用费、区域支持费、最低采购额：</w:t>
      </w:r>
    </w:p>
    <w:p>
      <w:pPr>
        <w:pStyle w:val="BodyText"/>
        <w:spacing w:line="345" w:lineRule="auto" w:before="129"/>
        <w:ind w:left="233" w:right="329" w:firstLine="420"/>
        <w:jc w:val="left"/>
      </w:pPr>
      <w:r>
        <w:rPr/>
        <w:t>①许可费：在协议存续期间，从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日起，石基信息向</w:t>
      </w:r>
      <w:r>
        <w:rPr>
          <w:spacing w:val="-54"/>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50"/>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1"/>
        </w:rPr>
        <w:t> </w:t>
      </w:r>
      <w:r>
        <w:rPr/>
        <w:t>按年预付年度 许可费</w:t>
      </w:r>
      <w:r>
        <w:rPr>
          <w:spacing w:val="-54"/>
        </w:rPr>
        <w:t> </w:t>
      </w:r>
      <w:r>
        <w:rPr>
          <w:rFonts w:ascii="Times New Roman" w:hAnsi="Times New Roman" w:cs="Times New Roman" w:eastAsia="Times New Roman" w:hint="default"/>
        </w:rPr>
        <w:t>175</w:t>
      </w:r>
      <w:r>
        <w:rPr>
          <w:rFonts w:ascii="Times New Roman" w:hAnsi="Times New Roman" w:cs="Times New Roman" w:eastAsia="Times New Roman" w:hint="default"/>
          <w:spacing w:val="-2"/>
        </w:rPr>
        <w:t> </w:t>
      </w:r>
      <w:r>
        <w:rPr/>
        <w:t>万美元。</w:t>
      </w:r>
    </w:p>
    <w:p>
      <w:pPr>
        <w:pStyle w:val="BodyText"/>
        <w:spacing w:line="345" w:lineRule="auto" w:before="27"/>
        <w:ind w:left="233" w:right="332" w:firstLine="420"/>
        <w:jc w:val="both"/>
      </w:pPr>
      <w:r>
        <w:rPr/>
        <w:t>②区域支持费：</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日以前，石基信息每年向</w:t>
      </w:r>
      <w:r>
        <w:rPr>
          <w:spacing w:val="-46"/>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6"/>
        </w:rPr>
        <w:t> </w:t>
      </w:r>
      <w:r>
        <w:rPr/>
        <w:t>公司支付年度区域支持费</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6"/>
        </w:rPr>
        <w:t> </w:t>
      </w:r>
      <w:r>
        <w:rPr/>
        <w:t>万美 元；</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日起，在协议存续期间，石基信息每年向</w:t>
      </w:r>
      <w:r>
        <w:rPr>
          <w:spacing w:val="-45"/>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8"/>
        </w:rPr>
        <w:t> </w:t>
      </w:r>
      <w:r>
        <w:rPr/>
        <w:t>公司支付的年度区域支持费增加到 </w:t>
      </w:r>
      <w:r>
        <w:rPr>
          <w:rFonts w:ascii="Times New Roman" w:hAnsi="Times New Roman" w:cs="Times New Roman" w:eastAsia="Times New Roman" w:hint="default"/>
        </w:rPr>
        <w:t>35 </w:t>
      </w:r>
      <w:r>
        <w:rPr/>
        <w:t>万美元。</w:t>
      </w:r>
    </w:p>
    <w:p>
      <w:pPr>
        <w:pStyle w:val="BodyText"/>
        <w:spacing w:line="345" w:lineRule="auto" w:before="27"/>
        <w:ind w:left="233" w:right="329" w:firstLine="420"/>
        <w:jc w:val="both"/>
      </w:pPr>
      <w:r>
        <w:rPr/>
        <w:t>③最低采购额：</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日，公司向</w:t>
      </w:r>
      <w:r>
        <w:rPr>
          <w:spacing w:val="-49"/>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3"/>
        </w:rPr>
        <w:t> </w:t>
      </w:r>
      <w:r>
        <w:rPr/>
        <w:t>公司支付的升级费和收银机 等硬件总采购金额不低于</w:t>
      </w:r>
      <w:r>
        <w:rPr>
          <w:spacing w:val="-68"/>
        </w:rPr>
        <w:t> </w:t>
      </w:r>
      <w:r>
        <w:rPr>
          <w:rFonts w:ascii="Times New Roman" w:hAnsi="Times New Roman" w:cs="Times New Roman" w:eastAsia="Times New Roman" w:hint="default"/>
        </w:rPr>
        <w:t>800</w:t>
      </w:r>
      <w:r>
        <w:rPr>
          <w:rFonts w:ascii="Times New Roman" w:hAnsi="Times New Roman" w:cs="Times New Roman" w:eastAsia="Times New Roman" w:hint="default"/>
          <w:spacing w:val="-15"/>
        </w:rPr>
        <w:t> </w:t>
      </w:r>
      <w:r>
        <w:rPr/>
        <w:t>万美元；在协议存续期间，该费用每年比上年递增</w:t>
      </w:r>
      <w:r>
        <w:rPr>
          <w:spacing w:val="-68"/>
        </w:rPr>
        <w:t> </w:t>
      </w:r>
      <w:r>
        <w:rPr>
          <w:rFonts w:ascii="Times New Roman" w:hAnsi="Times New Roman" w:cs="Times New Roman" w:eastAsia="Times New Roman" w:hint="default"/>
        </w:rPr>
        <w:t>10%</w:t>
      </w:r>
      <w:r>
        <w:rPr/>
        <w:t>。如果公司在一个财 政年度无法达到该协议中规定的最低数额，则公司需支付给</w:t>
      </w:r>
      <w:r>
        <w:rPr>
          <w:spacing w:val="-73"/>
        </w:rPr>
        <w:t> </w:t>
      </w:r>
      <w:r>
        <w:rPr>
          <w:rFonts w:ascii="Times New Roman" w:hAnsi="Times New Roman" w:cs="Times New Roman" w:eastAsia="Times New Roman" w:hint="default"/>
        </w:rPr>
        <w:t>MICROS</w:t>
      </w:r>
      <w:r>
        <w:rPr>
          <w:rFonts w:ascii="Times New Roman" w:hAnsi="Times New Roman" w:cs="Times New Roman" w:eastAsia="Times New Roman" w:hint="default"/>
          <w:spacing w:val="-21"/>
        </w:rPr>
        <w:t> </w:t>
      </w:r>
      <w:r>
        <w:rPr>
          <w:spacing w:val="-3"/>
        </w:rPr>
        <w:t>公司与最低数额之间的全部差价，并</w:t>
      </w:r>
      <w:r>
        <w:rPr/>
        <w:t> 在本财政年度全额支付。公司支付的许可费、年度区域支持费不包含在最低采购额中。</w:t>
      </w:r>
    </w:p>
    <w:p>
      <w:pPr>
        <w:pStyle w:val="BodyText"/>
        <w:spacing w:line="345" w:lineRule="auto" w:before="52"/>
        <w:ind w:left="653" w:right="5016"/>
        <w:jc w:val="left"/>
      </w:pPr>
      <w:r>
        <w:rPr/>
        <w:t>（</w:t>
      </w:r>
      <w:r>
        <w:rPr>
          <w:rFonts w:ascii="Times New Roman" w:hAnsi="Times New Roman" w:cs="Times New Roman" w:eastAsia="Times New Roman" w:hint="default"/>
        </w:rPr>
        <w:t>5</w:t>
      </w:r>
      <w:r>
        <w:rPr/>
        <w:t>）生效条件及时间： 合同自双方签署之日（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日）起生效。</w:t>
      </w:r>
    </w:p>
    <w:p>
      <w:pPr>
        <w:spacing w:line="240" w:lineRule="auto" w:before="0"/>
        <w:rPr>
          <w:rFonts w:ascii="宋体" w:hAnsi="宋体" w:cs="宋体" w:eastAsia="宋体" w:hint="default"/>
          <w:sz w:val="22"/>
          <w:szCs w:val="22"/>
        </w:rPr>
      </w:pPr>
    </w:p>
    <w:p>
      <w:pPr>
        <w:pStyle w:val="Heading3"/>
        <w:spacing w:line="240" w:lineRule="auto" w:before="159"/>
        <w:ind w:left="646" w:right="0"/>
        <w:jc w:val="left"/>
        <w:rPr>
          <w:b w:val="0"/>
          <w:bCs w:val="0"/>
        </w:rPr>
      </w:pPr>
      <w:r>
        <w:rPr/>
        <w:t>（十一）母公司会计报表主要项目附注</w:t>
      </w:r>
      <w:r>
        <w:rPr>
          <w:b w:val="0"/>
          <w:bCs w:val="0"/>
        </w:rPr>
      </w:r>
    </w:p>
    <w:p>
      <w:pPr>
        <w:pStyle w:val="BodyText"/>
        <w:spacing w:line="240" w:lineRule="auto" w:before="145"/>
        <w:ind w:left="653" w:right="0"/>
        <w:jc w:val="left"/>
      </w:pPr>
      <w:r>
        <w:rPr>
          <w:rFonts w:ascii="Times New Roman" w:hAnsi="Times New Roman" w:cs="Times New Roman" w:eastAsia="Times New Roman" w:hint="default"/>
        </w:rPr>
        <w:t>1</w:t>
      </w:r>
      <w:r>
        <w:rPr/>
        <w:t>．应收账款</w:t>
      </w:r>
    </w:p>
    <w:p>
      <w:pPr>
        <w:pStyle w:val="BodyText"/>
        <w:spacing w:line="240" w:lineRule="auto" w:before="129"/>
        <w:ind w:left="653" w:right="0"/>
        <w:jc w:val="left"/>
      </w:pPr>
      <w:r>
        <w:rPr/>
        <w:t>（</w:t>
      </w:r>
      <w:r>
        <w:rPr>
          <w:rFonts w:ascii="Times New Roman" w:hAnsi="Times New Roman" w:cs="Times New Roman" w:eastAsia="Times New Roman" w:hint="default"/>
        </w:rPr>
        <w:t>1</w:t>
      </w:r>
      <w:r>
        <w:rPr/>
        <w:t>）应收账款按种类披露：</w:t>
      </w:r>
    </w:p>
    <w:tbl>
      <w:tblPr>
        <w:tblW w:w="0" w:type="auto"/>
        <w:jc w:val="left"/>
        <w:tblInd w:w="111" w:type="dxa"/>
        <w:tblLayout w:type="fixed"/>
        <w:tblCellMar>
          <w:top w:w="0" w:type="dxa"/>
          <w:left w:w="0" w:type="dxa"/>
          <w:bottom w:w="0" w:type="dxa"/>
          <w:right w:w="0" w:type="dxa"/>
        </w:tblCellMar>
        <w:tblLook w:val="01E0"/>
      </w:tblPr>
      <w:tblGrid>
        <w:gridCol w:w="4697"/>
        <w:gridCol w:w="1474"/>
        <w:gridCol w:w="1068"/>
        <w:gridCol w:w="1644"/>
        <w:gridCol w:w="1094"/>
      </w:tblGrid>
      <w:tr>
        <w:trPr>
          <w:trHeight w:val="440" w:hRule="exact"/>
        </w:trPr>
        <w:tc>
          <w:tcPr>
            <w:tcW w:w="469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8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30" w:hRule="exact"/>
        </w:trPr>
        <w:tc>
          <w:tcPr>
            <w:tcW w:w="4697" w:type="dxa"/>
            <w:vMerge/>
            <w:tcBorders>
              <w:left w:val="nil" w:sz="6" w:space="0" w:color="auto"/>
              <w:right w:val="single" w:sz="4" w:space="0" w:color="000000"/>
            </w:tcBorders>
          </w:tcPr>
          <w:p>
            <w:pP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1" w:hRule="exact"/>
        </w:trPr>
        <w:tc>
          <w:tcPr>
            <w:tcW w:w="4697"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6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4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22"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、单项金额重大并单项计提坏账准备的应收账款</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26" w:right="0"/>
              <w:jc w:val="left"/>
              <w:rPr>
                <w:rFonts w:ascii="Times New Roman" w:hAnsi="Times New Roman" w:cs="Times New Roman" w:eastAsia="Times New Roman" w:hint="default"/>
                <w:sz w:val="18"/>
                <w:szCs w:val="18"/>
              </w:rPr>
            </w:pPr>
            <w:r>
              <w:rPr>
                <w:rFonts w:ascii="Times New Roman"/>
                <w:sz w:val="18"/>
              </w:rPr>
              <w:t>22,968,377.01</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81" w:right="0"/>
              <w:jc w:val="left"/>
              <w:rPr>
                <w:rFonts w:ascii="Times New Roman" w:hAnsi="Times New Roman" w:cs="Times New Roman" w:eastAsia="Times New Roman" w:hint="default"/>
                <w:sz w:val="18"/>
                <w:szCs w:val="18"/>
              </w:rPr>
            </w:pPr>
            <w:r>
              <w:rPr>
                <w:rFonts w:ascii="Times New Roman"/>
                <w:sz w:val="18"/>
              </w:rPr>
              <w:t>100.00</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586" w:right="0"/>
              <w:jc w:val="left"/>
              <w:rPr>
                <w:rFonts w:ascii="Times New Roman" w:hAnsi="Times New Roman" w:cs="Times New Roman" w:eastAsia="Times New Roman" w:hint="default"/>
                <w:sz w:val="18"/>
                <w:szCs w:val="18"/>
              </w:rPr>
            </w:pPr>
            <w:r>
              <w:rPr>
                <w:rFonts w:ascii="Times New Roman"/>
                <w:sz w:val="18"/>
              </w:rPr>
              <w:t>2,900,183.42</w:t>
            </w:r>
          </w:p>
        </w:tc>
        <w:tc>
          <w:tcPr>
            <w:tcW w:w="109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94" w:right="0"/>
              <w:jc w:val="left"/>
              <w:rPr>
                <w:rFonts w:ascii="Times New Roman" w:hAnsi="Times New Roman" w:cs="Times New Roman" w:eastAsia="Times New Roman" w:hint="default"/>
                <w:sz w:val="18"/>
                <w:szCs w:val="18"/>
              </w:rPr>
            </w:pPr>
            <w:r>
              <w:rPr>
                <w:rFonts w:ascii="Times New Roman"/>
                <w:sz w:val="18"/>
              </w:rPr>
              <w:t>100.00</w:t>
            </w:r>
          </w:p>
        </w:tc>
      </w:tr>
      <w:tr>
        <w:trPr>
          <w:trHeight w:val="420"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、按组合计提坏账准备的应收账款：</w:t>
            </w:r>
          </w:p>
        </w:tc>
        <w:tc>
          <w:tcPr>
            <w:tcW w:w="1474"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c>
          <w:tcPr>
            <w:tcW w:w="1644" w:type="dxa"/>
            <w:vMerge/>
            <w:tcBorders>
              <w:left w:val="single" w:sz="4" w:space="0" w:color="000000"/>
              <w:right w:val="single" w:sz="4" w:space="0" w:color="000000"/>
            </w:tcBorders>
          </w:tcPr>
          <w:p>
            <w:pPr/>
          </w:p>
        </w:tc>
        <w:tc>
          <w:tcPr>
            <w:tcW w:w="1094" w:type="dxa"/>
            <w:vMerge/>
            <w:tcBorders>
              <w:left w:val="single" w:sz="4" w:space="0" w:color="000000"/>
              <w:right w:val="nil" w:sz="6" w:space="0" w:color="auto"/>
            </w:tcBorders>
          </w:tcPr>
          <w:p>
            <w:pPr/>
          </w:p>
        </w:tc>
      </w:tr>
      <w:tr>
        <w:trPr>
          <w:trHeight w:val="327"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、单项金额不重大但单项计提坏账准备的应收账款</w:t>
            </w:r>
          </w:p>
        </w:tc>
        <w:tc>
          <w:tcPr>
            <w:tcW w:w="1474"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nil" w:sz="6" w:space="0" w:color="auto"/>
            </w:tcBorders>
          </w:tcPr>
          <w:p>
            <w:pPr/>
          </w:p>
        </w:tc>
      </w:tr>
      <w:tr>
        <w:trPr>
          <w:trHeight w:val="440"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57"/>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22,968,377.01</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2,900,183.42</w:t>
            </w:r>
          </w:p>
        </w:tc>
        <w:tc>
          <w:tcPr>
            <w:tcW w:w="1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82" w:top="1200" w:bottom="1180" w:left="900" w:right="8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4697"/>
        <w:gridCol w:w="1474"/>
        <w:gridCol w:w="1068"/>
        <w:gridCol w:w="1644"/>
        <w:gridCol w:w="1094"/>
      </w:tblGrid>
      <w:tr>
        <w:trPr>
          <w:trHeight w:val="451" w:hRule="exact"/>
        </w:trPr>
        <w:tc>
          <w:tcPr>
            <w:tcW w:w="469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559" w:val="left" w:leader="none"/>
              </w:tabs>
              <w:spacing w:line="240" w:lineRule="auto" w:before="136"/>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8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9" w:hRule="exact"/>
        </w:trPr>
        <w:tc>
          <w:tcPr>
            <w:tcW w:w="4697" w:type="dxa"/>
            <w:vMerge/>
            <w:tcBorders>
              <w:left w:val="nil" w:sz="6" w:space="0" w:color="auto"/>
              <w:right w:val="single" w:sz="4" w:space="0" w:color="000000"/>
            </w:tcBorders>
          </w:tcPr>
          <w:p>
            <w:pP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0" w:hRule="exact"/>
        </w:trPr>
        <w:tc>
          <w:tcPr>
            <w:tcW w:w="4697" w:type="dxa"/>
            <w:vMerge/>
            <w:tcBorders>
              <w:left w:val="nil" w:sz="6" w:space="0" w:color="auto"/>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37" w:hRule="exact"/>
        </w:trPr>
        <w:tc>
          <w:tcPr>
            <w:tcW w:w="4697"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、单项金额重大并单项计提坏账准备的应收账款</w:t>
            </w:r>
          </w:p>
        </w:tc>
        <w:tc>
          <w:tcPr>
            <w:tcW w:w="1474" w:type="dxa"/>
            <w:tcBorders>
              <w:top w:val="single" w:sz="4" w:space="0" w:color="000000"/>
              <w:left w:val="single" w:sz="4" w:space="0" w:color="000000"/>
              <w:bottom w:val="nil" w:sz="6" w:space="0" w:color="auto"/>
              <w:right w:val="single" w:sz="4" w:space="0" w:color="000000"/>
            </w:tcBorders>
          </w:tcPr>
          <w:p>
            <w:pPr/>
          </w:p>
        </w:tc>
        <w:tc>
          <w:tcPr>
            <w:tcW w:w="1068" w:type="dxa"/>
            <w:tcBorders>
              <w:top w:val="single" w:sz="4" w:space="0" w:color="000000"/>
              <w:left w:val="single" w:sz="4" w:space="0" w:color="000000"/>
              <w:bottom w:val="nil" w:sz="6" w:space="0" w:color="auto"/>
              <w:right w:val="single" w:sz="4" w:space="0" w:color="000000"/>
            </w:tcBorders>
          </w:tcPr>
          <w:p>
            <w:pPr/>
          </w:p>
        </w:tc>
        <w:tc>
          <w:tcPr>
            <w:tcW w:w="164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nil" w:sz="6" w:space="0" w:color="auto"/>
            </w:tcBorders>
          </w:tcPr>
          <w:p>
            <w:pPr/>
          </w:p>
        </w:tc>
      </w:tr>
      <w:tr>
        <w:trPr>
          <w:trHeight w:val="435" w:hRule="exact"/>
        </w:trPr>
        <w:tc>
          <w:tcPr>
            <w:tcW w:w="4697"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、按组合计提坏账准备的应收账款：</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pacing w:val="-1"/>
                <w:sz w:val="18"/>
              </w:rPr>
              <w:t>28,722,664.71</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95.01</w:t>
            </w:r>
          </w:p>
        </w:tc>
        <w:tc>
          <w:tcPr>
            <w:tcW w:w="16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586" w:right="0"/>
              <w:jc w:val="left"/>
              <w:rPr>
                <w:rFonts w:ascii="Times New Roman" w:hAnsi="Times New Roman" w:cs="Times New Roman" w:eastAsia="Times New Roman" w:hint="default"/>
                <w:sz w:val="18"/>
                <w:szCs w:val="18"/>
              </w:rPr>
            </w:pPr>
            <w:r>
              <w:rPr>
                <w:rFonts w:ascii="Times New Roman"/>
                <w:sz w:val="18"/>
              </w:rPr>
              <w:t>2,736,525.29</w:t>
            </w:r>
          </w:p>
        </w:tc>
        <w:tc>
          <w:tcPr>
            <w:tcW w:w="1094"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4"/>
              <w:jc w:val="center"/>
              <w:rPr>
                <w:rFonts w:ascii="Times New Roman" w:hAnsi="Times New Roman" w:cs="Times New Roman" w:eastAsia="Times New Roman" w:hint="default"/>
                <w:sz w:val="18"/>
                <w:szCs w:val="18"/>
              </w:rPr>
            </w:pPr>
            <w:r>
              <w:rPr>
                <w:rFonts w:ascii="Times New Roman"/>
                <w:sz w:val="18"/>
              </w:rPr>
              <w:t>64.46</w:t>
            </w:r>
          </w:p>
        </w:tc>
      </w:tr>
      <w:tr>
        <w:trPr>
          <w:trHeight w:val="327" w:hRule="exact"/>
        </w:trPr>
        <w:tc>
          <w:tcPr>
            <w:tcW w:w="4697" w:type="dxa"/>
            <w:tcBorders>
              <w:top w:val="nil" w:sz="6" w:space="0" w:color="auto"/>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、单项金额不重大但单项计提坏账准备的应收账款</w:t>
            </w:r>
          </w:p>
        </w:tc>
        <w:tc>
          <w:tcPr>
            <w:tcW w:w="1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1,508,867.45</w:t>
            </w:r>
          </w:p>
        </w:tc>
        <w:tc>
          <w:tcPr>
            <w:tcW w:w="1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4.99</w:t>
            </w:r>
          </w:p>
        </w:tc>
        <w:tc>
          <w:tcPr>
            <w:tcW w:w="16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586" w:right="0"/>
              <w:jc w:val="left"/>
              <w:rPr>
                <w:rFonts w:ascii="Times New Roman" w:hAnsi="Times New Roman" w:cs="Times New Roman" w:eastAsia="Times New Roman" w:hint="default"/>
                <w:sz w:val="18"/>
                <w:szCs w:val="18"/>
              </w:rPr>
            </w:pPr>
            <w:r>
              <w:rPr>
                <w:rFonts w:ascii="Times New Roman"/>
                <w:sz w:val="18"/>
              </w:rPr>
              <w:t>1,508,867.45</w:t>
            </w:r>
          </w:p>
        </w:tc>
        <w:tc>
          <w:tcPr>
            <w:tcW w:w="1094" w:type="dxa"/>
            <w:tcBorders>
              <w:top w:val="nil" w:sz="6" w:space="0" w:color="auto"/>
              <w:left w:val="single" w:sz="4" w:space="0" w:color="000000"/>
              <w:bottom w:val="single" w:sz="4" w:space="0" w:color="000000"/>
              <w:right w:val="nil" w:sz="6" w:space="0" w:color="auto"/>
            </w:tcBorders>
          </w:tcPr>
          <w:p>
            <w:pPr>
              <w:pStyle w:val="TableParagraph"/>
              <w:spacing w:line="240" w:lineRule="auto" w:before="111"/>
              <w:ind w:right="4"/>
              <w:jc w:val="center"/>
              <w:rPr>
                <w:rFonts w:ascii="Times New Roman" w:hAnsi="Times New Roman" w:cs="Times New Roman" w:eastAsia="Times New Roman" w:hint="default"/>
                <w:sz w:val="18"/>
                <w:szCs w:val="18"/>
              </w:rPr>
            </w:pPr>
            <w:r>
              <w:rPr>
                <w:rFonts w:ascii="Times New Roman"/>
                <w:sz w:val="18"/>
              </w:rPr>
              <w:t>35.54</w:t>
            </w:r>
          </w:p>
        </w:tc>
      </w:tr>
      <w:tr>
        <w:trPr>
          <w:trHeight w:val="451" w:hRule="exact"/>
        </w:trPr>
        <w:tc>
          <w:tcPr>
            <w:tcW w:w="46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30,231,532.16</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4,245,392.74</w:t>
            </w:r>
          </w:p>
        </w:tc>
        <w:tc>
          <w:tcPr>
            <w:tcW w:w="1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6"/>
          <w:szCs w:val="6"/>
        </w:rPr>
      </w:pPr>
    </w:p>
    <w:p>
      <w:pPr>
        <w:pStyle w:val="BodyText"/>
        <w:spacing w:line="355" w:lineRule="auto" w:before="35"/>
        <w:ind w:left="674" w:right="4910"/>
        <w:jc w:val="left"/>
      </w:pPr>
      <w:r>
        <w:rPr/>
        <w:pict>
          <v:shape style="position:absolute;margin-left:50.580002pt;margin-top:38.614086pt;width:493.45pt;height:177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4"/>
                    <w:gridCol w:w="2287"/>
                    <w:gridCol w:w="1872"/>
                    <w:gridCol w:w="2656"/>
                  </w:tblGrid>
                  <w:tr>
                    <w:trPr>
                      <w:trHeight w:val="44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4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9"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527"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10,743,071.55</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46.78</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537,153.58</w:t>
                        </w:r>
                      </w:p>
                    </w:tc>
                  </w:tr>
                  <w:tr>
                    <w:trPr>
                      <w:trHeight w:val="43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5,753,689.73</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25.05</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813,368.97</w:t>
                        </w:r>
                      </w:p>
                    </w:tc>
                  </w:tr>
                  <w:tr>
                    <w:trPr>
                      <w:trHeight w:val="43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3,918,238.66</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17.06</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783,647.74</w:t>
                        </w:r>
                      </w:p>
                    </w:tc>
                  </w:tr>
                  <w:tr>
                    <w:trPr>
                      <w:trHeight w:val="344"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pacing w:val="-1"/>
                            <w:sz w:val="21"/>
                          </w:rPr>
                          <w:t>2,553,377.07</w:t>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pacing w:val="-4"/>
                            <w:sz w:val="21"/>
                          </w:rPr>
                          <w:t>11.11</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21"/>
                            <w:szCs w:val="21"/>
                          </w:rPr>
                        </w:pPr>
                        <w:r>
                          <w:rPr>
                            <w:rFonts w:ascii="Times New Roman"/>
                            <w:spacing w:val="-1"/>
                            <w:sz w:val="21"/>
                          </w:rPr>
                          <w:t>766,013.13</w:t>
                        </w:r>
                        <w:r>
                          <w:rPr>
                            <w:rFonts w:ascii="Times New Roman"/>
                            <w:sz w:val="21"/>
                          </w:rPr>
                        </w:r>
                      </w:p>
                    </w:tc>
                  </w:tr>
                  <w:tr>
                    <w:trPr>
                      <w:trHeight w:val="451"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2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22,968,377.01</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42" w:right="0"/>
                          <w:jc w:val="left"/>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2,900,183.42</w:t>
                        </w:r>
                      </w:p>
                    </w:tc>
                  </w:tr>
                </w:tbl>
                <w:p>
                  <w:pPr/>
                </w:p>
              </w:txbxContent>
            </v:textbox>
            <w10:wrap type="none"/>
          </v:shape>
        </w:pict>
      </w: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应收账款种类的说明：</w:t>
      </w:r>
      <w:r>
        <w:rPr>
          <w:w w:val="99"/>
        </w:rPr>
        <w:t> </w:t>
      </w:r>
      <w:r>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1" w:type="dxa"/>
        <w:tblLayout w:type="fixed"/>
        <w:tblCellMar>
          <w:top w:w="0" w:type="dxa"/>
          <w:left w:w="0" w:type="dxa"/>
          <w:bottom w:w="0" w:type="dxa"/>
          <w:right w:w="0" w:type="dxa"/>
        </w:tblCellMar>
        <w:tblLook w:val="01E0"/>
      </w:tblPr>
      <w:tblGrid>
        <w:gridCol w:w="3054"/>
        <w:gridCol w:w="2287"/>
        <w:gridCol w:w="1872"/>
        <w:gridCol w:w="2656"/>
      </w:tblGrid>
      <w:tr>
        <w:trPr>
          <w:trHeight w:val="452" w:hRule="exact"/>
        </w:trPr>
        <w:tc>
          <w:tcPr>
            <w:tcW w:w="30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23"/>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5" w:hRule="exact"/>
        </w:trPr>
        <w:tc>
          <w:tcPr>
            <w:tcW w:w="3054" w:type="dxa"/>
            <w:vMerge/>
            <w:tcBorders>
              <w:left w:val="nil" w:sz="6" w:space="0" w:color="auto"/>
              <w:right w:val="single" w:sz="6" w:space="0" w:color="000000"/>
            </w:tcBorders>
          </w:tcPr>
          <w:p>
            <w:pPr/>
          </w:p>
        </w:tc>
        <w:tc>
          <w:tcPr>
            <w:tcW w:w="41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5" w:hRule="exact"/>
        </w:trPr>
        <w:tc>
          <w:tcPr>
            <w:tcW w:w="3054" w:type="dxa"/>
            <w:vMerge/>
            <w:tcBorders>
              <w:left w:val="nil" w:sz="6" w:space="0" w:color="auto"/>
              <w:bottom w:val="single" w:sz="6" w:space="0" w:color="000000"/>
              <w:right w:val="single" w:sz="6" w:space="0" w:color="000000"/>
            </w:tcBorders>
          </w:tcPr>
          <w:p>
            <w:pPr/>
          </w:p>
        </w:tc>
        <w:tc>
          <w:tcPr>
            <w:tcW w:w="2287" w:type="dxa"/>
            <w:tcBorders>
              <w:top w:val="single" w:sz="6" w:space="0" w:color="000000"/>
              <w:left w:val="single" w:sz="6" w:space="0" w:color="000000"/>
              <w:bottom w:val="single" w:sz="6" w:space="0" w:color="000000"/>
              <w:right w:val="single" w:sz="6" w:space="0" w:color="000000"/>
            </w:tcBorders>
          </w:tcPr>
          <w:p>
            <w:pPr>
              <w:pStyle w:val="TableParagraph"/>
              <w:tabs>
                <w:tab w:pos="423" w:val="left" w:leader="none"/>
              </w:tabs>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6" w:space="0" w:color="000000"/>
              <w:bottom w:val="single" w:sz="6" w:space="0" w:color="000000"/>
              <w:right w:val="nil" w:sz="6" w:space="0" w:color="auto"/>
            </w:tcBorders>
          </w:tcPr>
          <w:p>
            <w:pPr/>
          </w:p>
        </w:tc>
      </w:tr>
      <w:tr>
        <w:trPr>
          <w:trHeight w:val="529" w:hRule="exact"/>
        </w:trPr>
        <w:tc>
          <w:tcPr>
            <w:tcW w:w="3054" w:type="dxa"/>
            <w:tcBorders>
              <w:top w:val="single" w:sz="6" w:space="0" w:color="000000"/>
              <w:left w:val="nil" w:sz="6" w:space="0" w:color="auto"/>
              <w:bottom w:val="nil" w:sz="6" w:space="0" w:color="auto"/>
              <w:right w:val="single" w:sz="6" w:space="0" w:color="000000"/>
            </w:tcBorders>
          </w:tcPr>
          <w:p>
            <w:pPr>
              <w:pStyle w:val="TableParagraph"/>
              <w:spacing w:line="240" w:lineRule="auto" w:before="12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18,089,694.20</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59.83</w:t>
            </w:r>
          </w:p>
        </w:tc>
        <w:tc>
          <w:tcPr>
            <w:tcW w:w="2656" w:type="dxa"/>
            <w:tcBorders>
              <w:top w:val="single" w:sz="6" w:space="0" w:color="000000"/>
              <w:left w:val="single" w:sz="6"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1,114,484.71</w:t>
            </w:r>
          </w:p>
        </w:tc>
      </w:tr>
      <w:tr>
        <w:trPr>
          <w:trHeight w:val="430"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7,492,921.50</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24.79</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1"/>
                <w:szCs w:val="21"/>
              </w:rPr>
            </w:pPr>
            <w:r>
              <w:rPr>
                <w:rFonts w:ascii="Times New Roman"/>
                <w:spacing w:val="-1"/>
                <w:sz w:val="21"/>
              </w:rPr>
              <w:t>749,292.15</w:t>
            </w:r>
          </w:p>
        </w:tc>
      </w:tr>
      <w:tr>
        <w:trPr>
          <w:trHeight w:val="430"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692,662.87</w:t>
            </w:r>
            <w:r>
              <w:rPr>
                <w:rFonts w:ascii="Times New Roman"/>
                <w:sz w:val="21"/>
              </w:rPr>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2.29</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95"/>
              <w:ind w:right="107"/>
              <w:jc w:val="right"/>
              <w:rPr>
                <w:rFonts w:ascii="Times New Roman" w:hAnsi="Times New Roman" w:cs="Times New Roman" w:eastAsia="Times New Roman" w:hint="default"/>
                <w:sz w:val="21"/>
                <w:szCs w:val="21"/>
              </w:rPr>
            </w:pPr>
            <w:r>
              <w:rPr>
                <w:rFonts w:ascii="Times New Roman"/>
                <w:spacing w:val="-1"/>
                <w:sz w:val="21"/>
              </w:rPr>
              <w:t>138,532.58</w:t>
            </w:r>
            <w:r>
              <w:rPr>
                <w:rFonts w:ascii="Times New Roman"/>
                <w:sz w:val="21"/>
              </w:rPr>
            </w:r>
          </w:p>
        </w:tc>
      </w:tr>
      <w:tr>
        <w:trPr>
          <w:trHeight w:val="347" w:hRule="exact"/>
        </w:trPr>
        <w:tc>
          <w:tcPr>
            <w:tcW w:w="3054" w:type="dxa"/>
            <w:tcBorders>
              <w:top w:val="nil" w:sz="6" w:space="0" w:color="auto"/>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5"/>
              <w:ind w:right="97"/>
              <w:jc w:val="right"/>
              <w:rPr>
                <w:rFonts w:ascii="Times New Roman" w:hAnsi="Times New Roman" w:cs="Times New Roman" w:eastAsia="Times New Roman" w:hint="default"/>
                <w:sz w:val="21"/>
                <w:szCs w:val="21"/>
              </w:rPr>
            </w:pPr>
            <w:r>
              <w:rPr>
                <w:rFonts w:ascii="Times New Roman"/>
                <w:spacing w:val="-1"/>
                <w:sz w:val="21"/>
              </w:rPr>
              <w:t>2,447,386.14</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8.10</w:t>
            </w:r>
          </w:p>
        </w:tc>
        <w:tc>
          <w:tcPr>
            <w:tcW w:w="2656" w:type="dxa"/>
            <w:tcBorders>
              <w:top w:val="nil" w:sz="6" w:space="0" w:color="auto"/>
              <w:left w:val="single" w:sz="6" w:space="0" w:color="000000"/>
              <w:bottom w:val="single" w:sz="6" w:space="0" w:color="000000"/>
              <w:right w:val="nil" w:sz="6" w:space="0" w:color="auto"/>
            </w:tcBorders>
          </w:tcPr>
          <w:p>
            <w:pPr>
              <w:pStyle w:val="TableParagraph"/>
              <w:spacing w:line="240" w:lineRule="auto" w:before="95"/>
              <w:ind w:right="107"/>
              <w:jc w:val="right"/>
              <w:rPr>
                <w:rFonts w:ascii="Times New Roman" w:hAnsi="Times New Roman" w:cs="Times New Roman" w:eastAsia="Times New Roman" w:hint="default"/>
                <w:sz w:val="21"/>
                <w:szCs w:val="21"/>
              </w:rPr>
            </w:pPr>
            <w:r>
              <w:rPr>
                <w:rFonts w:ascii="Times New Roman"/>
                <w:spacing w:val="-1"/>
                <w:sz w:val="21"/>
              </w:rPr>
              <w:t>734,215.85</w:t>
            </w:r>
            <w:r>
              <w:rPr>
                <w:rFonts w:ascii="Times New Roman"/>
                <w:sz w:val="21"/>
              </w:rPr>
            </w:r>
          </w:p>
        </w:tc>
      </w:tr>
      <w:tr>
        <w:trPr>
          <w:trHeight w:val="453" w:hRule="exact"/>
        </w:trPr>
        <w:tc>
          <w:tcPr>
            <w:tcW w:w="3054"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23"/>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28,722,664.71</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95.01</w:t>
            </w:r>
          </w:p>
        </w:tc>
        <w:tc>
          <w:tcPr>
            <w:tcW w:w="2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2,736,525.29</w:t>
            </w:r>
          </w:p>
        </w:tc>
      </w:tr>
    </w:tbl>
    <w:p>
      <w:pPr>
        <w:spacing w:line="240" w:lineRule="auto" w:before="9"/>
        <w:rPr>
          <w:rFonts w:ascii="宋体" w:hAnsi="宋体" w:cs="宋体" w:eastAsia="宋体" w:hint="default"/>
          <w:sz w:val="6"/>
          <w:szCs w:val="6"/>
        </w:rPr>
      </w:pPr>
    </w:p>
    <w:p>
      <w:pPr>
        <w:pStyle w:val="BodyText"/>
        <w:spacing w:line="240" w:lineRule="auto" w:before="35"/>
        <w:ind w:left="674" w:right="0"/>
        <w:jc w:val="left"/>
      </w:pPr>
      <w:r>
        <w:rPr/>
        <w:t>（</w:t>
      </w:r>
      <w:r>
        <w:rPr>
          <w:rFonts w:ascii="Times New Roman" w:hAnsi="Times New Roman" w:cs="Times New Roman" w:eastAsia="Times New Roman" w:hint="default"/>
        </w:rPr>
        <w:t>3</w:t>
      </w:r>
      <w:r>
        <w:rPr/>
        <w:t>）期末单项金额虽不重大但单独进行减值测试的应收款项坏账准备计提：</w:t>
      </w:r>
    </w:p>
    <w:tbl>
      <w:tblPr>
        <w:tblW w:w="0" w:type="auto"/>
        <w:jc w:val="left"/>
        <w:tblInd w:w="116" w:type="dxa"/>
        <w:tblLayout w:type="fixed"/>
        <w:tblCellMar>
          <w:top w:w="0" w:type="dxa"/>
          <w:left w:w="0" w:type="dxa"/>
          <w:bottom w:w="0" w:type="dxa"/>
          <w:right w:w="0" w:type="dxa"/>
        </w:tblCellMar>
        <w:tblLook w:val="01E0"/>
      </w:tblPr>
      <w:tblGrid>
        <w:gridCol w:w="2822"/>
        <w:gridCol w:w="1620"/>
        <w:gridCol w:w="1440"/>
        <w:gridCol w:w="1080"/>
        <w:gridCol w:w="1992"/>
      </w:tblGrid>
      <w:tr>
        <w:trPr>
          <w:trHeight w:val="449" w:hRule="exact"/>
        </w:trPr>
        <w:tc>
          <w:tcPr>
            <w:tcW w:w="28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3"/>
              <w:ind w:left="19"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3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295"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3"/>
              <w:ind w:left="11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43" w:hRule="exact"/>
        </w:trPr>
        <w:tc>
          <w:tcPr>
            <w:tcW w:w="2822" w:type="dxa"/>
            <w:tcBorders>
              <w:top w:val="single" w:sz="4" w:space="0" w:color="000000"/>
              <w:left w:val="nil" w:sz="6" w:space="0" w:color="auto"/>
              <w:bottom w:val="single" w:sz="6" w:space="0" w:color="000000"/>
              <w:right w:val="single" w:sz="6" w:space="0" w:color="000000"/>
            </w:tcBorders>
          </w:tcPr>
          <w:p>
            <w:pPr/>
          </w:p>
        </w:tc>
        <w:tc>
          <w:tcPr>
            <w:tcW w:w="1620" w:type="dxa"/>
            <w:tcBorders>
              <w:top w:val="single" w:sz="4" w:space="0" w:color="000000"/>
              <w:left w:val="single" w:sz="6" w:space="0" w:color="000000"/>
              <w:bottom w:val="single" w:sz="6" w:space="0" w:color="000000"/>
              <w:right w:val="single" w:sz="6" w:space="0" w:color="000000"/>
            </w:tcBorders>
          </w:tcPr>
          <w:p>
            <w:pPr/>
          </w:p>
        </w:tc>
        <w:tc>
          <w:tcPr>
            <w:tcW w:w="1440" w:type="dxa"/>
            <w:tcBorders>
              <w:top w:val="single" w:sz="4" w:space="0" w:color="000000"/>
              <w:left w:val="single" w:sz="6" w:space="0" w:color="000000"/>
              <w:bottom w:val="single" w:sz="6" w:space="0" w:color="000000"/>
              <w:right w:val="single" w:sz="6" w:space="0" w:color="000000"/>
            </w:tcBorders>
          </w:tcPr>
          <w:p>
            <w:pPr/>
          </w:p>
        </w:tc>
        <w:tc>
          <w:tcPr>
            <w:tcW w:w="1080" w:type="dxa"/>
            <w:tcBorders>
              <w:top w:val="single" w:sz="4" w:space="0" w:color="000000"/>
              <w:left w:val="single" w:sz="6" w:space="0" w:color="000000"/>
              <w:bottom w:val="single" w:sz="6" w:space="0" w:color="000000"/>
              <w:right w:val="single" w:sz="6" w:space="0" w:color="000000"/>
            </w:tcBorders>
          </w:tcPr>
          <w:p>
            <w:pPr/>
          </w:p>
        </w:tc>
        <w:tc>
          <w:tcPr>
            <w:tcW w:w="1992" w:type="dxa"/>
            <w:tcBorders>
              <w:top w:val="single" w:sz="4" w:space="0" w:color="000000"/>
              <w:left w:val="single" w:sz="6" w:space="0" w:color="000000"/>
              <w:bottom w:val="single" w:sz="6" w:space="0" w:color="000000"/>
              <w:right w:val="nil" w:sz="6" w:space="0" w:color="auto"/>
            </w:tcBorders>
          </w:tcPr>
          <w:p>
            <w:pPr/>
          </w:p>
        </w:tc>
      </w:tr>
      <w:tr>
        <w:trPr>
          <w:trHeight w:val="453" w:hRule="exact"/>
        </w:trPr>
        <w:tc>
          <w:tcPr>
            <w:tcW w:w="2822" w:type="dxa"/>
            <w:tcBorders>
              <w:top w:val="single" w:sz="6"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123"/>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
        </w:tc>
        <w:tc>
          <w:tcPr>
            <w:tcW w:w="199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5"/>
          <w:szCs w:val="5"/>
        </w:rPr>
      </w:pPr>
    </w:p>
    <w:p>
      <w:pPr>
        <w:pStyle w:val="BodyText"/>
        <w:spacing w:line="240" w:lineRule="auto" w:before="35"/>
        <w:ind w:left="674" w:right="0"/>
        <w:jc w:val="left"/>
      </w:pPr>
      <w:r>
        <w:rPr/>
        <w:t>（</w:t>
      </w:r>
      <w:r>
        <w:rPr>
          <w:rFonts w:ascii="Times New Roman" w:hAnsi="Times New Roman" w:cs="Times New Roman" w:eastAsia="Times New Roman" w:hint="default"/>
        </w:rPr>
        <w:t>4</w:t>
      </w:r>
      <w:r>
        <w:rPr/>
        <w:t>）本报告期实际核销的应收账款情况</w:t>
      </w:r>
    </w:p>
    <w:p>
      <w:pPr>
        <w:spacing w:after="0" w:line="240" w:lineRule="auto"/>
        <w:jc w:val="left"/>
        <w:sectPr>
          <w:pgSz w:w="11910" w:h="16840"/>
          <w:pgMar w:header="851" w:footer="982" w:top="1200" w:bottom="1180" w:left="880" w:right="80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103"/>
        <w:gridCol w:w="1388"/>
        <w:gridCol w:w="1784"/>
        <w:gridCol w:w="1192"/>
        <w:gridCol w:w="1402"/>
      </w:tblGrid>
      <w:tr>
        <w:trPr>
          <w:trHeight w:val="827" w:hRule="exact"/>
        </w:trPr>
        <w:tc>
          <w:tcPr>
            <w:tcW w:w="4103"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619"/>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388" w:type="dxa"/>
            <w:tcBorders>
              <w:top w:val="single" w:sz="18" w:space="0" w:color="000000"/>
              <w:left w:val="single" w:sz="4" w:space="0" w:color="000000"/>
              <w:bottom w:val="single" w:sz="4" w:space="0" w:color="000000"/>
              <w:right w:val="single" w:sz="4" w:space="0" w:color="000000"/>
            </w:tcBorders>
          </w:tcPr>
          <w:p>
            <w:pPr>
              <w:pStyle w:val="TableParagraph"/>
              <w:spacing w:line="400" w:lineRule="exact" w:before="18"/>
              <w:ind w:left="584" w:right="162" w:hanging="420"/>
              <w:jc w:val="left"/>
              <w:rPr>
                <w:rFonts w:ascii="宋体" w:hAnsi="宋体" w:cs="宋体" w:eastAsia="宋体" w:hint="default"/>
                <w:sz w:val="21"/>
                <w:szCs w:val="21"/>
              </w:rPr>
            </w:pPr>
            <w:r>
              <w:rPr>
                <w:rFonts w:ascii="宋体" w:hAnsi="宋体" w:cs="宋体" w:eastAsia="宋体" w:hint="default"/>
                <w:sz w:val="21"/>
                <w:szCs w:val="21"/>
              </w:rPr>
              <w:t>应收账款性 质</w:t>
            </w:r>
          </w:p>
        </w:tc>
        <w:tc>
          <w:tcPr>
            <w:tcW w:w="178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192"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02" w:type="dxa"/>
            <w:tcBorders>
              <w:top w:val="single" w:sz="18" w:space="0" w:color="000000"/>
              <w:left w:val="single" w:sz="4" w:space="0" w:color="000000"/>
              <w:bottom w:val="single" w:sz="4" w:space="0" w:color="000000"/>
              <w:right w:val="nil" w:sz="6" w:space="0" w:color="auto"/>
            </w:tcBorders>
          </w:tcPr>
          <w:p>
            <w:pPr>
              <w:pStyle w:val="TableParagraph"/>
              <w:spacing w:line="400" w:lineRule="exact" w:before="18"/>
              <w:ind w:left="275" w:right="174" w:hanging="106"/>
              <w:jc w:val="left"/>
              <w:rPr>
                <w:rFonts w:ascii="宋体" w:hAnsi="宋体" w:cs="宋体" w:eastAsia="宋体" w:hint="default"/>
                <w:sz w:val="21"/>
                <w:szCs w:val="21"/>
              </w:rPr>
            </w:pPr>
            <w:r>
              <w:rPr>
                <w:rFonts w:ascii="宋体" w:hAnsi="宋体" w:cs="宋体" w:eastAsia="宋体" w:hint="default"/>
                <w:sz w:val="21"/>
                <w:szCs w:val="21"/>
              </w:rPr>
              <w:t>是否因关联 交易产生</w:t>
            </w:r>
          </w:p>
        </w:tc>
      </w:tr>
      <w:tr>
        <w:trPr>
          <w:trHeight w:val="409" w:hRule="exact"/>
        </w:trPr>
        <w:tc>
          <w:tcPr>
            <w:tcW w:w="4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哈尔滨国际会展中心</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pacing w:val="-1"/>
                <w:sz w:val="21"/>
              </w:rPr>
              <w:t>1,508,867.45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4"/>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4103"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94"/>
              <w:ind w:right="161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21"/>
                <w:szCs w:val="21"/>
              </w:rPr>
            </w:pPr>
            <w:r>
              <w:rPr>
                <w:rFonts w:ascii="Times New Roman"/>
                <w:spacing w:val="-1"/>
                <w:sz w:val="21"/>
              </w:rPr>
              <w:t>1,508,867.45</w:t>
            </w:r>
          </w:p>
        </w:tc>
        <w:tc>
          <w:tcPr>
            <w:tcW w:w="1192" w:type="dxa"/>
            <w:tcBorders>
              <w:top w:val="single" w:sz="4" w:space="0" w:color="000000"/>
              <w:left w:val="single" w:sz="4" w:space="0" w:color="000000"/>
              <w:bottom w:val="single" w:sz="12" w:space="0" w:color="000000"/>
              <w:right w:val="single" w:sz="4" w:space="0" w:color="000000"/>
            </w:tcBorders>
          </w:tcPr>
          <w:p>
            <w:pPr/>
          </w:p>
        </w:tc>
        <w:tc>
          <w:tcPr>
            <w:tcW w:w="1402"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93"/>
        <w:ind w:left="674" w:right="0"/>
        <w:jc w:val="left"/>
      </w:pPr>
      <w:r>
        <w:rPr/>
        <w:t>（</w:t>
      </w:r>
      <w:r>
        <w:rPr>
          <w:rFonts w:ascii="Times New Roman" w:hAnsi="Times New Roman" w:cs="Times New Roman" w:eastAsia="Times New Roman" w:hint="default"/>
        </w:rPr>
        <w:t>5</w:t>
      </w:r>
      <w:r>
        <w:rPr/>
        <w:t>）应收账款中无持公司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09"/>
        <w:ind w:left="674" w:right="0"/>
        <w:jc w:val="left"/>
      </w:pPr>
      <w:r>
        <w:rPr/>
        <w:t>（</w:t>
      </w:r>
      <w:r>
        <w:rPr>
          <w:rFonts w:ascii="Times New Roman" w:hAnsi="Times New Roman" w:cs="Times New Roman" w:eastAsia="Times New Roman" w:hint="default"/>
        </w:rPr>
        <w:t>6</w:t>
      </w:r>
      <w:r>
        <w:rPr/>
        <w:t>）应收账款金额前五名单位情况</w:t>
      </w:r>
    </w:p>
    <w:tbl>
      <w:tblPr>
        <w:tblW w:w="0" w:type="auto"/>
        <w:jc w:val="left"/>
        <w:tblInd w:w="131" w:type="dxa"/>
        <w:tblLayout w:type="fixed"/>
        <w:tblCellMar>
          <w:top w:w="0" w:type="dxa"/>
          <w:left w:w="0" w:type="dxa"/>
          <w:bottom w:w="0" w:type="dxa"/>
          <w:right w:w="0" w:type="dxa"/>
        </w:tblCellMar>
        <w:tblLook w:val="01E0"/>
      </w:tblPr>
      <w:tblGrid>
        <w:gridCol w:w="4500"/>
        <w:gridCol w:w="1189"/>
        <w:gridCol w:w="1586"/>
        <w:gridCol w:w="1192"/>
        <w:gridCol w:w="1402"/>
      </w:tblGrid>
      <w:tr>
        <w:trPr>
          <w:trHeight w:val="1209" w:hRule="exact"/>
        </w:trPr>
        <w:tc>
          <w:tcPr>
            <w:tcW w:w="4500"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8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408" w:lineRule="auto"/>
              <w:ind w:left="497" w:right="134"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58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40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408" w:lineRule="auto"/>
              <w:ind w:left="198" w:right="158"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r>
      <w:tr>
        <w:trPr>
          <w:trHeight w:val="498" w:hRule="exact"/>
        </w:trPr>
        <w:tc>
          <w:tcPr>
            <w:tcW w:w="4500" w:type="dxa"/>
            <w:tcBorders>
              <w:top w:val="single" w:sz="4" w:space="0" w:color="000000"/>
              <w:left w:val="nil" w:sz="6" w:space="0" w:color="auto"/>
              <w:bottom w:val="nil" w:sz="6" w:space="0" w:color="auto"/>
              <w:right w:val="single" w:sz="6"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天津高银国际俱乐部有限公司</w:t>
            </w:r>
          </w:p>
        </w:tc>
        <w:tc>
          <w:tcPr>
            <w:tcW w:w="118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6,797,857.00</w:t>
            </w:r>
          </w:p>
        </w:tc>
        <w:tc>
          <w:tcPr>
            <w:tcW w:w="119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2" w:type="dxa"/>
            <w:tcBorders>
              <w:top w:val="single" w:sz="4" w:space="0" w:color="000000"/>
              <w:left w:val="single" w:sz="6"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29.60</w:t>
            </w:r>
          </w:p>
        </w:tc>
      </w:tr>
      <w:tr>
        <w:trPr>
          <w:trHeight w:val="40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中国工商银行股份有限公司总行</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2,380,000.00</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10.36</w:t>
            </w:r>
          </w:p>
        </w:tc>
      </w:tr>
      <w:tr>
        <w:trPr>
          <w:trHeight w:val="40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中国工商银行股份有限公司珠海开发中心</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1,288,000.00</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5.61</w:t>
            </w:r>
          </w:p>
        </w:tc>
      </w:tr>
      <w:tr>
        <w:trPr>
          <w:trHeight w:val="400" w:hRule="exact"/>
        </w:trPr>
        <w:tc>
          <w:tcPr>
            <w:tcW w:w="450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嘉兴茂旅酒店有限公司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杭州湾海景大酒店</w:t>
            </w:r>
            <w:r>
              <w:rPr>
                <w:rFonts w:ascii="Times New Roman" w:hAnsi="Times New Roman" w:cs="Times New Roman" w:eastAsia="Times New Roman" w:hint="default"/>
                <w:sz w:val="18"/>
                <w:szCs w:val="18"/>
              </w:rPr>
              <w:t>)</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nil" w:sz="6" w:space="0" w:color="auto"/>
              <w:left w:val="single" w:sz="6" w:space="0" w:color="000000"/>
              <w:bottom w:val="nil" w:sz="6" w:space="0" w:color="auto"/>
              <w:right w:val="single" w:sz="6"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1,230,392.34</w:t>
            </w:r>
          </w:p>
        </w:tc>
        <w:tc>
          <w:tcPr>
            <w:tcW w:w="1192"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2" w:type="dxa"/>
            <w:tcBorders>
              <w:top w:val="nil" w:sz="6" w:space="0" w:color="auto"/>
              <w:left w:val="single" w:sz="6" w:space="0" w:color="000000"/>
              <w:bottom w:val="nil" w:sz="6" w:space="0" w:color="auto"/>
              <w:right w:val="nil" w:sz="6" w:space="0" w:color="auto"/>
            </w:tcBorders>
          </w:tcPr>
          <w:p>
            <w:pPr>
              <w:pStyle w:val="TableParagraph"/>
              <w:spacing w:line="240" w:lineRule="auto" w:before="97"/>
              <w:ind w:right="3"/>
              <w:jc w:val="center"/>
              <w:rPr>
                <w:rFonts w:ascii="Times New Roman" w:hAnsi="Times New Roman" w:cs="Times New Roman" w:eastAsia="Times New Roman" w:hint="default"/>
                <w:sz w:val="18"/>
                <w:szCs w:val="18"/>
              </w:rPr>
            </w:pPr>
            <w:r>
              <w:rPr>
                <w:rFonts w:ascii="Times New Roman"/>
                <w:sz w:val="18"/>
              </w:rPr>
              <w:t>5.36</w:t>
            </w:r>
          </w:p>
        </w:tc>
      </w:tr>
      <w:tr>
        <w:trPr>
          <w:trHeight w:val="312" w:hRule="exact"/>
        </w:trPr>
        <w:tc>
          <w:tcPr>
            <w:tcW w:w="4500" w:type="dxa"/>
            <w:tcBorders>
              <w:top w:val="nil" w:sz="6" w:space="0" w:color="auto"/>
              <w:left w:val="nil" w:sz="6" w:space="0" w:color="auto"/>
              <w:bottom w:val="single" w:sz="4"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牡丹江世贸假日酒店</w:t>
            </w:r>
          </w:p>
        </w:tc>
        <w:tc>
          <w:tcPr>
            <w:tcW w:w="118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669,645.00</w:t>
            </w:r>
          </w:p>
        </w:tc>
        <w:tc>
          <w:tcPr>
            <w:tcW w:w="119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2" w:type="dxa"/>
            <w:tcBorders>
              <w:top w:val="nil" w:sz="6" w:space="0" w:color="auto"/>
              <w:left w:val="single" w:sz="6" w:space="0" w:color="000000"/>
              <w:bottom w:val="single" w:sz="4" w:space="0" w:color="000000"/>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2.92</w:t>
            </w:r>
          </w:p>
        </w:tc>
      </w:tr>
      <w:tr>
        <w:trPr>
          <w:trHeight w:val="421" w:hRule="exact"/>
        </w:trPr>
        <w:tc>
          <w:tcPr>
            <w:tcW w:w="4500" w:type="dxa"/>
            <w:tcBorders>
              <w:top w:val="single" w:sz="4" w:space="0" w:color="000000"/>
              <w:left w:val="nil" w:sz="6" w:space="0" w:color="auto"/>
              <w:bottom w:val="single" w:sz="12" w:space="0" w:color="000000"/>
              <w:right w:val="single" w:sz="6" w:space="0" w:color="000000"/>
            </w:tcBorders>
          </w:tcPr>
          <w:p>
            <w:pPr>
              <w:pStyle w:val="TableParagraph"/>
              <w:tabs>
                <w:tab w:pos="559" w:val="left" w:leader="none"/>
              </w:tabs>
              <w:spacing w:line="240" w:lineRule="auto" w:before="137"/>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89" w:type="dxa"/>
            <w:tcBorders>
              <w:top w:val="single" w:sz="4" w:space="0" w:color="000000"/>
              <w:left w:val="single" w:sz="6" w:space="0" w:color="000000"/>
              <w:bottom w:val="single" w:sz="12" w:space="0" w:color="000000"/>
              <w:right w:val="single" w:sz="6" w:space="0" w:color="000000"/>
            </w:tcBorders>
          </w:tcPr>
          <w:p>
            <w:pPr/>
          </w:p>
        </w:tc>
        <w:tc>
          <w:tcPr>
            <w:tcW w:w="15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12,365,894.34</w:t>
            </w:r>
          </w:p>
        </w:tc>
        <w:tc>
          <w:tcPr>
            <w:tcW w:w="1192" w:type="dxa"/>
            <w:tcBorders>
              <w:top w:val="single" w:sz="4" w:space="0" w:color="000000"/>
              <w:left w:val="single" w:sz="6" w:space="0" w:color="000000"/>
              <w:bottom w:val="single" w:sz="12" w:space="0" w:color="000000"/>
              <w:right w:val="single" w:sz="6" w:space="0" w:color="000000"/>
            </w:tcBorders>
          </w:tcPr>
          <w:p>
            <w:pPr/>
          </w:p>
        </w:tc>
        <w:tc>
          <w:tcPr>
            <w:tcW w:w="140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53.85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674" w:right="0"/>
        <w:jc w:val="left"/>
      </w:pPr>
      <w:r>
        <w:rPr>
          <w:rFonts w:ascii="Times New Roman" w:hAnsi="Times New Roman" w:cs="Times New Roman" w:eastAsia="Times New Roman" w:hint="default"/>
        </w:rPr>
        <w:t>2</w:t>
      </w:r>
      <w:r>
        <w:rPr/>
        <w:t>．其他应收款</w:t>
      </w:r>
    </w:p>
    <w:p>
      <w:pPr>
        <w:pStyle w:val="BodyText"/>
        <w:spacing w:line="240" w:lineRule="auto" w:before="110"/>
        <w:ind w:left="674" w:right="0"/>
        <w:jc w:val="left"/>
      </w:pPr>
      <w:r>
        <w:rPr/>
        <w:t>（</w:t>
      </w:r>
      <w:r>
        <w:rPr>
          <w:rFonts w:ascii="Times New Roman" w:hAnsi="Times New Roman" w:cs="Times New Roman" w:eastAsia="Times New Roman" w:hint="default"/>
        </w:rPr>
        <w:t>1</w:t>
      </w:r>
      <w:r>
        <w:rPr/>
        <w:t>）其他应收款按种类披露：</w:t>
      </w:r>
    </w:p>
    <w:tbl>
      <w:tblPr>
        <w:tblW w:w="0" w:type="auto"/>
        <w:jc w:val="left"/>
        <w:tblInd w:w="131" w:type="dxa"/>
        <w:tblLayout w:type="fixed"/>
        <w:tblCellMar>
          <w:top w:w="0" w:type="dxa"/>
          <w:left w:w="0" w:type="dxa"/>
          <w:bottom w:w="0" w:type="dxa"/>
          <w:right w:w="0" w:type="dxa"/>
        </w:tblCellMar>
        <w:tblLook w:val="01E0"/>
      </w:tblPr>
      <w:tblGrid>
        <w:gridCol w:w="4896"/>
        <w:gridCol w:w="1388"/>
        <w:gridCol w:w="956"/>
        <w:gridCol w:w="1644"/>
        <w:gridCol w:w="1092"/>
      </w:tblGrid>
      <w:tr>
        <w:trPr>
          <w:trHeight w:val="419" w:hRule="exact"/>
        </w:trPr>
        <w:tc>
          <w:tcPr>
            <w:tcW w:w="48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08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10" w:hRule="exact"/>
        </w:trPr>
        <w:tc>
          <w:tcPr>
            <w:tcW w:w="4896" w:type="dxa"/>
            <w:vMerge/>
            <w:tcBorders>
              <w:left w:val="nil" w:sz="6" w:space="0" w:color="auto"/>
              <w:right w:val="single" w:sz="4" w:space="0" w:color="000000"/>
            </w:tcBorders>
          </w:tcPr>
          <w:p>
            <w:pPr/>
          </w:p>
        </w:tc>
        <w:tc>
          <w:tcPr>
            <w:tcW w:w="2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3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4896"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4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92" w:hRule="exact"/>
        </w:trPr>
        <w:tc>
          <w:tcPr>
            <w:tcW w:w="4896" w:type="dxa"/>
            <w:tcBorders>
              <w:top w:val="single" w:sz="4" w:space="0" w:color="000000"/>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、单项金额重大并单项计提坏账准备的其他应收款</w:t>
            </w:r>
          </w:p>
        </w:tc>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60,254,512.20</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100.00</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3,383,713.86</w:t>
            </w:r>
          </w:p>
        </w:tc>
        <w:tc>
          <w:tcPr>
            <w:tcW w:w="109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100.00</w:t>
            </w:r>
          </w:p>
        </w:tc>
      </w:tr>
      <w:tr>
        <w:trPr>
          <w:trHeight w:val="400" w:hRule="exact"/>
        </w:trPr>
        <w:tc>
          <w:tcPr>
            <w:tcW w:w="489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、按组合计提坏账准备的其他应收款：</w:t>
            </w:r>
          </w:p>
        </w:tc>
        <w:tc>
          <w:tcPr>
            <w:tcW w:w="138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1644" w:type="dxa"/>
            <w:vMerge/>
            <w:tcBorders>
              <w:left w:val="single" w:sz="4" w:space="0" w:color="000000"/>
              <w:right w:val="single" w:sz="4" w:space="0" w:color="000000"/>
            </w:tcBorders>
          </w:tcPr>
          <w:p>
            <w:pPr/>
          </w:p>
        </w:tc>
        <w:tc>
          <w:tcPr>
            <w:tcW w:w="1092" w:type="dxa"/>
            <w:vMerge/>
            <w:tcBorders>
              <w:left w:val="single" w:sz="4" w:space="0" w:color="000000"/>
              <w:right w:val="nil" w:sz="6" w:space="0" w:color="auto"/>
            </w:tcBorders>
          </w:tcPr>
          <w:p>
            <w:pPr/>
          </w:p>
        </w:tc>
      </w:tr>
      <w:tr>
        <w:trPr>
          <w:trHeight w:val="318" w:hRule="exact"/>
        </w:trPr>
        <w:tc>
          <w:tcPr>
            <w:tcW w:w="4896"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、单项金额不重大但单项计提坏账准备的其他应收款</w:t>
            </w:r>
          </w:p>
        </w:tc>
        <w:tc>
          <w:tcPr>
            <w:tcW w:w="138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nil" w:sz="6" w:space="0" w:color="auto"/>
            </w:tcBorders>
          </w:tcPr>
          <w:p>
            <w:pPr/>
          </w:p>
        </w:tc>
      </w:tr>
      <w:tr>
        <w:trPr>
          <w:trHeight w:val="421" w:hRule="exact"/>
        </w:trPr>
        <w:tc>
          <w:tcPr>
            <w:tcW w:w="4896"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36"/>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60,254,512.20</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3,383,713.86</w:t>
            </w:r>
          </w:p>
        </w:tc>
        <w:tc>
          <w:tcPr>
            <w:tcW w:w="10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4896"/>
        <w:gridCol w:w="1588"/>
        <w:gridCol w:w="992"/>
        <w:gridCol w:w="1412"/>
        <w:gridCol w:w="1088"/>
      </w:tblGrid>
      <w:tr>
        <w:trPr>
          <w:trHeight w:val="419" w:hRule="exact"/>
        </w:trPr>
        <w:tc>
          <w:tcPr>
            <w:tcW w:w="48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tabs>
                <w:tab w:pos="559"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08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0" w:hRule="exact"/>
        </w:trPr>
        <w:tc>
          <w:tcPr>
            <w:tcW w:w="4896" w:type="dxa"/>
            <w:vMerge/>
            <w:tcBorders>
              <w:left w:val="nil" w:sz="6" w:space="0" w:color="auto"/>
              <w:right w:val="single" w:sz="4" w:space="0" w:color="000000"/>
            </w:tcBorders>
          </w:tcPr>
          <w:p>
            <w:pPr/>
          </w:p>
        </w:tc>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4896" w:type="dxa"/>
            <w:vMerge/>
            <w:tcBorders>
              <w:left w:val="nil" w:sz="6" w:space="0" w:color="auto"/>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1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92" w:hRule="exact"/>
        </w:trPr>
        <w:tc>
          <w:tcPr>
            <w:tcW w:w="4896" w:type="dxa"/>
            <w:tcBorders>
              <w:top w:val="single" w:sz="4" w:space="0" w:color="000000"/>
              <w:left w:val="nil" w:sz="6" w:space="0" w:color="auto"/>
              <w:bottom w:val="nil" w:sz="6" w:space="0" w:color="auto"/>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、单项金额重大并单项计提坏账准备的其他应收款</w:t>
            </w:r>
          </w:p>
        </w:tc>
        <w:tc>
          <w:tcPr>
            <w:tcW w:w="15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3,984,286.74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100.00</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359,651.93</w:t>
            </w:r>
          </w:p>
        </w:tc>
        <w:tc>
          <w:tcPr>
            <w:tcW w:w="108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100.00</w:t>
            </w:r>
          </w:p>
        </w:tc>
      </w:tr>
      <w:tr>
        <w:trPr>
          <w:trHeight w:val="400" w:hRule="exact"/>
        </w:trPr>
        <w:tc>
          <w:tcPr>
            <w:tcW w:w="4896"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、按组合计提坏账准备的其他应收款：</w:t>
            </w:r>
          </w:p>
        </w:tc>
        <w:tc>
          <w:tcPr>
            <w:tcW w:w="158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12" w:type="dxa"/>
            <w:vMerge/>
            <w:tcBorders>
              <w:left w:val="single" w:sz="4" w:space="0" w:color="000000"/>
              <w:right w:val="single" w:sz="4" w:space="0" w:color="000000"/>
            </w:tcBorders>
          </w:tcPr>
          <w:p>
            <w:pPr/>
          </w:p>
        </w:tc>
        <w:tc>
          <w:tcPr>
            <w:tcW w:w="1088" w:type="dxa"/>
            <w:vMerge/>
            <w:tcBorders>
              <w:left w:val="single" w:sz="4" w:space="0" w:color="000000"/>
              <w:right w:val="nil" w:sz="6" w:space="0" w:color="auto"/>
            </w:tcBorders>
          </w:tcPr>
          <w:p>
            <w:pPr/>
          </w:p>
        </w:tc>
      </w:tr>
      <w:tr>
        <w:trPr>
          <w:trHeight w:val="318" w:hRule="exact"/>
        </w:trPr>
        <w:tc>
          <w:tcPr>
            <w:tcW w:w="4896"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、单项金额不重大但单项计提坏账准备的其他应收款</w:t>
            </w:r>
          </w:p>
        </w:tc>
        <w:tc>
          <w:tcPr>
            <w:tcW w:w="158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nil" w:sz="6" w:space="0" w:color="auto"/>
            </w:tcBorders>
          </w:tcPr>
          <w:p>
            <w:pPr/>
          </w:p>
        </w:tc>
      </w:tr>
      <w:tr>
        <w:trPr>
          <w:trHeight w:val="421" w:hRule="exact"/>
        </w:trPr>
        <w:tc>
          <w:tcPr>
            <w:tcW w:w="4896" w:type="dxa"/>
            <w:tcBorders>
              <w:top w:val="single" w:sz="4" w:space="0" w:color="000000"/>
              <w:left w:val="nil" w:sz="6" w:space="0" w:color="auto"/>
              <w:bottom w:val="single" w:sz="12" w:space="0" w:color="000000"/>
              <w:right w:val="single" w:sz="4" w:space="0" w:color="000000"/>
            </w:tcBorders>
          </w:tcPr>
          <w:p>
            <w:pPr>
              <w:pStyle w:val="TableParagraph"/>
              <w:tabs>
                <w:tab w:pos="559" w:val="left" w:leader="none"/>
              </w:tabs>
              <w:spacing w:line="240" w:lineRule="auto" w:before="136"/>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3,984,286.74</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359,651.93</w:t>
            </w:r>
          </w:p>
        </w:tc>
        <w:tc>
          <w:tcPr>
            <w:tcW w:w="10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footerReference w:type="default" r:id="rId48"/>
          <w:pgSz w:w="11910" w:h="16840"/>
          <w:pgMar w:footer="1058" w:header="851" w:top="1200" w:bottom="1240" w:left="880" w:right="800"/>
          <w:pgNumType w:start="127"/>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9"/>
          <w:szCs w:val="9"/>
        </w:rPr>
      </w:pPr>
    </w:p>
    <w:p>
      <w:pPr>
        <w:pStyle w:val="BodyText"/>
        <w:spacing w:line="240" w:lineRule="auto" w:before="35"/>
        <w:ind w:left="654" w:right="101"/>
        <w:jc w:val="left"/>
      </w:pPr>
      <w:r>
        <w:rPr/>
        <w:t>组合中，按账龄分析法计提坏账准备的其他应收款：</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54"/>
        <w:gridCol w:w="2287"/>
        <w:gridCol w:w="1872"/>
        <w:gridCol w:w="2656"/>
      </w:tblGrid>
      <w:tr>
        <w:trPr>
          <w:trHeight w:val="489" w:hRule="exact"/>
        </w:trPr>
        <w:tc>
          <w:tcPr>
            <w:tcW w:w="305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62"/>
              <w:ind w:right="6"/>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80" w:hRule="exact"/>
        </w:trPr>
        <w:tc>
          <w:tcPr>
            <w:tcW w:w="3054" w:type="dxa"/>
            <w:vMerge/>
            <w:tcBorders>
              <w:left w:val="nil" w:sz="6" w:space="0" w:color="auto"/>
              <w:right w:val="single" w:sz="4" w:space="0" w:color="000000"/>
            </w:tcBorders>
          </w:tcPr>
          <w:p>
            <w:pPr/>
          </w:p>
        </w:tc>
        <w:tc>
          <w:tcPr>
            <w:tcW w:w="4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3054" w:type="dxa"/>
            <w:vMerge/>
            <w:tcBorders>
              <w:left w:val="nil" w:sz="6" w:space="0" w:color="auto"/>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4" w:space="0" w:color="000000"/>
              <w:bottom w:val="single" w:sz="4" w:space="0" w:color="000000"/>
              <w:right w:val="nil" w:sz="6" w:space="0" w:color="auto"/>
            </w:tcBorders>
          </w:tcPr>
          <w:p>
            <w:pPr/>
          </w:p>
        </w:tc>
      </w:tr>
      <w:tr>
        <w:trPr>
          <w:trHeight w:val="586" w:hRule="exact"/>
        </w:trPr>
        <w:tc>
          <w:tcPr>
            <w:tcW w:w="3054" w:type="dxa"/>
            <w:tcBorders>
              <w:top w:val="single" w:sz="4" w:space="0" w:color="000000"/>
              <w:left w:val="nil" w:sz="6" w:space="0" w:color="auto"/>
              <w:bottom w:val="nil" w:sz="6" w:space="0" w:color="auto"/>
              <w:right w:val="single" w:sz="4" w:space="0" w:color="000000"/>
            </w:tcBorders>
          </w:tcPr>
          <w:p>
            <w:pPr>
              <w:pStyle w:val="TableParagraph"/>
              <w:spacing w:line="240" w:lineRule="auto" w:before="16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58,095,234.74</w:t>
            </w:r>
          </w:p>
        </w:tc>
        <w:tc>
          <w:tcPr>
            <w:tcW w:w="1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96.41</w:t>
            </w:r>
          </w:p>
        </w:tc>
        <w:tc>
          <w:tcPr>
            <w:tcW w:w="2656"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2,904,761.74</w:t>
            </w:r>
          </w:p>
        </w:tc>
      </w:tr>
      <w:tr>
        <w:trPr>
          <w:trHeight w:val="47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21"/>
                <w:szCs w:val="21"/>
              </w:rPr>
            </w:pPr>
            <w:r>
              <w:rPr>
                <w:rFonts w:ascii="Times New Roman"/>
                <w:spacing w:val="-1"/>
                <w:sz w:val="21"/>
              </w:rPr>
              <w:t>509,621.71</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 w:right="0"/>
              <w:jc w:val="center"/>
              <w:rPr>
                <w:rFonts w:ascii="Times New Roman" w:hAnsi="Times New Roman" w:cs="Times New Roman" w:eastAsia="Times New Roman" w:hint="default"/>
                <w:sz w:val="21"/>
                <w:szCs w:val="21"/>
              </w:rPr>
            </w:pPr>
            <w:r>
              <w:rPr>
                <w:rFonts w:ascii="Times New Roman"/>
                <w:sz w:val="21"/>
              </w:rPr>
              <w:t>0.85</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21"/>
                <w:szCs w:val="21"/>
              </w:rPr>
            </w:pPr>
            <w:r>
              <w:rPr>
                <w:rFonts w:ascii="Times New Roman"/>
                <w:spacing w:val="-1"/>
                <w:sz w:val="21"/>
              </w:rPr>
              <w:t>50,962.17</w:t>
            </w:r>
          </w:p>
        </w:tc>
      </w:tr>
      <w:tr>
        <w:trPr>
          <w:trHeight w:val="470" w:hRule="exact"/>
        </w:trPr>
        <w:tc>
          <w:tcPr>
            <w:tcW w:w="305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669,067.83</w:t>
            </w:r>
            <w:r>
              <w:rPr>
                <w:rFonts w:ascii="Times New Roman"/>
                <w:sz w:val="21"/>
              </w:rPr>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1.11</w:t>
            </w:r>
          </w:p>
        </w:tc>
        <w:tc>
          <w:tcPr>
            <w:tcW w:w="2656"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133,813.57</w:t>
            </w:r>
            <w:r>
              <w:rPr>
                <w:rFonts w:ascii="Times New Roman"/>
                <w:sz w:val="21"/>
              </w:rPr>
            </w:r>
          </w:p>
        </w:tc>
      </w:tr>
      <w:tr>
        <w:trPr>
          <w:trHeight w:val="364" w:hRule="exact"/>
        </w:trPr>
        <w:tc>
          <w:tcPr>
            <w:tcW w:w="3054"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980,587.92</w:t>
            </w:r>
            <w:r>
              <w:rPr>
                <w:rFonts w:ascii="Times New Roman"/>
                <w:sz w:val="21"/>
              </w:rPr>
            </w:r>
          </w:p>
        </w:tc>
        <w:tc>
          <w:tcPr>
            <w:tcW w:w="18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1.63</w:t>
            </w:r>
          </w:p>
        </w:tc>
        <w:tc>
          <w:tcPr>
            <w:tcW w:w="2656" w:type="dxa"/>
            <w:tcBorders>
              <w:top w:val="nil" w:sz="6" w:space="0" w:color="auto"/>
              <w:left w:val="single" w:sz="4" w:space="0" w:color="000000"/>
              <w:bottom w:val="single" w:sz="4"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294,176.38</w:t>
            </w:r>
            <w:r>
              <w:rPr>
                <w:rFonts w:ascii="Times New Roman"/>
                <w:sz w:val="21"/>
              </w:rPr>
            </w:r>
          </w:p>
        </w:tc>
      </w:tr>
      <w:tr>
        <w:trPr>
          <w:trHeight w:val="490" w:hRule="exact"/>
        </w:trPr>
        <w:tc>
          <w:tcPr>
            <w:tcW w:w="3054"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40" w:lineRule="auto" w:before="164"/>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60,254,512.20</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42" w:right="0"/>
              <w:jc w:val="left"/>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3,383,713.86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3054"/>
        <w:gridCol w:w="2287"/>
        <w:gridCol w:w="1872"/>
        <w:gridCol w:w="2656"/>
      </w:tblGrid>
      <w:tr>
        <w:trPr>
          <w:trHeight w:val="493" w:hRule="exact"/>
        </w:trPr>
        <w:tc>
          <w:tcPr>
            <w:tcW w:w="30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681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62"/>
              <w:ind w:right="6"/>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5" w:hRule="exact"/>
        </w:trPr>
        <w:tc>
          <w:tcPr>
            <w:tcW w:w="3054" w:type="dxa"/>
            <w:vMerge/>
            <w:tcBorders>
              <w:left w:val="nil" w:sz="6" w:space="0" w:color="auto"/>
              <w:right w:val="single" w:sz="6" w:space="0" w:color="000000"/>
            </w:tcBorders>
          </w:tcPr>
          <w:p>
            <w:pPr/>
          </w:p>
        </w:tc>
        <w:tc>
          <w:tcPr>
            <w:tcW w:w="41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6"/>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5" w:hRule="exact"/>
        </w:trPr>
        <w:tc>
          <w:tcPr>
            <w:tcW w:w="3054" w:type="dxa"/>
            <w:vMerge/>
            <w:tcBorders>
              <w:left w:val="nil" w:sz="6" w:space="0" w:color="auto"/>
              <w:bottom w:val="single" w:sz="6" w:space="0" w:color="000000"/>
              <w:right w:val="single" w:sz="6" w:space="0" w:color="000000"/>
            </w:tcBorders>
          </w:tcPr>
          <w:p>
            <w:pPr/>
          </w:p>
        </w:tc>
        <w:tc>
          <w:tcPr>
            <w:tcW w:w="2287" w:type="dxa"/>
            <w:tcBorders>
              <w:top w:val="single" w:sz="6" w:space="0" w:color="000000"/>
              <w:left w:val="single" w:sz="6" w:space="0" w:color="000000"/>
              <w:bottom w:val="single" w:sz="6" w:space="0" w:color="000000"/>
              <w:right w:val="single" w:sz="6" w:space="0" w:color="000000"/>
            </w:tcBorders>
          </w:tcPr>
          <w:p>
            <w:pPr>
              <w:pStyle w:val="TableParagraph"/>
              <w:tabs>
                <w:tab w:pos="423" w:val="left" w:leader="none"/>
              </w:tabs>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656" w:type="dxa"/>
            <w:vMerge/>
            <w:tcBorders>
              <w:left w:val="single" w:sz="6" w:space="0" w:color="000000"/>
              <w:bottom w:val="single" w:sz="6" w:space="0" w:color="000000"/>
              <w:right w:val="nil" w:sz="6" w:space="0" w:color="auto"/>
            </w:tcBorders>
          </w:tcPr>
          <w:p>
            <w:pPr/>
          </w:p>
        </w:tc>
      </w:tr>
      <w:tr>
        <w:trPr>
          <w:trHeight w:val="588" w:hRule="exact"/>
        </w:trPr>
        <w:tc>
          <w:tcPr>
            <w:tcW w:w="3054" w:type="dxa"/>
            <w:tcBorders>
              <w:top w:val="single" w:sz="6" w:space="0" w:color="000000"/>
              <w:left w:val="nil" w:sz="6" w:space="0" w:color="auto"/>
              <w:bottom w:val="nil" w:sz="6" w:space="0" w:color="auto"/>
              <w:right w:val="single" w:sz="6"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2,799,408.12</w:t>
            </w:r>
          </w:p>
        </w:tc>
        <w:tc>
          <w:tcPr>
            <w:tcW w:w="18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70.26</w:t>
            </w:r>
          </w:p>
        </w:tc>
        <w:tc>
          <w:tcPr>
            <w:tcW w:w="2656" w:type="dxa"/>
            <w:tcBorders>
              <w:top w:val="single" w:sz="6" w:space="0" w:color="000000"/>
              <w:left w:val="single" w:sz="6"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139,970.41</w:t>
            </w:r>
          </w:p>
        </w:tc>
      </w:tr>
      <w:tr>
        <w:trPr>
          <w:trHeight w:val="470"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484,854.34</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sz w:val="21"/>
              </w:rPr>
              <w:t>12.17</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21"/>
                <w:szCs w:val="21"/>
              </w:rPr>
            </w:pPr>
            <w:r>
              <w:rPr>
                <w:rFonts w:ascii="Times New Roman"/>
                <w:spacing w:val="-1"/>
                <w:sz w:val="21"/>
              </w:rPr>
              <w:t>48,485.43</w:t>
            </w:r>
          </w:p>
        </w:tc>
      </w:tr>
      <w:tr>
        <w:trPr>
          <w:trHeight w:val="470" w:hRule="exact"/>
        </w:trPr>
        <w:tc>
          <w:tcPr>
            <w:tcW w:w="3054" w:type="dxa"/>
            <w:tcBorders>
              <w:top w:val="nil" w:sz="6" w:space="0" w:color="auto"/>
              <w:left w:val="nil" w:sz="6" w:space="0" w:color="auto"/>
              <w:bottom w:val="nil" w:sz="6" w:space="0" w:color="auto"/>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87"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2"/>
                <w:sz w:val="21"/>
              </w:rPr>
              <w:t>388,111.95</w:t>
            </w:r>
          </w:p>
        </w:tc>
        <w:tc>
          <w:tcPr>
            <w:tcW w:w="1872" w:type="dxa"/>
            <w:tcBorders>
              <w:top w:val="nil" w:sz="6" w:space="0" w:color="auto"/>
              <w:left w:val="single" w:sz="6" w:space="0" w:color="000000"/>
              <w:bottom w:val="nil" w:sz="6" w:space="0" w:color="auto"/>
              <w:right w:val="single" w:sz="6"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9.74</w:t>
            </w:r>
          </w:p>
        </w:tc>
        <w:tc>
          <w:tcPr>
            <w:tcW w:w="2656" w:type="dxa"/>
            <w:tcBorders>
              <w:top w:val="nil" w:sz="6" w:space="0" w:color="auto"/>
              <w:left w:val="single" w:sz="6" w:space="0" w:color="000000"/>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77,622.39</w:t>
            </w:r>
          </w:p>
        </w:tc>
      </w:tr>
      <w:tr>
        <w:trPr>
          <w:trHeight w:val="367" w:hRule="exact"/>
        </w:trPr>
        <w:tc>
          <w:tcPr>
            <w:tcW w:w="3054" w:type="dxa"/>
            <w:tcBorders>
              <w:top w:val="nil" w:sz="6" w:space="0" w:color="auto"/>
              <w:left w:val="nil" w:sz="6" w:space="0" w:color="auto"/>
              <w:bottom w:val="single" w:sz="6" w:space="0" w:color="000000"/>
              <w:right w:val="single" w:sz="6"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8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5"/>
              <w:ind w:right="96"/>
              <w:jc w:val="right"/>
              <w:rPr>
                <w:rFonts w:ascii="Times New Roman" w:hAnsi="Times New Roman" w:cs="Times New Roman" w:eastAsia="Times New Roman" w:hint="default"/>
                <w:sz w:val="21"/>
                <w:szCs w:val="21"/>
              </w:rPr>
            </w:pPr>
            <w:r>
              <w:rPr>
                <w:rFonts w:ascii="Times New Roman"/>
                <w:spacing w:val="-2"/>
                <w:sz w:val="21"/>
              </w:rPr>
              <w:t>311,912.33</w:t>
            </w:r>
          </w:p>
        </w:tc>
        <w:tc>
          <w:tcPr>
            <w:tcW w:w="18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5"/>
              <w:ind w:right="0"/>
              <w:jc w:val="center"/>
              <w:rPr>
                <w:rFonts w:ascii="Times New Roman" w:hAnsi="Times New Roman" w:cs="Times New Roman" w:eastAsia="Times New Roman" w:hint="default"/>
                <w:sz w:val="21"/>
                <w:szCs w:val="21"/>
              </w:rPr>
            </w:pPr>
            <w:r>
              <w:rPr>
                <w:rFonts w:ascii="Times New Roman"/>
                <w:sz w:val="21"/>
              </w:rPr>
              <w:t>7.83</w:t>
            </w:r>
          </w:p>
        </w:tc>
        <w:tc>
          <w:tcPr>
            <w:tcW w:w="2656" w:type="dxa"/>
            <w:tcBorders>
              <w:top w:val="nil" w:sz="6" w:space="0" w:color="auto"/>
              <w:left w:val="single" w:sz="6" w:space="0" w:color="000000"/>
              <w:bottom w:val="single" w:sz="6" w:space="0" w:color="000000"/>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21"/>
                <w:szCs w:val="21"/>
              </w:rPr>
            </w:pPr>
            <w:r>
              <w:rPr>
                <w:rFonts w:ascii="Times New Roman"/>
                <w:spacing w:val="-1"/>
                <w:sz w:val="21"/>
              </w:rPr>
              <w:t>93,573.70</w:t>
            </w:r>
          </w:p>
        </w:tc>
      </w:tr>
      <w:tr>
        <w:trPr>
          <w:trHeight w:val="493" w:hRule="exact"/>
        </w:trPr>
        <w:tc>
          <w:tcPr>
            <w:tcW w:w="3054"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40" w:lineRule="auto" w:before="16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3,984,286.74</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9" w:right="0"/>
              <w:jc w:val="left"/>
              <w:rPr>
                <w:rFonts w:ascii="Times New Roman" w:hAnsi="Times New Roman" w:cs="Times New Roman" w:eastAsia="Times New Roman" w:hint="default"/>
                <w:sz w:val="21"/>
                <w:szCs w:val="21"/>
              </w:rPr>
            </w:pPr>
            <w:r>
              <w:rPr>
                <w:rFonts w:ascii="Times New Roman"/>
                <w:sz w:val="21"/>
              </w:rPr>
              <w:t>100.00</w:t>
            </w:r>
          </w:p>
        </w:tc>
        <w:tc>
          <w:tcPr>
            <w:tcW w:w="2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359,651.93</w:t>
            </w:r>
          </w:p>
        </w:tc>
      </w:tr>
    </w:tbl>
    <w:p>
      <w:pPr>
        <w:spacing w:line="240" w:lineRule="auto" w:before="10"/>
        <w:rPr>
          <w:rFonts w:ascii="宋体" w:hAnsi="宋体" w:cs="宋体" w:eastAsia="宋体" w:hint="default"/>
          <w:sz w:val="9"/>
          <w:szCs w:val="9"/>
        </w:rPr>
      </w:pPr>
    </w:p>
    <w:p>
      <w:pPr>
        <w:pStyle w:val="BodyText"/>
        <w:spacing w:line="240" w:lineRule="auto" w:before="35"/>
        <w:ind w:left="654" w:right="101"/>
        <w:jc w:val="left"/>
      </w:pPr>
      <w:r>
        <w:rPr/>
        <w:t>（</w:t>
      </w:r>
      <w:r>
        <w:rPr>
          <w:rFonts w:ascii="Times New Roman" w:hAnsi="Times New Roman" w:cs="Times New Roman" w:eastAsia="Times New Roman" w:hint="default"/>
        </w:rPr>
        <w:t>3</w:t>
      </w:r>
      <w:r>
        <w:rPr/>
        <w:t>）其他应收款中无持公司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）以上表决权股份的股东单位欠款。</w:t>
      </w:r>
    </w:p>
    <w:p>
      <w:pPr>
        <w:pStyle w:val="BodyText"/>
        <w:spacing w:line="240" w:lineRule="auto" w:before="179"/>
        <w:ind w:left="654" w:right="101"/>
        <w:jc w:val="left"/>
      </w:pPr>
      <w:r>
        <w:rPr/>
        <w:t>（</w:t>
      </w:r>
      <w:r>
        <w:rPr>
          <w:rFonts w:ascii="Times New Roman" w:hAnsi="Times New Roman" w:cs="Times New Roman" w:eastAsia="Times New Roman" w:hint="default"/>
        </w:rPr>
        <w:t>4</w:t>
      </w:r>
      <w:r>
        <w:rPr/>
        <w:t>）其他应收款金额前五名单位情况：</w:t>
      </w:r>
    </w:p>
    <w:tbl>
      <w:tblPr>
        <w:tblW w:w="0" w:type="auto"/>
        <w:jc w:val="left"/>
        <w:tblInd w:w="111" w:type="dxa"/>
        <w:tblLayout w:type="fixed"/>
        <w:tblCellMar>
          <w:top w:w="0" w:type="dxa"/>
          <w:left w:w="0" w:type="dxa"/>
          <w:bottom w:w="0" w:type="dxa"/>
          <w:right w:w="0" w:type="dxa"/>
        </w:tblCellMar>
        <w:tblLook w:val="01E0"/>
      </w:tblPr>
      <w:tblGrid>
        <w:gridCol w:w="3904"/>
        <w:gridCol w:w="1700"/>
        <w:gridCol w:w="1475"/>
        <w:gridCol w:w="1189"/>
        <w:gridCol w:w="1601"/>
      </w:tblGrid>
      <w:tr>
        <w:trPr>
          <w:trHeight w:val="959" w:hRule="exact"/>
        </w:trPr>
        <w:tc>
          <w:tcPr>
            <w:tcW w:w="3904"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12" w:space="0" w:color="000000"/>
              <w:left w:val="single" w:sz="6" w:space="0" w:color="000000"/>
              <w:bottom w:val="single" w:sz="4" w:space="0" w:color="000000"/>
              <w:right w:val="single" w:sz="6" w:space="0" w:color="000000"/>
            </w:tcBorders>
          </w:tcPr>
          <w:p>
            <w:pPr>
              <w:pStyle w:val="TableParagraph"/>
              <w:spacing w:line="470" w:lineRule="exact" w:before="40"/>
              <w:ind w:left="663" w:right="48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7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8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01" w:type="dxa"/>
            <w:tcBorders>
              <w:top w:val="single" w:sz="12" w:space="0" w:color="000000"/>
              <w:left w:val="single" w:sz="6" w:space="0" w:color="000000"/>
              <w:bottom w:val="single" w:sz="4" w:space="0" w:color="000000"/>
              <w:right w:val="nil" w:sz="6" w:space="0" w:color="auto"/>
            </w:tcBorders>
          </w:tcPr>
          <w:p>
            <w:pPr>
              <w:pStyle w:val="TableParagraph"/>
              <w:spacing w:line="470" w:lineRule="exact" w:before="40"/>
              <w:ind w:left="177" w:right="169" w:hanging="16"/>
              <w:jc w:val="left"/>
              <w:rPr>
                <w:rFonts w:ascii="宋体" w:hAnsi="宋体" w:cs="宋体" w:eastAsia="宋体" w:hint="default"/>
                <w:sz w:val="18"/>
                <w:szCs w:val="18"/>
              </w:rPr>
            </w:pPr>
            <w:r>
              <w:rPr>
                <w:rFonts w:ascii="宋体" w:hAnsi="宋体" w:cs="宋体" w:eastAsia="宋体" w:hint="default"/>
                <w:sz w:val="18"/>
                <w:szCs w:val="18"/>
              </w:rPr>
              <w:t>占其他应收款总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01" w:hRule="exact"/>
        </w:trPr>
        <w:tc>
          <w:tcPr>
            <w:tcW w:w="3904" w:type="dxa"/>
            <w:tcBorders>
              <w:top w:val="single" w:sz="4" w:space="0" w:color="000000"/>
              <w:left w:val="nil" w:sz="6" w:space="0" w:color="auto"/>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70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7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27,142,330.62</w:t>
            </w:r>
          </w:p>
        </w:tc>
        <w:tc>
          <w:tcPr>
            <w:tcW w:w="118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1" w:type="dxa"/>
            <w:tcBorders>
              <w:top w:val="single" w:sz="4" w:space="0" w:color="000000"/>
              <w:left w:val="single" w:sz="6"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45.05</w:t>
            </w:r>
          </w:p>
        </w:tc>
      </w:tr>
      <w:tr>
        <w:trPr>
          <w:trHeight w:val="470" w:hRule="exact"/>
        </w:trPr>
        <w:tc>
          <w:tcPr>
            <w:tcW w:w="3904"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7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16,687,328.29</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1" w:type="dxa"/>
            <w:tcBorders>
              <w:top w:val="nil" w:sz="6" w:space="0" w:color="auto"/>
              <w:left w:val="single" w:sz="6" w:space="0" w:color="000000"/>
              <w:bottom w:val="nil" w:sz="6" w:space="0" w:color="auto"/>
              <w:right w:val="nil" w:sz="6" w:space="0" w:color="auto"/>
            </w:tcBorders>
          </w:tcPr>
          <w:p>
            <w:pPr>
              <w:pStyle w:val="TableParagraph"/>
              <w:spacing w:line="240" w:lineRule="auto" w:before="131"/>
              <w:ind w:right="4"/>
              <w:jc w:val="center"/>
              <w:rPr>
                <w:rFonts w:ascii="Times New Roman" w:hAnsi="Times New Roman" w:cs="Times New Roman" w:eastAsia="Times New Roman" w:hint="default"/>
                <w:sz w:val="18"/>
                <w:szCs w:val="18"/>
              </w:rPr>
            </w:pPr>
            <w:r>
              <w:rPr>
                <w:rFonts w:ascii="Times New Roman"/>
                <w:sz w:val="18"/>
              </w:rPr>
              <w:t>27.69</w:t>
            </w:r>
          </w:p>
        </w:tc>
      </w:tr>
      <w:tr>
        <w:trPr>
          <w:trHeight w:val="470" w:hRule="exact"/>
        </w:trPr>
        <w:tc>
          <w:tcPr>
            <w:tcW w:w="3904" w:type="dxa"/>
            <w:tcBorders>
              <w:top w:val="nil" w:sz="6" w:space="0" w:color="auto"/>
              <w:left w:val="nil" w:sz="6" w:space="0" w:color="auto"/>
              <w:bottom w:val="nil" w:sz="6" w:space="0" w:color="auto"/>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7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12,390,566.29</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1" w:type="dxa"/>
            <w:tcBorders>
              <w:top w:val="nil" w:sz="6" w:space="0" w:color="auto"/>
              <w:left w:val="single" w:sz="6" w:space="0" w:color="000000"/>
              <w:bottom w:val="nil" w:sz="6" w:space="0" w:color="auto"/>
              <w:right w:val="nil" w:sz="6" w:space="0" w:color="auto"/>
            </w:tcBorders>
          </w:tcPr>
          <w:p>
            <w:pPr>
              <w:pStyle w:val="TableParagraph"/>
              <w:spacing w:line="240" w:lineRule="auto" w:before="131"/>
              <w:ind w:right="4"/>
              <w:jc w:val="center"/>
              <w:rPr>
                <w:rFonts w:ascii="Times New Roman" w:hAnsi="Times New Roman" w:cs="Times New Roman" w:eastAsia="Times New Roman" w:hint="default"/>
                <w:sz w:val="18"/>
                <w:szCs w:val="18"/>
              </w:rPr>
            </w:pPr>
            <w:r>
              <w:rPr>
                <w:rFonts w:ascii="Times New Roman"/>
                <w:sz w:val="18"/>
              </w:rPr>
              <w:t>20.56</w:t>
            </w:r>
          </w:p>
        </w:tc>
      </w:tr>
      <w:tr>
        <w:trPr>
          <w:trHeight w:val="470" w:hRule="exact"/>
        </w:trPr>
        <w:tc>
          <w:tcPr>
            <w:tcW w:w="3904"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700"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75" w:type="dxa"/>
            <w:tcBorders>
              <w:top w:val="nil" w:sz="6" w:space="0" w:color="auto"/>
              <w:left w:val="single" w:sz="6" w:space="0" w:color="000000"/>
              <w:bottom w:val="nil" w:sz="6" w:space="0" w:color="auto"/>
              <w:right w:val="single" w:sz="6" w:space="0" w:color="000000"/>
            </w:tcBorders>
          </w:tcPr>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pacing w:val="-1"/>
                <w:sz w:val="18"/>
              </w:rPr>
              <w:t>1,388,452.69</w:t>
            </w:r>
          </w:p>
        </w:tc>
        <w:tc>
          <w:tcPr>
            <w:tcW w:w="1189"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1" w:type="dxa"/>
            <w:tcBorders>
              <w:top w:val="nil" w:sz="6" w:space="0" w:color="auto"/>
              <w:left w:val="single" w:sz="6" w:space="0" w:color="000000"/>
              <w:bottom w:val="nil" w:sz="6" w:space="0" w:color="auto"/>
              <w:right w:val="nil" w:sz="6" w:space="0" w:color="auto"/>
            </w:tcBorders>
          </w:tcPr>
          <w:p>
            <w:pPr>
              <w:pStyle w:val="TableParagraph"/>
              <w:spacing w:line="240" w:lineRule="auto" w:before="131"/>
              <w:ind w:right="6"/>
              <w:jc w:val="center"/>
              <w:rPr>
                <w:rFonts w:ascii="Times New Roman" w:hAnsi="Times New Roman" w:cs="Times New Roman" w:eastAsia="Times New Roman" w:hint="default"/>
                <w:sz w:val="18"/>
                <w:szCs w:val="18"/>
              </w:rPr>
            </w:pPr>
            <w:r>
              <w:rPr>
                <w:rFonts w:ascii="Times New Roman"/>
                <w:sz w:val="18"/>
              </w:rPr>
              <w:t>2.30</w:t>
            </w:r>
          </w:p>
        </w:tc>
      </w:tr>
      <w:tr>
        <w:trPr>
          <w:trHeight w:val="349" w:hRule="exact"/>
        </w:trPr>
        <w:tc>
          <w:tcPr>
            <w:tcW w:w="3904" w:type="dxa"/>
            <w:tcBorders>
              <w:top w:val="nil" w:sz="6" w:space="0" w:color="auto"/>
              <w:left w:val="nil" w:sz="6" w:space="0" w:color="auto"/>
              <w:bottom w:val="single" w:sz="4" w:space="0" w:color="000000"/>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李代耀</w:t>
            </w:r>
          </w:p>
        </w:tc>
        <w:tc>
          <w:tcPr>
            <w:tcW w:w="170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47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31"/>
              <w:ind w:right="98"/>
              <w:jc w:val="right"/>
              <w:rPr>
                <w:rFonts w:ascii="Times New Roman" w:hAnsi="Times New Roman" w:cs="Times New Roman" w:eastAsia="Times New Roman" w:hint="default"/>
                <w:sz w:val="18"/>
                <w:szCs w:val="18"/>
              </w:rPr>
            </w:pPr>
            <w:r>
              <w:rPr>
                <w:rFonts w:ascii="Times New Roman"/>
                <w:sz w:val="18"/>
              </w:rPr>
              <w:t>120,000.00</w:t>
            </w:r>
          </w:p>
        </w:tc>
        <w:tc>
          <w:tcPr>
            <w:tcW w:w="1189"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1" w:type="dxa"/>
            <w:tcBorders>
              <w:top w:val="nil" w:sz="6" w:space="0" w:color="auto"/>
              <w:left w:val="single" w:sz="6" w:space="0" w:color="000000"/>
              <w:bottom w:val="single" w:sz="4" w:space="0" w:color="000000"/>
              <w:right w:val="nil" w:sz="6" w:space="0" w:color="auto"/>
            </w:tcBorders>
          </w:tcPr>
          <w:p>
            <w:pPr>
              <w:pStyle w:val="TableParagraph"/>
              <w:spacing w:line="240" w:lineRule="auto" w:before="131"/>
              <w:ind w:right="6"/>
              <w:jc w:val="center"/>
              <w:rPr>
                <w:rFonts w:ascii="Times New Roman" w:hAnsi="Times New Roman" w:cs="Times New Roman" w:eastAsia="Times New Roman" w:hint="default"/>
                <w:sz w:val="18"/>
                <w:szCs w:val="18"/>
              </w:rPr>
            </w:pPr>
            <w:r>
              <w:rPr>
                <w:rFonts w:ascii="Times New Roman"/>
                <w:sz w:val="18"/>
              </w:rPr>
              <w:t>0.20</w:t>
            </w:r>
          </w:p>
        </w:tc>
      </w:tr>
      <w:tr>
        <w:trPr>
          <w:trHeight w:val="490" w:hRule="exact"/>
        </w:trPr>
        <w:tc>
          <w:tcPr>
            <w:tcW w:w="3904"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56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0" w:type="dxa"/>
            <w:tcBorders>
              <w:top w:val="single" w:sz="4" w:space="0" w:color="000000"/>
              <w:left w:val="single" w:sz="6" w:space="0" w:color="000000"/>
              <w:bottom w:val="single" w:sz="12" w:space="0" w:color="000000"/>
              <w:right w:val="single" w:sz="6" w:space="0" w:color="000000"/>
            </w:tcBorders>
          </w:tcPr>
          <w:p>
            <w:pPr/>
          </w:p>
        </w:tc>
        <w:tc>
          <w:tcPr>
            <w:tcW w:w="147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57,728,677.89</w:t>
            </w:r>
          </w:p>
        </w:tc>
        <w:tc>
          <w:tcPr>
            <w:tcW w:w="1189" w:type="dxa"/>
            <w:tcBorders>
              <w:top w:val="single" w:sz="4" w:space="0" w:color="000000"/>
              <w:left w:val="single" w:sz="6" w:space="0" w:color="000000"/>
              <w:bottom w:val="single" w:sz="12" w:space="0" w:color="000000"/>
              <w:right w:val="single" w:sz="6" w:space="0" w:color="000000"/>
            </w:tcBorders>
          </w:tcPr>
          <w:p>
            <w:pPr/>
          </w:p>
        </w:tc>
        <w:tc>
          <w:tcPr>
            <w:tcW w:w="1601"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95.80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090"/>
        <w:gridCol w:w="1963"/>
        <w:gridCol w:w="1570"/>
        <w:gridCol w:w="3220"/>
      </w:tblGrid>
      <w:tr>
        <w:trPr>
          <w:trHeight w:val="423" w:hRule="exact"/>
        </w:trPr>
        <w:tc>
          <w:tcPr>
            <w:tcW w:w="309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6"/>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6"/>
              <w:ind w:left="43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49"/>
          <w:pgSz w:w="11910" w:h="16840"/>
          <w:pgMar w:footer="1058" w:header="851" w:top="1200" w:bottom="1240" w:left="900" w:right="920"/>
          <w:pgNumType w:start="128"/>
        </w:sectPr>
      </w:pPr>
    </w:p>
    <w:p>
      <w:pPr>
        <w:spacing w:line="240" w:lineRule="auto" w:before="6"/>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090"/>
        <w:gridCol w:w="1963"/>
        <w:gridCol w:w="1570"/>
        <w:gridCol w:w="3220"/>
      </w:tblGrid>
      <w:tr>
        <w:trPr>
          <w:trHeight w:val="514" w:hRule="exact"/>
        </w:trPr>
        <w:tc>
          <w:tcPr>
            <w:tcW w:w="3090" w:type="dxa"/>
            <w:tcBorders>
              <w:top w:val="single" w:sz="12" w:space="0" w:color="000000"/>
              <w:left w:val="nil" w:sz="6" w:space="0" w:color="auto"/>
              <w:bottom w:val="nil" w:sz="6" w:space="0" w:color="auto"/>
              <w:right w:val="single" w:sz="6"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96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7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27,142,330.62</w:t>
            </w:r>
          </w:p>
        </w:tc>
        <w:tc>
          <w:tcPr>
            <w:tcW w:w="3220" w:type="dxa"/>
            <w:tcBorders>
              <w:top w:val="single" w:sz="12" w:space="0" w:color="000000"/>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45.05</w:t>
            </w:r>
          </w:p>
        </w:tc>
      </w:tr>
      <w:tr>
        <w:trPr>
          <w:trHeight w:val="400" w:hRule="exact"/>
        </w:trPr>
        <w:tc>
          <w:tcPr>
            <w:tcW w:w="3090"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9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7"/>
              <w:ind w:right="98"/>
              <w:jc w:val="right"/>
              <w:rPr>
                <w:rFonts w:ascii="Times New Roman" w:hAnsi="Times New Roman" w:cs="Times New Roman" w:eastAsia="Times New Roman" w:hint="default"/>
                <w:sz w:val="18"/>
                <w:szCs w:val="18"/>
              </w:rPr>
            </w:pPr>
            <w:r>
              <w:rPr>
                <w:rFonts w:ascii="Times New Roman"/>
                <w:spacing w:val="-1"/>
                <w:sz w:val="18"/>
              </w:rPr>
              <w:t>16,687,328.29</w:t>
            </w:r>
          </w:p>
        </w:tc>
        <w:tc>
          <w:tcPr>
            <w:tcW w:w="3220" w:type="dxa"/>
            <w:tcBorders>
              <w:top w:val="nil" w:sz="6" w:space="0" w:color="auto"/>
              <w:left w:val="single" w:sz="6" w:space="0" w:color="000000"/>
              <w:bottom w:val="nil" w:sz="6" w:space="0" w:color="auto"/>
              <w:right w:val="nil" w:sz="6" w:space="0" w:color="auto"/>
            </w:tcBorders>
          </w:tcPr>
          <w:p>
            <w:pPr>
              <w:pStyle w:val="TableParagraph"/>
              <w:spacing w:line="240" w:lineRule="auto" w:before="97"/>
              <w:ind w:right="4"/>
              <w:jc w:val="center"/>
              <w:rPr>
                <w:rFonts w:ascii="Times New Roman" w:hAnsi="Times New Roman" w:cs="Times New Roman" w:eastAsia="Times New Roman" w:hint="default"/>
                <w:sz w:val="18"/>
                <w:szCs w:val="18"/>
              </w:rPr>
            </w:pPr>
            <w:r>
              <w:rPr>
                <w:rFonts w:ascii="Times New Roman"/>
                <w:sz w:val="18"/>
              </w:rPr>
              <w:t>27.69</w:t>
            </w:r>
          </w:p>
        </w:tc>
      </w:tr>
      <w:tr>
        <w:trPr>
          <w:trHeight w:val="400" w:hRule="exact"/>
        </w:trPr>
        <w:tc>
          <w:tcPr>
            <w:tcW w:w="3090"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9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12,390,566.29</w:t>
            </w:r>
          </w:p>
        </w:tc>
        <w:tc>
          <w:tcPr>
            <w:tcW w:w="3220" w:type="dxa"/>
            <w:tcBorders>
              <w:top w:val="nil" w:sz="6" w:space="0" w:color="auto"/>
              <w:left w:val="single" w:sz="6" w:space="0" w:color="000000"/>
              <w:bottom w:val="nil" w:sz="6" w:space="0" w:color="auto"/>
              <w:right w:val="nil" w:sz="6" w:space="0" w:color="auto"/>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20.56</w:t>
            </w:r>
          </w:p>
        </w:tc>
      </w:tr>
      <w:tr>
        <w:trPr>
          <w:trHeight w:val="316" w:hRule="exact"/>
        </w:trPr>
        <w:tc>
          <w:tcPr>
            <w:tcW w:w="3090" w:type="dxa"/>
            <w:tcBorders>
              <w:top w:val="nil" w:sz="6" w:space="0" w:color="auto"/>
              <w:left w:val="nil" w:sz="6" w:space="0" w:color="auto"/>
              <w:bottom w:val="single" w:sz="6" w:space="0" w:color="000000"/>
              <w:right w:val="single" w:sz="6"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96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5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1,388,452.69</w:t>
            </w:r>
          </w:p>
        </w:tc>
        <w:tc>
          <w:tcPr>
            <w:tcW w:w="3220" w:type="dxa"/>
            <w:tcBorders>
              <w:top w:val="nil" w:sz="6" w:space="0" w:color="auto"/>
              <w:left w:val="single" w:sz="6" w:space="0" w:color="000000"/>
              <w:bottom w:val="single" w:sz="6" w:space="0" w:color="000000"/>
              <w:right w:val="nil" w:sz="6" w:space="0" w:color="auto"/>
            </w:tcBorders>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2.30</w:t>
            </w:r>
          </w:p>
        </w:tc>
      </w:tr>
      <w:tr>
        <w:trPr>
          <w:trHeight w:val="423" w:hRule="exact"/>
        </w:trPr>
        <w:tc>
          <w:tcPr>
            <w:tcW w:w="3090"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136"/>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63" w:type="dxa"/>
            <w:tcBorders>
              <w:top w:val="single" w:sz="6" w:space="0" w:color="000000"/>
              <w:left w:val="single" w:sz="6" w:space="0" w:color="000000"/>
              <w:bottom w:val="single" w:sz="12" w:space="0" w:color="000000"/>
              <w:right w:val="single" w:sz="6" w:space="0" w:color="000000"/>
            </w:tcBorders>
          </w:tcPr>
          <w:p>
            <w:pP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57,608,677.89</w:t>
            </w:r>
          </w:p>
        </w:tc>
        <w:tc>
          <w:tcPr>
            <w:tcW w:w="32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95.60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654" w:right="101"/>
        <w:jc w:val="left"/>
      </w:pPr>
      <w:r>
        <w:rPr>
          <w:rFonts w:ascii="Times New Roman" w:hAnsi="Times New Roman" w:cs="Times New Roman" w:eastAsia="Times New Roman" w:hint="default"/>
        </w:rPr>
        <w:t>3</w:t>
      </w:r>
      <w:r>
        <w:rPr/>
        <w:t>．长期股权投资</w:t>
      </w:r>
    </w:p>
    <w:tbl>
      <w:tblPr>
        <w:tblW w:w="0" w:type="auto"/>
        <w:jc w:val="left"/>
        <w:tblInd w:w="111" w:type="dxa"/>
        <w:tblLayout w:type="fixed"/>
        <w:tblCellMar>
          <w:top w:w="0" w:type="dxa"/>
          <w:left w:w="0" w:type="dxa"/>
          <w:bottom w:w="0" w:type="dxa"/>
          <w:right w:w="0" w:type="dxa"/>
        </w:tblCellMar>
        <w:tblLook w:val="01E0"/>
      </w:tblPr>
      <w:tblGrid>
        <w:gridCol w:w="5292"/>
        <w:gridCol w:w="2382"/>
        <w:gridCol w:w="2195"/>
      </w:tblGrid>
      <w:tr>
        <w:trPr>
          <w:trHeight w:val="421" w:hRule="exact"/>
        </w:trPr>
        <w:tc>
          <w:tcPr>
            <w:tcW w:w="52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19" w:right="0"/>
              <w:jc w:val="center"/>
              <w:rPr>
                <w:rFonts w:ascii="宋体" w:hAnsi="宋体" w:cs="宋体" w:eastAsia="宋体" w:hint="default"/>
                <w:sz w:val="21"/>
                <w:szCs w:val="21"/>
              </w:rPr>
            </w:pPr>
            <w:r>
              <w:rPr>
                <w:rFonts w:ascii="宋体" w:hAnsi="宋体" w:cs="宋体" w:eastAsia="宋体" w:hint="default"/>
                <w:sz w:val="21"/>
                <w:szCs w:val="21"/>
              </w:rPr>
              <w:t>股权投资类别</w:t>
            </w:r>
          </w:p>
        </w:tc>
        <w:tc>
          <w:tcPr>
            <w:tcW w:w="2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76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left="67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8" w:hRule="exact"/>
        </w:trPr>
        <w:tc>
          <w:tcPr>
            <w:tcW w:w="5292" w:type="dxa"/>
            <w:tcBorders>
              <w:top w:val="single" w:sz="4" w:space="0" w:color="000000"/>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w:t>
            </w:r>
          </w:p>
        </w:tc>
        <w:tc>
          <w:tcPr>
            <w:tcW w:w="2382" w:type="dxa"/>
            <w:vMerge w:val="restart"/>
            <w:tcBorders>
              <w:top w:val="single" w:sz="4" w:space="0" w:color="000000"/>
              <w:left w:val="single" w:sz="4" w:space="0" w:color="000000"/>
              <w:right w:val="single" w:sz="4" w:space="0" w:color="000000"/>
            </w:tcBorders>
          </w:tcPr>
          <w:p>
            <w:pPr>
              <w:pStyle w:val="TableParagraph"/>
              <w:spacing w:line="240" w:lineRule="auto" w:before="157"/>
              <w:ind w:left="956" w:right="0"/>
              <w:jc w:val="left"/>
              <w:rPr>
                <w:rFonts w:ascii="Times New Roman" w:hAnsi="Times New Roman" w:cs="Times New Roman" w:eastAsia="Times New Roman" w:hint="default"/>
                <w:sz w:val="21"/>
                <w:szCs w:val="21"/>
              </w:rPr>
            </w:pPr>
            <w:r>
              <w:rPr>
                <w:rFonts w:ascii="Times New Roman"/>
                <w:sz w:val="21"/>
              </w:rPr>
              <w:t>239,843,500.00</w:t>
            </w:r>
          </w:p>
        </w:tc>
        <w:tc>
          <w:tcPr>
            <w:tcW w:w="2195" w:type="dxa"/>
            <w:vMerge w:val="restart"/>
            <w:tcBorders>
              <w:top w:val="single" w:sz="4" w:space="0" w:color="000000"/>
              <w:left w:val="single" w:sz="4" w:space="0" w:color="000000"/>
              <w:right w:val="nil" w:sz="6" w:space="0" w:color="auto"/>
            </w:tcBorders>
          </w:tcPr>
          <w:p>
            <w:pPr>
              <w:pStyle w:val="TableParagraph"/>
              <w:spacing w:line="240" w:lineRule="auto" w:before="157"/>
              <w:ind w:left="768" w:right="0"/>
              <w:jc w:val="left"/>
              <w:rPr>
                <w:rFonts w:ascii="Times New Roman" w:hAnsi="Times New Roman" w:cs="Times New Roman" w:eastAsia="Times New Roman" w:hint="default"/>
                <w:sz w:val="21"/>
                <w:szCs w:val="21"/>
              </w:rPr>
            </w:pPr>
            <w:r>
              <w:rPr>
                <w:rFonts w:ascii="Times New Roman"/>
                <w:sz w:val="21"/>
              </w:rPr>
              <w:t>139,093,500.00</w:t>
            </w:r>
          </w:p>
        </w:tc>
      </w:tr>
      <w:tr>
        <w:trPr>
          <w:trHeight w:val="342" w:hRule="exact"/>
        </w:trPr>
        <w:tc>
          <w:tcPr>
            <w:tcW w:w="5292"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382" w:type="dxa"/>
            <w:vMerge/>
            <w:tcBorders>
              <w:left w:val="single" w:sz="4" w:space="0" w:color="000000"/>
              <w:bottom w:val="single" w:sz="4" w:space="0" w:color="000000"/>
              <w:right w:val="single" w:sz="4" w:space="0" w:color="000000"/>
            </w:tcBorders>
          </w:tcPr>
          <w:p>
            <w:pPr/>
          </w:p>
        </w:tc>
        <w:tc>
          <w:tcPr>
            <w:tcW w:w="2195" w:type="dxa"/>
            <w:vMerge/>
            <w:tcBorders>
              <w:left w:val="single" w:sz="4" w:space="0" w:color="000000"/>
              <w:bottom w:val="single" w:sz="4" w:space="0" w:color="000000"/>
              <w:right w:val="nil" w:sz="6" w:space="0" w:color="auto"/>
            </w:tcBorders>
          </w:tcPr>
          <w:p>
            <w:pPr/>
          </w:p>
        </w:tc>
      </w:tr>
      <w:tr>
        <w:trPr>
          <w:trHeight w:val="419" w:hRule="exact"/>
        </w:trPr>
        <w:tc>
          <w:tcPr>
            <w:tcW w:w="5292" w:type="dxa"/>
            <w:tcBorders>
              <w:top w:val="single" w:sz="4" w:space="0" w:color="000000"/>
              <w:left w:val="nil" w:sz="6" w:space="0" w:color="auto"/>
              <w:bottom w:val="single" w:sz="12" w:space="0" w:color="000000"/>
              <w:right w:val="single" w:sz="4" w:space="0" w:color="000000"/>
            </w:tcBorders>
          </w:tcPr>
          <w:p>
            <w:pPr>
              <w:pStyle w:val="TableParagraph"/>
              <w:tabs>
                <w:tab w:pos="651" w:val="left" w:leader="none"/>
              </w:tabs>
              <w:spacing w:line="240" w:lineRule="auto" w:before="9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7"/>
              <w:ind w:left="956" w:right="0"/>
              <w:jc w:val="left"/>
              <w:rPr>
                <w:rFonts w:ascii="Times New Roman" w:hAnsi="Times New Roman" w:cs="Times New Roman" w:eastAsia="Times New Roman" w:hint="default"/>
                <w:sz w:val="21"/>
                <w:szCs w:val="21"/>
              </w:rPr>
            </w:pPr>
            <w:r>
              <w:rPr>
                <w:rFonts w:ascii="Times New Roman"/>
                <w:sz w:val="21"/>
              </w:rPr>
              <w:t>239,843,500.00</w:t>
            </w:r>
          </w:p>
        </w:tc>
        <w:tc>
          <w:tcPr>
            <w:tcW w:w="21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left="768" w:right="0"/>
              <w:jc w:val="left"/>
              <w:rPr>
                <w:rFonts w:ascii="Times New Roman" w:hAnsi="Times New Roman" w:cs="Times New Roman" w:eastAsia="Times New Roman" w:hint="default"/>
                <w:sz w:val="21"/>
                <w:szCs w:val="21"/>
              </w:rPr>
            </w:pPr>
            <w:r>
              <w:rPr>
                <w:rFonts w:ascii="Times New Roman"/>
                <w:sz w:val="21"/>
              </w:rPr>
              <w:t>139,093,500.00</w:t>
            </w:r>
          </w:p>
        </w:tc>
      </w:tr>
    </w:tbl>
    <w:p>
      <w:pPr>
        <w:spacing w:line="240" w:lineRule="auto" w:before="8"/>
        <w:rPr>
          <w:rFonts w:ascii="宋体" w:hAnsi="宋体" w:cs="宋体" w:eastAsia="宋体" w:hint="default"/>
          <w:sz w:val="5"/>
          <w:szCs w:val="5"/>
        </w:rPr>
      </w:pPr>
    </w:p>
    <w:p>
      <w:pPr>
        <w:pStyle w:val="BodyText"/>
        <w:spacing w:line="240" w:lineRule="auto" w:before="35"/>
        <w:ind w:left="654" w:right="101"/>
        <w:jc w:val="left"/>
      </w:pPr>
      <w:r>
        <w:rPr/>
        <w:t>（</w:t>
      </w:r>
      <w:r>
        <w:rPr>
          <w:rFonts w:ascii="Times New Roman" w:hAnsi="Times New Roman" w:cs="Times New Roman" w:eastAsia="Times New Roman" w:hint="default"/>
        </w:rPr>
        <w:t>1</w:t>
      </w:r>
      <w:r>
        <w:rPr/>
        <w:t>）成本法核算的长期股权投资</w:t>
      </w:r>
    </w:p>
    <w:tbl>
      <w:tblPr>
        <w:tblW w:w="0" w:type="auto"/>
        <w:jc w:val="left"/>
        <w:tblInd w:w="111" w:type="dxa"/>
        <w:tblLayout w:type="fixed"/>
        <w:tblCellMar>
          <w:top w:w="0" w:type="dxa"/>
          <w:left w:w="0" w:type="dxa"/>
          <w:bottom w:w="0" w:type="dxa"/>
          <w:right w:w="0" w:type="dxa"/>
        </w:tblCellMar>
        <w:tblLook w:val="01E0"/>
      </w:tblPr>
      <w:tblGrid>
        <w:gridCol w:w="1816"/>
        <w:gridCol w:w="1478"/>
        <w:gridCol w:w="1477"/>
        <w:gridCol w:w="1478"/>
        <w:gridCol w:w="1478"/>
        <w:gridCol w:w="1038"/>
        <w:gridCol w:w="1103"/>
      </w:tblGrid>
      <w:tr>
        <w:trPr>
          <w:trHeight w:val="1220" w:hRule="exact"/>
        </w:trPr>
        <w:tc>
          <w:tcPr>
            <w:tcW w:w="181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初始投资金额</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038" w:type="dxa"/>
            <w:tcBorders>
              <w:top w:val="single" w:sz="12" w:space="0" w:color="000000"/>
              <w:left w:val="single" w:sz="4" w:space="0" w:color="000000"/>
              <w:bottom w:val="single" w:sz="4" w:space="0" w:color="000000"/>
              <w:right w:val="single" w:sz="4" w:space="0" w:color="000000"/>
            </w:tcBorders>
          </w:tcPr>
          <w:p>
            <w:pPr>
              <w:pStyle w:val="TableParagraph"/>
              <w:spacing w:line="400" w:lineRule="exact" w:before="26"/>
              <w:ind w:left="153" w:right="152"/>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103" w:type="dxa"/>
            <w:tcBorders>
              <w:top w:val="single" w:sz="12" w:space="0" w:color="000000"/>
              <w:left w:val="single" w:sz="4" w:space="0" w:color="000000"/>
              <w:bottom w:val="single" w:sz="4" w:space="0" w:color="000000"/>
              <w:right w:val="nil" w:sz="6" w:space="0" w:color="auto"/>
            </w:tcBorders>
          </w:tcPr>
          <w:p>
            <w:pPr>
              <w:pStyle w:val="TableParagraph"/>
              <w:spacing w:line="400" w:lineRule="exact" w:before="26"/>
              <w:ind w:left="185" w:right="191"/>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r>
      <w:tr>
        <w:trPr>
          <w:trHeight w:val="887" w:hRule="exact"/>
        </w:trPr>
        <w:tc>
          <w:tcPr>
            <w:tcW w:w="1816" w:type="dxa"/>
            <w:tcBorders>
              <w:top w:val="single" w:sz="4" w:space="0" w:color="000000"/>
              <w:left w:val="nil" w:sz="6" w:space="0" w:color="auto"/>
              <w:bottom w:val="nil" w:sz="6" w:space="0" w:color="auto"/>
              <w:right w:val="single" w:sz="4" w:space="0" w:color="000000"/>
            </w:tcBorders>
          </w:tcPr>
          <w:p>
            <w:pPr>
              <w:pStyle w:val="TableParagraph"/>
              <w:spacing w:line="408" w:lineRule="auto" w:before="136"/>
              <w:ind w:left="122" w:right="80"/>
              <w:jc w:val="left"/>
              <w:rPr>
                <w:rFonts w:ascii="宋体" w:hAnsi="宋体" w:cs="宋体" w:eastAsia="宋体" w:hint="default"/>
                <w:sz w:val="18"/>
                <w:szCs w:val="18"/>
              </w:rPr>
            </w:pPr>
            <w:r>
              <w:rPr>
                <w:rFonts w:ascii="宋体" w:hAnsi="宋体" w:cs="宋体" w:eastAsia="宋体" w:hint="default"/>
                <w:spacing w:val="17"/>
                <w:sz w:val="18"/>
                <w:szCs w:val="18"/>
              </w:rPr>
              <w:t>上海石基信息技术</w:t>
            </w:r>
            <w:r>
              <w:rPr>
                <w:rFonts w:ascii="宋体" w:hAnsi="宋体" w:cs="宋体" w:eastAsia="宋体" w:hint="default"/>
                <w:spacing w:val="-84"/>
                <w:sz w:val="18"/>
                <w:szCs w:val="18"/>
              </w:rPr>
              <w:t> </w:t>
            </w:r>
            <w:r>
              <w:rPr>
                <w:rFonts w:ascii="宋体" w:hAnsi="宋体" w:cs="宋体" w:eastAsia="宋体" w:hint="default"/>
                <w:sz w:val="18"/>
                <w:szCs w:val="18"/>
              </w:rPr>
              <w:t>有限公司</w:t>
            </w: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478"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0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103"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100%</w:t>
            </w:r>
          </w:p>
        </w:tc>
      </w:tr>
      <w:tr>
        <w:trPr>
          <w:trHeight w:val="800" w:hRule="exact"/>
        </w:trPr>
        <w:tc>
          <w:tcPr>
            <w:tcW w:w="1816" w:type="dxa"/>
            <w:tcBorders>
              <w:top w:val="nil" w:sz="6" w:space="0" w:color="auto"/>
              <w:left w:val="nil" w:sz="6" w:space="0" w:color="auto"/>
              <w:bottom w:val="nil" w:sz="6" w:space="0" w:color="auto"/>
              <w:right w:val="single" w:sz="4" w:space="0" w:color="000000"/>
            </w:tcBorders>
          </w:tcPr>
          <w:p>
            <w:pPr>
              <w:pStyle w:val="TableParagraph"/>
              <w:spacing w:line="408" w:lineRule="auto" w:before="55"/>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北京石基昆仑软件</w:t>
            </w:r>
            <w:r>
              <w:rPr>
                <w:rFonts w:ascii="宋体" w:hAnsi="宋体" w:cs="宋体" w:eastAsia="宋体" w:hint="default"/>
                <w:spacing w:val="-84"/>
                <w:sz w:val="18"/>
                <w:szCs w:val="18"/>
              </w:rPr>
              <w:t> </w:t>
            </w:r>
            <w:r>
              <w:rPr>
                <w:rFonts w:ascii="宋体" w:hAnsi="宋体" w:cs="宋体" w:eastAsia="宋体" w:hint="default"/>
                <w:sz w:val="18"/>
                <w:szCs w:val="18"/>
              </w:rPr>
              <w:t>有限公司</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478"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82.40%</w:t>
            </w:r>
          </w:p>
        </w:tc>
        <w:tc>
          <w:tcPr>
            <w:tcW w:w="11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left="267" w:right="0"/>
              <w:jc w:val="left"/>
              <w:rPr>
                <w:rFonts w:ascii="Times New Roman" w:hAnsi="Times New Roman" w:cs="Times New Roman" w:eastAsia="Times New Roman" w:hint="default"/>
                <w:sz w:val="18"/>
                <w:szCs w:val="18"/>
              </w:rPr>
            </w:pPr>
            <w:r>
              <w:rPr>
                <w:rFonts w:ascii="Times New Roman"/>
                <w:sz w:val="18"/>
              </w:rPr>
              <w:t>82.40%</w:t>
            </w:r>
          </w:p>
        </w:tc>
      </w:tr>
      <w:tr>
        <w:trPr>
          <w:trHeight w:val="800" w:hRule="exact"/>
        </w:trPr>
        <w:tc>
          <w:tcPr>
            <w:tcW w:w="1816" w:type="dxa"/>
            <w:tcBorders>
              <w:top w:val="nil" w:sz="6" w:space="0" w:color="auto"/>
              <w:left w:val="nil" w:sz="6" w:space="0" w:color="auto"/>
              <w:bottom w:val="nil" w:sz="6" w:space="0" w:color="auto"/>
              <w:right w:val="single" w:sz="4" w:space="0" w:color="000000"/>
            </w:tcBorders>
          </w:tcPr>
          <w:p>
            <w:pPr>
              <w:pStyle w:val="TableParagraph"/>
              <w:spacing w:line="408" w:lineRule="auto" w:before="54"/>
              <w:ind w:left="122" w:right="80"/>
              <w:jc w:val="left"/>
              <w:rPr>
                <w:rFonts w:ascii="宋体" w:hAnsi="宋体" w:cs="宋体" w:eastAsia="宋体" w:hint="default"/>
                <w:sz w:val="18"/>
                <w:szCs w:val="18"/>
              </w:rPr>
            </w:pPr>
            <w:r>
              <w:rPr>
                <w:rFonts w:ascii="宋体" w:hAnsi="宋体" w:cs="宋体" w:eastAsia="宋体" w:hint="default"/>
                <w:spacing w:val="17"/>
                <w:sz w:val="18"/>
                <w:szCs w:val="18"/>
              </w:rPr>
              <w:t>杭州西软科技有限</w:t>
            </w:r>
            <w:r>
              <w:rPr>
                <w:rFonts w:ascii="宋体" w:hAnsi="宋体" w:cs="宋体" w:eastAsia="宋体" w:hint="default"/>
                <w:spacing w:val="-84"/>
                <w:sz w:val="18"/>
                <w:szCs w:val="18"/>
              </w:rPr>
              <w:t> </w:t>
            </w:r>
            <w:r>
              <w:rPr>
                <w:rFonts w:ascii="宋体" w:hAnsi="宋体" w:cs="宋体" w:eastAsia="宋体" w:hint="default"/>
                <w:sz w:val="18"/>
                <w:szCs w:val="18"/>
              </w:rPr>
              <w:t>公司</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87,500,000.00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87,500,000.00</w:t>
            </w:r>
          </w:p>
        </w:tc>
        <w:tc>
          <w:tcPr>
            <w:tcW w:w="1478"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87,500,000.00</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
              <w:jc w:val="center"/>
              <w:rPr>
                <w:rFonts w:ascii="Times New Roman" w:hAnsi="Times New Roman" w:cs="Times New Roman" w:eastAsia="Times New Roman" w:hint="default"/>
                <w:sz w:val="18"/>
                <w:szCs w:val="18"/>
              </w:rPr>
            </w:pPr>
            <w:r>
              <w:rPr>
                <w:rFonts w:ascii="Times New Roman"/>
                <w:sz w:val="18"/>
              </w:rPr>
              <w:t>82%</w:t>
            </w:r>
          </w:p>
        </w:tc>
        <w:tc>
          <w:tcPr>
            <w:tcW w:w="11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7"/>
              <w:jc w:val="center"/>
              <w:rPr>
                <w:rFonts w:ascii="Times New Roman" w:hAnsi="Times New Roman" w:cs="Times New Roman" w:eastAsia="Times New Roman" w:hint="default"/>
                <w:sz w:val="18"/>
                <w:szCs w:val="18"/>
              </w:rPr>
            </w:pPr>
            <w:r>
              <w:rPr>
                <w:rFonts w:ascii="Times New Roman"/>
                <w:sz w:val="18"/>
              </w:rPr>
              <w:t>82%</w:t>
            </w:r>
          </w:p>
        </w:tc>
      </w:tr>
      <w:tr>
        <w:trPr>
          <w:trHeight w:val="800" w:hRule="exact"/>
        </w:trPr>
        <w:tc>
          <w:tcPr>
            <w:tcW w:w="1816" w:type="dxa"/>
            <w:tcBorders>
              <w:top w:val="nil" w:sz="6" w:space="0" w:color="auto"/>
              <w:left w:val="nil" w:sz="6" w:space="0" w:color="auto"/>
              <w:bottom w:val="nil" w:sz="6" w:space="0" w:color="auto"/>
              <w:right w:val="single" w:sz="4" w:space="0" w:color="000000"/>
            </w:tcBorders>
          </w:tcPr>
          <w:p>
            <w:pPr>
              <w:pStyle w:val="TableParagraph"/>
              <w:spacing w:line="408" w:lineRule="auto" w:before="54"/>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北海石基信息技术</w:t>
            </w:r>
            <w:r>
              <w:rPr>
                <w:rFonts w:ascii="宋体" w:hAnsi="宋体" w:cs="宋体" w:eastAsia="宋体" w:hint="default"/>
                <w:spacing w:val="-84"/>
                <w:sz w:val="18"/>
                <w:szCs w:val="18"/>
              </w:rPr>
              <w:t> </w:t>
            </w:r>
            <w:r>
              <w:rPr>
                <w:rFonts w:ascii="宋体" w:hAnsi="宋体" w:cs="宋体" w:eastAsia="宋体" w:hint="default"/>
                <w:sz w:val="18"/>
                <w:szCs w:val="18"/>
              </w:rPr>
              <w:t>有限公司</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6,660,000.00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6,660,000.00</w:t>
            </w:r>
          </w:p>
        </w:tc>
        <w:tc>
          <w:tcPr>
            <w:tcW w:w="1478"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6,660,000.00</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100%</w:t>
            </w:r>
          </w:p>
        </w:tc>
        <w:tc>
          <w:tcPr>
            <w:tcW w:w="11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left="335" w:right="0"/>
              <w:jc w:val="left"/>
              <w:rPr>
                <w:rFonts w:ascii="Times New Roman" w:hAnsi="Times New Roman" w:cs="Times New Roman" w:eastAsia="Times New Roman" w:hint="default"/>
                <w:sz w:val="18"/>
                <w:szCs w:val="18"/>
              </w:rPr>
            </w:pPr>
            <w:r>
              <w:rPr>
                <w:rFonts w:ascii="Times New Roman"/>
                <w:sz w:val="18"/>
              </w:rPr>
              <w:t>100%</w:t>
            </w:r>
          </w:p>
        </w:tc>
      </w:tr>
      <w:tr>
        <w:trPr>
          <w:trHeight w:val="800" w:hRule="exact"/>
        </w:trPr>
        <w:tc>
          <w:tcPr>
            <w:tcW w:w="1816" w:type="dxa"/>
            <w:tcBorders>
              <w:top w:val="nil" w:sz="6" w:space="0" w:color="auto"/>
              <w:left w:val="nil" w:sz="6" w:space="0" w:color="auto"/>
              <w:bottom w:val="nil" w:sz="6" w:space="0" w:color="auto"/>
              <w:right w:val="single" w:sz="4" w:space="0" w:color="000000"/>
            </w:tcBorders>
          </w:tcPr>
          <w:p>
            <w:pPr>
              <w:pStyle w:val="TableParagraph"/>
              <w:spacing w:line="408" w:lineRule="auto" w:before="55"/>
              <w:ind w:left="122" w:right="80"/>
              <w:jc w:val="left"/>
              <w:rPr>
                <w:rFonts w:ascii="宋体" w:hAnsi="宋体" w:cs="宋体" w:eastAsia="宋体" w:hint="default"/>
                <w:sz w:val="18"/>
                <w:szCs w:val="18"/>
              </w:rPr>
            </w:pPr>
            <w:r>
              <w:rPr>
                <w:rFonts w:ascii="宋体" w:hAnsi="宋体" w:cs="宋体" w:eastAsia="宋体" w:hint="default"/>
                <w:spacing w:val="17"/>
                <w:sz w:val="18"/>
                <w:szCs w:val="18"/>
              </w:rPr>
              <w:t>北京中长石基软件</w:t>
            </w:r>
            <w:r>
              <w:rPr>
                <w:rFonts w:ascii="宋体" w:hAnsi="宋体" w:cs="宋体" w:eastAsia="宋体" w:hint="default"/>
                <w:spacing w:val="-84"/>
                <w:sz w:val="18"/>
                <w:szCs w:val="18"/>
              </w:rPr>
              <w:t> </w:t>
            </w:r>
            <w:r>
              <w:rPr>
                <w:rFonts w:ascii="宋体" w:hAnsi="宋体" w:cs="宋体" w:eastAsia="宋体" w:hint="default"/>
                <w:sz w:val="18"/>
                <w:szCs w:val="18"/>
              </w:rPr>
              <w:t>有限公司</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78"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100%</w:t>
            </w:r>
          </w:p>
        </w:tc>
        <w:tc>
          <w:tcPr>
            <w:tcW w:w="11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left="335" w:right="0"/>
              <w:jc w:val="left"/>
              <w:rPr>
                <w:rFonts w:ascii="Times New Roman" w:hAnsi="Times New Roman" w:cs="Times New Roman" w:eastAsia="Times New Roman" w:hint="default"/>
                <w:sz w:val="18"/>
                <w:szCs w:val="18"/>
              </w:rPr>
            </w:pPr>
            <w:r>
              <w:rPr>
                <w:rFonts w:ascii="Times New Roman"/>
                <w:sz w:val="18"/>
              </w:rPr>
              <w:t>100%</w:t>
            </w:r>
          </w:p>
        </w:tc>
      </w:tr>
      <w:tr>
        <w:trPr>
          <w:trHeight w:val="800" w:hRule="exact"/>
        </w:trPr>
        <w:tc>
          <w:tcPr>
            <w:tcW w:w="1816" w:type="dxa"/>
            <w:tcBorders>
              <w:top w:val="nil" w:sz="6" w:space="0" w:color="auto"/>
              <w:left w:val="nil" w:sz="6" w:space="0" w:color="auto"/>
              <w:bottom w:val="nil" w:sz="6" w:space="0" w:color="auto"/>
              <w:right w:val="single" w:sz="4" w:space="0" w:color="000000"/>
            </w:tcBorders>
          </w:tcPr>
          <w:p>
            <w:pPr>
              <w:pStyle w:val="TableParagraph"/>
              <w:spacing w:line="408" w:lineRule="auto" w:before="54"/>
              <w:ind w:left="122" w:right="80"/>
              <w:jc w:val="left"/>
              <w:rPr>
                <w:rFonts w:ascii="宋体" w:hAnsi="宋体" w:cs="宋体" w:eastAsia="宋体" w:hint="default"/>
                <w:sz w:val="18"/>
                <w:szCs w:val="18"/>
              </w:rPr>
            </w:pPr>
            <w:r>
              <w:rPr>
                <w:rFonts w:ascii="宋体" w:hAnsi="宋体" w:cs="宋体" w:eastAsia="宋体" w:hint="default"/>
                <w:spacing w:val="17"/>
                <w:sz w:val="18"/>
                <w:szCs w:val="18"/>
              </w:rPr>
              <w:t>焦点信息技术（香</w:t>
            </w:r>
            <w:r>
              <w:rPr>
                <w:rFonts w:ascii="宋体" w:hAnsi="宋体" w:cs="宋体" w:eastAsia="宋体" w:hint="default"/>
                <w:spacing w:val="-84"/>
                <w:sz w:val="18"/>
                <w:szCs w:val="18"/>
              </w:rPr>
              <w:t> </w:t>
            </w:r>
            <w:r>
              <w:rPr>
                <w:rFonts w:ascii="宋体" w:hAnsi="宋体" w:cs="宋体" w:eastAsia="宋体" w:hint="default"/>
                <w:sz w:val="18"/>
                <w:szCs w:val="18"/>
              </w:rPr>
              <w:t>港）有限公司</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30,933,500.00</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30,933,500.00</w:t>
            </w:r>
          </w:p>
        </w:tc>
        <w:tc>
          <w:tcPr>
            <w:tcW w:w="1478"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30,933,500.00</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100%</w:t>
            </w:r>
          </w:p>
        </w:tc>
        <w:tc>
          <w:tcPr>
            <w:tcW w:w="11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left="335" w:right="0"/>
              <w:jc w:val="left"/>
              <w:rPr>
                <w:rFonts w:ascii="Times New Roman" w:hAnsi="Times New Roman" w:cs="Times New Roman" w:eastAsia="Times New Roman" w:hint="default"/>
                <w:sz w:val="18"/>
                <w:szCs w:val="18"/>
              </w:rPr>
            </w:pPr>
            <w:r>
              <w:rPr>
                <w:rFonts w:ascii="Times New Roman"/>
                <w:sz w:val="18"/>
              </w:rPr>
              <w:t>100%</w:t>
            </w:r>
          </w:p>
        </w:tc>
      </w:tr>
      <w:tr>
        <w:trPr>
          <w:trHeight w:val="800" w:hRule="exact"/>
        </w:trPr>
        <w:tc>
          <w:tcPr>
            <w:tcW w:w="1816" w:type="dxa"/>
            <w:tcBorders>
              <w:top w:val="nil" w:sz="6" w:space="0" w:color="auto"/>
              <w:left w:val="nil" w:sz="6" w:space="0" w:color="auto"/>
              <w:bottom w:val="nil" w:sz="6" w:space="0" w:color="auto"/>
              <w:right w:val="single" w:sz="4" w:space="0" w:color="000000"/>
            </w:tcBorders>
          </w:tcPr>
          <w:p>
            <w:pPr>
              <w:pStyle w:val="TableParagraph"/>
              <w:spacing w:line="408" w:lineRule="auto" w:before="54"/>
              <w:ind w:left="122" w:right="80"/>
              <w:jc w:val="left"/>
              <w:rPr>
                <w:rFonts w:ascii="宋体" w:hAnsi="宋体" w:cs="宋体" w:eastAsia="宋体" w:hint="default"/>
                <w:sz w:val="18"/>
                <w:szCs w:val="18"/>
              </w:rPr>
            </w:pPr>
            <w:r>
              <w:rPr>
                <w:rFonts w:ascii="宋体" w:hAnsi="宋体" w:cs="宋体" w:eastAsia="宋体" w:hint="default"/>
                <w:spacing w:val="17"/>
                <w:sz w:val="18"/>
                <w:szCs w:val="18"/>
              </w:rPr>
              <w:t>南京银石计算机系</w:t>
            </w:r>
            <w:r>
              <w:rPr>
                <w:rFonts w:ascii="宋体" w:hAnsi="宋体" w:cs="宋体" w:eastAsia="宋体" w:hint="default"/>
                <w:spacing w:val="-84"/>
                <w:sz w:val="18"/>
                <w:szCs w:val="18"/>
              </w:rPr>
              <w:t> </w:t>
            </w:r>
            <w:r>
              <w:rPr>
                <w:rFonts w:ascii="宋体" w:hAnsi="宋体" w:cs="宋体" w:eastAsia="宋体" w:hint="default"/>
                <w:sz w:val="18"/>
                <w:szCs w:val="18"/>
              </w:rPr>
              <w:t>统有限公司</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85,000,000.00</w:t>
            </w:r>
          </w:p>
        </w:tc>
        <w:tc>
          <w:tcPr>
            <w:tcW w:w="1477" w:type="dxa"/>
            <w:tcBorders>
              <w:top w:val="nil" w:sz="6" w:space="0" w:color="auto"/>
              <w:left w:val="single" w:sz="4" w:space="0" w:color="000000"/>
              <w:bottom w:val="nil" w:sz="6" w:space="0" w:color="auto"/>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85,000,000.00</w:t>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85,000,000.00</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100%</w:t>
            </w:r>
          </w:p>
        </w:tc>
        <w:tc>
          <w:tcPr>
            <w:tcW w:w="110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left="335" w:right="0"/>
              <w:jc w:val="left"/>
              <w:rPr>
                <w:rFonts w:ascii="Times New Roman" w:hAnsi="Times New Roman" w:cs="Times New Roman" w:eastAsia="Times New Roman" w:hint="default"/>
                <w:sz w:val="18"/>
                <w:szCs w:val="18"/>
              </w:rPr>
            </w:pPr>
            <w:r>
              <w:rPr>
                <w:rFonts w:ascii="Times New Roman"/>
                <w:sz w:val="18"/>
              </w:rPr>
              <w:t>100%</w:t>
            </w:r>
          </w:p>
        </w:tc>
      </w:tr>
      <w:tr>
        <w:trPr>
          <w:trHeight w:val="722" w:hRule="exact"/>
        </w:trPr>
        <w:tc>
          <w:tcPr>
            <w:tcW w:w="1816" w:type="dxa"/>
            <w:tcBorders>
              <w:top w:val="nil" w:sz="6" w:space="0" w:color="auto"/>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pacing w:val="17"/>
                <w:sz w:val="18"/>
                <w:szCs w:val="18"/>
              </w:rPr>
              <w:t>上海迅付信息科技</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15,750,000.00</w:t>
            </w:r>
          </w:p>
        </w:tc>
        <w:tc>
          <w:tcPr>
            <w:tcW w:w="1477"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15,750,000.00</w:t>
            </w: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15,750,000.00</w:t>
            </w:r>
          </w:p>
        </w:tc>
        <w:tc>
          <w:tcPr>
            <w:tcW w:w="10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15.00%</w:t>
            </w:r>
          </w:p>
        </w:tc>
        <w:tc>
          <w:tcPr>
            <w:tcW w:w="1103" w:type="dxa"/>
            <w:tcBorders>
              <w:top w:val="nil" w:sz="6" w:space="0" w:color="auto"/>
              <w:left w:val="single" w:sz="4" w:space="0" w:color="000000"/>
              <w:bottom w:val="single" w:sz="4" w:space="0" w:color="000000"/>
              <w:right w:val="nil" w:sz="6" w:space="0" w:color="auto"/>
            </w:tcBorders>
          </w:tcPr>
          <w:p>
            <w:pPr>
              <w:pStyle w:val="TableParagraph"/>
              <w:spacing w:line="240" w:lineRule="auto" w:before="106"/>
              <w:ind w:left="268" w:right="0"/>
              <w:jc w:val="left"/>
              <w:rPr>
                <w:rFonts w:ascii="Times New Roman" w:hAnsi="Times New Roman" w:cs="Times New Roman" w:eastAsia="Times New Roman" w:hint="default"/>
                <w:sz w:val="18"/>
                <w:szCs w:val="18"/>
              </w:rPr>
            </w:pPr>
            <w:r>
              <w:rPr>
                <w:rFonts w:ascii="Times New Roman"/>
                <w:sz w:val="18"/>
              </w:rPr>
              <w:t>15.00%</w:t>
            </w:r>
          </w:p>
        </w:tc>
      </w:tr>
      <w:tr>
        <w:trPr>
          <w:trHeight w:val="421" w:hRule="exact"/>
        </w:trPr>
        <w:tc>
          <w:tcPr>
            <w:tcW w:w="1816"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137"/>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239,843,500.00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139,093,500.00</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100,750,000.00</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239,843,500.00</w:t>
            </w:r>
          </w:p>
        </w:tc>
        <w:tc>
          <w:tcPr>
            <w:tcW w:w="1038" w:type="dxa"/>
            <w:tcBorders>
              <w:top w:val="single" w:sz="4" w:space="0" w:color="000000"/>
              <w:left w:val="single" w:sz="4" w:space="0" w:color="000000"/>
              <w:bottom w:val="single" w:sz="12" w:space="0" w:color="000000"/>
              <w:right w:val="single" w:sz="4" w:space="0" w:color="000000"/>
            </w:tcBorders>
          </w:tcPr>
          <w:p>
            <w:pPr/>
          </w:p>
        </w:tc>
        <w:tc>
          <w:tcPr>
            <w:tcW w:w="110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left="654" w:right="0"/>
        <w:jc w:val="left"/>
      </w:pPr>
      <w:r>
        <w:rPr/>
        <w:t>（</w:t>
      </w:r>
      <w:r>
        <w:rPr>
          <w:rFonts w:ascii="Times New Roman" w:hAnsi="Times New Roman" w:cs="Times New Roman" w:eastAsia="Times New Roman" w:hint="default"/>
        </w:rPr>
        <w:t>2</w:t>
      </w:r>
      <w:r>
        <w:rPr/>
        <w:t>）经公司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日召开的第三届董事会</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次临时会议审议通过，公司与赵乃珂、</w:t>
      </w:r>
    </w:p>
    <w:p>
      <w:pPr>
        <w:pStyle w:val="BodyText"/>
        <w:spacing w:line="240" w:lineRule="auto" w:before="135"/>
        <w:ind w:left="233" w:right="101"/>
        <w:jc w:val="left"/>
      </w:pPr>
      <w:r>
        <w:rPr>
          <w:spacing w:val="-7"/>
        </w:rPr>
        <w:t>孙勇坚、张诗中、黄勇四名自然人于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日签署了《南京银石计算机系统有限公司（以下简称</w:t>
      </w:r>
      <w:r>
        <w:rPr>
          <w:rFonts w:ascii="Times New Roman" w:hAnsi="Times New Roman" w:cs="Times New Roman" w:eastAsia="Times New Roman" w:hint="default"/>
          <w:spacing w:val="-5"/>
        </w:rPr>
        <w:t>“</w:t>
      </w:r>
      <w:r>
        <w:rPr>
          <w:spacing w:val="-5"/>
        </w:rPr>
        <w:t>南</w:t>
      </w:r>
    </w:p>
    <w:p>
      <w:pPr>
        <w:pStyle w:val="BodyText"/>
        <w:spacing w:line="240" w:lineRule="auto" w:before="135"/>
        <w:ind w:left="233" w:right="101"/>
        <w:jc w:val="left"/>
      </w:pPr>
      <w:r>
        <w:rPr/>
        <w:t>京银石</w:t>
      </w:r>
      <w:r>
        <w:rPr>
          <w:rFonts w:ascii="Times New Roman" w:hAnsi="Times New Roman" w:cs="Times New Roman" w:eastAsia="Times New Roman" w:hint="default"/>
        </w:rPr>
        <w:t>”</w:t>
      </w:r>
      <w:r>
        <w:rPr/>
        <w:t>）股权转让框架协议</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spacing w:val="-2"/>
        </w:rPr>
        <w:t>日</w:t>
      </w:r>
      <w:r>
        <w:rPr/>
        <w:t>签署了《南京银石计算机系统有限公司股权转让协议</w:t>
      </w:r>
      <w:r>
        <w:rPr>
          <w:spacing w:val="-105"/>
        </w:rPr>
        <w:t>》</w:t>
      </w:r>
      <w:r>
        <w:rPr/>
        <w:t>，</w:t>
      </w:r>
    </w:p>
    <w:p>
      <w:pPr>
        <w:spacing w:after="0" w:line="240" w:lineRule="auto"/>
        <w:jc w:val="left"/>
        <w:sectPr>
          <w:footerReference w:type="default" r:id="rId50"/>
          <w:pgSz w:w="11910" w:h="16840"/>
          <w:pgMar w:footer="982" w:header="851" w:top="1200" w:bottom="1180" w:left="900" w:right="920"/>
          <w:pgNumType w:start="129"/>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6"/>
          <w:szCs w:val="6"/>
        </w:rPr>
      </w:pPr>
    </w:p>
    <w:p>
      <w:pPr>
        <w:pStyle w:val="BodyText"/>
        <w:spacing w:line="352" w:lineRule="auto" w:before="35"/>
        <w:ind w:left="253" w:right="243"/>
        <w:jc w:val="left"/>
      </w:pPr>
      <w:r>
        <w:rPr/>
        <w:t>以人民币</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7"/>
        </w:rPr>
        <w:t> </w:t>
      </w:r>
      <w:r>
        <w:rPr>
          <w:spacing w:val="-3"/>
        </w:rPr>
        <w:t>万元收购赵乃珂、孙勇坚、张诗中、黄勇四名自然人持有的南京银石</w:t>
      </w:r>
      <w:r>
        <w:rPr>
          <w:spacing w:val="-45"/>
        </w:rPr>
        <w:t> </w:t>
      </w:r>
      <w:r>
        <w:rPr>
          <w:rFonts w:ascii="Times New Roman" w:hAnsi="Times New Roman" w:cs="Times New Roman" w:eastAsia="Times New Roman" w:hint="default"/>
          <w:spacing w:val="-3"/>
        </w:rPr>
        <w:t>100%</w:t>
      </w:r>
      <w:r>
        <w:rPr>
          <w:spacing w:val="-3"/>
        </w:rPr>
        <w:t>的股权。公司于</w:t>
      </w:r>
      <w:r>
        <w:rPr>
          <w:spacing w:val="-103"/>
        </w:rPr>
        <w:t> </w:t>
      </w:r>
      <w:r>
        <w:rPr>
          <w:spacing w:val="-103"/>
        </w:rPr>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日收到南京银石通知，以上股权转让事宜已经完成工商变更登记。</w:t>
      </w:r>
    </w:p>
    <w:p>
      <w:pPr>
        <w:pStyle w:val="BodyText"/>
        <w:spacing w:line="240" w:lineRule="auto" w:before="26"/>
        <w:ind w:left="673" w:right="210"/>
        <w:jc w:val="left"/>
      </w:pPr>
      <w:r>
        <w:rPr/>
        <w:t>经公司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日召开的第三届董事会第十三次会议审议通过，公司向南京银石增资</w:t>
      </w:r>
      <w:r>
        <w:rPr>
          <w:spacing w:val="-50"/>
        </w:rPr>
        <w:t> </w:t>
      </w:r>
      <w:r>
        <w:rPr>
          <w:rFonts w:ascii="Times New Roman" w:hAnsi="Times New Roman" w:cs="Times New Roman" w:eastAsia="Times New Roman" w:hint="default"/>
        </w:rPr>
        <w:t>2,500</w:t>
      </w:r>
      <w:r>
        <w:rPr>
          <w:rFonts w:ascii="Times New Roman" w:hAnsi="Times New Roman" w:cs="Times New Roman" w:eastAsia="Times New Roman" w:hint="default"/>
          <w:spacing w:val="3"/>
        </w:rPr>
        <w:t> </w:t>
      </w:r>
      <w:r>
        <w:rPr/>
        <w:t>万</w:t>
      </w:r>
    </w:p>
    <w:p>
      <w:pPr>
        <w:pStyle w:val="BodyText"/>
        <w:spacing w:line="240" w:lineRule="auto" w:before="135"/>
        <w:ind w:left="254" w:right="210"/>
        <w:jc w:val="left"/>
      </w:pPr>
      <w:r>
        <w:rPr/>
        <w:t>元，用于补充其经营所需流动资金。本次增资完成后，南京银石注册资本变更为 </w:t>
      </w:r>
      <w:r>
        <w:rPr>
          <w:rFonts w:ascii="Times New Roman" w:hAnsi="Times New Roman" w:cs="Times New Roman" w:eastAsia="Times New Roman" w:hint="default"/>
        </w:rPr>
        <w:t>3,000</w:t>
      </w:r>
      <w:r>
        <w:rPr>
          <w:rFonts w:ascii="Times New Roman" w:hAnsi="Times New Roman" w:cs="Times New Roman" w:eastAsia="Times New Roman" w:hint="default"/>
          <w:spacing w:val="-25"/>
        </w:rPr>
        <w:t> </w:t>
      </w:r>
      <w:r>
        <w:rPr/>
        <w:t>万元，公司累计对</w:t>
      </w:r>
    </w:p>
    <w:p>
      <w:pPr>
        <w:pStyle w:val="BodyText"/>
        <w:spacing w:line="240" w:lineRule="auto" w:before="135"/>
        <w:ind w:left="254" w:right="210"/>
        <w:jc w:val="left"/>
      </w:pPr>
      <w:r>
        <w:rPr/>
        <w:t>南京银石的投资额为</w:t>
      </w:r>
      <w:r>
        <w:rPr>
          <w:spacing w:val="-54"/>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
        </w:rPr>
        <w:t> </w:t>
      </w:r>
      <w:r>
        <w:rPr/>
        <w:t>万元。</w:t>
      </w:r>
    </w:p>
    <w:p>
      <w:pPr>
        <w:pStyle w:val="BodyText"/>
        <w:spacing w:line="240" w:lineRule="auto" w:before="135"/>
        <w:ind w:left="674" w:right="210"/>
        <w:jc w:val="left"/>
      </w:pPr>
      <w:r>
        <w:rPr/>
        <w:t>（</w:t>
      </w:r>
      <w:r>
        <w:rPr>
          <w:rFonts w:ascii="Times New Roman" w:hAnsi="Times New Roman" w:cs="Times New Roman" w:eastAsia="Times New Roman" w:hint="default"/>
        </w:rPr>
        <w:t>3</w:t>
      </w:r>
      <w:r>
        <w:rPr/>
        <w:t>）经公司</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日召开的第四届董事会</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年第一次临时会议审议通过，公司与上海</w:t>
      </w:r>
    </w:p>
    <w:p>
      <w:pPr>
        <w:pStyle w:val="BodyText"/>
        <w:spacing w:line="352" w:lineRule="auto" w:before="135"/>
        <w:ind w:left="254" w:right="146"/>
        <w:jc w:val="left"/>
      </w:pPr>
      <w:r>
        <w:rPr/>
        <w:t>环迅电子商务有限公司于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日签署了《上海迅付信息科技有限公司（以下简称</w:t>
      </w:r>
      <w:r>
        <w:rPr>
          <w:rFonts w:ascii="Times New Roman" w:hAnsi="Times New Roman" w:cs="Times New Roman" w:eastAsia="Times New Roman" w:hint="default"/>
        </w:rPr>
        <w:t>“</w:t>
      </w:r>
      <w:r>
        <w:rPr/>
        <w:t>上海迅付</w:t>
      </w:r>
      <w:r>
        <w:rPr>
          <w:rFonts w:ascii="Times New Roman" w:hAnsi="Times New Roman" w:cs="Times New Roman" w:eastAsia="Times New Roman" w:hint="default"/>
        </w:rPr>
        <w:t>”</w:t>
      </w:r>
      <w:r>
        <w:rPr/>
        <w:t>） </w:t>
      </w:r>
      <w:r>
        <w:rPr>
          <w:spacing w:val="-9"/>
        </w:rPr>
        <w:t>股权转让协议》，以人民币</w:t>
      </w:r>
      <w:r>
        <w:rPr/>
        <w:t> </w:t>
      </w:r>
      <w:r>
        <w:rPr>
          <w:rFonts w:ascii="Times New Roman" w:hAnsi="Times New Roman" w:cs="Times New Roman" w:eastAsia="Times New Roman" w:hint="default"/>
          <w:spacing w:val="-1"/>
        </w:rPr>
        <w:t>1,575</w:t>
      </w:r>
      <w:r>
        <w:rPr>
          <w:rFonts w:ascii="Times New Roman" w:hAnsi="Times New Roman" w:cs="Times New Roman" w:eastAsia="Times New Roman" w:hint="default"/>
        </w:rPr>
        <w:t> </w:t>
      </w:r>
      <w:r>
        <w:rPr>
          <w:spacing w:val="-1"/>
        </w:rPr>
        <w:t>万元收购上海环迅电子商务有限公司持有的上海迅付</w:t>
      </w:r>
      <w:r>
        <w:rPr>
          <w:spacing w:val="-77"/>
        </w:rPr>
        <w:t> </w:t>
      </w:r>
      <w:r>
        <w:rPr>
          <w:rFonts w:ascii="Times New Roman" w:hAnsi="Times New Roman" w:cs="Times New Roman" w:eastAsia="Times New Roman" w:hint="default"/>
          <w:spacing w:val="-1"/>
        </w:rPr>
        <w:t>15%</w:t>
      </w:r>
      <w:r>
        <w:rPr>
          <w:spacing w:val="-1"/>
        </w:rPr>
        <w:t>的股权。</w:t>
      </w:r>
    </w:p>
    <w:p>
      <w:pPr>
        <w:spacing w:line="240" w:lineRule="auto" w:before="0"/>
        <w:rPr>
          <w:rFonts w:ascii="宋体" w:hAnsi="宋体" w:cs="宋体" w:eastAsia="宋体" w:hint="default"/>
          <w:sz w:val="22"/>
          <w:szCs w:val="22"/>
        </w:rPr>
      </w:pPr>
    </w:p>
    <w:p>
      <w:pPr>
        <w:pStyle w:val="BodyText"/>
        <w:spacing w:line="240" w:lineRule="auto" w:before="164"/>
        <w:ind w:left="674" w:right="210"/>
        <w:jc w:val="left"/>
      </w:pPr>
      <w:r>
        <w:rPr>
          <w:rFonts w:ascii="Times New Roman" w:hAnsi="Times New Roman" w:cs="Times New Roman" w:eastAsia="Times New Roman" w:hint="default"/>
        </w:rPr>
        <w:t>4</w:t>
      </w:r>
      <w:r>
        <w:rPr/>
        <w:t>．营业收入和营业成本</w:t>
      </w:r>
    </w:p>
    <w:p>
      <w:pPr>
        <w:pStyle w:val="BodyText"/>
        <w:spacing w:line="240" w:lineRule="auto" w:before="135"/>
        <w:ind w:left="674" w:right="210"/>
        <w:jc w:val="left"/>
      </w:pPr>
      <w:r>
        <w:rPr/>
        <w:t>（</w:t>
      </w:r>
      <w:r>
        <w:rPr>
          <w:rFonts w:ascii="Times New Roman" w:hAnsi="Times New Roman" w:cs="Times New Roman" w:eastAsia="Times New Roman" w:hint="default"/>
        </w:rPr>
        <w:t>1</w:t>
      </w:r>
      <w:r>
        <w:rPr/>
        <w:t>）营业收入</w:t>
      </w:r>
    </w:p>
    <w:tbl>
      <w:tblPr>
        <w:tblW w:w="0" w:type="auto"/>
        <w:jc w:val="left"/>
        <w:tblInd w:w="131" w:type="dxa"/>
        <w:tblLayout w:type="fixed"/>
        <w:tblCellMar>
          <w:top w:w="0" w:type="dxa"/>
          <w:left w:w="0" w:type="dxa"/>
          <w:bottom w:w="0" w:type="dxa"/>
          <w:right w:w="0" w:type="dxa"/>
        </w:tblCellMar>
        <w:tblLook w:val="01E0"/>
      </w:tblPr>
      <w:tblGrid>
        <w:gridCol w:w="3299"/>
        <w:gridCol w:w="3284"/>
        <w:gridCol w:w="3286"/>
      </w:tblGrid>
      <w:tr>
        <w:trPr>
          <w:trHeight w:val="446" w:hRule="exact"/>
        </w:trPr>
        <w:tc>
          <w:tcPr>
            <w:tcW w:w="3299"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0" w:lineRule="auto" w:before="120"/>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20" w:hRule="exact"/>
        </w:trPr>
        <w:tc>
          <w:tcPr>
            <w:tcW w:w="3299" w:type="dxa"/>
            <w:tcBorders>
              <w:top w:val="single" w:sz="4" w:space="0" w:color="000000"/>
              <w:left w:val="nil" w:sz="6" w:space="0" w:color="auto"/>
              <w:bottom w:val="nil" w:sz="6" w:space="0" w:color="auto"/>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122,947,334.31</w:t>
            </w:r>
          </w:p>
        </w:tc>
        <w:tc>
          <w:tcPr>
            <w:tcW w:w="328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118,717,666.46</w:t>
            </w:r>
          </w:p>
        </w:tc>
      </w:tr>
      <w:tr>
        <w:trPr>
          <w:trHeight w:val="426" w:hRule="exact"/>
        </w:trPr>
        <w:tc>
          <w:tcPr>
            <w:tcW w:w="329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pacing w:val="-1"/>
                <w:sz w:val="21"/>
              </w:rPr>
              <w:t>887,578.20</w:t>
            </w:r>
          </w:p>
        </w:tc>
        <w:tc>
          <w:tcPr>
            <w:tcW w:w="3286"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30,445,767.41</w:t>
            </w:r>
          </w:p>
        </w:tc>
      </w:tr>
      <w:tr>
        <w:trPr>
          <w:trHeight w:val="352" w:hRule="exact"/>
        </w:trPr>
        <w:tc>
          <w:tcPr>
            <w:tcW w:w="3299" w:type="dxa"/>
            <w:tcBorders>
              <w:top w:val="nil" w:sz="6" w:space="0" w:color="auto"/>
              <w:left w:val="nil" w:sz="6" w:space="0" w:color="auto"/>
              <w:bottom w:val="single" w:sz="12"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pacing w:val="-1"/>
                <w:sz w:val="21"/>
              </w:rPr>
              <w:t>102,942,638.23</w:t>
            </w:r>
          </w:p>
        </w:tc>
        <w:tc>
          <w:tcPr>
            <w:tcW w:w="3286" w:type="dxa"/>
            <w:tcBorders>
              <w:top w:val="nil" w:sz="6" w:space="0" w:color="auto"/>
              <w:left w:val="single" w:sz="4" w:space="0" w:color="000000"/>
              <w:bottom w:val="single" w:sz="12" w:space="0" w:color="000000"/>
              <w:right w:val="nil" w:sz="6" w:space="0" w:color="auto"/>
            </w:tcBorders>
          </w:tcPr>
          <w:p>
            <w:pPr>
              <w:pStyle w:val="TableParagraph"/>
              <w:spacing w:line="240" w:lineRule="auto" w:before="94"/>
              <w:ind w:right="107"/>
              <w:jc w:val="right"/>
              <w:rPr>
                <w:rFonts w:ascii="Times New Roman" w:hAnsi="Times New Roman" w:cs="Times New Roman" w:eastAsia="Times New Roman" w:hint="default"/>
                <w:sz w:val="21"/>
                <w:szCs w:val="21"/>
              </w:rPr>
            </w:pPr>
            <w:r>
              <w:rPr>
                <w:rFonts w:ascii="Times New Roman"/>
                <w:spacing w:val="-1"/>
                <w:sz w:val="21"/>
              </w:rPr>
              <w:t>120,857,098.45</w:t>
            </w:r>
          </w:p>
        </w:tc>
      </w:tr>
    </w:tbl>
    <w:p>
      <w:pPr>
        <w:spacing w:line="240" w:lineRule="auto" w:before="8"/>
        <w:rPr>
          <w:rFonts w:ascii="宋体" w:hAnsi="宋体" w:cs="宋体" w:eastAsia="宋体" w:hint="default"/>
          <w:sz w:val="7"/>
          <w:szCs w:val="7"/>
        </w:rPr>
      </w:pPr>
    </w:p>
    <w:p>
      <w:pPr>
        <w:pStyle w:val="BodyText"/>
        <w:spacing w:line="240" w:lineRule="auto" w:before="35"/>
        <w:ind w:left="674" w:right="210"/>
        <w:jc w:val="left"/>
      </w:pPr>
      <w:r>
        <w:rPr/>
        <w:t>（</w:t>
      </w:r>
      <w:r>
        <w:rPr>
          <w:rFonts w:ascii="Times New Roman" w:hAnsi="Times New Roman" w:cs="Times New Roman" w:eastAsia="Times New Roman" w:hint="default"/>
        </w:rPr>
        <w:t>2</w:t>
      </w:r>
      <w:r>
        <w:rPr/>
        <w:t>）主营业务（分行业）</w:t>
      </w:r>
    </w:p>
    <w:tbl>
      <w:tblPr>
        <w:tblW w:w="0" w:type="auto"/>
        <w:jc w:val="left"/>
        <w:tblInd w:w="116" w:type="dxa"/>
        <w:tblLayout w:type="fixed"/>
        <w:tblCellMar>
          <w:top w:w="0" w:type="dxa"/>
          <w:left w:w="0" w:type="dxa"/>
          <w:bottom w:w="0" w:type="dxa"/>
          <w:right w:w="0" w:type="dxa"/>
        </w:tblCellMar>
        <w:tblLook w:val="01E0"/>
      </w:tblPr>
      <w:tblGrid>
        <w:gridCol w:w="3252"/>
        <w:gridCol w:w="1678"/>
        <w:gridCol w:w="1568"/>
        <w:gridCol w:w="1686"/>
        <w:gridCol w:w="1685"/>
      </w:tblGrid>
      <w:tr>
        <w:trPr>
          <w:trHeight w:val="446" w:hRule="exact"/>
        </w:trPr>
        <w:tc>
          <w:tcPr>
            <w:tcW w:w="3252"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行业名称</w:t>
            </w:r>
          </w:p>
        </w:tc>
        <w:tc>
          <w:tcPr>
            <w:tcW w:w="3246"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37" w:hRule="exact"/>
        </w:trPr>
        <w:tc>
          <w:tcPr>
            <w:tcW w:w="3252" w:type="dxa"/>
            <w:vMerge/>
            <w:tcBorders>
              <w:left w:val="nil" w:sz="6" w:space="0" w:color="auto"/>
              <w:bottom w:val="single" w:sz="4" w:space="0" w:color="000000"/>
              <w:right w:val="single" w:sz="6" w:space="0" w:color="000000"/>
            </w:tcBorders>
          </w:tcPr>
          <w:p>
            <w:pP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0"/>
              <w:ind w:left="4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0"/>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20"/>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36" w:hRule="exact"/>
        </w:trPr>
        <w:tc>
          <w:tcPr>
            <w:tcW w:w="3252" w:type="dxa"/>
            <w:tcBorders>
              <w:top w:val="single" w:sz="4" w:space="0" w:color="000000"/>
              <w:left w:val="nil" w:sz="6" w:space="0" w:color="auto"/>
              <w:bottom w:val="single" w:sz="4" w:space="0" w:color="000000"/>
              <w:right w:val="single" w:sz="6"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计算机服务和软件行业</w:t>
            </w: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122,947,334.31</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102,893,470.67</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118,717,666.46</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91,807,837.30</w:t>
            </w:r>
          </w:p>
        </w:tc>
      </w:tr>
      <w:tr>
        <w:trPr>
          <w:trHeight w:val="446" w:hRule="exact"/>
        </w:trPr>
        <w:tc>
          <w:tcPr>
            <w:tcW w:w="3252" w:type="dxa"/>
            <w:tcBorders>
              <w:top w:val="single" w:sz="4"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119"/>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122,947,334.31</w:t>
            </w:r>
          </w:p>
        </w:tc>
        <w:tc>
          <w:tcPr>
            <w:tcW w:w="156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102,893,470.67</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118,717,666.46</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91,807,837.30</w:t>
            </w:r>
          </w:p>
        </w:tc>
      </w:tr>
    </w:tbl>
    <w:p>
      <w:pPr>
        <w:spacing w:line="240" w:lineRule="auto" w:before="9"/>
        <w:rPr>
          <w:rFonts w:ascii="宋体" w:hAnsi="宋体" w:cs="宋体" w:eastAsia="宋体" w:hint="default"/>
          <w:sz w:val="7"/>
          <w:szCs w:val="7"/>
        </w:rPr>
      </w:pPr>
    </w:p>
    <w:p>
      <w:pPr>
        <w:pStyle w:val="BodyText"/>
        <w:spacing w:line="240" w:lineRule="auto" w:before="35"/>
        <w:ind w:left="674" w:right="210"/>
        <w:jc w:val="left"/>
      </w:pPr>
      <w:r>
        <w:rPr/>
        <w:t>（</w:t>
      </w:r>
      <w:r>
        <w:rPr>
          <w:rFonts w:ascii="Times New Roman" w:hAnsi="Times New Roman" w:cs="Times New Roman" w:eastAsia="Times New Roman" w:hint="default"/>
        </w:rPr>
        <w:t>3</w:t>
      </w:r>
      <w:r>
        <w:rPr/>
        <w:t>）主营业务（分产品）</w:t>
      </w:r>
    </w:p>
    <w:tbl>
      <w:tblPr>
        <w:tblW w:w="0" w:type="auto"/>
        <w:jc w:val="left"/>
        <w:tblInd w:w="131" w:type="dxa"/>
        <w:tblLayout w:type="fixed"/>
        <w:tblCellMar>
          <w:top w:w="0" w:type="dxa"/>
          <w:left w:w="0" w:type="dxa"/>
          <w:bottom w:w="0" w:type="dxa"/>
          <w:right w:w="0" w:type="dxa"/>
        </w:tblCellMar>
        <w:tblLook w:val="01E0"/>
      </w:tblPr>
      <w:tblGrid>
        <w:gridCol w:w="3252"/>
        <w:gridCol w:w="1678"/>
        <w:gridCol w:w="1568"/>
        <w:gridCol w:w="1686"/>
        <w:gridCol w:w="1685"/>
      </w:tblGrid>
      <w:tr>
        <w:trPr>
          <w:trHeight w:val="446" w:hRule="exact"/>
        </w:trPr>
        <w:tc>
          <w:tcPr>
            <w:tcW w:w="3252"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3246"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1"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119"/>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37" w:hRule="exact"/>
        </w:trPr>
        <w:tc>
          <w:tcPr>
            <w:tcW w:w="3252" w:type="dxa"/>
            <w:vMerge/>
            <w:tcBorders>
              <w:left w:val="nil" w:sz="6" w:space="0" w:color="auto"/>
              <w:bottom w:val="single" w:sz="4" w:space="0" w:color="000000"/>
              <w:right w:val="single" w:sz="6" w:space="0" w:color="000000"/>
            </w:tcBorders>
          </w:tcPr>
          <w:p>
            <w:pPr/>
          </w:p>
        </w:tc>
        <w:tc>
          <w:tcPr>
            <w:tcW w:w="16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0"/>
              <w:ind w:left="4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0"/>
              <w:ind w:left="3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0"/>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20"/>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20" w:hRule="exact"/>
        </w:trPr>
        <w:tc>
          <w:tcPr>
            <w:tcW w:w="3252" w:type="dxa"/>
            <w:tcBorders>
              <w:top w:val="single" w:sz="4" w:space="0" w:color="000000"/>
              <w:left w:val="nil" w:sz="6" w:space="0" w:color="auto"/>
              <w:bottom w:val="nil" w:sz="6" w:space="0" w:color="auto"/>
              <w:right w:val="single" w:sz="6"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w:t>
            </w:r>
          </w:p>
        </w:tc>
        <w:tc>
          <w:tcPr>
            <w:tcW w:w="1678"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105,484,861.98</w:t>
            </w:r>
          </w:p>
        </w:tc>
        <w:tc>
          <w:tcPr>
            <w:tcW w:w="1568"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101,614,328.84</w:t>
            </w:r>
          </w:p>
        </w:tc>
        <w:tc>
          <w:tcPr>
            <w:tcW w:w="1686" w:type="dxa"/>
            <w:tcBorders>
              <w:top w:val="single" w:sz="4"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88,030,945.85</w:t>
            </w:r>
          </w:p>
        </w:tc>
        <w:tc>
          <w:tcPr>
            <w:tcW w:w="1685" w:type="dxa"/>
            <w:tcBorders>
              <w:top w:val="single" w:sz="4" w:space="0" w:color="000000"/>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91,654,092.91</w:t>
            </w:r>
          </w:p>
        </w:tc>
      </w:tr>
      <w:tr>
        <w:trPr>
          <w:trHeight w:val="426" w:hRule="exact"/>
        </w:trPr>
        <w:tc>
          <w:tcPr>
            <w:tcW w:w="3252" w:type="dxa"/>
            <w:tcBorders>
              <w:top w:val="nil" w:sz="6" w:space="0" w:color="auto"/>
              <w:left w:val="nil" w:sz="6" w:space="0" w:color="auto"/>
              <w:bottom w:val="nil" w:sz="6" w:space="0" w:color="auto"/>
              <w:right w:val="single" w:sz="6"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．行业应用软件</w:t>
            </w:r>
          </w:p>
        </w:tc>
        <w:tc>
          <w:tcPr>
            <w:tcW w:w="167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10,888,854.49</w:t>
            </w:r>
          </w:p>
        </w:tc>
        <w:tc>
          <w:tcPr>
            <w:tcW w:w="1568"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24,498,072.94</w:t>
            </w:r>
          </w:p>
        </w:tc>
        <w:tc>
          <w:tcPr>
            <w:tcW w:w="1685" w:type="dxa"/>
            <w:tcBorders>
              <w:top w:val="nil" w:sz="6" w:space="0" w:color="auto"/>
              <w:left w:val="single" w:sz="6" w:space="0" w:color="000000"/>
              <w:bottom w:val="nil" w:sz="6" w:space="0" w:color="auto"/>
              <w:right w:val="nil" w:sz="6" w:space="0" w:color="auto"/>
            </w:tcBorders>
          </w:tcPr>
          <w:p>
            <w:pPr/>
          </w:p>
        </w:tc>
      </w:tr>
      <w:tr>
        <w:trPr>
          <w:trHeight w:val="341" w:hRule="exact"/>
        </w:trPr>
        <w:tc>
          <w:tcPr>
            <w:tcW w:w="3252" w:type="dxa"/>
            <w:tcBorders>
              <w:top w:val="nil" w:sz="6" w:space="0" w:color="auto"/>
              <w:left w:val="nil" w:sz="6" w:space="0" w:color="auto"/>
              <w:bottom w:val="single" w:sz="4" w:space="0" w:color="000000"/>
              <w:right w:val="single" w:sz="6"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．其他服务</w:t>
            </w:r>
          </w:p>
        </w:tc>
        <w:tc>
          <w:tcPr>
            <w:tcW w:w="167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21"/>
                <w:szCs w:val="21"/>
              </w:rPr>
            </w:pPr>
            <w:r>
              <w:rPr>
                <w:rFonts w:ascii="Times New Roman"/>
                <w:spacing w:val="-1"/>
                <w:sz w:val="21"/>
              </w:rPr>
              <w:t>6,573,617.84</w:t>
            </w:r>
          </w:p>
        </w:tc>
        <w:tc>
          <w:tcPr>
            <w:tcW w:w="1568"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4"/>
              <w:ind w:right="97"/>
              <w:jc w:val="right"/>
              <w:rPr>
                <w:rFonts w:ascii="Times New Roman" w:hAnsi="Times New Roman" w:cs="Times New Roman" w:eastAsia="Times New Roman" w:hint="default"/>
                <w:sz w:val="21"/>
                <w:szCs w:val="21"/>
              </w:rPr>
            </w:pPr>
            <w:r>
              <w:rPr>
                <w:rFonts w:ascii="Times New Roman"/>
                <w:spacing w:val="-1"/>
                <w:sz w:val="21"/>
              </w:rPr>
              <w:t>1,279,141.83</w:t>
            </w:r>
          </w:p>
        </w:tc>
        <w:tc>
          <w:tcPr>
            <w:tcW w:w="168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6,188,647.67</w:t>
            </w:r>
          </w:p>
        </w:tc>
        <w:tc>
          <w:tcPr>
            <w:tcW w:w="1685" w:type="dxa"/>
            <w:tcBorders>
              <w:top w:val="nil" w:sz="6" w:space="0" w:color="auto"/>
              <w:left w:val="single" w:sz="6" w:space="0" w:color="000000"/>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1"/>
                <w:szCs w:val="21"/>
              </w:rPr>
            </w:pPr>
            <w:r>
              <w:rPr>
                <w:rFonts w:ascii="Times New Roman"/>
                <w:spacing w:val="-1"/>
                <w:sz w:val="21"/>
              </w:rPr>
              <w:t>153,744.39</w:t>
            </w:r>
          </w:p>
        </w:tc>
      </w:tr>
      <w:tr>
        <w:trPr>
          <w:trHeight w:val="446" w:hRule="exact"/>
        </w:trPr>
        <w:tc>
          <w:tcPr>
            <w:tcW w:w="3252" w:type="dxa"/>
            <w:tcBorders>
              <w:top w:val="single" w:sz="4" w:space="0" w:color="000000"/>
              <w:left w:val="nil" w:sz="6" w:space="0" w:color="auto"/>
              <w:bottom w:val="single" w:sz="12" w:space="0" w:color="000000"/>
              <w:right w:val="single" w:sz="6" w:space="0" w:color="000000"/>
            </w:tcBorders>
          </w:tcPr>
          <w:p>
            <w:pPr>
              <w:pStyle w:val="TableParagraph"/>
              <w:tabs>
                <w:tab w:pos="653" w:val="left" w:leader="none"/>
              </w:tabs>
              <w:spacing w:line="240" w:lineRule="auto" w:before="119"/>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122,947,334.31</w:t>
            </w:r>
          </w:p>
        </w:tc>
        <w:tc>
          <w:tcPr>
            <w:tcW w:w="156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102,893,470.67</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118,717,666.46</w:t>
            </w:r>
          </w:p>
        </w:tc>
        <w:tc>
          <w:tcPr>
            <w:tcW w:w="1685" w:type="dxa"/>
            <w:tcBorders>
              <w:top w:val="single" w:sz="4"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91,807,837.30</w:t>
            </w:r>
          </w:p>
        </w:tc>
      </w:tr>
    </w:tbl>
    <w:p>
      <w:pPr>
        <w:spacing w:line="240" w:lineRule="auto" w:before="11"/>
        <w:rPr>
          <w:rFonts w:ascii="宋体" w:hAnsi="宋体" w:cs="宋体" w:eastAsia="宋体" w:hint="default"/>
          <w:sz w:val="14"/>
          <w:szCs w:val="14"/>
        </w:rPr>
      </w:pPr>
    </w:p>
    <w:p>
      <w:pPr>
        <w:pStyle w:val="BodyText"/>
        <w:spacing w:line="240" w:lineRule="auto" w:before="35"/>
        <w:ind w:left="674" w:right="210"/>
        <w:jc w:val="left"/>
      </w:pPr>
      <w:r>
        <w:rPr/>
        <w:t>（</w:t>
      </w:r>
      <w:r>
        <w:rPr>
          <w:rFonts w:ascii="Times New Roman" w:hAnsi="Times New Roman" w:cs="Times New Roman" w:eastAsia="Times New Roman" w:hint="default"/>
        </w:rPr>
        <w:t>4</w:t>
      </w:r>
      <w:r>
        <w:rPr/>
        <w:t>）主营业务（分地区）</w:t>
      </w:r>
    </w:p>
    <w:tbl>
      <w:tblPr>
        <w:tblW w:w="0" w:type="auto"/>
        <w:jc w:val="left"/>
        <w:tblInd w:w="116" w:type="dxa"/>
        <w:tblLayout w:type="fixed"/>
        <w:tblCellMar>
          <w:top w:w="0" w:type="dxa"/>
          <w:left w:w="0" w:type="dxa"/>
          <w:bottom w:w="0" w:type="dxa"/>
          <w:right w:w="0" w:type="dxa"/>
        </w:tblCellMar>
        <w:tblLook w:val="01E0"/>
      </w:tblPr>
      <w:tblGrid>
        <w:gridCol w:w="3210"/>
        <w:gridCol w:w="1686"/>
        <w:gridCol w:w="1686"/>
        <w:gridCol w:w="1676"/>
        <w:gridCol w:w="1610"/>
      </w:tblGrid>
      <w:tr>
        <w:trPr>
          <w:trHeight w:val="539" w:hRule="exact"/>
        </w:trPr>
        <w:tc>
          <w:tcPr>
            <w:tcW w:w="321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87"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0" w:hRule="exact"/>
        </w:trPr>
        <w:tc>
          <w:tcPr>
            <w:tcW w:w="3210" w:type="dxa"/>
            <w:vMerge/>
            <w:tcBorders>
              <w:left w:val="nil" w:sz="6" w:space="0" w:color="auto"/>
              <w:bottom w:val="single" w:sz="4" w:space="0" w:color="000000"/>
              <w:right w:val="single" w:sz="6" w:space="0" w:color="000000"/>
            </w:tcBorders>
          </w:tcPr>
          <w:p>
            <w:pP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0"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39" w:hRule="exact"/>
        </w:trPr>
        <w:tc>
          <w:tcPr>
            <w:tcW w:w="3210"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122,947,334.31</w:t>
            </w:r>
          </w:p>
        </w:tc>
        <w:tc>
          <w:tcPr>
            <w:tcW w:w="16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7" w:right="0"/>
              <w:jc w:val="left"/>
              <w:rPr>
                <w:rFonts w:ascii="Times New Roman" w:hAnsi="Times New Roman" w:cs="Times New Roman" w:eastAsia="Times New Roman" w:hint="default"/>
                <w:sz w:val="21"/>
                <w:szCs w:val="21"/>
              </w:rPr>
            </w:pPr>
            <w:r>
              <w:rPr>
                <w:rFonts w:ascii="Times New Roman"/>
                <w:sz w:val="21"/>
              </w:rPr>
              <w:t>102,893,470.67</w:t>
            </w:r>
          </w:p>
        </w:tc>
        <w:tc>
          <w:tcPr>
            <w:tcW w:w="167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118,717,666.46</w:t>
            </w:r>
          </w:p>
        </w:tc>
        <w:tc>
          <w:tcPr>
            <w:tcW w:w="161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91,807,837.30</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20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210"/>
        <w:gridCol w:w="1686"/>
        <w:gridCol w:w="1686"/>
        <w:gridCol w:w="1676"/>
        <w:gridCol w:w="1610"/>
      </w:tblGrid>
      <w:tr>
        <w:trPr>
          <w:trHeight w:val="548" w:hRule="exact"/>
        </w:trPr>
        <w:tc>
          <w:tcPr>
            <w:tcW w:w="3210" w:type="dxa"/>
            <w:tcBorders>
              <w:top w:val="single" w:sz="10"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10"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122,947,334.31</w:t>
            </w:r>
          </w:p>
        </w:tc>
        <w:tc>
          <w:tcPr>
            <w:tcW w:w="1686" w:type="dxa"/>
            <w:tcBorders>
              <w:top w:val="single" w:sz="10"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102,893,470.67</w:t>
            </w:r>
          </w:p>
        </w:tc>
        <w:tc>
          <w:tcPr>
            <w:tcW w:w="1676" w:type="dxa"/>
            <w:tcBorders>
              <w:top w:val="single" w:sz="10"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8" w:right="0"/>
              <w:jc w:val="left"/>
              <w:rPr>
                <w:rFonts w:ascii="Times New Roman" w:hAnsi="Times New Roman" w:cs="Times New Roman" w:eastAsia="Times New Roman" w:hint="default"/>
                <w:sz w:val="21"/>
                <w:szCs w:val="21"/>
              </w:rPr>
            </w:pPr>
            <w:r>
              <w:rPr>
                <w:rFonts w:ascii="Times New Roman"/>
                <w:sz w:val="21"/>
              </w:rPr>
              <w:t>118,717,666.46</w:t>
            </w:r>
          </w:p>
        </w:tc>
        <w:tc>
          <w:tcPr>
            <w:tcW w:w="1610" w:type="dxa"/>
            <w:tcBorders>
              <w:top w:val="single" w:sz="10"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91,807,837.30</w:t>
            </w:r>
          </w:p>
        </w:tc>
      </w:tr>
    </w:tbl>
    <w:p>
      <w:pPr>
        <w:spacing w:line="240" w:lineRule="auto" w:before="8"/>
        <w:rPr>
          <w:rFonts w:ascii="宋体" w:hAnsi="宋体" w:cs="宋体" w:eastAsia="宋体" w:hint="default"/>
          <w:sz w:val="13"/>
          <w:szCs w:val="13"/>
        </w:rPr>
      </w:pPr>
    </w:p>
    <w:p>
      <w:pPr>
        <w:pStyle w:val="BodyText"/>
        <w:spacing w:line="240" w:lineRule="auto" w:before="35"/>
        <w:ind w:left="674" w:right="0"/>
        <w:jc w:val="left"/>
      </w:pPr>
      <w:r>
        <w:rPr/>
        <w:t>（</w:t>
      </w:r>
      <w:r>
        <w:rPr>
          <w:rFonts w:ascii="Times New Roman" w:hAnsi="Times New Roman" w:cs="Times New Roman" w:eastAsia="Times New Roman" w:hint="default"/>
        </w:rPr>
        <w:t>5</w:t>
      </w:r>
      <w:r>
        <w:rPr/>
        <w:t>）公司前五名客户的营业收入情况</w:t>
      </w:r>
    </w:p>
    <w:tbl>
      <w:tblPr>
        <w:tblW w:w="0" w:type="auto"/>
        <w:jc w:val="left"/>
        <w:tblInd w:w="131" w:type="dxa"/>
        <w:tblLayout w:type="fixed"/>
        <w:tblCellMar>
          <w:top w:w="0" w:type="dxa"/>
          <w:left w:w="0" w:type="dxa"/>
          <w:bottom w:w="0" w:type="dxa"/>
          <w:right w:w="0" w:type="dxa"/>
        </w:tblCellMar>
        <w:tblLook w:val="01E0"/>
      </w:tblPr>
      <w:tblGrid>
        <w:gridCol w:w="4301"/>
        <w:gridCol w:w="1985"/>
        <w:gridCol w:w="3583"/>
      </w:tblGrid>
      <w:tr>
        <w:trPr>
          <w:trHeight w:val="539" w:hRule="exact"/>
        </w:trPr>
        <w:tc>
          <w:tcPr>
            <w:tcW w:w="43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5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662" w:hRule="exact"/>
        </w:trPr>
        <w:tc>
          <w:tcPr>
            <w:tcW w:w="4301"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天津高银国际俱乐部有限公司</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12,632,597.83</w:t>
            </w:r>
          </w:p>
        </w:tc>
        <w:tc>
          <w:tcPr>
            <w:tcW w:w="3583"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10.36</w:t>
            </w:r>
          </w:p>
        </w:tc>
      </w:tr>
      <w:tr>
        <w:trPr>
          <w:trHeight w:val="520" w:hRule="exact"/>
        </w:trPr>
        <w:tc>
          <w:tcPr>
            <w:tcW w:w="43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21"/>
                <w:szCs w:val="21"/>
              </w:rPr>
            </w:pPr>
            <w:r>
              <w:rPr>
                <w:rFonts w:ascii="宋体" w:hAnsi="宋体" w:cs="宋体" w:eastAsia="宋体" w:hint="default"/>
                <w:sz w:val="21"/>
                <w:szCs w:val="21"/>
              </w:rPr>
              <w:t>杭州武林置业有限公司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3,805,423.59</w:t>
            </w:r>
          </w:p>
        </w:tc>
        <w:tc>
          <w:tcPr>
            <w:tcW w:w="3583"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sz w:val="21"/>
              </w:rPr>
              <w:t>3.12</w:t>
            </w:r>
          </w:p>
        </w:tc>
      </w:tr>
      <w:tr>
        <w:trPr>
          <w:trHeight w:val="520" w:hRule="exact"/>
        </w:trPr>
        <w:tc>
          <w:tcPr>
            <w:tcW w:w="43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21"/>
                <w:szCs w:val="21"/>
              </w:rPr>
            </w:pPr>
            <w:r>
              <w:rPr>
                <w:rFonts w:ascii="宋体" w:hAnsi="宋体" w:cs="宋体" w:eastAsia="宋体" w:hint="default"/>
                <w:sz w:val="21"/>
                <w:szCs w:val="21"/>
              </w:rPr>
              <w:t>嘉兴茂旅酒店有限公司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3,696,300.54</w:t>
            </w:r>
          </w:p>
        </w:tc>
        <w:tc>
          <w:tcPr>
            <w:tcW w:w="3583"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sz w:val="21"/>
              </w:rPr>
              <w:t>3.03</w:t>
            </w:r>
          </w:p>
        </w:tc>
      </w:tr>
      <w:tr>
        <w:trPr>
          <w:trHeight w:val="520" w:hRule="exact"/>
        </w:trPr>
        <w:tc>
          <w:tcPr>
            <w:tcW w:w="43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21"/>
                <w:szCs w:val="21"/>
              </w:rPr>
            </w:pPr>
            <w:r>
              <w:rPr>
                <w:rFonts w:ascii="宋体" w:hAnsi="宋体" w:cs="宋体" w:eastAsia="宋体" w:hint="default"/>
                <w:sz w:val="21"/>
                <w:szCs w:val="21"/>
              </w:rPr>
              <w:t>天津天宾房地产开发有限公司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21"/>
                <w:szCs w:val="21"/>
              </w:rPr>
            </w:pPr>
            <w:r>
              <w:rPr>
                <w:rFonts w:ascii="Times New Roman"/>
                <w:spacing w:val="-1"/>
                <w:sz w:val="21"/>
              </w:rPr>
              <w:t>3,200,363.57</w:t>
            </w:r>
          </w:p>
        </w:tc>
        <w:tc>
          <w:tcPr>
            <w:tcW w:w="3583" w:type="dxa"/>
            <w:tcBorders>
              <w:top w:val="nil" w:sz="6" w:space="0" w:color="auto"/>
              <w:left w:val="single" w:sz="4" w:space="0" w:color="000000"/>
              <w:bottom w:val="nil" w:sz="6" w:space="0" w:color="auto"/>
              <w:right w:val="nil" w:sz="6" w:space="0" w:color="auto"/>
            </w:tcBorders>
          </w:tcPr>
          <w:p>
            <w:pPr>
              <w:pStyle w:val="TableParagraph"/>
              <w:spacing w:line="240" w:lineRule="auto" w:before="141"/>
              <w:ind w:right="2"/>
              <w:jc w:val="center"/>
              <w:rPr>
                <w:rFonts w:ascii="Times New Roman" w:hAnsi="Times New Roman" w:cs="Times New Roman" w:eastAsia="Times New Roman" w:hint="default"/>
                <w:sz w:val="21"/>
                <w:szCs w:val="21"/>
              </w:rPr>
            </w:pPr>
            <w:r>
              <w:rPr>
                <w:rFonts w:ascii="Times New Roman"/>
                <w:sz w:val="21"/>
              </w:rPr>
              <w:t>2.62</w:t>
            </w:r>
          </w:p>
        </w:tc>
      </w:tr>
      <w:tr>
        <w:trPr>
          <w:trHeight w:val="388" w:hRule="exact"/>
        </w:trPr>
        <w:tc>
          <w:tcPr>
            <w:tcW w:w="4301" w:type="dxa"/>
            <w:tcBorders>
              <w:top w:val="nil" w:sz="6" w:space="0" w:color="auto"/>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21"/>
                <w:szCs w:val="21"/>
              </w:rPr>
            </w:pPr>
            <w:r>
              <w:rPr>
                <w:rFonts w:ascii="宋体" w:hAnsi="宋体" w:cs="宋体" w:eastAsia="宋体" w:hint="default"/>
                <w:sz w:val="21"/>
                <w:szCs w:val="21"/>
              </w:rPr>
              <w:t>上海新发展大酒店有限公司</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2,615,128.48</w:t>
            </w:r>
          </w:p>
        </w:tc>
        <w:tc>
          <w:tcPr>
            <w:tcW w:w="3583" w:type="dxa"/>
            <w:tcBorders>
              <w:top w:val="nil" w:sz="6" w:space="0" w:color="auto"/>
              <w:left w:val="single" w:sz="4" w:space="0" w:color="000000"/>
              <w:bottom w:val="single" w:sz="4" w:space="0" w:color="000000"/>
              <w:right w:val="nil" w:sz="6" w:space="0" w:color="auto"/>
            </w:tcBorders>
          </w:tcPr>
          <w:p>
            <w:pPr>
              <w:pStyle w:val="TableParagraph"/>
              <w:spacing w:line="240" w:lineRule="auto" w:before="140"/>
              <w:ind w:right="2"/>
              <w:jc w:val="center"/>
              <w:rPr>
                <w:rFonts w:ascii="Times New Roman" w:hAnsi="Times New Roman" w:cs="Times New Roman" w:eastAsia="Times New Roman" w:hint="default"/>
                <w:sz w:val="21"/>
                <w:szCs w:val="21"/>
              </w:rPr>
            </w:pPr>
            <w:r>
              <w:rPr>
                <w:rFonts w:ascii="Times New Roman"/>
                <w:sz w:val="21"/>
              </w:rPr>
              <w:t>2.14</w:t>
            </w:r>
          </w:p>
        </w:tc>
      </w:tr>
      <w:tr>
        <w:trPr>
          <w:trHeight w:val="541" w:hRule="exact"/>
        </w:trPr>
        <w:tc>
          <w:tcPr>
            <w:tcW w:w="43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651"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25,949,814.01</w:t>
            </w:r>
          </w:p>
        </w:tc>
        <w:tc>
          <w:tcPr>
            <w:tcW w:w="35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21.27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5"/>
        <w:ind w:left="674" w:right="0"/>
        <w:jc w:val="left"/>
      </w:pPr>
      <w:r>
        <w:rPr>
          <w:rFonts w:ascii="Times New Roman" w:hAnsi="Times New Roman" w:cs="Times New Roman" w:eastAsia="Times New Roman" w:hint="default"/>
        </w:rPr>
        <w:t>5</w:t>
      </w:r>
      <w:r>
        <w:rPr/>
        <w:t>．投资收益</w:t>
      </w:r>
    </w:p>
    <w:p>
      <w:pPr>
        <w:spacing w:line="240" w:lineRule="auto" w:before="8"/>
        <w:rPr>
          <w:rFonts w:ascii="宋体" w:hAnsi="宋体" w:cs="宋体" w:eastAsia="宋体" w:hint="default"/>
          <w:sz w:val="17"/>
          <w:szCs w:val="17"/>
        </w:rPr>
      </w:pPr>
    </w:p>
    <w:p>
      <w:pPr>
        <w:pStyle w:val="BodyText"/>
        <w:spacing w:line="240" w:lineRule="auto"/>
        <w:ind w:left="673" w:right="0"/>
        <w:jc w:val="left"/>
      </w:pPr>
      <w:r>
        <w:rPr/>
        <w:t>（</w:t>
      </w:r>
      <w:r>
        <w:rPr>
          <w:rFonts w:ascii="Times New Roman" w:hAnsi="Times New Roman" w:cs="Times New Roman" w:eastAsia="Times New Roman" w:hint="default"/>
        </w:rPr>
        <w:t>1</w:t>
      </w:r>
      <w:r>
        <w:rPr/>
        <w:t>）投资收益的来源：</w:t>
      </w:r>
    </w:p>
    <w:tbl>
      <w:tblPr>
        <w:tblW w:w="0" w:type="auto"/>
        <w:jc w:val="left"/>
        <w:tblInd w:w="116" w:type="dxa"/>
        <w:tblLayout w:type="fixed"/>
        <w:tblCellMar>
          <w:top w:w="0" w:type="dxa"/>
          <w:left w:w="0" w:type="dxa"/>
          <w:bottom w:w="0" w:type="dxa"/>
          <w:right w:w="0" w:type="dxa"/>
        </w:tblCellMar>
        <w:tblLook w:val="01E0"/>
      </w:tblPr>
      <w:tblGrid>
        <w:gridCol w:w="6731"/>
        <w:gridCol w:w="1568"/>
        <w:gridCol w:w="1570"/>
      </w:tblGrid>
      <w:tr>
        <w:trPr>
          <w:trHeight w:val="539" w:hRule="exact"/>
        </w:trPr>
        <w:tc>
          <w:tcPr>
            <w:tcW w:w="67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5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0" w:hRule="exact"/>
        </w:trPr>
        <w:tc>
          <w:tcPr>
            <w:tcW w:w="6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184,151,169.79</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1,648,000.00</w:t>
            </w:r>
          </w:p>
        </w:tc>
      </w:tr>
      <w:tr>
        <w:trPr>
          <w:trHeight w:val="541" w:hRule="exact"/>
        </w:trPr>
        <w:tc>
          <w:tcPr>
            <w:tcW w:w="67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184,151,169.79</w:t>
            </w:r>
          </w:p>
        </w:tc>
        <w:tc>
          <w:tcPr>
            <w:tcW w:w="15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1,648,000.00</w:t>
            </w:r>
          </w:p>
        </w:tc>
      </w:tr>
    </w:tbl>
    <w:p>
      <w:pPr>
        <w:spacing w:line="240" w:lineRule="auto" w:before="10"/>
        <w:rPr>
          <w:rFonts w:ascii="宋体" w:hAnsi="宋体" w:cs="宋体" w:eastAsia="宋体" w:hint="default"/>
          <w:sz w:val="14"/>
          <w:szCs w:val="14"/>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）按成本法核算的长期股权投资按投资单位分项列示投资收益：</w:t>
      </w:r>
    </w:p>
    <w:tbl>
      <w:tblPr>
        <w:tblW w:w="0" w:type="auto"/>
        <w:jc w:val="left"/>
        <w:tblInd w:w="131" w:type="dxa"/>
        <w:tblLayout w:type="fixed"/>
        <w:tblCellMar>
          <w:top w:w="0" w:type="dxa"/>
          <w:left w:w="0" w:type="dxa"/>
          <w:bottom w:w="0" w:type="dxa"/>
          <w:right w:w="0" w:type="dxa"/>
        </w:tblCellMar>
        <w:tblLook w:val="01E0"/>
      </w:tblPr>
      <w:tblGrid>
        <w:gridCol w:w="3618"/>
        <w:gridCol w:w="1686"/>
        <w:gridCol w:w="1633"/>
        <w:gridCol w:w="2932"/>
      </w:tblGrid>
      <w:tr>
        <w:trPr>
          <w:trHeight w:val="539" w:hRule="exact"/>
        </w:trPr>
        <w:tc>
          <w:tcPr>
            <w:tcW w:w="36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29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本年比上期增减变动的原因</w:t>
            </w:r>
          </w:p>
        </w:tc>
      </w:tr>
      <w:tr>
        <w:trPr>
          <w:trHeight w:val="678" w:hRule="exact"/>
        </w:trPr>
        <w:tc>
          <w:tcPr>
            <w:tcW w:w="3618"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1,648,000.00</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1,648,000.00</w:t>
            </w:r>
          </w:p>
        </w:tc>
        <w:tc>
          <w:tcPr>
            <w:tcW w:w="2932" w:type="dxa"/>
            <w:tcBorders>
              <w:top w:val="single" w:sz="4" w:space="0" w:color="000000"/>
              <w:left w:val="single" w:sz="4" w:space="0" w:color="000000"/>
              <w:bottom w:val="nil" w:sz="6" w:space="0" w:color="auto"/>
              <w:right w:val="nil" w:sz="6" w:space="0" w:color="auto"/>
            </w:tcBorders>
          </w:tcPr>
          <w:p>
            <w:pPr/>
          </w:p>
        </w:tc>
      </w:tr>
      <w:tr>
        <w:trPr>
          <w:trHeight w:val="520" w:hRule="exact"/>
        </w:trPr>
        <w:tc>
          <w:tcPr>
            <w:tcW w:w="3618"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53,789,370.15</w:t>
            </w:r>
          </w:p>
        </w:tc>
        <w:tc>
          <w:tcPr>
            <w:tcW w:w="1633" w:type="dxa"/>
            <w:vMerge/>
            <w:tcBorders>
              <w:left w:val="single" w:sz="4" w:space="0" w:color="000000"/>
              <w:right w:val="single" w:sz="4" w:space="0" w:color="000000"/>
            </w:tcBorders>
          </w:tcPr>
          <w:p>
            <w:pPr/>
          </w:p>
        </w:tc>
        <w:tc>
          <w:tcPr>
            <w:tcW w:w="2932"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本年分配普通股股利</w:t>
            </w:r>
          </w:p>
        </w:tc>
      </w:tr>
      <w:tr>
        <w:trPr>
          <w:trHeight w:val="520" w:hRule="exact"/>
        </w:trPr>
        <w:tc>
          <w:tcPr>
            <w:tcW w:w="3618"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101,571,469.02</w:t>
            </w:r>
          </w:p>
        </w:tc>
        <w:tc>
          <w:tcPr>
            <w:tcW w:w="1633" w:type="dxa"/>
            <w:vMerge/>
            <w:tcBorders>
              <w:left w:val="single" w:sz="4" w:space="0" w:color="000000"/>
              <w:right w:val="single" w:sz="4" w:space="0" w:color="000000"/>
            </w:tcBorders>
          </w:tcPr>
          <w:p>
            <w:pPr/>
          </w:p>
        </w:tc>
        <w:tc>
          <w:tcPr>
            <w:tcW w:w="2932"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本年分配普通股股利</w:t>
            </w:r>
          </w:p>
        </w:tc>
      </w:tr>
      <w:tr>
        <w:trPr>
          <w:trHeight w:val="373" w:hRule="exact"/>
        </w:trPr>
        <w:tc>
          <w:tcPr>
            <w:tcW w:w="3618" w:type="dxa"/>
            <w:tcBorders>
              <w:top w:val="nil" w:sz="6" w:space="0" w:color="auto"/>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27,142,330.62</w:t>
            </w:r>
          </w:p>
        </w:tc>
        <w:tc>
          <w:tcPr>
            <w:tcW w:w="1633" w:type="dxa"/>
            <w:vMerge/>
            <w:tcBorders>
              <w:left w:val="single" w:sz="4" w:space="0" w:color="000000"/>
              <w:bottom w:val="single" w:sz="4" w:space="0" w:color="000000"/>
              <w:right w:val="single" w:sz="4" w:space="0" w:color="000000"/>
            </w:tcBorders>
          </w:tcPr>
          <w:p>
            <w:pPr/>
          </w:p>
        </w:tc>
        <w:tc>
          <w:tcPr>
            <w:tcW w:w="2932" w:type="dxa"/>
            <w:tcBorders>
              <w:top w:val="nil" w:sz="6" w:space="0" w:color="auto"/>
              <w:left w:val="single" w:sz="4" w:space="0" w:color="000000"/>
              <w:bottom w:val="single" w:sz="4" w:space="0" w:color="000000"/>
              <w:right w:val="nil" w:sz="6" w:space="0" w:color="auto"/>
            </w:tcBorders>
          </w:tcPr>
          <w:p>
            <w:pPr>
              <w:pStyle w:val="TableParagraph"/>
              <w:spacing w:line="240" w:lineRule="auto" w:before="105"/>
              <w:ind w:right="5"/>
              <w:jc w:val="center"/>
              <w:rPr>
                <w:rFonts w:ascii="宋体" w:hAnsi="宋体" w:cs="宋体" w:eastAsia="宋体" w:hint="default"/>
                <w:sz w:val="18"/>
                <w:szCs w:val="18"/>
              </w:rPr>
            </w:pPr>
            <w:r>
              <w:rPr>
                <w:rFonts w:ascii="宋体" w:hAnsi="宋体" w:cs="宋体" w:eastAsia="宋体" w:hint="default"/>
                <w:sz w:val="18"/>
                <w:szCs w:val="18"/>
              </w:rPr>
              <w:t>本年分配普通股股利</w:t>
            </w:r>
          </w:p>
        </w:tc>
      </w:tr>
      <w:tr>
        <w:trPr>
          <w:trHeight w:val="541" w:hRule="exact"/>
        </w:trPr>
        <w:tc>
          <w:tcPr>
            <w:tcW w:w="36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tabs>
                <w:tab w:pos="557"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184,151,169.79</w:t>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1,648,000.00</w:t>
            </w:r>
          </w:p>
        </w:tc>
        <w:tc>
          <w:tcPr>
            <w:tcW w:w="29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5"/>
        <w:ind w:left="674" w:right="0"/>
        <w:jc w:val="left"/>
      </w:pPr>
      <w:r>
        <w:rPr>
          <w:rFonts w:ascii="Times New Roman" w:hAnsi="Times New Roman" w:cs="Times New Roman" w:eastAsia="Times New Roman" w:hint="default"/>
        </w:rPr>
        <w:t>6</w:t>
      </w:r>
      <w:r>
        <w:rPr/>
        <w:t>．现金流量表补充资料</w:t>
      </w:r>
    </w:p>
    <w:tbl>
      <w:tblPr>
        <w:tblW w:w="0" w:type="auto"/>
        <w:jc w:val="left"/>
        <w:tblInd w:w="131" w:type="dxa"/>
        <w:tblLayout w:type="fixed"/>
        <w:tblCellMar>
          <w:top w:w="0" w:type="dxa"/>
          <w:left w:w="0" w:type="dxa"/>
          <w:bottom w:w="0" w:type="dxa"/>
          <w:right w:w="0" w:type="dxa"/>
        </w:tblCellMar>
        <w:tblLook w:val="01E0"/>
      </w:tblPr>
      <w:tblGrid>
        <w:gridCol w:w="6880"/>
        <w:gridCol w:w="1588"/>
        <w:gridCol w:w="1586"/>
      </w:tblGrid>
      <w:tr>
        <w:trPr>
          <w:trHeight w:val="479" w:hRule="exact"/>
        </w:trPr>
        <w:tc>
          <w:tcPr>
            <w:tcW w:w="68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83" w:hRule="exact"/>
        </w:trPr>
        <w:tc>
          <w:tcPr>
            <w:tcW w:w="6880"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88" w:type="dxa"/>
            <w:tcBorders>
              <w:top w:val="single" w:sz="4" w:space="0" w:color="000000"/>
              <w:left w:val="single" w:sz="4" w:space="0" w:color="000000"/>
              <w:bottom w:val="nil" w:sz="6" w:space="0" w:color="auto"/>
              <w:right w:val="single" w:sz="4" w:space="0" w:color="000000"/>
            </w:tcBorders>
          </w:tcPr>
          <w:p>
            <w:pPr/>
          </w:p>
        </w:tc>
        <w:tc>
          <w:tcPr>
            <w:tcW w:w="1586" w:type="dxa"/>
            <w:tcBorders>
              <w:top w:val="single" w:sz="4" w:space="0" w:color="000000"/>
              <w:left w:val="single" w:sz="4" w:space="0" w:color="000000"/>
              <w:bottom w:val="nil" w:sz="6" w:space="0" w:color="auto"/>
              <w:right w:val="nil" w:sz="6" w:space="0" w:color="auto"/>
            </w:tcBorders>
          </w:tcPr>
          <w:p>
            <w:pPr/>
          </w:p>
        </w:tc>
      </w:tr>
      <w:tr>
        <w:trPr>
          <w:trHeight w:val="464"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139,321,220.53</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-25,848,958.83</w:t>
            </w:r>
          </w:p>
        </w:tc>
      </w:tr>
      <w:tr>
        <w:trPr>
          <w:trHeight w:val="354" w:hRule="exact"/>
        </w:trPr>
        <w:tc>
          <w:tcPr>
            <w:tcW w:w="6880" w:type="dxa"/>
            <w:tcBorders>
              <w:top w:val="nil" w:sz="6" w:space="0" w:color="auto"/>
              <w:left w:val="nil" w:sz="6" w:space="0" w:color="auto"/>
              <w:bottom w:val="single" w:sz="12"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3,187,720.06</w:t>
            </w:r>
          </w:p>
        </w:tc>
        <w:tc>
          <w:tcPr>
            <w:tcW w:w="15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w w:val="95"/>
                <w:sz w:val="18"/>
              </w:rPr>
              <w:t>-690,145.45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00" w:bottom="1180" w:left="880" w:right="720"/>
        </w:sectPr>
      </w:pPr>
    </w:p>
    <w:tbl>
      <w:tblPr>
        <w:tblW w:w="0" w:type="auto"/>
        <w:jc w:val="left"/>
        <w:tblInd w:w="111" w:type="dxa"/>
        <w:tblLayout w:type="fixed"/>
        <w:tblCellMar>
          <w:top w:w="0" w:type="dxa"/>
          <w:left w:w="0" w:type="dxa"/>
          <w:bottom w:w="0" w:type="dxa"/>
          <w:right w:w="0" w:type="dxa"/>
        </w:tblCellMar>
        <w:tblLook w:val="01E0"/>
      </w:tblPr>
      <w:tblGrid>
        <w:gridCol w:w="6880"/>
        <w:gridCol w:w="1588"/>
        <w:gridCol w:w="1586"/>
      </w:tblGrid>
      <w:tr>
        <w:trPr>
          <w:trHeight w:val="487" w:hRule="exact"/>
        </w:trPr>
        <w:tc>
          <w:tcPr>
            <w:tcW w:w="6880"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8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86"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88" w:hRule="exact"/>
        </w:trPr>
        <w:tc>
          <w:tcPr>
            <w:tcW w:w="6880"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固定资产折旧、油气资产折耗、生产性生物资产折旧、投资性房地产摊销等</w:t>
            </w:r>
          </w:p>
        </w:tc>
        <w:tc>
          <w:tcPr>
            <w:tcW w:w="1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7,380,480.25</w:t>
            </w:r>
          </w:p>
        </w:tc>
        <w:tc>
          <w:tcPr>
            <w:tcW w:w="1586"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6,266,872.17</w:t>
            </w: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12,871,402.32</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8,174,838.00</w:t>
            </w:r>
          </w:p>
        </w:tc>
      </w:tr>
      <w:tr>
        <w:trPr>
          <w:trHeight w:val="451"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-184,151,169.79</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-1,648,000.00</w:t>
            </w: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809,730.37</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1,085,513.35</w:t>
            </w:r>
          </w:p>
        </w:tc>
      </w:tr>
      <w:tr>
        <w:trPr>
          <w:trHeight w:val="455"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4"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9"/>
              <w:jc w:val="right"/>
              <w:rPr>
                <w:rFonts w:ascii="Times New Roman" w:hAnsi="Times New Roman" w:cs="Times New Roman" w:eastAsia="Times New Roman" w:hint="default"/>
                <w:sz w:val="18"/>
                <w:szCs w:val="18"/>
              </w:rPr>
            </w:pPr>
            <w:r>
              <w:rPr>
                <w:rFonts w:ascii="Times New Roman"/>
                <w:spacing w:val="-1"/>
                <w:sz w:val="18"/>
              </w:rPr>
              <w:t>5,471,429.58</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2,408,436.17</w:t>
            </w: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61,486,870.47</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26,233,947.29</w:t>
            </w: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-29,308,157.67</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99,224,580.63</w:t>
            </w: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7,602,355.17</w:t>
            </w: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24,671,881.29</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115,207,083.33</w:t>
            </w:r>
          </w:p>
        </w:tc>
      </w:tr>
      <w:tr>
        <w:trPr>
          <w:trHeight w:val="455"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55"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5"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224,363,560.34</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pacing w:val="-1"/>
                <w:sz w:val="18"/>
              </w:rPr>
              <w:t>268,808,574.98</w:t>
            </w: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268,808,574.98</w:t>
            </w:r>
          </w:p>
        </w:tc>
        <w:tc>
          <w:tcPr>
            <w:tcW w:w="1586"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258,805,989.78</w:t>
            </w:r>
          </w:p>
        </w:tc>
      </w:tr>
      <w:tr>
        <w:trPr>
          <w:trHeight w:val="45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460" w:hRule="exact"/>
        </w:trPr>
        <w:tc>
          <w:tcPr>
            <w:tcW w:w="6880"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588"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nil" w:sz="6" w:space="0" w:color="auto"/>
            </w:tcBorders>
          </w:tcPr>
          <w:p>
            <w:pPr/>
          </w:p>
        </w:tc>
      </w:tr>
      <w:tr>
        <w:trPr>
          <w:trHeight w:val="363" w:hRule="exact"/>
        </w:trPr>
        <w:tc>
          <w:tcPr>
            <w:tcW w:w="6880" w:type="dxa"/>
            <w:tcBorders>
              <w:top w:val="nil" w:sz="6" w:space="0" w:color="auto"/>
              <w:left w:val="nil" w:sz="6" w:space="0" w:color="auto"/>
              <w:bottom w:val="single" w:sz="12"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-44,445,014.64</w:t>
            </w:r>
          </w:p>
        </w:tc>
        <w:tc>
          <w:tcPr>
            <w:tcW w:w="158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10,002,585.20</w:t>
            </w:r>
          </w:p>
        </w:tc>
      </w:tr>
    </w:tbl>
    <w:p>
      <w:pPr>
        <w:pStyle w:val="Heading3"/>
        <w:spacing w:line="240" w:lineRule="auto" w:before="78"/>
        <w:ind w:left="656" w:right="0"/>
        <w:jc w:val="left"/>
        <w:rPr>
          <w:b w:val="0"/>
          <w:bCs w:val="0"/>
        </w:rPr>
      </w:pPr>
      <w:r>
        <w:rPr/>
        <w:t>（十二）补充资料</w:t>
      </w:r>
      <w:r>
        <w:rPr>
          <w:b w:val="0"/>
          <w:bCs w:val="0"/>
        </w:rPr>
      </w:r>
    </w:p>
    <w:p>
      <w:pPr>
        <w:pStyle w:val="BodyText"/>
        <w:spacing w:line="240" w:lineRule="auto" w:before="111"/>
        <w:ind w:left="654" w:right="0"/>
        <w:jc w:val="left"/>
      </w:pPr>
      <w:r>
        <w:rPr>
          <w:rFonts w:ascii="Times New Roman" w:hAnsi="Times New Roman" w:cs="Times New Roman" w:eastAsia="Times New Roman" w:hint="default"/>
        </w:rPr>
        <w:t>1</w:t>
      </w:r>
      <w:r>
        <w:rPr/>
        <w:t>．非经常性损益</w:t>
      </w:r>
    </w:p>
    <w:p>
      <w:pPr>
        <w:pStyle w:val="BodyText"/>
        <w:spacing w:line="240" w:lineRule="auto" w:before="94"/>
        <w:ind w:left="654" w:right="0"/>
        <w:jc w:val="left"/>
      </w:pPr>
      <w:r>
        <w:rPr/>
        <w:t>（</w:t>
      </w:r>
      <w:r>
        <w:rPr>
          <w:rFonts w:ascii="Times New Roman" w:hAnsi="Times New Roman" w:cs="Times New Roman" w:eastAsia="Times New Roman" w:hint="default"/>
        </w:rPr>
        <w:t>1</w:t>
      </w:r>
      <w:r>
        <w:rPr/>
        <w:t>）根据中国证券监督管理委员会公告</w:t>
      </w:r>
      <w:r>
        <w:rPr>
          <w:rFonts w:ascii="Times New Roman" w:hAnsi="Times New Roman" w:cs="Times New Roman" w:eastAsia="Times New Roman" w:hint="default"/>
        </w:rPr>
        <w:t>[2008]43</w:t>
      </w:r>
      <w:r>
        <w:rPr/>
        <w:t>号《公开发行证券的公司信息披露解释性公告第</w:t>
      </w:r>
      <w:r>
        <w:rPr>
          <w:rFonts w:ascii="Times New Roman" w:hAnsi="Times New Roman" w:cs="Times New Roman" w:eastAsia="Times New Roman" w:hint="default"/>
        </w:rPr>
        <w:t>1</w:t>
      </w:r>
      <w:r>
        <w:rPr/>
        <w:t>号</w:t>
      </w:r>
    </w:p>
    <w:p>
      <w:pPr>
        <w:pStyle w:val="BodyText"/>
        <w:spacing w:line="240" w:lineRule="auto" w:before="95"/>
        <w:ind w:left="234" w:right="0"/>
        <w:jc w:val="left"/>
      </w:pP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[2008]</w:t>
      </w:r>
      <w:r>
        <w:rPr/>
        <w:t>》的规定，本报告期公司非经常性损益发生情况如下：</w:t>
      </w:r>
    </w:p>
    <w:p>
      <w:pPr>
        <w:pStyle w:val="BodyText"/>
        <w:spacing w:line="240" w:lineRule="auto" w:before="95"/>
        <w:ind w:left="5379" w:right="0"/>
        <w:jc w:val="left"/>
      </w:pPr>
      <w:r>
        <w:rPr/>
        <w:t>（收益以正数列示，损失以负数列示）</w:t>
      </w:r>
    </w:p>
    <w:p>
      <w:pPr>
        <w:spacing w:after="0" w:line="240" w:lineRule="auto"/>
        <w:jc w:val="left"/>
        <w:sectPr>
          <w:pgSz w:w="11910" w:h="16840"/>
          <w:pgMar w:header="851" w:footer="982" w:top="1260" w:bottom="1180" w:left="900" w:right="720"/>
        </w:sectPr>
      </w:pPr>
    </w:p>
    <w:tbl>
      <w:tblPr>
        <w:tblW w:w="0" w:type="auto"/>
        <w:jc w:val="left"/>
        <w:tblInd w:w="111" w:type="dxa"/>
        <w:tblLayout w:type="fixed"/>
        <w:tblCellMar>
          <w:top w:w="0" w:type="dxa"/>
          <w:left w:w="0" w:type="dxa"/>
          <w:bottom w:w="0" w:type="dxa"/>
          <w:right w:w="0" w:type="dxa"/>
        </w:tblCellMar>
        <w:tblLook w:val="01E0"/>
      </w:tblPr>
      <w:tblGrid>
        <w:gridCol w:w="6604"/>
        <w:gridCol w:w="1788"/>
        <w:gridCol w:w="1319"/>
      </w:tblGrid>
      <w:tr>
        <w:trPr>
          <w:trHeight w:val="413" w:hRule="exact"/>
        </w:trPr>
        <w:tc>
          <w:tcPr>
            <w:tcW w:w="6604" w:type="dxa"/>
            <w:tcBorders>
              <w:top w:val="single" w:sz="18"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122"/>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88"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16"/>
              <w:ind w:left="43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319"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16"/>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5" w:hRule="exact"/>
        </w:trPr>
        <w:tc>
          <w:tcPr>
            <w:tcW w:w="6604" w:type="dxa"/>
            <w:tcBorders>
              <w:top w:val="single" w:sz="4" w:space="0" w:color="000000"/>
              <w:left w:val="nil" w:sz="6" w:space="0" w:color="auto"/>
              <w:bottom w:val="nil" w:sz="6" w:space="0" w:color="auto"/>
              <w:right w:val="single" w:sz="4" w:space="0" w:color="000000"/>
            </w:tcBorders>
          </w:tcPr>
          <w:p>
            <w:pPr>
              <w:pStyle w:val="TableParagraph"/>
              <w:spacing w:line="240" w:lineRule="auto" w:before="122"/>
              <w:ind w:left="4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-66,122.46</w:t>
            </w:r>
            <w:r>
              <w:rPr>
                <w:rFonts w:ascii="Times New Roman"/>
                <w:sz w:val="18"/>
              </w:rPr>
            </w:r>
          </w:p>
        </w:tc>
        <w:tc>
          <w:tcPr>
            <w:tcW w:w="1319"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-18,015.33</w:t>
            </w:r>
            <w:r>
              <w:rPr>
                <w:rFonts w:ascii="Times New Roman"/>
                <w:sz w:val="18"/>
              </w:rPr>
            </w: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2,185,918.10</w:t>
            </w:r>
          </w:p>
        </w:tc>
        <w:tc>
          <w:tcPr>
            <w:tcW w:w="1319" w:type="dxa"/>
            <w:tcBorders>
              <w:top w:val="nil" w:sz="6" w:space="0" w:color="auto"/>
              <w:left w:val="single" w:sz="4" w:space="0" w:color="000000"/>
              <w:bottom w:val="nil" w:sz="6" w:space="0" w:color="auto"/>
              <w:right w:val="nil" w:sz="6" w:space="0" w:color="auto"/>
            </w:tcBorders>
          </w:tcPr>
          <w:p>
            <w:pPr/>
          </w:p>
        </w:tc>
      </w:tr>
      <w:tr>
        <w:trPr>
          <w:trHeight w:val="763"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393" w:lineRule="auto" w:before="37"/>
              <w:ind w:left="42" w:right="18"/>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计入当期损益的政府补助，但与公司正常经营业务密切相关，符合国家政策规定、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按照一定标准定额或定量持续享受的政府补助除外</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2,453,474.54</w:t>
            </w: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772"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393" w:lineRule="auto" w:before="47"/>
              <w:ind w:left="42" w:right="18"/>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位可辨认净资产公允价值产生的收益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1158"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393" w:lineRule="auto" w:before="47"/>
              <w:ind w:left="42" w:right="1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金融负债产生的公允价值变动损益，以及处置交易性金融资产、交易性金融负债和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可供出售金融资产取得的投资收益</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18,976.37</w:t>
            </w: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95"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4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-1,730,334.30</w:t>
            </w:r>
          </w:p>
        </w:tc>
        <w:tc>
          <w:tcPr>
            <w:tcW w:w="1319"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18"/>
                <w:szCs w:val="18"/>
              </w:rPr>
            </w:pPr>
            <w:r>
              <w:rPr>
                <w:rFonts w:ascii="Times New Roman"/>
                <w:sz w:val="18"/>
              </w:rPr>
              <w:t>190,327.88</w:t>
            </w:r>
          </w:p>
        </w:tc>
      </w:tr>
      <w:tr>
        <w:trPr>
          <w:trHeight w:val="377"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88" w:type="dxa"/>
            <w:tcBorders>
              <w:top w:val="nil" w:sz="6" w:space="0" w:color="auto"/>
              <w:left w:val="single" w:sz="4" w:space="0" w:color="000000"/>
              <w:bottom w:val="nil" w:sz="6" w:space="0" w:color="auto"/>
              <w:right w:val="single" w:sz="4" w:space="0" w:color="000000"/>
            </w:tcBorders>
          </w:tcPr>
          <w:p>
            <w:pPr/>
          </w:p>
        </w:tc>
        <w:tc>
          <w:tcPr>
            <w:tcW w:w="1319" w:type="dxa"/>
            <w:tcBorders>
              <w:top w:val="nil" w:sz="6" w:space="0" w:color="auto"/>
              <w:left w:val="single" w:sz="4" w:space="0" w:color="000000"/>
              <w:bottom w:val="nil" w:sz="6" w:space="0" w:color="auto"/>
              <w:right w:val="nil" w:sz="6" w:space="0" w:color="auto"/>
            </w:tcBorders>
          </w:tcPr>
          <w:p>
            <w:pPr/>
          </w:p>
        </w:tc>
      </w:tr>
      <w:tr>
        <w:trPr>
          <w:trHeight w:val="395" w:hRule="exact"/>
        </w:trPr>
        <w:tc>
          <w:tcPr>
            <w:tcW w:w="6604" w:type="dxa"/>
            <w:tcBorders>
              <w:top w:val="nil" w:sz="6" w:space="0" w:color="auto"/>
              <w:left w:val="nil" w:sz="6" w:space="0" w:color="auto"/>
              <w:bottom w:val="nil" w:sz="6" w:space="0" w:color="auto"/>
              <w:right w:val="single" w:sz="4" w:space="0" w:color="000000"/>
            </w:tcBorders>
          </w:tcPr>
          <w:p>
            <w:pPr>
              <w:pStyle w:val="TableParagraph"/>
              <w:tabs>
                <w:tab w:pos="557" w:val="left" w:leader="none"/>
              </w:tabs>
              <w:spacing w:line="240" w:lineRule="auto" w:before="47"/>
              <w:ind w:left="18"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2,861,912.25</w:t>
            </w:r>
          </w:p>
        </w:tc>
        <w:tc>
          <w:tcPr>
            <w:tcW w:w="1319"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26"/>
              <w:jc w:val="right"/>
              <w:rPr>
                <w:rFonts w:ascii="Times New Roman" w:hAnsi="Times New Roman" w:cs="Times New Roman" w:eastAsia="Times New Roman" w:hint="default"/>
                <w:sz w:val="18"/>
                <w:szCs w:val="18"/>
              </w:rPr>
            </w:pPr>
            <w:r>
              <w:rPr>
                <w:rFonts w:ascii="Times New Roman"/>
                <w:sz w:val="18"/>
              </w:rPr>
              <w:t>172,312.55</w:t>
            </w:r>
          </w:p>
        </w:tc>
      </w:tr>
      <w:tr>
        <w:trPr>
          <w:trHeight w:val="386" w:hRule="exact"/>
        </w:trPr>
        <w:tc>
          <w:tcPr>
            <w:tcW w:w="660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42" w:right="0"/>
              <w:jc w:val="left"/>
              <w:rPr>
                <w:rFonts w:ascii="宋体" w:hAnsi="宋体" w:cs="宋体" w:eastAsia="宋体" w:hint="default"/>
                <w:sz w:val="18"/>
                <w:szCs w:val="18"/>
              </w:rPr>
            </w:pPr>
            <w:r>
              <w:rPr>
                <w:rFonts w:ascii="宋体" w:hAnsi="宋体" w:cs="宋体" w:eastAsia="宋体" w:hint="default"/>
                <w:sz w:val="18"/>
                <w:szCs w:val="18"/>
              </w:rPr>
              <w:t>减：非经常性损益的所得税影响数</w:t>
            </w:r>
          </w:p>
        </w:tc>
        <w:tc>
          <w:tcPr>
            <w:tcW w:w="178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z w:val="18"/>
              </w:rPr>
              <w:t>387,177.13</w:t>
            </w:r>
          </w:p>
        </w:tc>
        <w:tc>
          <w:tcPr>
            <w:tcW w:w="1319"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z w:val="18"/>
              </w:rPr>
              <w:t>249.20</w:t>
            </w:r>
          </w:p>
        </w:tc>
      </w:tr>
      <w:tr>
        <w:trPr>
          <w:trHeight w:val="307" w:hRule="exact"/>
        </w:trPr>
        <w:tc>
          <w:tcPr>
            <w:tcW w:w="6604" w:type="dxa"/>
            <w:tcBorders>
              <w:top w:val="nil" w:sz="6" w:space="0" w:color="auto"/>
              <w:left w:val="nil" w:sz="6" w:space="0" w:color="auto"/>
              <w:bottom w:val="single" w:sz="4" w:space="0" w:color="000000"/>
              <w:right w:val="single" w:sz="4" w:space="0" w:color="000000"/>
            </w:tcBorders>
          </w:tcPr>
          <w:p>
            <w:pPr>
              <w:pStyle w:val="TableParagraph"/>
              <w:spacing w:line="240" w:lineRule="auto" w:before="38"/>
              <w:ind w:left="402" w:right="0"/>
              <w:jc w:val="left"/>
              <w:rPr>
                <w:rFonts w:ascii="宋体" w:hAnsi="宋体" w:cs="宋体" w:eastAsia="宋体" w:hint="default"/>
                <w:sz w:val="18"/>
                <w:szCs w:val="18"/>
              </w:rPr>
            </w:pPr>
            <w:r>
              <w:rPr>
                <w:rFonts w:ascii="宋体" w:hAnsi="宋体" w:cs="宋体" w:eastAsia="宋体" w:hint="default"/>
                <w:sz w:val="18"/>
                <w:szCs w:val="18"/>
              </w:rPr>
              <w:t>少数股东损益的影响数</w:t>
            </w:r>
          </w:p>
        </w:tc>
        <w:tc>
          <w:tcPr>
            <w:tcW w:w="17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72,103.49</w:t>
            </w:r>
          </w:p>
        </w:tc>
        <w:tc>
          <w:tcPr>
            <w:tcW w:w="1319"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z w:val="18"/>
              </w:rPr>
              <w:t>325.28</w:t>
            </w:r>
          </w:p>
        </w:tc>
      </w:tr>
      <w:tr>
        <w:trPr>
          <w:trHeight w:val="406" w:hRule="exact"/>
        </w:trPr>
        <w:tc>
          <w:tcPr>
            <w:tcW w:w="6604"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12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2,402,631.63</w:t>
            </w:r>
          </w:p>
        </w:tc>
        <w:tc>
          <w:tcPr>
            <w:tcW w:w="13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171,738.07</w:t>
            </w:r>
          </w:p>
        </w:tc>
      </w:tr>
    </w:tbl>
    <w:p>
      <w:pPr>
        <w:spacing w:line="240" w:lineRule="auto" w:before="0"/>
        <w:rPr>
          <w:rFonts w:ascii="宋体" w:hAnsi="宋体" w:cs="宋体" w:eastAsia="宋体" w:hint="default"/>
          <w:sz w:val="9"/>
          <w:szCs w:val="9"/>
        </w:rPr>
      </w:pPr>
    </w:p>
    <w:p>
      <w:pPr>
        <w:pStyle w:val="BodyText"/>
        <w:spacing w:line="379" w:lineRule="auto" w:before="35"/>
        <w:ind w:left="574" w:right="0"/>
        <w:jc w:val="left"/>
      </w:pPr>
      <w:r>
        <w:rPr>
          <w:rFonts w:ascii="Times New Roman" w:hAnsi="Times New Roman" w:cs="Times New Roman" w:eastAsia="Times New Roman" w:hint="default"/>
        </w:rPr>
        <w:t>2</w:t>
      </w:r>
      <w:r>
        <w:rPr/>
        <w:t>．境内外会计准则下会计数据差异 本报告期内按照境外会计准则与按中国会计准则披露的财务报告中净利润和净资产未产生差异。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79" w:lineRule="auto"/>
        <w:ind w:left="153" w:right="0" w:firstLine="420"/>
        <w:jc w:val="left"/>
      </w:pPr>
      <w:r>
        <w:rPr>
          <w:rFonts w:ascii="Times New Roman" w:hAnsi="Times New Roman" w:cs="Times New Roman" w:eastAsia="Times New Roman" w:hint="default"/>
          <w:spacing w:val="-1"/>
        </w:rPr>
        <w:t>3</w:t>
      </w:r>
      <w:r>
        <w:rPr>
          <w:spacing w:val="-1"/>
        </w:rPr>
        <w:t>．根据中国证监会《公开发行证券的公司信息披露编报规则第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净资产收益率和每股收益的计</w:t>
      </w:r>
      <w:r>
        <w:rPr/>
        <w:t> 算及披露》（</w:t>
      </w:r>
      <w:r>
        <w:rPr>
          <w:rFonts w:ascii="Times New Roman" w:hAnsi="Times New Roman" w:cs="Times New Roman" w:eastAsia="Times New Roman" w:hint="default"/>
        </w:rPr>
        <w:t>2010</w:t>
      </w:r>
      <w:r>
        <w:rPr/>
        <w:t>年修订）的要求计算净资产收益率、每股收益：</w:t>
      </w:r>
    </w:p>
    <w:p>
      <w:pPr>
        <w:spacing w:after="0" w:line="379" w:lineRule="auto"/>
        <w:jc w:val="left"/>
        <w:sectPr>
          <w:pgSz w:w="11910" w:h="16840"/>
          <w:pgMar w:header="851" w:footer="982" w:top="1260" w:bottom="1180" w:left="980" w:right="1000"/>
        </w:sectPr>
      </w:pPr>
    </w:p>
    <w:p>
      <w:pPr>
        <w:spacing w:line="240" w:lineRule="auto" w:before="6"/>
        <w:rPr>
          <w:rFonts w:ascii="Times New Roman" w:hAnsi="Times New Roman" w:cs="Times New Roman" w:eastAsia="Times New Roman"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5094"/>
        <w:gridCol w:w="1586"/>
        <w:gridCol w:w="1588"/>
        <w:gridCol w:w="1601"/>
      </w:tblGrid>
      <w:tr>
        <w:trPr>
          <w:trHeight w:val="487" w:hRule="exact"/>
        </w:trPr>
        <w:tc>
          <w:tcPr>
            <w:tcW w:w="5094" w:type="dxa"/>
            <w:vMerge w:val="restart"/>
            <w:tcBorders>
              <w:top w:val="single" w:sz="18"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586" w:type="dxa"/>
            <w:vMerge w:val="restart"/>
            <w:tcBorders>
              <w:top w:val="single" w:sz="18"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468" w:lineRule="auto"/>
              <w:ind w:left="382" w:right="156"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p>
        </w:tc>
        <w:tc>
          <w:tcPr>
            <w:tcW w:w="3188" w:type="dxa"/>
            <w:gridSpan w:val="2"/>
            <w:tcBorders>
              <w:top w:val="single" w:sz="1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930" w:hRule="exact"/>
        </w:trPr>
        <w:tc>
          <w:tcPr>
            <w:tcW w:w="5094" w:type="dxa"/>
            <w:vMerge/>
            <w:tcBorders>
              <w:left w:val="nil" w:sz="6" w:space="0" w:color="auto"/>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460" w:lineRule="exact" w:before="40"/>
              <w:ind w:left="608" w:right="427"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460" w:lineRule="exact" w:before="40"/>
              <w:ind w:left="614" w:right="439"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588" w:hRule="exact"/>
        </w:trPr>
        <w:tc>
          <w:tcPr>
            <w:tcW w:w="5094" w:type="dxa"/>
            <w:tcBorders>
              <w:top w:val="single" w:sz="4"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07"/>
              <w:jc w:val="right"/>
              <w:rPr>
                <w:rFonts w:ascii="Times New Roman" w:hAnsi="Times New Roman" w:cs="Times New Roman" w:eastAsia="Times New Roman" w:hint="default"/>
                <w:sz w:val="18"/>
                <w:szCs w:val="18"/>
              </w:rPr>
            </w:pPr>
            <w:r>
              <w:rPr>
                <w:rFonts w:ascii="Times New Roman"/>
                <w:sz w:val="18"/>
              </w:rPr>
              <w:t>27.05%</w:t>
            </w:r>
          </w:p>
        </w:tc>
        <w:tc>
          <w:tcPr>
            <w:tcW w:w="15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0.95</w:t>
            </w:r>
          </w:p>
        </w:tc>
        <w:tc>
          <w:tcPr>
            <w:tcW w:w="1601"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0.95</w:t>
            </w:r>
          </w:p>
        </w:tc>
      </w:tr>
      <w:tr>
        <w:trPr>
          <w:trHeight w:val="353" w:hRule="exact"/>
        </w:trPr>
        <w:tc>
          <w:tcPr>
            <w:tcW w:w="5094" w:type="dxa"/>
            <w:tcBorders>
              <w:top w:val="nil" w:sz="6" w:space="0" w:color="auto"/>
              <w:left w:val="nil" w:sz="6" w:space="0" w:color="auto"/>
              <w:bottom w:val="single" w:sz="12"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6"/>
              <w:ind w:right="507"/>
              <w:jc w:val="right"/>
              <w:rPr>
                <w:rFonts w:ascii="Times New Roman" w:hAnsi="Times New Roman" w:cs="Times New Roman" w:eastAsia="Times New Roman" w:hint="default"/>
                <w:sz w:val="18"/>
                <w:szCs w:val="18"/>
              </w:rPr>
            </w:pPr>
            <w:r>
              <w:rPr>
                <w:rFonts w:ascii="Times New Roman"/>
                <w:sz w:val="18"/>
              </w:rPr>
              <w:t>26.79%</w:t>
            </w:r>
          </w:p>
        </w:tc>
        <w:tc>
          <w:tcPr>
            <w:tcW w:w="15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0.94</w:t>
            </w:r>
          </w:p>
        </w:tc>
        <w:tc>
          <w:tcPr>
            <w:tcW w:w="160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6"/>
              <w:ind w:right="4"/>
              <w:jc w:val="center"/>
              <w:rPr>
                <w:rFonts w:ascii="Times New Roman" w:hAnsi="Times New Roman" w:cs="Times New Roman" w:eastAsia="Times New Roman" w:hint="default"/>
                <w:sz w:val="18"/>
                <w:szCs w:val="18"/>
              </w:rPr>
            </w:pPr>
            <w:r>
              <w:rPr>
                <w:rFonts w:ascii="Times New Roman"/>
                <w:sz w:val="18"/>
              </w:rPr>
              <w:t>0.94</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82" w:top="1200" w:bottom="1180" w:left="900" w:right="920"/>
        </w:sectPr>
      </w:pPr>
    </w:p>
    <w:p>
      <w:pPr>
        <w:spacing w:line="240" w:lineRule="auto" w:before="6"/>
        <w:rPr>
          <w:rFonts w:ascii="Times New Roman" w:hAnsi="Times New Roman" w:cs="Times New Roman" w:eastAsia="Times New Roman" w:hint="default"/>
          <w:sz w:val="4"/>
          <w:szCs w:val="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8"/>
          <w:szCs w:val="18"/>
        </w:rPr>
      </w:pPr>
    </w:p>
    <w:p>
      <w:pPr>
        <w:pStyle w:val="Heading1"/>
        <w:spacing w:line="240" w:lineRule="auto"/>
        <w:ind w:right="1417"/>
        <w:jc w:val="center"/>
        <w:rPr>
          <w:b w:val="0"/>
          <w:bCs w:val="0"/>
        </w:rPr>
      </w:pPr>
      <w:bookmarkStart w:name="_bookmark10" w:id="11"/>
      <w:bookmarkEnd w:id="11"/>
      <w:r>
        <w:rPr>
          <w:b w:val="0"/>
          <w:bCs w:val="0"/>
        </w:rPr>
      </w:r>
      <w:r>
        <w:rPr/>
        <w:t>第十一节</w:t>
      </w:r>
      <w:r>
        <w:rPr>
          <w:spacing w:val="-5"/>
        </w:rPr>
        <w:t> </w:t>
      </w:r>
      <w:r>
        <w:rPr/>
        <w:t>备查文件目录</w:t>
      </w:r>
      <w:r>
        <w:rPr>
          <w:b w:val="0"/>
          <w:bCs w:val="0"/>
        </w:rPr>
      </w:r>
    </w:p>
    <w:p>
      <w:pPr>
        <w:spacing w:line="240" w:lineRule="auto" w:before="12"/>
        <w:rPr>
          <w:rFonts w:ascii="宋体" w:hAnsi="宋体" w:cs="宋体" w:eastAsia="宋体" w:hint="default"/>
          <w:b/>
          <w:bCs/>
          <w:sz w:val="35"/>
          <w:szCs w:val="35"/>
        </w:rPr>
      </w:pPr>
    </w:p>
    <w:p>
      <w:pPr>
        <w:pStyle w:val="BodyText"/>
        <w:spacing w:line="482" w:lineRule="auto"/>
        <w:ind w:left="512" w:right="172"/>
        <w:jc w:val="left"/>
      </w:pPr>
      <w:r>
        <w:rPr/>
        <w:t>一、载有本公司法定代表人、主管会计工作负责人、会计主管签名并盖章的财务报表。</w:t>
      </w:r>
      <w:r>
        <w:rPr>
          <w:spacing w:val="-1"/>
        </w:rPr>
        <w:t> 二、载有武汉众环会计师事务所有限责任公司盖章、注册会计师签名并盖章的审计报告原件。 </w:t>
      </w:r>
      <w:r>
        <w:rPr/>
        <w:t>三、报告期内在中国证监会指定报纸上公开披露过的所有本公司文件的正本及公告的原稿。</w:t>
      </w:r>
      <w:r>
        <w:rPr>
          <w:spacing w:val="-1"/>
        </w:rPr>
        <w:t> </w:t>
      </w:r>
      <w:r>
        <w:rPr/>
        <w:t>四、载有董事长李仲初先生签名的</w:t>
      </w:r>
      <w:r>
        <w:rPr>
          <w:spacing w:val="-66"/>
        </w:rPr>
        <w:t> </w:t>
      </w:r>
      <w:r>
        <w:rPr/>
        <w:t>2010</w:t>
      </w:r>
      <w:r>
        <w:rPr>
          <w:spacing w:val="-66"/>
        </w:rPr>
        <w:t> </w:t>
      </w:r>
      <w:r>
        <w:rPr/>
        <w:t>年年度报告全文。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tabs>
          <w:tab w:pos="7073" w:val="left" w:leader="none"/>
          <w:tab w:pos="8495" w:val="left" w:leader="none"/>
        </w:tabs>
        <w:spacing w:line="451" w:lineRule="auto"/>
        <w:ind w:right="1429"/>
        <w:jc w:val="left"/>
        <w:rPr>
          <w:rFonts w:ascii="Times New Roman" w:hAnsi="Times New Roman" w:cs="Times New Roman" w:eastAsia="Times New Roman" w:hint="default"/>
        </w:rPr>
      </w:pPr>
      <w:r>
        <w:rPr/>
        <w:t>北京中长石基信息技术股份有限公司</w:t>
      </w:r>
      <w:r>
        <w:rPr>
          <w:spacing w:val="-1"/>
        </w:rPr>
        <w:t> </w:t>
      </w:r>
      <w:r>
        <w:rPr/>
        <w:t>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2"/>
        <w:spacing w:line="240" w:lineRule="auto" w:before="66"/>
        <w:ind w:left="5453" w:right="172" w:firstLine="0"/>
        <w:jc w:val="left"/>
      </w:pPr>
      <w:r>
        <w:rPr/>
        <w:t>二〇一一年三月七日</w:t>
      </w:r>
    </w:p>
    <w:sectPr>
      <w:pgSz w:w="11910" w:h="16840"/>
      <w:pgMar w:header="851" w:footer="982" w:top="12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1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7699pt;margin-top:795.640625pt;width:13pt;height:11pt;mso-position-horizontal-relative:page;mso-position-vertical-relative:page;z-index:-71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10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09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709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09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709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09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699997pt;margin-top:751.61615pt;width:135.050pt;height:13.1pt;mso-position-horizontal-relative:page;mso-position-vertical-relative:page;z-index:-709504"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其他应收款种类的说明：</w:t>
                </w:r>
              </w:p>
            </w:txbxContent>
          </v:textbox>
          <w10:wrap type="none"/>
        </v:shape>
      </w:pict>
    </w:r>
    <w:r>
      <w:rPr/>
      <w:pict>
        <v:shape style="position:absolute;margin-left:288.880005pt;margin-top:781.897522pt;width:17.5pt;height:11pt;mso-position-horizontal-relative:page;mso-position-vertical-relative:page;z-index:-709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480003pt;margin-top:743.636292pt;width:143.75pt;height:13.1pt;mso-position-horizontal-relative:page;mso-position-vertical-relative:page;z-index:-709456" type="#_x0000_t202" filled="false" stroked="false">
          <v:textbox inset="0,0,0,0">
            <w:txbxContent>
              <w:p>
                <w:pPr>
                  <w:pStyle w:val="BodyText"/>
                  <w:spacing w:line="246" w:lineRule="exact"/>
                  <w:ind w:left="20" w:right="0"/>
                  <w:jc w:val="left"/>
                </w:pPr>
                <w:r>
                  <w:rPr/>
                  <w:t>（</w:t>
                </w:r>
                <w:r>
                  <w:rPr>
                    <w:rFonts w:ascii="Times New Roman" w:hAnsi="Times New Roman" w:cs="Times New Roman" w:eastAsia="Times New Roman" w:hint="default"/>
                  </w:rPr>
                  <w:t>5</w:t>
                </w:r>
                <w:r>
                  <w:rPr/>
                  <w:t>）其他应收关联方账款情况</w:t>
                </w:r>
              </w:p>
            </w:txbxContent>
          </v:textbox>
          <w10:wrap type="none"/>
        </v:shape>
      </w:pict>
    </w:r>
    <w:r>
      <w:rPr/>
      <w:pict>
        <v:shape style="position:absolute;margin-left:288.880005pt;margin-top:781.897522pt;width:17.5pt;height:11pt;mso-position-horizontal-relative:page;mso-position-vertical-relative:page;z-index:-709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70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10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7699pt;margin-top:795.640625pt;width:13pt;height:11pt;mso-position-horizontal-relative:page;mso-position-vertical-relative:page;z-index:-71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993pt;width:30.705994pt;height:19.440002pt;mso-position-horizontal-relative:page;mso-position-vertical-relative:page;z-index:-710584" type="#_x0000_t75" stroked="false">
          <v:imagedata r:id="rId1" o:title=""/>
        </v:shape>
      </w:pict>
    </w:r>
    <w:r>
      <w:rPr/>
      <w:pict>
        <v:group style="position:absolute;margin-left:55.200001pt;margin-top:66.419998pt;width:484.95pt;height:.1pt;mso-position-horizontal-relative:page;mso-position-vertical-relative:page;z-index:-710560" coordorigin="1104,1328" coordsize="9699,2">
          <v:shape style="position:absolute;left:1104;top:1328;width:9699;height:2" coordorigin="1104,1328" coordsize="9699,0" path="m1104,1328l10802,132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1.440002pt;margin-top:48.896263pt;width:170pt;height:12.5pt;mso-position-horizontal-relative:page;mso-position-vertical-relative:page;z-index:-710536"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48.866486pt;margin-top:48.896263pt;width:78.1pt;height:12.5pt;mso-position-horizontal-relative:page;mso-position-vertical-relative:page;z-index:-710512"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993pt;width:25.925003pt;height:16.320007pt;mso-position-horizontal-relative:page;mso-position-vertical-relative:page;z-index:-709888" type="#_x0000_t75" stroked="false">
          <v:imagedata r:id="rId1" o:title=""/>
        </v:shape>
      </w:pict>
    </w:r>
    <w:r>
      <w:rPr/>
      <w:pict>
        <v:shape style="position:absolute;margin-left:81.440002pt;margin-top:48.896263pt;width:170pt;height:12.5pt;mso-position-horizontal-relative:page;mso-position-vertical-relative:page;z-index:-70986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48.866486pt;margin-top:48.896263pt;width:78.1pt;height:12.5pt;mso-position-horizontal-relative:page;mso-position-vertical-relative:page;z-index:-70984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059998pt;margin-top:45.416264pt;width:170pt;height:12.5pt;mso-position-horizontal-relative:page;mso-position-vertical-relative:page;z-index:-710416"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3.486511pt;margin-top:45.416264pt;width:78.1pt;height:12.5pt;mso-position-horizontal-relative:page;mso-position-vertical-relative:page;z-index:-710392"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6pt;width:25.925003pt;height:16.380005pt;mso-position-horizontal-relative:page;mso-position-vertical-relative:page;z-index:-710368" type="#_x0000_t75" stroked="false">
          <v:imagedata r:id="rId1" o:title=""/>
        </v:shape>
      </w:pict>
    </w:r>
    <w:r>
      <w:rPr/>
      <w:pict>
        <v:shape style="position:absolute;margin-left:81.440002pt;margin-top:42.356262pt;width:170pt;height:12.5pt;mso-position-horizontal-relative:page;mso-position-vertical-relative:page;z-index:-71034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48.866486pt;margin-top:42.356262pt;width:78.1pt;height:12.5pt;mso-position-horizontal-relative:page;mso-position-vertical-relative:page;z-index:-71032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050499pt;margin-top:45.416561pt;width:170pt;height:12.5pt;mso-position-horizontal-relative:page;mso-position-vertical-relative:page;z-index:-710272"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3.47699pt;margin-top:45.416561pt;width:78.1pt;height:12.5pt;mso-position-horizontal-relative:page;mso-position-vertical-relative:page;z-index:-710248"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1.430496pt;margin-top:42.356564pt;width:170pt;height:12.5pt;mso-position-horizontal-relative:page;mso-position-vertical-relative:page;z-index:-71022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48.856995pt;margin-top:42.356564pt;width:78.1pt;height:12.5pt;mso-position-horizontal-relative:page;mso-position-vertical-relative:page;z-index:-71020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6pt;width:30.705994pt;height:19.440002pt;mso-position-horizontal-relative:page;mso-position-vertical-relative:page;z-index:-710176" type="#_x0000_t75" stroked="false">
          <v:imagedata r:id="rId1" o:title=""/>
        </v:shape>
      </w:pict>
    </w:r>
    <w:r>
      <w:rPr/>
      <w:pict>
        <v:shape style="position:absolute;margin-left:81.440002pt;margin-top:42.356262pt;width:170pt;height:12.5pt;mso-position-horizontal-relative:page;mso-position-vertical-relative:page;z-index:-710152"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48.866486pt;margin-top:42.356262pt;width:78.1pt;height:12.5pt;mso-position-horizontal-relative:page;mso-position-vertical-relative:page;z-index:-710128"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050499pt;margin-top:45.416561pt;width:170pt;height:12.5pt;mso-position-horizontal-relative:page;mso-position-vertical-relative:page;z-index:-71008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331.630493pt;margin-top:45.416561pt;width:199.95pt;height:34.1pt;mso-position-horizontal-relative:page;mso-position-vertical-relative:page;z-index:-710056" type="#_x0000_t202" filled="false" stroked="false">
          <v:textbox inset="0,0,0,0">
            <w:txbxContent>
              <w:p>
                <w:pPr>
                  <w:pStyle w:val="BodyText"/>
                  <w:spacing w:line="230" w:lineRule="exact"/>
                  <w:ind w:left="2456"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p>
                <w:pPr>
                  <w:spacing w:before="13"/>
                  <w:ind w:left="20" w:right="0" w:firstLine="0"/>
                  <w:jc w:val="left"/>
                  <w:rPr>
                    <w:rFonts w:ascii="黑体" w:hAnsi="黑体" w:cs="黑体" w:eastAsia="黑体" w:hint="default"/>
                    <w:sz w:val="32"/>
                    <w:szCs w:val="32"/>
                  </w:rPr>
                </w:pPr>
                <w:r>
                  <w:rPr>
                    <w:rFonts w:ascii="黑体" w:hAnsi="黑体" w:cs="黑体" w:eastAsia="黑体" w:hint="default"/>
                    <w:b/>
                    <w:bCs/>
                    <w:sz w:val="32"/>
                    <w:szCs w:val="32"/>
                  </w:rPr>
                  <w:t>母公司所有者权益变动表</w:t>
                </w:r>
                <w:r>
                  <w:rPr>
                    <w:rFonts w:ascii="黑体" w:hAnsi="黑体" w:cs="黑体" w:eastAsia="黑体" w:hint="default"/>
                    <w:sz w:val="32"/>
                    <w:szCs w:val="32"/>
                  </w:rPr>
                </w:r>
              </w:p>
            </w:txbxContent>
          </v:textbox>
          <w10:wrap type="none"/>
        </v:shape>
      </w:pict>
    </w:r>
    <w:r>
      <w:rPr/>
      <w:pict>
        <v:shape style="position:absolute;margin-left:55.690601pt;margin-top:81.476563pt;width:222.5pt;height:12.5pt;mso-position-horizontal-relative:page;mso-position-vertical-relative:page;z-index:-710032" type="#_x0000_t202" filled="false" stroked="false">
          <v:textbox inset="0,0,0,0">
            <w:txbxContent>
              <w:p>
                <w:pPr>
                  <w:pStyle w:val="BodyText"/>
                  <w:spacing w:line="230" w:lineRule="exact"/>
                  <w:ind w:left="20" w:right="0"/>
                  <w:jc w:val="left"/>
                </w:pPr>
                <w:r>
                  <w:rPr/>
                  <w:t>编制单位：北京中长石基信息技术股份有限公司</w:t>
                </w:r>
              </w:p>
            </w:txbxContent>
          </v:textbox>
          <w10:wrap type="none"/>
        </v:shape>
      </w:pict>
    </w:r>
    <w:r>
      <w:rPr/>
      <w:pict>
        <v:shape style="position:absolute;margin-left:685.545715pt;margin-top:81.476563pt;width:75.5pt;height:12.5pt;mso-position-horizontal-relative:page;mso-position-vertical-relative:page;z-index:-710008" type="#_x0000_t202" filled="false" stroked="false">
          <v:textbox inset="0,0,0,0">
            <w:txbxContent>
              <w:p>
                <w:pPr>
                  <w:pStyle w:val="BodyText"/>
                  <w:spacing w:line="230" w:lineRule="exact"/>
                  <w:ind w:left="20" w:right="0"/>
                  <w:jc w:val="left"/>
                </w:pPr>
                <w:r>
                  <w:rPr/>
                  <w:t>单位：人民币元</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1.430496pt;margin-top:42.356564pt;width:170pt;height:12.5pt;mso-position-horizontal-relative:page;mso-position-vertical-relative:page;z-index:-70998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331.630493pt;margin-top:42.356564pt;width:195.3pt;height:34.1pt;mso-position-horizontal-relative:page;mso-position-vertical-relative:page;z-index:-709960" type="#_x0000_t202" filled="false" stroked="false">
          <v:textbox inset="0,0,0,0">
            <w:txbxContent>
              <w:p>
                <w:pPr>
                  <w:pStyle w:val="BodyText"/>
                  <w:spacing w:line="230" w:lineRule="exact"/>
                  <w:ind w:left="2364" w:right="0"/>
                  <w:jc w:val="left"/>
                  <w:rPr>
                    <w:rFonts w:ascii="新宋体" w:hAnsi="新宋体" w:cs="新宋体" w:eastAsia="新宋体" w:hint="default"/>
                  </w:rPr>
                </w:pPr>
                <w:r>
                  <w:rPr>
                    <w:rFonts w:ascii="新宋体" w:hAnsi="新宋体" w:cs="新宋体" w:eastAsia="新宋体" w:hint="default"/>
                  </w:rPr>
                  <w:t>2010</w:t>
                </w:r>
                <w:r>
                  <w:rPr>
                    <w:rFonts w:ascii="新宋体" w:hAnsi="新宋体" w:cs="新宋体" w:eastAsia="新宋体" w:hint="default"/>
                    <w:spacing w:val="-61"/>
                  </w:rPr>
                  <w:t> </w:t>
                </w:r>
                <w:r>
                  <w:rPr>
                    <w:rFonts w:ascii="新宋体" w:hAnsi="新宋体" w:cs="新宋体" w:eastAsia="新宋体" w:hint="default"/>
                  </w:rPr>
                  <w:t>年年度报告</w:t>
                </w:r>
              </w:p>
              <w:p>
                <w:pPr>
                  <w:spacing w:before="13"/>
                  <w:ind w:left="20" w:right="0" w:firstLine="0"/>
                  <w:jc w:val="left"/>
                  <w:rPr>
                    <w:rFonts w:ascii="黑体" w:hAnsi="黑体" w:cs="黑体" w:eastAsia="黑体" w:hint="default"/>
                    <w:sz w:val="32"/>
                    <w:szCs w:val="32"/>
                  </w:rPr>
                </w:pPr>
                <w:r>
                  <w:rPr>
                    <w:rFonts w:ascii="黑体" w:hAnsi="黑体" w:cs="黑体" w:eastAsia="黑体" w:hint="default"/>
                    <w:b/>
                    <w:bCs/>
                    <w:sz w:val="32"/>
                    <w:szCs w:val="32"/>
                  </w:rPr>
                  <w:t>母公司所有者权益变动表</w:t>
                </w:r>
                <w:r>
                  <w:rPr>
                    <w:rFonts w:ascii="黑体" w:hAnsi="黑体" w:cs="黑体" w:eastAsia="黑体" w:hint="default"/>
                    <w:sz w:val="32"/>
                    <w:szCs w:val="32"/>
                  </w:rPr>
                </w:r>
              </w:p>
            </w:txbxContent>
          </v:textbox>
          <w10:wrap type="none"/>
        </v:shape>
      </w:pict>
    </w:r>
    <w:r>
      <w:rPr/>
      <w:pict>
        <v:shape style="position:absolute;margin-left:55.688999pt;margin-top:78.412064pt;width:222.5pt;height:12.5pt;mso-position-horizontal-relative:page;mso-position-vertical-relative:page;z-index:-709936" type="#_x0000_t202" filled="false" stroked="false">
          <v:textbox inset="0,0,0,0">
            <w:txbxContent>
              <w:p>
                <w:pPr>
                  <w:pStyle w:val="BodyText"/>
                  <w:spacing w:line="230" w:lineRule="exact"/>
                  <w:ind w:left="20" w:right="0"/>
                  <w:jc w:val="left"/>
                </w:pPr>
                <w:r>
                  <w:rPr/>
                  <w:t>编制单位：北京中长石基信息技术股份有限公司</w:t>
                </w:r>
              </w:p>
            </w:txbxContent>
          </v:textbox>
          <w10:wrap type="none"/>
        </v:shape>
      </w:pict>
    </w:r>
    <w:r>
      <w:rPr/>
      <w:pict>
        <v:shape style="position:absolute;margin-left:685.560913pt;margin-top:78.412064pt;width:75.45pt;height:12.5pt;mso-position-horizontal-relative:page;mso-position-vertical-relative:page;z-index:-709912" type="#_x0000_t202" filled="false" stroked="false">
          <v:textbox inset="0,0,0,0">
            <w:txbxContent>
              <w:p>
                <w:pPr>
                  <w:pStyle w:val="BodyText"/>
                  <w:spacing w:line="230" w:lineRule="exact"/>
                  <w:ind w:left="20" w:right="0"/>
                  <w:jc w:val="left"/>
                </w:pPr>
                <w:r>
                  <w:rPr/>
                  <w:t>单位：人民币元</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2"/>
      <w:ind w:left="154"/>
    </w:pPr>
    <w:rPr>
      <w:rFonts w:ascii="黑体" w:hAnsi="黑体" w:eastAsia="黑体"/>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3"/>
      <w:ind w:left="1417"/>
      <w:outlineLvl w:val="1"/>
    </w:pPr>
    <w:rPr>
      <w:rFonts w:ascii="宋体" w:hAnsi="宋体" w:eastAsia="宋体"/>
      <w:b/>
      <w:bCs/>
      <w:sz w:val="28"/>
      <w:szCs w:val="28"/>
    </w:rPr>
  </w:style>
  <w:style w:styleId="Heading2" w:type="paragraph">
    <w:name w:val="Heading 2"/>
    <w:basedOn w:val="Normal"/>
    <w:uiPriority w:val="1"/>
    <w:qFormat/>
    <w:pPr>
      <w:ind w:left="5033" w:hanging="503"/>
      <w:outlineLvl w:val="2"/>
    </w:pPr>
    <w:rPr>
      <w:rFonts w:ascii="黑体" w:hAnsi="黑体" w:eastAsia="黑体"/>
      <w:sz w:val="24"/>
      <w:szCs w:val="24"/>
    </w:rPr>
  </w:style>
  <w:style w:styleId="Heading3" w:type="paragraph">
    <w:name w:val="Heading 3"/>
    <w:basedOn w:val="Normal"/>
    <w:uiPriority w:val="1"/>
    <w:qFormat/>
    <w:pPr>
      <w:ind w:left="56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mailto:Ir@shijinet.com.cn" TargetMode="External"/><Relationship Id="rId9" Type="http://schemas.openxmlformats.org/officeDocument/2006/relationships/hyperlink" Target="mailto:willa.wang@shijinet.com.cn" TargetMode="External"/><Relationship Id="rId10" Type="http://schemas.openxmlformats.org/officeDocument/2006/relationships/hyperlink" Target="http://www.shijinet.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image" Target="media/image1.jpeg"/><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footer" Target="footer7.xml"/><Relationship Id="rId24" Type="http://schemas.openxmlformats.org/officeDocument/2006/relationships/image" Target="media/image5.jpeg"/><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header" Target="header10.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footer" Target="footer27.xml"/><Relationship Id="rId50" Type="http://schemas.openxmlformats.org/officeDocument/2006/relationships/footer" Target="footer2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Anthea</dc:creator>
  <cp:keywords>2008 年报</cp:keywords>
  <dc:title>石基信息2008年年度报告</dc:title>
  <dcterms:created xsi:type="dcterms:W3CDTF">2020-04-29T01:48:43Z</dcterms:created>
  <dcterms:modified xsi:type="dcterms:W3CDTF">2020-04-29T01:48:43Z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Acrobat PDFMaker 8.1 for Word</vt:lpwstr>
  </property>
  <property fmtid="{D5CDD505-2E9C-101B-9397-08002B2CF9AE}" pid="4" name="LastSaved">
    <vt:filetime>2020-04-28T00:00:00Z</vt:filetime>
  </property>
</Properties>
</file>